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32B97" w14:textId="35B0F4C7" w:rsidR="00217058" w:rsidRDefault="00217058" w:rsidP="00A5165E">
      <w:pPr>
        <w:pStyle w:val="Textoindependiente"/>
        <w:spacing w:after="0" w:line="240" w:lineRule="auto"/>
        <w:jc w:val="center"/>
        <w:rPr>
          <w:rFonts w:cs="Arial"/>
          <w:b/>
          <w:sz w:val="24"/>
          <w:szCs w:val="24"/>
        </w:rPr>
      </w:pPr>
      <w:r>
        <w:rPr>
          <w:noProof/>
          <w:lang w:val="en-US"/>
        </w:rPr>
        <w:drawing>
          <wp:anchor distT="0" distB="0" distL="114300" distR="114300" simplePos="0" relativeHeight="251659264" behindDoc="0" locked="0" layoutInCell="0" allowOverlap="1" wp14:anchorId="5F9122A6" wp14:editId="2204C2D0">
            <wp:simplePos x="0" y="0"/>
            <wp:positionH relativeFrom="page">
              <wp:align>center</wp:align>
            </wp:positionH>
            <wp:positionV relativeFrom="paragraph">
              <wp:posOffset>11309</wp:posOffset>
            </wp:positionV>
            <wp:extent cx="1990725" cy="933450"/>
            <wp:effectExtent l="0" t="0" r="9525"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90725"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4C7779" w14:textId="77777777" w:rsidR="00622FEA" w:rsidRDefault="00622FEA" w:rsidP="00217058">
      <w:pPr>
        <w:jc w:val="center"/>
        <w:rPr>
          <w:rFonts w:ascii="Arial Narrow" w:hAnsi="Arial Narrow" w:cs="Arial"/>
          <w:b/>
          <w:sz w:val="28"/>
          <w:szCs w:val="28"/>
        </w:rPr>
      </w:pPr>
    </w:p>
    <w:p w14:paraId="6B4A1FF4" w14:textId="5B983075" w:rsidR="00622FEA" w:rsidRDefault="00622FEA" w:rsidP="00217058">
      <w:pPr>
        <w:jc w:val="center"/>
        <w:rPr>
          <w:rFonts w:ascii="Arial Narrow" w:hAnsi="Arial Narrow" w:cs="Arial"/>
          <w:b/>
          <w:sz w:val="28"/>
          <w:szCs w:val="28"/>
        </w:rPr>
      </w:pPr>
      <w:r>
        <w:rPr>
          <w:rFonts w:ascii="Arial Narrow" w:hAnsi="Arial Narrow" w:cs="Arial"/>
          <w:b/>
          <w:sz w:val="28"/>
          <w:szCs w:val="28"/>
        </w:rPr>
        <w:t>DOCUMENTO SOPORTE</w:t>
      </w:r>
    </w:p>
    <w:p w14:paraId="2C357B37" w14:textId="77777777" w:rsidR="00622FEA" w:rsidRDefault="00622FEA" w:rsidP="00217058">
      <w:pPr>
        <w:jc w:val="center"/>
        <w:rPr>
          <w:rFonts w:ascii="Arial Narrow" w:hAnsi="Arial Narrow" w:cs="Arial"/>
          <w:b/>
          <w:sz w:val="28"/>
          <w:szCs w:val="28"/>
        </w:rPr>
      </w:pPr>
    </w:p>
    <w:p w14:paraId="0E25CF8E" w14:textId="77777777" w:rsidR="00622FEA" w:rsidRDefault="00622FEA" w:rsidP="00622FEA">
      <w:pPr>
        <w:jc w:val="right"/>
        <w:rPr>
          <w:rFonts w:ascii="Arial Narrow" w:hAnsi="Arial Narrow" w:cs="Arial"/>
          <w:b/>
          <w:sz w:val="28"/>
          <w:szCs w:val="28"/>
        </w:rPr>
      </w:pPr>
    </w:p>
    <w:p w14:paraId="765078E7" w14:textId="0810F8CF" w:rsidR="00217058" w:rsidRDefault="00217058" w:rsidP="00622FEA">
      <w:pPr>
        <w:jc w:val="right"/>
        <w:rPr>
          <w:rFonts w:ascii="Arial Narrow" w:hAnsi="Arial Narrow" w:cs="Arial"/>
          <w:b/>
          <w:sz w:val="28"/>
          <w:szCs w:val="28"/>
        </w:rPr>
      </w:pPr>
      <w:r>
        <w:rPr>
          <w:rFonts w:ascii="Arial Narrow" w:hAnsi="Arial Narrow" w:cs="Arial"/>
          <w:b/>
          <w:sz w:val="28"/>
          <w:szCs w:val="28"/>
        </w:rPr>
        <w:t>Resolución</w:t>
      </w:r>
      <w:r w:rsidR="00622FEA">
        <w:rPr>
          <w:rFonts w:ascii="Arial Narrow" w:hAnsi="Arial Narrow" w:cs="Arial"/>
          <w:b/>
          <w:sz w:val="28"/>
          <w:szCs w:val="28"/>
        </w:rPr>
        <w:t xml:space="preserve"> consultiva</w:t>
      </w:r>
      <w:r>
        <w:rPr>
          <w:rFonts w:ascii="Arial Narrow" w:hAnsi="Arial Narrow" w:cs="Arial"/>
          <w:b/>
          <w:sz w:val="28"/>
          <w:szCs w:val="28"/>
        </w:rPr>
        <w:t xml:space="preserve"> N° 172 del 07 de octubre de 2021</w:t>
      </w:r>
      <w:r w:rsidR="00622FEA">
        <w:rPr>
          <w:rFonts w:ascii="Arial Narrow" w:hAnsi="Arial Narrow" w:cs="Arial"/>
          <w:b/>
          <w:sz w:val="28"/>
          <w:szCs w:val="28"/>
        </w:rPr>
        <w:t>.</w:t>
      </w:r>
    </w:p>
    <w:p w14:paraId="54755EBC" w14:textId="77777777" w:rsidR="00622FEA" w:rsidRDefault="00622FEA" w:rsidP="00217058">
      <w:pPr>
        <w:jc w:val="center"/>
        <w:rPr>
          <w:rFonts w:ascii="Arial Narrow" w:hAnsi="Arial Narrow" w:cs="Arial"/>
          <w:b/>
          <w:sz w:val="28"/>
          <w:szCs w:val="28"/>
        </w:rPr>
      </w:pPr>
    </w:p>
    <w:p w14:paraId="55E2E0F4" w14:textId="5BACE552" w:rsidR="00622FEA" w:rsidRPr="00622FEA" w:rsidRDefault="00622FEA" w:rsidP="00622FEA">
      <w:pPr>
        <w:jc w:val="right"/>
        <w:rPr>
          <w:rFonts w:ascii="Arial Narrow" w:hAnsi="Arial Narrow" w:cs="Arial"/>
          <w:bCs/>
          <w:sz w:val="28"/>
          <w:szCs w:val="28"/>
        </w:rPr>
      </w:pPr>
      <w:r w:rsidRPr="00622FEA">
        <w:rPr>
          <w:rFonts w:ascii="Arial Narrow" w:hAnsi="Arial Narrow" w:cs="Arial"/>
          <w:bCs/>
          <w:sz w:val="28"/>
          <w:szCs w:val="28"/>
        </w:rPr>
        <w:t xml:space="preserve">Por la cual se ordena hacer público un proyecto de resolución de carácter general </w:t>
      </w:r>
      <w:r w:rsidRPr="00622FEA">
        <w:rPr>
          <w:rFonts w:ascii="Arial Narrow" w:hAnsi="Arial Narrow" w:cs="Arial"/>
          <w:bCs/>
          <w:i/>
          <w:iCs/>
          <w:sz w:val="28"/>
          <w:szCs w:val="28"/>
        </w:rPr>
        <w:t>“Por la cual se señala el porcentaje de la contribución especial que deben pagar las personas prestadoras del servicio de energía eléctrica, gas natural y gas licuado de petróleo (GLP), sometidas a la regulación de la Comisión de Regulación de Energía y Gas en el año 2021 y se dictan otras disposiciones”</w:t>
      </w:r>
      <w:r w:rsidRPr="00622FEA">
        <w:rPr>
          <w:rFonts w:ascii="Arial Narrow" w:hAnsi="Arial Narrow" w:cs="Arial"/>
          <w:bCs/>
          <w:sz w:val="28"/>
          <w:szCs w:val="28"/>
        </w:rPr>
        <w:t>.</w:t>
      </w:r>
    </w:p>
    <w:p w14:paraId="3DE19D8F" w14:textId="586AE4AC" w:rsidR="00217058" w:rsidRDefault="00217058" w:rsidP="00217058">
      <w:pPr>
        <w:jc w:val="center"/>
        <w:rPr>
          <w:rFonts w:ascii="Arial Narrow" w:hAnsi="Arial Narrow" w:cs="Arial"/>
          <w:b/>
          <w:sz w:val="28"/>
          <w:szCs w:val="28"/>
        </w:rPr>
      </w:pPr>
    </w:p>
    <w:p w14:paraId="6C6E7E26" w14:textId="6428FF94" w:rsidR="00217058" w:rsidRPr="00E75376" w:rsidRDefault="00217058" w:rsidP="00217058">
      <w:pPr>
        <w:rPr>
          <w:rFonts w:ascii="Arial Narrow" w:hAnsi="Arial Narrow" w:cs="Arial"/>
          <w:b/>
          <w:sz w:val="28"/>
          <w:szCs w:val="28"/>
        </w:rPr>
      </w:pPr>
      <w:r w:rsidRPr="00E75376">
        <w:rPr>
          <w:rFonts w:ascii="Arial Narrow" w:hAnsi="Arial Narrow" w:cs="Arial"/>
          <w:b/>
          <w:sz w:val="28"/>
          <w:szCs w:val="28"/>
        </w:rPr>
        <w:t xml:space="preserve">DOCUMENTO CREG – </w:t>
      </w:r>
      <w:r>
        <w:rPr>
          <w:rFonts w:ascii="Arial Narrow" w:hAnsi="Arial Narrow" w:cs="Arial"/>
          <w:b/>
          <w:sz w:val="28"/>
          <w:szCs w:val="28"/>
        </w:rPr>
        <w:t>140</w:t>
      </w:r>
      <w:r w:rsidR="00632A77">
        <w:rPr>
          <w:rFonts w:ascii="Arial Narrow" w:hAnsi="Arial Narrow" w:cs="Arial"/>
          <w:b/>
          <w:sz w:val="28"/>
          <w:szCs w:val="28"/>
        </w:rPr>
        <w:t>.</w:t>
      </w:r>
    </w:p>
    <w:p w14:paraId="65EA78E7" w14:textId="0DC4F78D" w:rsidR="00217058" w:rsidRPr="00E75376" w:rsidRDefault="00217058" w:rsidP="00217058">
      <w:pPr>
        <w:rPr>
          <w:rFonts w:ascii="Arial Narrow" w:hAnsi="Arial Narrow" w:cs="Arial"/>
          <w:b/>
          <w:sz w:val="28"/>
          <w:szCs w:val="28"/>
        </w:rPr>
      </w:pPr>
      <w:r>
        <w:rPr>
          <w:rFonts w:ascii="Arial Narrow" w:hAnsi="Arial Narrow" w:cs="Arial"/>
          <w:b/>
          <w:sz w:val="28"/>
          <w:szCs w:val="28"/>
        </w:rPr>
        <w:t>07</w:t>
      </w:r>
      <w:r w:rsidRPr="00E75376">
        <w:rPr>
          <w:rFonts w:ascii="Arial Narrow" w:hAnsi="Arial Narrow" w:cs="Arial"/>
          <w:b/>
          <w:sz w:val="28"/>
          <w:szCs w:val="28"/>
        </w:rPr>
        <w:t xml:space="preserve"> de </w:t>
      </w:r>
      <w:r>
        <w:rPr>
          <w:rFonts w:ascii="Arial Narrow" w:hAnsi="Arial Narrow" w:cs="Arial"/>
          <w:b/>
          <w:sz w:val="28"/>
          <w:szCs w:val="28"/>
        </w:rPr>
        <w:t>octubre</w:t>
      </w:r>
      <w:r w:rsidRPr="00E75376">
        <w:rPr>
          <w:rFonts w:ascii="Arial Narrow" w:hAnsi="Arial Narrow" w:cs="Arial"/>
          <w:b/>
          <w:sz w:val="28"/>
          <w:szCs w:val="28"/>
        </w:rPr>
        <w:t xml:space="preserve"> de 20</w:t>
      </w:r>
      <w:r>
        <w:rPr>
          <w:rFonts w:ascii="Arial Narrow" w:hAnsi="Arial Narrow" w:cs="Arial"/>
          <w:b/>
          <w:sz w:val="28"/>
          <w:szCs w:val="28"/>
        </w:rPr>
        <w:t>21</w:t>
      </w:r>
      <w:r w:rsidR="00EA0452">
        <w:rPr>
          <w:rFonts w:ascii="Arial Narrow" w:hAnsi="Arial Narrow" w:cs="Arial"/>
          <w:b/>
          <w:sz w:val="28"/>
          <w:szCs w:val="28"/>
        </w:rPr>
        <w:t>.</w:t>
      </w:r>
    </w:p>
    <w:p w14:paraId="6F2D34EB" w14:textId="33963420" w:rsidR="00217058" w:rsidRDefault="00217058" w:rsidP="00217058">
      <w:pPr>
        <w:pStyle w:val="Encabezado"/>
        <w:ind w:left="5103"/>
        <w:rPr>
          <w:rFonts w:ascii="Arial Narrow" w:hAnsi="Arial Narrow" w:cs="Arial"/>
          <w:color w:val="FF0000"/>
          <w:sz w:val="28"/>
          <w:szCs w:val="28"/>
        </w:rPr>
      </w:pPr>
    </w:p>
    <w:p w14:paraId="245A8BA4" w14:textId="77777777" w:rsidR="00622FEA" w:rsidRPr="00E75376" w:rsidRDefault="00622FEA" w:rsidP="00217058">
      <w:pPr>
        <w:pStyle w:val="Encabezado"/>
        <w:ind w:left="5103"/>
        <w:rPr>
          <w:rFonts w:ascii="Arial Narrow" w:hAnsi="Arial Narrow" w:cs="Arial"/>
          <w:color w:val="FF0000"/>
          <w:sz w:val="28"/>
          <w:szCs w:val="28"/>
        </w:rPr>
      </w:pPr>
    </w:p>
    <w:p w14:paraId="5FF52073" w14:textId="77777777" w:rsidR="00622FEA" w:rsidRDefault="00622FEA" w:rsidP="00622FEA">
      <w:pPr>
        <w:pStyle w:val="Textoindependiente"/>
        <w:spacing w:after="0" w:line="240" w:lineRule="auto"/>
        <w:jc w:val="center"/>
        <w:rPr>
          <w:rFonts w:cs="Arial"/>
          <w:b/>
          <w:sz w:val="24"/>
          <w:szCs w:val="24"/>
        </w:rPr>
      </w:pPr>
    </w:p>
    <w:p w14:paraId="59EAB743" w14:textId="77777777" w:rsidR="00622FEA" w:rsidRDefault="00622FEA" w:rsidP="00622FEA">
      <w:pPr>
        <w:jc w:val="center"/>
        <w:rPr>
          <w:rFonts w:ascii="Arial Narrow" w:hAnsi="Arial Narrow" w:cs="Arial"/>
          <w:b/>
          <w:sz w:val="28"/>
          <w:szCs w:val="28"/>
        </w:rPr>
      </w:pPr>
      <w:r w:rsidRPr="00E75376">
        <w:rPr>
          <w:rFonts w:ascii="Arial Narrow" w:hAnsi="Arial Narrow" w:cs="Arial"/>
          <w:b/>
          <w:sz w:val="28"/>
          <w:szCs w:val="28"/>
        </w:rPr>
        <w:t>LIQUIDACIÓN DE LA CONTRIBUCIÓN QUE DEBEN PAGAR LAS ENTIDADES REGULADAS PARA EL AÑO 20</w:t>
      </w:r>
      <w:r>
        <w:rPr>
          <w:rFonts w:ascii="Arial Narrow" w:hAnsi="Arial Narrow" w:cs="Arial"/>
          <w:b/>
          <w:sz w:val="28"/>
          <w:szCs w:val="28"/>
        </w:rPr>
        <w:t>21</w:t>
      </w:r>
    </w:p>
    <w:p w14:paraId="2F253EB4" w14:textId="71A44A7B" w:rsidR="00217058" w:rsidRDefault="00217058" w:rsidP="00217058">
      <w:pPr>
        <w:pStyle w:val="Encabezado"/>
        <w:ind w:left="4536"/>
        <w:rPr>
          <w:rFonts w:ascii="Arial Narrow" w:hAnsi="Arial Narrow" w:cs="Arial"/>
          <w:b/>
          <w:sz w:val="28"/>
          <w:szCs w:val="28"/>
        </w:rPr>
      </w:pPr>
    </w:p>
    <w:p w14:paraId="46CA3E9A" w14:textId="57D085C4" w:rsidR="00622FEA" w:rsidRDefault="00622FEA" w:rsidP="00217058">
      <w:pPr>
        <w:pStyle w:val="Encabezado"/>
        <w:ind w:left="4536"/>
        <w:rPr>
          <w:rFonts w:ascii="Arial Narrow" w:hAnsi="Arial Narrow" w:cs="Arial"/>
          <w:b/>
          <w:sz w:val="28"/>
          <w:szCs w:val="28"/>
        </w:rPr>
      </w:pPr>
    </w:p>
    <w:p w14:paraId="75A898A6" w14:textId="77777777" w:rsidR="00622FEA" w:rsidRPr="00E75376" w:rsidRDefault="00622FEA" w:rsidP="00217058">
      <w:pPr>
        <w:pStyle w:val="Encabezado"/>
        <w:ind w:left="4536"/>
        <w:rPr>
          <w:rFonts w:ascii="Arial Narrow" w:hAnsi="Arial Narrow" w:cs="Arial"/>
          <w:b/>
          <w:sz w:val="28"/>
          <w:szCs w:val="28"/>
        </w:rPr>
      </w:pPr>
    </w:p>
    <w:p w14:paraId="42E354E2" w14:textId="48FC0088" w:rsidR="00217058" w:rsidRPr="00E75376" w:rsidRDefault="00217058" w:rsidP="00217058">
      <w:pPr>
        <w:pStyle w:val="Encabezado"/>
        <w:ind w:left="4536"/>
        <w:jc w:val="right"/>
        <w:rPr>
          <w:rFonts w:ascii="Arial Narrow" w:hAnsi="Arial Narrow" w:cs="Arial"/>
          <w:b/>
          <w:sz w:val="28"/>
          <w:szCs w:val="28"/>
        </w:rPr>
      </w:pPr>
      <w:r w:rsidRPr="00E75376">
        <w:rPr>
          <w:rFonts w:ascii="Arial Narrow" w:hAnsi="Arial Narrow" w:cs="Arial"/>
          <w:b/>
          <w:sz w:val="28"/>
          <w:szCs w:val="28"/>
        </w:rPr>
        <w:t xml:space="preserve">Sesión N° </w:t>
      </w:r>
      <w:r w:rsidR="00446E1E">
        <w:rPr>
          <w:rFonts w:ascii="Arial Narrow" w:hAnsi="Arial Narrow" w:cs="Arial"/>
          <w:b/>
          <w:sz w:val="28"/>
          <w:szCs w:val="28"/>
        </w:rPr>
        <w:t>1127</w:t>
      </w:r>
    </w:p>
    <w:p w14:paraId="263C459C" w14:textId="77777777" w:rsidR="00217058" w:rsidRPr="00E75376" w:rsidRDefault="00217058" w:rsidP="00217058">
      <w:pPr>
        <w:jc w:val="right"/>
        <w:rPr>
          <w:rFonts w:ascii="Arial Narrow" w:hAnsi="Arial Narrow" w:cs="Arial"/>
          <w:b/>
          <w:sz w:val="28"/>
          <w:szCs w:val="28"/>
        </w:rPr>
      </w:pPr>
      <w:r>
        <w:rPr>
          <w:rFonts w:ascii="Arial Narrow" w:hAnsi="Arial Narrow" w:cs="Arial"/>
          <w:b/>
          <w:sz w:val="28"/>
          <w:szCs w:val="28"/>
        </w:rPr>
        <w:t>07</w:t>
      </w:r>
      <w:r w:rsidRPr="00E75376">
        <w:rPr>
          <w:rFonts w:ascii="Arial Narrow" w:hAnsi="Arial Narrow" w:cs="Arial"/>
          <w:b/>
          <w:sz w:val="28"/>
          <w:szCs w:val="28"/>
        </w:rPr>
        <w:t xml:space="preserve"> de </w:t>
      </w:r>
      <w:r>
        <w:rPr>
          <w:rFonts w:ascii="Arial Narrow" w:hAnsi="Arial Narrow" w:cs="Arial"/>
          <w:b/>
          <w:sz w:val="28"/>
          <w:szCs w:val="28"/>
        </w:rPr>
        <w:t>octubre</w:t>
      </w:r>
      <w:r w:rsidRPr="00E75376">
        <w:rPr>
          <w:rFonts w:ascii="Arial Narrow" w:hAnsi="Arial Narrow" w:cs="Arial"/>
          <w:b/>
          <w:sz w:val="28"/>
          <w:szCs w:val="28"/>
        </w:rPr>
        <w:t xml:space="preserve"> de 20</w:t>
      </w:r>
      <w:r>
        <w:rPr>
          <w:rFonts w:ascii="Arial Narrow" w:hAnsi="Arial Narrow" w:cs="Arial"/>
          <w:b/>
          <w:sz w:val="28"/>
          <w:szCs w:val="28"/>
        </w:rPr>
        <w:t>21</w:t>
      </w:r>
      <w:r w:rsidRPr="00E75376">
        <w:rPr>
          <w:rFonts w:ascii="Arial Narrow" w:hAnsi="Arial Narrow" w:cs="Arial"/>
          <w:b/>
          <w:sz w:val="28"/>
          <w:szCs w:val="28"/>
        </w:rPr>
        <w:t xml:space="preserve"> </w:t>
      </w:r>
    </w:p>
    <w:p w14:paraId="71472D89" w14:textId="2207062C" w:rsidR="00217058" w:rsidRDefault="00217058" w:rsidP="00217058">
      <w:pPr>
        <w:pStyle w:val="Encabezado"/>
        <w:ind w:left="4536"/>
        <w:rPr>
          <w:rFonts w:ascii="Arial Narrow" w:hAnsi="Arial Narrow" w:cs="Arial"/>
          <w:b/>
          <w:sz w:val="28"/>
          <w:szCs w:val="28"/>
        </w:rPr>
      </w:pPr>
    </w:p>
    <w:p w14:paraId="41A1AEEB" w14:textId="0D7FC8EC" w:rsidR="00217058" w:rsidRDefault="00217058" w:rsidP="00217058">
      <w:pPr>
        <w:pStyle w:val="Encabezado"/>
        <w:ind w:left="4536"/>
        <w:rPr>
          <w:rFonts w:ascii="Arial Narrow" w:hAnsi="Arial Narrow" w:cs="Arial"/>
          <w:b/>
          <w:sz w:val="28"/>
          <w:szCs w:val="28"/>
        </w:rPr>
      </w:pPr>
    </w:p>
    <w:p w14:paraId="52AAE5FE" w14:textId="77777777" w:rsidR="00217058" w:rsidRPr="00E75376" w:rsidRDefault="00217058" w:rsidP="00217058">
      <w:pPr>
        <w:pStyle w:val="Encabezado"/>
        <w:ind w:left="4536"/>
        <w:rPr>
          <w:rFonts w:ascii="Arial Narrow" w:hAnsi="Arial Narrow" w:cs="Arial"/>
          <w:b/>
          <w:sz w:val="28"/>
          <w:szCs w:val="28"/>
        </w:rPr>
      </w:pPr>
    </w:p>
    <w:p w14:paraId="0146199E" w14:textId="77777777" w:rsidR="00217058" w:rsidRPr="00E75376" w:rsidRDefault="00217058" w:rsidP="00217058">
      <w:pPr>
        <w:pStyle w:val="Encabezado"/>
        <w:ind w:left="4536"/>
        <w:rPr>
          <w:rFonts w:ascii="Arial Narrow" w:hAnsi="Arial Narrow" w:cs="Arial"/>
          <w:b/>
          <w:sz w:val="28"/>
          <w:szCs w:val="28"/>
        </w:rPr>
      </w:pPr>
      <w:r w:rsidRPr="00E75376">
        <w:rPr>
          <w:rFonts w:ascii="Arial Narrow" w:hAnsi="Arial Narrow" w:cs="Arial"/>
          <w:b/>
          <w:sz w:val="28"/>
          <w:szCs w:val="28"/>
        </w:rPr>
        <w:t>MIEMBROS DE LA COMISIÓN DE REGULACIÓN DE ENERGÍA Y GAS</w:t>
      </w:r>
    </w:p>
    <w:p w14:paraId="266E3185" w14:textId="77777777" w:rsidR="00217058" w:rsidRDefault="00217058" w:rsidP="00217058">
      <w:pPr>
        <w:jc w:val="center"/>
        <w:rPr>
          <w:rFonts w:ascii="Arial Narrow" w:hAnsi="Arial Narrow" w:cs="Arial"/>
          <w:b/>
          <w:sz w:val="28"/>
          <w:szCs w:val="28"/>
        </w:rPr>
      </w:pPr>
    </w:p>
    <w:p w14:paraId="675BEC81" w14:textId="77777777" w:rsidR="00217058" w:rsidRDefault="00217058" w:rsidP="00A5165E">
      <w:pPr>
        <w:pStyle w:val="Textoindependiente"/>
        <w:spacing w:after="0" w:line="240" w:lineRule="auto"/>
        <w:jc w:val="center"/>
        <w:rPr>
          <w:rFonts w:cs="Arial"/>
          <w:b/>
          <w:sz w:val="24"/>
          <w:szCs w:val="24"/>
        </w:rPr>
      </w:pPr>
    </w:p>
    <w:p w14:paraId="58ACA3AD" w14:textId="77777777" w:rsidR="00217058" w:rsidRDefault="00217058" w:rsidP="00A5165E">
      <w:pPr>
        <w:pStyle w:val="Textoindependiente"/>
        <w:spacing w:after="0" w:line="240" w:lineRule="auto"/>
        <w:jc w:val="center"/>
        <w:rPr>
          <w:rFonts w:cs="Arial"/>
          <w:b/>
          <w:sz w:val="24"/>
          <w:szCs w:val="24"/>
        </w:rPr>
      </w:pPr>
    </w:p>
    <w:p w14:paraId="6E0AB200" w14:textId="77777777" w:rsidR="00217058" w:rsidRDefault="00217058" w:rsidP="00A5165E">
      <w:pPr>
        <w:pStyle w:val="Textoindependiente"/>
        <w:spacing w:after="0" w:line="240" w:lineRule="auto"/>
        <w:jc w:val="center"/>
        <w:rPr>
          <w:rFonts w:cs="Arial"/>
          <w:b/>
          <w:sz w:val="24"/>
          <w:szCs w:val="24"/>
        </w:rPr>
      </w:pPr>
    </w:p>
    <w:p w14:paraId="69993C38" w14:textId="72101536" w:rsidR="00217058" w:rsidRDefault="00217058" w:rsidP="00A5165E">
      <w:pPr>
        <w:pStyle w:val="Textoindependiente"/>
        <w:spacing w:after="0" w:line="240" w:lineRule="auto"/>
        <w:jc w:val="center"/>
        <w:rPr>
          <w:rFonts w:cs="Arial"/>
          <w:b/>
          <w:sz w:val="24"/>
          <w:szCs w:val="24"/>
        </w:rPr>
        <w:sectPr w:rsidR="00217058" w:rsidSect="00820FF0">
          <w:headerReference w:type="default" r:id="rId9"/>
          <w:footerReference w:type="default" r:id="rId10"/>
          <w:footerReference w:type="first" r:id="rId11"/>
          <w:pgSz w:w="12242" w:h="15842" w:code="1"/>
          <w:pgMar w:top="1701" w:right="1610" w:bottom="1418" w:left="1985" w:header="709" w:footer="862" w:gutter="0"/>
          <w:cols w:space="720"/>
          <w:titlePg/>
          <w:docGrid w:linePitch="272"/>
        </w:sectPr>
      </w:pPr>
    </w:p>
    <w:sdt>
      <w:sdtPr>
        <w:rPr>
          <w:lang w:val="es-ES"/>
        </w:rPr>
        <w:id w:val="1725866660"/>
        <w:docPartObj>
          <w:docPartGallery w:val="Table of Contents"/>
          <w:docPartUnique/>
        </w:docPartObj>
      </w:sdtPr>
      <w:sdtEndPr/>
      <w:sdtContent>
        <w:p w14:paraId="09C0B739" w14:textId="404D650C" w:rsidR="001E6912" w:rsidRDefault="001E6912" w:rsidP="001E6912">
          <w:pPr>
            <w:pStyle w:val="Textoindependiente"/>
            <w:spacing w:after="0" w:line="240" w:lineRule="auto"/>
            <w:jc w:val="center"/>
            <w:rPr>
              <w:rFonts w:cs="Arial"/>
              <w:b/>
              <w:sz w:val="24"/>
              <w:szCs w:val="24"/>
            </w:rPr>
          </w:pPr>
          <w:r>
            <w:rPr>
              <w:rFonts w:cs="Arial"/>
              <w:b/>
              <w:sz w:val="24"/>
              <w:szCs w:val="24"/>
            </w:rPr>
            <w:t>CONTENIDO</w:t>
          </w:r>
        </w:p>
        <w:p w14:paraId="7D66D844" w14:textId="5B32AEBF" w:rsidR="001E6912" w:rsidRPr="001E6912" w:rsidRDefault="001E6912">
          <w:pPr>
            <w:pStyle w:val="TtuloTDC"/>
            <w:rPr>
              <w:b/>
              <w:bCs/>
              <w:color w:val="auto"/>
              <w:sz w:val="20"/>
              <w:szCs w:val="20"/>
              <w:lang w:val="es-ES"/>
            </w:rPr>
          </w:pPr>
          <w:r w:rsidRPr="001E6912">
            <w:rPr>
              <w:color w:val="auto"/>
              <w:sz w:val="20"/>
              <w:szCs w:val="20"/>
              <w:lang w:val="es-ES"/>
            </w:rPr>
            <w:t xml:space="preserve">     </w:t>
          </w:r>
          <w:r w:rsidRPr="001E6912">
            <w:rPr>
              <w:b/>
              <w:bCs/>
              <w:color w:val="auto"/>
              <w:sz w:val="20"/>
              <w:szCs w:val="20"/>
              <w:lang w:val="es-ES"/>
            </w:rPr>
            <w:t xml:space="preserve">             </w:t>
          </w:r>
          <w:r>
            <w:rPr>
              <w:b/>
              <w:bCs/>
              <w:color w:val="auto"/>
              <w:sz w:val="20"/>
              <w:szCs w:val="20"/>
              <w:lang w:val="es-ES"/>
            </w:rPr>
            <w:t xml:space="preserve">                                                                                                                                                                   </w:t>
          </w:r>
          <w:r w:rsidRPr="001E6912">
            <w:rPr>
              <w:b/>
              <w:bCs/>
              <w:color w:val="auto"/>
              <w:sz w:val="20"/>
              <w:szCs w:val="20"/>
              <w:lang w:val="es-ES"/>
            </w:rPr>
            <w:t>Pág.</w:t>
          </w:r>
        </w:p>
        <w:p w14:paraId="4DBA2C34" w14:textId="77777777" w:rsidR="001E6912" w:rsidRPr="001E6912" w:rsidRDefault="001E6912" w:rsidP="001E6912">
          <w:pPr>
            <w:rPr>
              <w:lang w:val="es-ES" w:eastAsia="es-CO"/>
            </w:rPr>
          </w:pPr>
        </w:p>
        <w:p w14:paraId="78C25953" w14:textId="6FA5E423" w:rsidR="00621F8B" w:rsidRPr="00621F8B" w:rsidRDefault="001E6912">
          <w:pPr>
            <w:pStyle w:val="TDC1"/>
            <w:tabs>
              <w:tab w:val="right" w:leader="dot" w:pos="8637"/>
            </w:tabs>
            <w:rPr>
              <w:rFonts w:asciiTheme="minorHAnsi" w:eastAsiaTheme="minorEastAsia" w:hAnsiTheme="minorHAnsi" w:cstheme="minorBidi"/>
              <w:noProof/>
              <w:spacing w:val="0"/>
              <w:sz w:val="22"/>
              <w:szCs w:val="22"/>
              <w:lang w:eastAsia="es-CO"/>
            </w:rPr>
          </w:pPr>
          <w:r w:rsidRPr="00621F8B">
            <w:fldChar w:fldCharType="begin"/>
          </w:r>
          <w:r w:rsidRPr="00621F8B">
            <w:instrText xml:space="preserve"> TOC \o "1-3" \h \z \u </w:instrText>
          </w:r>
          <w:r w:rsidRPr="00621F8B">
            <w:fldChar w:fldCharType="separate"/>
          </w:r>
          <w:hyperlink w:anchor="_Toc88126824" w:history="1">
            <w:r w:rsidR="00621F8B" w:rsidRPr="00621F8B">
              <w:rPr>
                <w:rStyle w:val="Hipervnculo"/>
                <w:noProof/>
              </w:rPr>
              <w:t>INTRODUCCIÓN</w:t>
            </w:r>
            <w:r w:rsidR="00621F8B" w:rsidRPr="00621F8B">
              <w:rPr>
                <w:noProof/>
                <w:webHidden/>
              </w:rPr>
              <w:tab/>
            </w:r>
            <w:r w:rsidR="00621F8B" w:rsidRPr="00621F8B">
              <w:rPr>
                <w:noProof/>
                <w:webHidden/>
              </w:rPr>
              <w:fldChar w:fldCharType="begin"/>
            </w:r>
            <w:r w:rsidR="00621F8B" w:rsidRPr="00621F8B">
              <w:rPr>
                <w:noProof/>
                <w:webHidden/>
              </w:rPr>
              <w:instrText xml:space="preserve"> PAGEREF _Toc88126824 \h </w:instrText>
            </w:r>
            <w:r w:rsidR="00621F8B" w:rsidRPr="00621F8B">
              <w:rPr>
                <w:noProof/>
                <w:webHidden/>
              </w:rPr>
            </w:r>
            <w:r w:rsidR="00621F8B" w:rsidRPr="00621F8B">
              <w:rPr>
                <w:noProof/>
                <w:webHidden/>
              </w:rPr>
              <w:fldChar w:fldCharType="separate"/>
            </w:r>
            <w:r w:rsidR="00621F8B" w:rsidRPr="00621F8B">
              <w:rPr>
                <w:noProof/>
                <w:webHidden/>
              </w:rPr>
              <w:t>4</w:t>
            </w:r>
            <w:r w:rsidR="00621F8B" w:rsidRPr="00621F8B">
              <w:rPr>
                <w:noProof/>
                <w:webHidden/>
              </w:rPr>
              <w:fldChar w:fldCharType="end"/>
            </w:r>
          </w:hyperlink>
        </w:p>
        <w:p w14:paraId="52E9C428" w14:textId="1749D25B" w:rsidR="00621F8B" w:rsidRPr="00621F8B" w:rsidRDefault="00FF1E0C">
          <w:pPr>
            <w:pStyle w:val="TDC1"/>
            <w:tabs>
              <w:tab w:val="left" w:pos="400"/>
              <w:tab w:val="right" w:leader="dot" w:pos="8637"/>
            </w:tabs>
            <w:rPr>
              <w:rFonts w:asciiTheme="minorHAnsi" w:eastAsiaTheme="minorEastAsia" w:hAnsiTheme="minorHAnsi" w:cstheme="minorBidi"/>
              <w:noProof/>
              <w:spacing w:val="0"/>
              <w:sz w:val="22"/>
              <w:szCs w:val="22"/>
              <w:lang w:eastAsia="es-CO"/>
            </w:rPr>
          </w:pPr>
          <w:hyperlink w:anchor="_Toc88126825" w:history="1">
            <w:r w:rsidR="00621F8B" w:rsidRPr="00621F8B">
              <w:rPr>
                <w:rStyle w:val="Hipervnculo"/>
                <w:noProof/>
              </w:rPr>
              <w:t>1.</w:t>
            </w:r>
            <w:r w:rsidR="00621F8B" w:rsidRPr="00621F8B">
              <w:rPr>
                <w:rFonts w:asciiTheme="minorHAnsi" w:eastAsiaTheme="minorEastAsia" w:hAnsiTheme="minorHAnsi" w:cstheme="minorBidi"/>
                <w:noProof/>
                <w:spacing w:val="0"/>
                <w:sz w:val="22"/>
                <w:szCs w:val="22"/>
                <w:lang w:eastAsia="es-CO"/>
              </w:rPr>
              <w:tab/>
            </w:r>
            <w:r w:rsidR="00621F8B" w:rsidRPr="00621F8B">
              <w:rPr>
                <w:rStyle w:val="Hipervnculo"/>
                <w:noProof/>
              </w:rPr>
              <w:t>MARCO LEGAL</w:t>
            </w:r>
            <w:r w:rsidR="00621F8B" w:rsidRPr="00621F8B">
              <w:rPr>
                <w:noProof/>
                <w:webHidden/>
              </w:rPr>
              <w:tab/>
            </w:r>
            <w:r w:rsidR="00621F8B" w:rsidRPr="00621F8B">
              <w:rPr>
                <w:noProof/>
                <w:webHidden/>
              </w:rPr>
              <w:fldChar w:fldCharType="begin"/>
            </w:r>
            <w:r w:rsidR="00621F8B" w:rsidRPr="00621F8B">
              <w:rPr>
                <w:noProof/>
                <w:webHidden/>
              </w:rPr>
              <w:instrText xml:space="preserve"> PAGEREF _Toc88126825 \h </w:instrText>
            </w:r>
            <w:r w:rsidR="00621F8B" w:rsidRPr="00621F8B">
              <w:rPr>
                <w:noProof/>
                <w:webHidden/>
              </w:rPr>
            </w:r>
            <w:r w:rsidR="00621F8B" w:rsidRPr="00621F8B">
              <w:rPr>
                <w:noProof/>
                <w:webHidden/>
              </w:rPr>
              <w:fldChar w:fldCharType="separate"/>
            </w:r>
            <w:r w:rsidR="00621F8B" w:rsidRPr="00621F8B">
              <w:rPr>
                <w:noProof/>
                <w:webHidden/>
              </w:rPr>
              <w:t>5</w:t>
            </w:r>
            <w:r w:rsidR="00621F8B" w:rsidRPr="00621F8B">
              <w:rPr>
                <w:noProof/>
                <w:webHidden/>
              </w:rPr>
              <w:fldChar w:fldCharType="end"/>
            </w:r>
          </w:hyperlink>
        </w:p>
        <w:p w14:paraId="6D1707DF" w14:textId="0DC2ABA6" w:rsidR="00621F8B" w:rsidRPr="00621F8B" w:rsidRDefault="00FF1E0C">
          <w:pPr>
            <w:pStyle w:val="TDC1"/>
            <w:tabs>
              <w:tab w:val="left" w:pos="400"/>
              <w:tab w:val="right" w:leader="dot" w:pos="8637"/>
            </w:tabs>
            <w:rPr>
              <w:rFonts w:asciiTheme="minorHAnsi" w:eastAsiaTheme="minorEastAsia" w:hAnsiTheme="minorHAnsi" w:cstheme="minorBidi"/>
              <w:noProof/>
              <w:spacing w:val="0"/>
              <w:sz w:val="22"/>
              <w:szCs w:val="22"/>
              <w:lang w:eastAsia="es-CO"/>
            </w:rPr>
          </w:pPr>
          <w:hyperlink w:anchor="_Toc88126826" w:history="1">
            <w:r w:rsidR="00621F8B" w:rsidRPr="00621F8B">
              <w:rPr>
                <w:rStyle w:val="Hipervnculo"/>
                <w:noProof/>
              </w:rPr>
              <w:t>2.</w:t>
            </w:r>
            <w:r w:rsidR="00621F8B" w:rsidRPr="00621F8B">
              <w:rPr>
                <w:rFonts w:asciiTheme="minorHAnsi" w:eastAsiaTheme="minorEastAsia" w:hAnsiTheme="minorHAnsi" w:cstheme="minorBidi"/>
                <w:noProof/>
                <w:spacing w:val="0"/>
                <w:sz w:val="22"/>
                <w:szCs w:val="22"/>
                <w:lang w:eastAsia="es-CO"/>
              </w:rPr>
              <w:tab/>
            </w:r>
            <w:r w:rsidR="00621F8B" w:rsidRPr="00621F8B">
              <w:rPr>
                <w:rStyle w:val="Hipervnculo"/>
                <w:noProof/>
              </w:rPr>
              <w:t>CONTRIBUCIÓN ESPECIAL POR ACTIVIDADES REGULATORIAS</w:t>
            </w:r>
            <w:r w:rsidR="00621F8B" w:rsidRPr="00621F8B">
              <w:rPr>
                <w:noProof/>
                <w:webHidden/>
              </w:rPr>
              <w:tab/>
            </w:r>
            <w:r w:rsidR="00621F8B" w:rsidRPr="00621F8B">
              <w:rPr>
                <w:noProof/>
                <w:webHidden/>
              </w:rPr>
              <w:fldChar w:fldCharType="begin"/>
            </w:r>
            <w:r w:rsidR="00621F8B" w:rsidRPr="00621F8B">
              <w:rPr>
                <w:noProof/>
                <w:webHidden/>
              </w:rPr>
              <w:instrText xml:space="preserve"> PAGEREF _Toc88126826 \h </w:instrText>
            </w:r>
            <w:r w:rsidR="00621F8B" w:rsidRPr="00621F8B">
              <w:rPr>
                <w:noProof/>
                <w:webHidden/>
              </w:rPr>
            </w:r>
            <w:r w:rsidR="00621F8B" w:rsidRPr="00621F8B">
              <w:rPr>
                <w:noProof/>
                <w:webHidden/>
              </w:rPr>
              <w:fldChar w:fldCharType="separate"/>
            </w:r>
            <w:r w:rsidR="00621F8B" w:rsidRPr="00621F8B">
              <w:rPr>
                <w:noProof/>
                <w:webHidden/>
              </w:rPr>
              <w:t>8</w:t>
            </w:r>
            <w:r w:rsidR="00621F8B" w:rsidRPr="00621F8B">
              <w:rPr>
                <w:noProof/>
                <w:webHidden/>
              </w:rPr>
              <w:fldChar w:fldCharType="end"/>
            </w:r>
          </w:hyperlink>
        </w:p>
        <w:p w14:paraId="2795F1F2" w14:textId="2423E8F0" w:rsidR="00621F8B" w:rsidRPr="00621F8B" w:rsidRDefault="00FF1E0C">
          <w:pPr>
            <w:pStyle w:val="TDC2"/>
            <w:tabs>
              <w:tab w:val="left" w:pos="800"/>
              <w:tab w:val="right" w:leader="dot" w:pos="8637"/>
            </w:tabs>
            <w:rPr>
              <w:rFonts w:asciiTheme="minorHAnsi" w:eastAsiaTheme="minorEastAsia" w:hAnsiTheme="minorHAnsi" w:cstheme="minorBidi"/>
              <w:noProof/>
              <w:spacing w:val="0"/>
              <w:sz w:val="22"/>
              <w:szCs w:val="22"/>
              <w:lang w:eastAsia="es-CO"/>
            </w:rPr>
          </w:pPr>
          <w:hyperlink w:anchor="_Toc88126827" w:history="1">
            <w:r w:rsidR="00621F8B" w:rsidRPr="00621F8B">
              <w:rPr>
                <w:rStyle w:val="Hipervnculo"/>
                <w:noProof/>
              </w:rPr>
              <w:t>2.1</w:t>
            </w:r>
            <w:r w:rsidR="00621F8B" w:rsidRPr="00621F8B">
              <w:rPr>
                <w:rFonts w:asciiTheme="minorHAnsi" w:eastAsiaTheme="minorEastAsia" w:hAnsiTheme="minorHAnsi" w:cstheme="minorBidi"/>
                <w:noProof/>
                <w:spacing w:val="0"/>
                <w:sz w:val="22"/>
                <w:szCs w:val="22"/>
                <w:lang w:eastAsia="es-CO"/>
              </w:rPr>
              <w:tab/>
            </w:r>
            <w:r w:rsidR="00621F8B" w:rsidRPr="00621F8B">
              <w:rPr>
                <w:rStyle w:val="Hipervnculo"/>
                <w:noProof/>
              </w:rPr>
              <w:t>NATURALEZA DE LA ENTIDAD COMO SUJETO ACTIVO</w:t>
            </w:r>
            <w:r w:rsidR="00621F8B" w:rsidRPr="00621F8B">
              <w:rPr>
                <w:noProof/>
                <w:webHidden/>
              </w:rPr>
              <w:tab/>
            </w:r>
            <w:r w:rsidR="00621F8B" w:rsidRPr="00621F8B">
              <w:rPr>
                <w:noProof/>
                <w:webHidden/>
              </w:rPr>
              <w:fldChar w:fldCharType="begin"/>
            </w:r>
            <w:r w:rsidR="00621F8B" w:rsidRPr="00621F8B">
              <w:rPr>
                <w:noProof/>
                <w:webHidden/>
              </w:rPr>
              <w:instrText xml:space="preserve"> PAGEREF _Toc88126827 \h </w:instrText>
            </w:r>
            <w:r w:rsidR="00621F8B" w:rsidRPr="00621F8B">
              <w:rPr>
                <w:noProof/>
                <w:webHidden/>
              </w:rPr>
            </w:r>
            <w:r w:rsidR="00621F8B" w:rsidRPr="00621F8B">
              <w:rPr>
                <w:noProof/>
                <w:webHidden/>
              </w:rPr>
              <w:fldChar w:fldCharType="separate"/>
            </w:r>
            <w:r w:rsidR="00621F8B" w:rsidRPr="00621F8B">
              <w:rPr>
                <w:noProof/>
                <w:webHidden/>
              </w:rPr>
              <w:t>8</w:t>
            </w:r>
            <w:r w:rsidR="00621F8B" w:rsidRPr="00621F8B">
              <w:rPr>
                <w:noProof/>
                <w:webHidden/>
              </w:rPr>
              <w:fldChar w:fldCharType="end"/>
            </w:r>
          </w:hyperlink>
        </w:p>
        <w:p w14:paraId="3E6F952D" w14:textId="15EF100A" w:rsidR="00621F8B" w:rsidRPr="00621F8B" w:rsidRDefault="00FF1E0C">
          <w:pPr>
            <w:pStyle w:val="TDC2"/>
            <w:tabs>
              <w:tab w:val="left" w:pos="800"/>
              <w:tab w:val="right" w:leader="dot" w:pos="8637"/>
            </w:tabs>
            <w:rPr>
              <w:rFonts w:asciiTheme="minorHAnsi" w:eastAsiaTheme="minorEastAsia" w:hAnsiTheme="minorHAnsi" w:cstheme="minorBidi"/>
              <w:noProof/>
              <w:spacing w:val="0"/>
              <w:sz w:val="22"/>
              <w:szCs w:val="22"/>
              <w:lang w:eastAsia="es-CO"/>
            </w:rPr>
          </w:pPr>
          <w:hyperlink w:anchor="_Toc88126828" w:history="1">
            <w:r w:rsidR="00621F8B" w:rsidRPr="00621F8B">
              <w:rPr>
                <w:rStyle w:val="Hipervnculo"/>
                <w:noProof/>
              </w:rPr>
              <w:t>2.2</w:t>
            </w:r>
            <w:r w:rsidR="00621F8B" w:rsidRPr="00621F8B">
              <w:rPr>
                <w:rFonts w:asciiTheme="minorHAnsi" w:eastAsiaTheme="minorEastAsia" w:hAnsiTheme="minorHAnsi" w:cstheme="minorBidi"/>
                <w:noProof/>
                <w:spacing w:val="0"/>
                <w:sz w:val="22"/>
                <w:szCs w:val="22"/>
                <w:lang w:eastAsia="es-CO"/>
              </w:rPr>
              <w:tab/>
            </w:r>
            <w:r w:rsidR="00621F8B" w:rsidRPr="00621F8B">
              <w:rPr>
                <w:rStyle w:val="Hipervnculo"/>
                <w:noProof/>
              </w:rPr>
              <w:t>VIGENCIA DE LOS TRIBUTOS</w:t>
            </w:r>
            <w:r w:rsidR="00621F8B" w:rsidRPr="00621F8B">
              <w:rPr>
                <w:noProof/>
                <w:webHidden/>
              </w:rPr>
              <w:tab/>
            </w:r>
            <w:r w:rsidR="00621F8B" w:rsidRPr="00621F8B">
              <w:rPr>
                <w:noProof/>
                <w:webHidden/>
              </w:rPr>
              <w:fldChar w:fldCharType="begin"/>
            </w:r>
            <w:r w:rsidR="00621F8B" w:rsidRPr="00621F8B">
              <w:rPr>
                <w:noProof/>
                <w:webHidden/>
              </w:rPr>
              <w:instrText xml:space="preserve"> PAGEREF _Toc88126828 \h </w:instrText>
            </w:r>
            <w:r w:rsidR="00621F8B" w:rsidRPr="00621F8B">
              <w:rPr>
                <w:noProof/>
                <w:webHidden/>
              </w:rPr>
            </w:r>
            <w:r w:rsidR="00621F8B" w:rsidRPr="00621F8B">
              <w:rPr>
                <w:noProof/>
                <w:webHidden/>
              </w:rPr>
              <w:fldChar w:fldCharType="separate"/>
            </w:r>
            <w:r w:rsidR="00621F8B" w:rsidRPr="00621F8B">
              <w:rPr>
                <w:noProof/>
                <w:webHidden/>
              </w:rPr>
              <w:t>8</w:t>
            </w:r>
            <w:r w:rsidR="00621F8B" w:rsidRPr="00621F8B">
              <w:rPr>
                <w:noProof/>
                <w:webHidden/>
              </w:rPr>
              <w:fldChar w:fldCharType="end"/>
            </w:r>
          </w:hyperlink>
        </w:p>
        <w:p w14:paraId="59BAA508" w14:textId="5744A3BA" w:rsidR="00621F8B" w:rsidRPr="00621F8B" w:rsidRDefault="00FF1E0C">
          <w:pPr>
            <w:pStyle w:val="TDC2"/>
            <w:tabs>
              <w:tab w:val="left" w:pos="800"/>
              <w:tab w:val="right" w:leader="dot" w:pos="8637"/>
            </w:tabs>
            <w:rPr>
              <w:rFonts w:asciiTheme="minorHAnsi" w:eastAsiaTheme="minorEastAsia" w:hAnsiTheme="minorHAnsi" w:cstheme="minorBidi"/>
              <w:noProof/>
              <w:spacing w:val="0"/>
              <w:sz w:val="22"/>
              <w:szCs w:val="22"/>
              <w:lang w:eastAsia="es-CO"/>
            </w:rPr>
          </w:pPr>
          <w:hyperlink w:anchor="_Toc88126829" w:history="1">
            <w:r w:rsidR="00621F8B" w:rsidRPr="00621F8B">
              <w:rPr>
                <w:rStyle w:val="Hipervnculo"/>
                <w:noProof/>
              </w:rPr>
              <w:t>2.3</w:t>
            </w:r>
            <w:r w:rsidR="00621F8B" w:rsidRPr="00621F8B">
              <w:rPr>
                <w:rFonts w:asciiTheme="minorHAnsi" w:eastAsiaTheme="minorEastAsia" w:hAnsiTheme="minorHAnsi" w:cstheme="minorBidi"/>
                <w:noProof/>
                <w:spacing w:val="0"/>
                <w:sz w:val="22"/>
                <w:szCs w:val="22"/>
                <w:lang w:eastAsia="es-CO"/>
              </w:rPr>
              <w:tab/>
            </w:r>
            <w:r w:rsidR="00621F8B" w:rsidRPr="00621F8B">
              <w:rPr>
                <w:rStyle w:val="Hipervnculo"/>
                <w:noProof/>
              </w:rPr>
              <w:t>SOBRE EL HECHO GENERADOR Y LOS SUJETOS PASIVOS</w:t>
            </w:r>
            <w:r w:rsidR="00621F8B" w:rsidRPr="00621F8B">
              <w:rPr>
                <w:noProof/>
                <w:webHidden/>
              </w:rPr>
              <w:tab/>
            </w:r>
            <w:r w:rsidR="00621F8B" w:rsidRPr="00621F8B">
              <w:rPr>
                <w:noProof/>
                <w:webHidden/>
              </w:rPr>
              <w:fldChar w:fldCharType="begin"/>
            </w:r>
            <w:r w:rsidR="00621F8B" w:rsidRPr="00621F8B">
              <w:rPr>
                <w:noProof/>
                <w:webHidden/>
              </w:rPr>
              <w:instrText xml:space="preserve"> PAGEREF _Toc88126829 \h </w:instrText>
            </w:r>
            <w:r w:rsidR="00621F8B" w:rsidRPr="00621F8B">
              <w:rPr>
                <w:noProof/>
                <w:webHidden/>
              </w:rPr>
            </w:r>
            <w:r w:rsidR="00621F8B" w:rsidRPr="00621F8B">
              <w:rPr>
                <w:noProof/>
                <w:webHidden/>
              </w:rPr>
              <w:fldChar w:fldCharType="separate"/>
            </w:r>
            <w:r w:rsidR="00621F8B" w:rsidRPr="00621F8B">
              <w:rPr>
                <w:noProof/>
                <w:webHidden/>
              </w:rPr>
              <w:t>8</w:t>
            </w:r>
            <w:r w:rsidR="00621F8B" w:rsidRPr="00621F8B">
              <w:rPr>
                <w:noProof/>
                <w:webHidden/>
              </w:rPr>
              <w:fldChar w:fldCharType="end"/>
            </w:r>
          </w:hyperlink>
        </w:p>
        <w:p w14:paraId="6859FAE5" w14:textId="6F74D35F" w:rsidR="00621F8B" w:rsidRPr="00621F8B" w:rsidRDefault="00FF1E0C">
          <w:pPr>
            <w:pStyle w:val="TDC2"/>
            <w:tabs>
              <w:tab w:val="left" w:pos="800"/>
              <w:tab w:val="right" w:leader="dot" w:pos="8637"/>
            </w:tabs>
            <w:rPr>
              <w:rFonts w:asciiTheme="minorHAnsi" w:eastAsiaTheme="minorEastAsia" w:hAnsiTheme="minorHAnsi" w:cstheme="minorBidi"/>
              <w:noProof/>
              <w:spacing w:val="0"/>
              <w:sz w:val="22"/>
              <w:szCs w:val="22"/>
              <w:lang w:eastAsia="es-CO"/>
            </w:rPr>
          </w:pPr>
          <w:hyperlink w:anchor="_Toc88126830" w:history="1">
            <w:r w:rsidR="00621F8B" w:rsidRPr="00621F8B">
              <w:rPr>
                <w:rStyle w:val="Hipervnculo"/>
                <w:noProof/>
              </w:rPr>
              <w:t>2.4</w:t>
            </w:r>
            <w:r w:rsidR="00621F8B" w:rsidRPr="00621F8B">
              <w:rPr>
                <w:rFonts w:asciiTheme="minorHAnsi" w:eastAsiaTheme="minorEastAsia" w:hAnsiTheme="minorHAnsi" w:cstheme="minorBidi"/>
                <w:noProof/>
                <w:spacing w:val="0"/>
                <w:sz w:val="22"/>
                <w:szCs w:val="22"/>
                <w:lang w:eastAsia="es-CO"/>
              </w:rPr>
              <w:tab/>
            </w:r>
            <w:r w:rsidR="00621F8B" w:rsidRPr="00621F8B">
              <w:rPr>
                <w:rStyle w:val="Hipervnculo"/>
                <w:noProof/>
              </w:rPr>
              <w:t>BASE GRAVABLE</w:t>
            </w:r>
            <w:r w:rsidR="00621F8B" w:rsidRPr="00621F8B">
              <w:rPr>
                <w:noProof/>
                <w:webHidden/>
              </w:rPr>
              <w:tab/>
            </w:r>
            <w:r w:rsidR="00621F8B" w:rsidRPr="00621F8B">
              <w:rPr>
                <w:noProof/>
                <w:webHidden/>
              </w:rPr>
              <w:fldChar w:fldCharType="begin"/>
            </w:r>
            <w:r w:rsidR="00621F8B" w:rsidRPr="00621F8B">
              <w:rPr>
                <w:noProof/>
                <w:webHidden/>
              </w:rPr>
              <w:instrText xml:space="preserve"> PAGEREF _Toc88126830 \h </w:instrText>
            </w:r>
            <w:r w:rsidR="00621F8B" w:rsidRPr="00621F8B">
              <w:rPr>
                <w:noProof/>
                <w:webHidden/>
              </w:rPr>
            </w:r>
            <w:r w:rsidR="00621F8B" w:rsidRPr="00621F8B">
              <w:rPr>
                <w:noProof/>
                <w:webHidden/>
              </w:rPr>
              <w:fldChar w:fldCharType="separate"/>
            </w:r>
            <w:r w:rsidR="00621F8B" w:rsidRPr="00621F8B">
              <w:rPr>
                <w:noProof/>
                <w:webHidden/>
              </w:rPr>
              <w:t>9</w:t>
            </w:r>
            <w:r w:rsidR="00621F8B" w:rsidRPr="00621F8B">
              <w:rPr>
                <w:noProof/>
                <w:webHidden/>
              </w:rPr>
              <w:fldChar w:fldCharType="end"/>
            </w:r>
          </w:hyperlink>
        </w:p>
        <w:p w14:paraId="5EFB1EF9" w14:textId="467B7876" w:rsidR="00621F8B" w:rsidRPr="00621F8B" w:rsidRDefault="00FF1E0C">
          <w:pPr>
            <w:pStyle w:val="TDC2"/>
            <w:tabs>
              <w:tab w:val="left" w:pos="800"/>
              <w:tab w:val="right" w:leader="dot" w:pos="8637"/>
            </w:tabs>
            <w:rPr>
              <w:rFonts w:asciiTheme="minorHAnsi" w:eastAsiaTheme="minorEastAsia" w:hAnsiTheme="minorHAnsi" w:cstheme="minorBidi"/>
              <w:noProof/>
              <w:spacing w:val="0"/>
              <w:sz w:val="22"/>
              <w:szCs w:val="22"/>
              <w:lang w:eastAsia="es-CO"/>
            </w:rPr>
          </w:pPr>
          <w:hyperlink w:anchor="_Toc88126831" w:history="1">
            <w:r w:rsidR="00621F8B" w:rsidRPr="00621F8B">
              <w:rPr>
                <w:rStyle w:val="Hipervnculo"/>
                <w:noProof/>
              </w:rPr>
              <w:t>2.5</w:t>
            </w:r>
            <w:r w:rsidR="00621F8B" w:rsidRPr="00621F8B">
              <w:rPr>
                <w:rFonts w:asciiTheme="minorHAnsi" w:eastAsiaTheme="minorEastAsia" w:hAnsiTheme="minorHAnsi" w:cstheme="minorBidi"/>
                <w:noProof/>
                <w:spacing w:val="0"/>
                <w:sz w:val="22"/>
                <w:szCs w:val="22"/>
                <w:lang w:eastAsia="es-CO"/>
              </w:rPr>
              <w:tab/>
            </w:r>
            <w:r w:rsidR="00621F8B" w:rsidRPr="00621F8B">
              <w:rPr>
                <w:rStyle w:val="Hipervnculo"/>
                <w:noProof/>
              </w:rPr>
              <w:t>TARIFA</w:t>
            </w:r>
            <w:r w:rsidR="00621F8B" w:rsidRPr="00621F8B">
              <w:rPr>
                <w:noProof/>
                <w:webHidden/>
              </w:rPr>
              <w:tab/>
            </w:r>
            <w:r w:rsidR="00621F8B" w:rsidRPr="00621F8B">
              <w:rPr>
                <w:noProof/>
                <w:webHidden/>
              </w:rPr>
              <w:fldChar w:fldCharType="begin"/>
            </w:r>
            <w:r w:rsidR="00621F8B" w:rsidRPr="00621F8B">
              <w:rPr>
                <w:noProof/>
                <w:webHidden/>
              </w:rPr>
              <w:instrText xml:space="preserve"> PAGEREF _Toc88126831 \h </w:instrText>
            </w:r>
            <w:r w:rsidR="00621F8B" w:rsidRPr="00621F8B">
              <w:rPr>
                <w:noProof/>
                <w:webHidden/>
              </w:rPr>
            </w:r>
            <w:r w:rsidR="00621F8B" w:rsidRPr="00621F8B">
              <w:rPr>
                <w:noProof/>
                <w:webHidden/>
              </w:rPr>
              <w:fldChar w:fldCharType="separate"/>
            </w:r>
            <w:r w:rsidR="00621F8B" w:rsidRPr="00621F8B">
              <w:rPr>
                <w:noProof/>
                <w:webHidden/>
              </w:rPr>
              <w:t>10</w:t>
            </w:r>
            <w:r w:rsidR="00621F8B" w:rsidRPr="00621F8B">
              <w:rPr>
                <w:noProof/>
                <w:webHidden/>
              </w:rPr>
              <w:fldChar w:fldCharType="end"/>
            </w:r>
          </w:hyperlink>
        </w:p>
        <w:p w14:paraId="62E012FE" w14:textId="12C69D21" w:rsidR="00621F8B" w:rsidRPr="00621F8B" w:rsidRDefault="00FF1E0C">
          <w:pPr>
            <w:pStyle w:val="TDC1"/>
            <w:tabs>
              <w:tab w:val="left" w:pos="400"/>
              <w:tab w:val="right" w:leader="dot" w:pos="8637"/>
            </w:tabs>
            <w:rPr>
              <w:rFonts w:asciiTheme="minorHAnsi" w:eastAsiaTheme="minorEastAsia" w:hAnsiTheme="minorHAnsi" w:cstheme="minorBidi"/>
              <w:noProof/>
              <w:spacing w:val="0"/>
              <w:sz w:val="22"/>
              <w:szCs w:val="22"/>
              <w:lang w:eastAsia="es-CO"/>
            </w:rPr>
          </w:pPr>
          <w:hyperlink w:anchor="_Toc88126832" w:history="1">
            <w:r w:rsidR="00621F8B" w:rsidRPr="00621F8B">
              <w:rPr>
                <w:rStyle w:val="Hipervnculo"/>
                <w:noProof/>
              </w:rPr>
              <w:t>3.</w:t>
            </w:r>
            <w:r w:rsidR="00621F8B" w:rsidRPr="00621F8B">
              <w:rPr>
                <w:rFonts w:asciiTheme="minorHAnsi" w:eastAsiaTheme="minorEastAsia" w:hAnsiTheme="minorHAnsi" w:cstheme="minorBidi"/>
                <w:noProof/>
                <w:spacing w:val="0"/>
                <w:sz w:val="22"/>
                <w:szCs w:val="22"/>
                <w:lang w:eastAsia="es-CO"/>
              </w:rPr>
              <w:tab/>
            </w:r>
            <w:r w:rsidR="00621F8B" w:rsidRPr="00621F8B">
              <w:rPr>
                <w:rStyle w:val="Hipervnculo"/>
                <w:noProof/>
              </w:rPr>
              <w:t>PRESUPUESTO Y COSTOS ASOCIADOS DE LA ACTIVIDAD REGULATORIA</w:t>
            </w:r>
            <w:r w:rsidR="00621F8B" w:rsidRPr="00621F8B">
              <w:rPr>
                <w:noProof/>
                <w:webHidden/>
              </w:rPr>
              <w:tab/>
            </w:r>
            <w:r w:rsidR="00621F8B" w:rsidRPr="00621F8B">
              <w:rPr>
                <w:noProof/>
                <w:webHidden/>
              </w:rPr>
              <w:fldChar w:fldCharType="begin"/>
            </w:r>
            <w:r w:rsidR="00621F8B" w:rsidRPr="00621F8B">
              <w:rPr>
                <w:noProof/>
                <w:webHidden/>
              </w:rPr>
              <w:instrText xml:space="preserve"> PAGEREF _Toc88126832 \h </w:instrText>
            </w:r>
            <w:r w:rsidR="00621F8B" w:rsidRPr="00621F8B">
              <w:rPr>
                <w:noProof/>
                <w:webHidden/>
              </w:rPr>
            </w:r>
            <w:r w:rsidR="00621F8B" w:rsidRPr="00621F8B">
              <w:rPr>
                <w:noProof/>
                <w:webHidden/>
              </w:rPr>
              <w:fldChar w:fldCharType="separate"/>
            </w:r>
            <w:r w:rsidR="00621F8B" w:rsidRPr="00621F8B">
              <w:rPr>
                <w:noProof/>
                <w:webHidden/>
              </w:rPr>
              <w:t>11</w:t>
            </w:r>
            <w:r w:rsidR="00621F8B" w:rsidRPr="00621F8B">
              <w:rPr>
                <w:noProof/>
                <w:webHidden/>
              </w:rPr>
              <w:fldChar w:fldCharType="end"/>
            </w:r>
          </w:hyperlink>
        </w:p>
        <w:p w14:paraId="494580A0" w14:textId="3979979D" w:rsidR="00621F8B" w:rsidRPr="00621F8B" w:rsidRDefault="00FF1E0C">
          <w:pPr>
            <w:pStyle w:val="TDC2"/>
            <w:tabs>
              <w:tab w:val="left" w:pos="800"/>
              <w:tab w:val="right" w:leader="dot" w:pos="8637"/>
            </w:tabs>
            <w:rPr>
              <w:rFonts w:asciiTheme="minorHAnsi" w:eastAsiaTheme="minorEastAsia" w:hAnsiTheme="minorHAnsi" w:cstheme="minorBidi"/>
              <w:noProof/>
              <w:spacing w:val="0"/>
              <w:sz w:val="22"/>
              <w:szCs w:val="22"/>
              <w:lang w:eastAsia="es-CO"/>
            </w:rPr>
          </w:pPr>
          <w:hyperlink w:anchor="_Toc88126833" w:history="1">
            <w:r w:rsidR="00621F8B" w:rsidRPr="00621F8B">
              <w:rPr>
                <w:rStyle w:val="Hipervnculo"/>
                <w:noProof/>
              </w:rPr>
              <w:t>3.1</w:t>
            </w:r>
            <w:r w:rsidR="00621F8B" w:rsidRPr="00621F8B">
              <w:rPr>
                <w:rFonts w:asciiTheme="minorHAnsi" w:eastAsiaTheme="minorEastAsia" w:hAnsiTheme="minorHAnsi" w:cstheme="minorBidi"/>
                <w:noProof/>
                <w:spacing w:val="0"/>
                <w:sz w:val="22"/>
                <w:szCs w:val="22"/>
                <w:lang w:eastAsia="es-CO"/>
              </w:rPr>
              <w:tab/>
            </w:r>
            <w:r w:rsidR="00621F8B" w:rsidRPr="00621F8B">
              <w:rPr>
                <w:rStyle w:val="Hipervnculo"/>
                <w:noProof/>
              </w:rPr>
              <w:t>PRESUPUESTO DE LA CREG PARA LA VIGENCIA 2021</w:t>
            </w:r>
            <w:r w:rsidR="00621F8B" w:rsidRPr="00621F8B">
              <w:rPr>
                <w:noProof/>
                <w:webHidden/>
              </w:rPr>
              <w:tab/>
            </w:r>
            <w:r w:rsidR="00621F8B" w:rsidRPr="00621F8B">
              <w:rPr>
                <w:noProof/>
                <w:webHidden/>
              </w:rPr>
              <w:fldChar w:fldCharType="begin"/>
            </w:r>
            <w:r w:rsidR="00621F8B" w:rsidRPr="00621F8B">
              <w:rPr>
                <w:noProof/>
                <w:webHidden/>
              </w:rPr>
              <w:instrText xml:space="preserve"> PAGEREF _Toc88126833 \h </w:instrText>
            </w:r>
            <w:r w:rsidR="00621F8B" w:rsidRPr="00621F8B">
              <w:rPr>
                <w:noProof/>
                <w:webHidden/>
              </w:rPr>
            </w:r>
            <w:r w:rsidR="00621F8B" w:rsidRPr="00621F8B">
              <w:rPr>
                <w:noProof/>
                <w:webHidden/>
              </w:rPr>
              <w:fldChar w:fldCharType="separate"/>
            </w:r>
            <w:r w:rsidR="00621F8B" w:rsidRPr="00621F8B">
              <w:rPr>
                <w:noProof/>
                <w:webHidden/>
              </w:rPr>
              <w:t>11</w:t>
            </w:r>
            <w:r w:rsidR="00621F8B" w:rsidRPr="00621F8B">
              <w:rPr>
                <w:noProof/>
                <w:webHidden/>
              </w:rPr>
              <w:fldChar w:fldCharType="end"/>
            </w:r>
          </w:hyperlink>
        </w:p>
        <w:p w14:paraId="0A64589D" w14:textId="52BB7CB3" w:rsidR="00621F8B" w:rsidRPr="00621F8B" w:rsidRDefault="00FF1E0C">
          <w:pPr>
            <w:pStyle w:val="TDC2"/>
            <w:tabs>
              <w:tab w:val="left" w:pos="800"/>
              <w:tab w:val="right" w:leader="dot" w:pos="8637"/>
            </w:tabs>
            <w:rPr>
              <w:rFonts w:asciiTheme="minorHAnsi" w:eastAsiaTheme="minorEastAsia" w:hAnsiTheme="minorHAnsi" w:cstheme="minorBidi"/>
              <w:noProof/>
              <w:spacing w:val="0"/>
              <w:sz w:val="22"/>
              <w:szCs w:val="22"/>
              <w:lang w:eastAsia="es-CO"/>
            </w:rPr>
          </w:pPr>
          <w:hyperlink w:anchor="_Toc88126834" w:history="1">
            <w:r w:rsidR="00621F8B" w:rsidRPr="00621F8B">
              <w:rPr>
                <w:rStyle w:val="Hipervnculo"/>
                <w:noProof/>
              </w:rPr>
              <w:t>3.2</w:t>
            </w:r>
            <w:r w:rsidR="00621F8B" w:rsidRPr="00621F8B">
              <w:rPr>
                <w:rFonts w:asciiTheme="minorHAnsi" w:eastAsiaTheme="minorEastAsia" w:hAnsiTheme="minorHAnsi" w:cstheme="minorBidi"/>
                <w:noProof/>
                <w:spacing w:val="0"/>
                <w:sz w:val="22"/>
                <w:szCs w:val="22"/>
                <w:lang w:eastAsia="es-CO"/>
              </w:rPr>
              <w:tab/>
            </w:r>
            <w:r w:rsidR="00621F8B" w:rsidRPr="00621F8B">
              <w:rPr>
                <w:rStyle w:val="Hipervnculo"/>
                <w:noProof/>
              </w:rPr>
              <w:t>CUANTÍA MÍNIMA 2021 PARA RECUPERACIÓN DE COSTOS</w:t>
            </w:r>
            <w:r w:rsidR="00621F8B" w:rsidRPr="00621F8B">
              <w:rPr>
                <w:noProof/>
                <w:webHidden/>
              </w:rPr>
              <w:tab/>
            </w:r>
            <w:r w:rsidR="00621F8B" w:rsidRPr="00621F8B">
              <w:rPr>
                <w:noProof/>
                <w:webHidden/>
              </w:rPr>
              <w:fldChar w:fldCharType="begin"/>
            </w:r>
            <w:r w:rsidR="00621F8B" w:rsidRPr="00621F8B">
              <w:rPr>
                <w:noProof/>
                <w:webHidden/>
              </w:rPr>
              <w:instrText xml:space="preserve"> PAGEREF _Toc88126834 \h </w:instrText>
            </w:r>
            <w:r w:rsidR="00621F8B" w:rsidRPr="00621F8B">
              <w:rPr>
                <w:noProof/>
                <w:webHidden/>
              </w:rPr>
            </w:r>
            <w:r w:rsidR="00621F8B" w:rsidRPr="00621F8B">
              <w:rPr>
                <w:noProof/>
                <w:webHidden/>
              </w:rPr>
              <w:fldChar w:fldCharType="separate"/>
            </w:r>
            <w:r w:rsidR="00621F8B" w:rsidRPr="00621F8B">
              <w:rPr>
                <w:noProof/>
                <w:webHidden/>
              </w:rPr>
              <w:t>12</w:t>
            </w:r>
            <w:r w:rsidR="00621F8B" w:rsidRPr="00621F8B">
              <w:rPr>
                <w:noProof/>
                <w:webHidden/>
              </w:rPr>
              <w:fldChar w:fldCharType="end"/>
            </w:r>
          </w:hyperlink>
        </w:p>
        <w:p w14:paraId="46A83462" w14:textId="7280CB28" w:rsidR="00621F8B" w:rsidRPr="00621F8B" w:rsidRDefault="00FF1E0C">
          <w:pPr>
            <w:pStyle w:val="TDC1"/>
            <w:tabs>
              <w:tab w:val="left" w:pos="400"/>
              <w:tab w:val="right" w:leader="dot" w:pos="8637"/>
            </w:tabs>
            <w:rPr>
              <w:rFonts w:asciiTheme="minorHAnsi" w:eastAsiaTheme="minorEastAsia" w:hAnsiTheme="minorHAnsi" w:cstheme="minorBidi"/>
              <w:noProof/>
              <w:spacing w:val="0"/>
              <w:sz w:val="22"/>
              <w:szCs w:val="22"/>
              <w:lang w:eastAsia="es-CO"/>
            </w:rPr>
          </w:pPr>
          <w:hyperlink w:anchor="_Toc88126835" w:history="1">
            <w:r w:rsidR="00621F8B" w:rsidRPr="00621F8B">
              <w:rPr>
                <w:rStyle w:val="Hipervnculo"/>
                <w:noProof/>
              </w:rPr>
              <w:t>4.</w:t>
            </w:r>
            <w:r w:rsidR="00621F8B" w:rsidRPr="00621F8B">
              <w:rPr>
                <w:rFonts w:asciiTheme="minorHAnsi" w:eastAsiaTheme="minorEastAsia" w:hAnsiTheme="minorHAnsi" w:cstheme="minorBidi"/>
                <w:noProof/>
                <w:spacing w:val="0"/>
                <w:sz w:val="22"/>
                <w:szCs w:val="22"/>
                <w:lang w:eastAsia="es-CO"/>
              </w:rPr>
              <w:tab/>
            </w:r>
            <w:r w:rsidR="00621F8B" w:rsidRPr="00621F8B">
              <w:rPr>
                <w:rStyle w:val="Hipervnculo"/>
                <w:noProof/>
              </w:rPr>
              <w:t>MARCOS NORMATIVOS CONTABLES Y SISTEMA DE INFORMACIÓN</w:t>
            </w:r>
            <w:r w:rsidR="00621F8B" w:rsidRPr="00621F8B">
              <w:rPr>
                <w:noProof/>
                <w:webHidden/>
              </w:rPr>
              <w:tab/>
            </w:r>
            <w:r w:rsidR="00621F8B" w:rsidRPr="00621F8B">
              <w:rPr>
                <w:noProof/>
                <w:webHidden/>
              </w:rPr>
              <w:fldChar w:fldCharType="begin"/>
            </w:r>
            <w:r w:rsidR="00621F8B" w:rsidRPr="00621F8B">
              <w:rPr>
                <w:noProof/>
                <w:webHidden/>
              </w:rPr>
              <w:instrText xml:space="preserve"> PAGEREF _Toc88126835 \h </w:instrText>
            </w:r>
            <w:r w:rsidR="00621F8B" w:rsidRPr="00621F8B">
              <w:rPr>
                <w:noProof/>
                <w:webHidden/>
              </w:rPr>
            </w:r>
            <w:r w:rsidR="00621F8B" w:rsidRPr="00621F8B">
              <w:rPr>
                <w:noProof/>
                <w:webHidden/>
              </w:rPr>
              <w:fldChar w:fldCharType="separate"/>
            </w:r>
            <w:r w:rsidR="00621F8B" w:rsidRPr="00621F8B">
              <w:rPr>
                <w:noProof/>
                <w:webHidden/>
              </w:rPr>
              <w:t>12</w:t>
            </w:r>
            <w:r w:rsidR="00621F8B" w:rsidRPr="00621F8B">
              <w:rPr>
                <w:noProof/>
                <w:webHidden/>
              </w:rPr>
              <w:fldChar w:fldCharType="end"/>
            </w:r>
          </w:hyperlink>
        </w:p>
        <w:p w14:paraId="3DEE7A07" w14:textId="51EC85A1" w:rsidR="00621F8B" w:rsidRPr="00621F8B" w:rsidRDefault="00FF1E0C">
          <w:pPr>
            <w:pStyle w:val="TDC2"/>
            <w:tabs>
              <w:tab w:val="left" w:pos="800"/>
              <w:tab w:val="right" w:leader="dot" w:pos="8637"/>
            </w:tabs>
            <w:rPr>
              <w:rFonts w:asciiTheme="minorHAnsi" w:eastAsiaTheme="minorEastAsia" w:hAnsiTheme="minorHAnsi" w:cstheme="minorBidi"/>
              <w:noProof/>
              <w:spacing w:val="0"/>
              <w:sz w:val="22"/>
              <w:szCs w:val="22"/>
              <w:lang w:eastAsia="es-CO"/>
            </w:rPr>
          </w:pPr>
          <w:hyperlink w:anchor="_Toc88126836" w:history="1">
            <w:r w:rsidR="00621F8B" w:rsidRPr="00621F8B">
              <w:rPr>
                <w:rStyle w:val="Hipervnculo"/>
                <w:noProof/>
              </w:rPr>
              <w:t>4.1</w:t>
            </w:r>
            <w:r w:rsidR="00621F8B" w:rsidRPr="00621F8B">
              <w:rPr>
                <w:rFonts w:asciiTheme="minorHAnsi" w:eastAsiaTheme="minorEastAsia" w:hAnsiTheme="minorHAnsi" w:cstheme="minorBidi"/>
                <w:noProof/>
                <w:spacing w:val="0"/>
                <w:sz w:val="22"/>
                <w:szCs w:val="22"/>
                <w:lang w:eastAsia="es-CO"/>
              </w:rPr>
              <w:tab/>
            </w:r>
            <w:r w:rsidR="00621F8B" w:rsidRPr="00621F8B">
              <w:rPr>
                <w:rStyle w:val="Hipervnculo"/>
                <w:noProof/>
              </w:rPr>
              <w:t>MARCOS NORMATIVOS CONTABLES</w:t>
            </w:r>
            <w:r w:rsidR="00621F8B" w:rsidRPr="00621F8B">
              <w:rPr>
                <w:noProof/>
                <w:webHidden/>
              </w:rPr>
              <w:tab/>
            </w:r>
            <w:r w:rsidR="00621F8B" w:rsidRPr="00621F8B">
              <w:rPr>
                <w:noProof/>
                <w:webHidden/>
              </w:rPr>
              <w:fldChar w:fldCharType="begin"/>
            </w:r>
            <w:r w:rsidR="00621F8B" w:rsidRPr="00621F8B">
              <w:rPr>
                <w:noProof/>
                <w:webHidden/>
              </w:rPr>
              <w:instrText xml:space="preserve"> PAGEREF _Toc88126836 \h </w:instrText>
            </w:r>
            <w:r w:rsidR="00621F8B" w:rsidRPr="00621F8B">
              <w:rPr>
                <w:noProof/>
                <w:webHidden/>
              </w:rPr>
            </w:r>
            <w:r w:rsidR="00621F8B" w:rsidRPr="00621F8B">
              <w:rPr>
                <w:noProof/>
                <w:webHidden/>
              </w:rPr>
              <w:fldChar w:fldCharType="separate"/>
            </w:r>
            <w:r w:rsidR="00621F8B" w:rsidRPr="00621F8B">
              <w:rPr>
                <w:noProof/>
                <w:webHidden/>
              </w:rPr>
              <w:t>12</w:t>
            </w:r>
            <w:r w:rsidR="00621F8B" w:rsidRPr="00621F8B">
              <w:rPr>
                <w:noProof/>
                <w:webHidden/>
              </w:rPr>
              <w:fldChar w:fldCharType="end"/>
            </w:r>
          </w:hyperlink>
        </w:p>
        <w:p w14:paraId="00CC4400" w14:textId="33B28AEB" w:rsidR="00621F8B" w:rsidRPr="00621F8B" w:rsidRDefault="00FF1E0C">
          <w:pPr>
            <w:pStyle w:val="TDC2"/>
            <w:tabs>
              <w:tab w:val="left" w:pos="800"/>
              <w:tab w:val="right" w:leader="dot" w:pos="8637"/>
            </w:tabs>
            <w:rPr>
              <w:rFonts w:asciiTheme="minorHAnsi" w:eastAsiaTheme="minorEastAsia" w:hAnsiTheme="minorHAnsi" w:cstheme="minorBidi"/>
              <w:noProof/>
              <w:spacing w:val="0"/>
              <w:sz w:val="22"/>
              <w:szCs w:val="22"/>
              <w:lang w:eastAsia="es-CO"/>
            </w:rPr>
          </w:pPr>
          <w:hyperlink w:anchor="_Toc88126837" w:history="1">
            <w:r w:rsidR="00621F8B" w:rsidRPr="00621F8B">
              <w:rPr>
                <w:rStyle w:val="Hipervnculo"/>
                <w:noProof/>
              </w:rPr>
              <w:t>4.2</w:t>
            </w:r>
            <w:r w:rsidR="00621F8B" w:rsidRPr="00621F8B">
              <w:rPr>
                <w:rFonts w:asciiTheme="minorHAnsi" w:eastAsiaTheme="minorEastAsia" w:hAnsiTheme="minorHAnsi" w:cstheme="minorBidi"/>
                <w:noProof/>
                <w:spacing w:val="0"/>
                <w:sz w:val="22"/>
                <w:szCs w:val="22"/>
                <w:lang w:eastAsia="es-CO"/>
              </w:rPr>
              <w:tab/>
            </w:r>
            <w:r w:rsidR="00621F8B" w:rsidRPr="00621F8B">
              <w:rPr>
                <w:rStyle w:val="Hipervnculo"/>
                <w:noProof/>
              </w:rPr>
              <w:t>EL SUI COMO SISTEMA DE INFORMACIÓN</w:t>
            </w:r>
            <w:r w:rsidR="00621F8B" w:rsidRPr="00621F8B">
              <w:rPr>
                <w:noProof/>
                <w:webHidden/>
              </w:rPr>
              <w:tab/>
            </w:r>
            <w:r w:rsidR="00621F8B" w:rsidRPr="00621F8B">
              <w:rPr>
                <w:noProof/>
                <w:webHidden/>
              </w:rPr>
              <w:fldChar w:fldCharType="begin"/>
            </w:r>
            <w:r w:rsidR="00621F8B" w:rsidRPr="00621F8B">
              <w:rPr>
                <w:noProof/>
                <w:webHidden/>
              </w:rPr>
              <w:instrText xml:space="preserve"> PAGEREF _Toc88126837 \h </w:instrText>
            </w:r>
            <w:r w:rsidR="00621F8B" w:rsidRPr="00621F8B">
              <w:rPr>
                <w:noProof/>
                <w:webHidden/>
              </w:rPr>
            </w:r>
            <w:r w:rsidR="00621F8B" w:rsidRPr="00621F8B">
              <w:rPr>
                <w:noProof/>
                <w:webHidden/>
              </w:rPr>
              <w:fldChar w:fldCharType="separate"/>
            </w:r>
            <w:r w:rsidR="00621F8B" w:rsidRPr="00621F8B">
              <w:rPr>
                <w:noProof/>
                <w:webHidden/>
              </w:rPr>
              <w:t>13</w:t>
            </w:r>
            <w:r w:rsidR="00621F8B" w:rsidRPr="00621F8B">
              <w:rPr>
                <w:noProof/>
                <w:webHidden/>
              </w:rPr>
              <w:fldChar w:fldCharType="end"/>
            </w:r>
          </w:hyperlink>
        </w:p>
        <w:p w14:paraId="3759653B" w14:textId="1A4A38C2" w:rsidR="00621F8B" w:rsidRPr="00621F8B" w:rsidRDefault="00FF1E0C">
          <w:pPr>
            <w:pStyle w:val="TDC2"/>
            <w:tabs>
              <w:tab w:val="left" w:pos="800"/>
              <w:tab w:val="right" w:leader="dot" w:pos="8637"/>
            </w:tabs>
            <w:rPr>
              <w:rFonts w:asciiTheme="minorHAnsi" w:eastAsiaTheme="minorEastAsia" w:hAnsiTheme="minorHAnsi" w:cstheme="minorBidi"/>
              <w:noProof/>
              <w:spacing w:val="0"/>
              <w:sz w:val="22"/>
              <w:szCs w:val="22"/>
              <w:lang w:eastAsia="es-CO"/>
            </w:rPr>
          </w:pPr>
          <w:hyperlink w:anchor="_Toc88126838" w:history="1">
            <w:r w:rsidR="00621F8B" w:rsidRPr="00621F8B">
              <w:rPr>
                <w:rStyle w:val="Hipervnculo"/>
                <w:noProof/>
              </w:rPr>
              <w:t>4.3</w:t>
            </w:r>
            <w:r w:rsidR="00621F8B" w:rsidRPr="00621F8B">
              <w:rPr>
                <w:rFonts w:asciiTheme="minorHAnsi" w:eastAsiaTheme="minorEastAsia" w:hAnsiTheme="minorHAnsi" w:cstheme="minorBidi"/>
                <w:noProof/>
                <w:spacing w:val="0"/>
                <w:sz w:val="22"/>
                <w:szCs w:val="22"/>
                <w:lang w:eastAsia="es-CO"/>
              </w:rPr>
              <w:tab/>
            </w:r>
            <w:r w:rsidR="00621F8B" w:rsidRPr="00621F8B">
              <w:rPr>
                <w:rStyle w:val="Hipervnculo"/>
                <w:noProof/>
              </w:rPr>
              <w:t>FECHA DE CORTE DE CONSULTA DE INFORMACIÓN AL SUI.</w:t>
            </w:r>
            <w:r w:rsidR="00621F8B" w:rsidRPr="00621F8B">
              <w:rPr>
                <w:noProof/>
                <w:webHidden/>
              </w:rPr>
              <w:tab/>
            </w:r>
            <w:r w:rsidR="00621F8B" w:rsidRPr="00621F8B">
              <w:rPr>
                <w:noProof/>
                <w:webHidden/>
              </w:rPr>
              <w:fldChar w:fldCharType="begin"/>
            </w:r>
            <w:r w:rsidR="00621F8B" w:rsidRPr="00621F8B">
              <w:rPr>
                <w:noProof/>
                <w:webHidden/>
              </w:rPr>
              <w:instrText xml:space="preserve"> PAGEREF _Toc88126838 \h </w:instrText>
            </w:r>
            <w:r w:rsidR="00621F8B" w:rsidRPr="00621F8B">
              <w:rPr>
                <w:noProof/>
                <w:webHidden/>
              </w:rPr>
            </w:r>
            <w:r w:rsidR="00621F8B" w:rsidRPr="00621F8B">
              <w:rPr>
                <w:noProof/>
                <w:webHidden/>
              </w:rPr>
              <w:fldChar w:fldCharType="separate"/>
            </w:r>
            <w:r w:rsidR="00621F8B" w:rsidRPr="00621F8B">
              <w:rPr>
                <w:noProof/>
                <w:webHidden/>
              </w:rPr>
              <w:t>16</w:t>
            </w:r>
            <w:r w:rsidR="00621F8B" w:rsidRPr="00621F8B">
              <w:rPr>
                <w:noProof/>
                <w:webHidden/>
              </w:rPr>
              <w:fldChar w:fldCharType="end"/>
            </w:r>
          </w:hyperlink>
        </w:p>
        <w:p w14:paraId="7B8D48DF" w14:textId="07C9C72A" w:rsidR="00621F8B" w:rsidRPr="00621F8B" w:rsidRDefault="00FF1E0C">
          <w:pPr>
            <w:pStyle w:val="TDC1"/>
            <w:tabs>
              <w:tab w:val="left" w:pos="400"/>
              <w:tab w:val="right" w:leader="dot" w:pos="8637"/>
            </w:tabs>
            <w:rPr>
              <w:rFonts w:asciiTheme="minorHAnsi" w:eastAsiaTheme="minorEastAsia" w:hAnsiTheme="minorHAnsi" w:cstheme="minorBidi"/>
              <w:noProof/>
              <w:spacing w:val="0"/>
              <w:sz w:val="22"/>
              <w:szCs w:val="22"/>
              <w:lang w:eastAsia="es-CO"/>
            </w:rPr>
          </w:pPr>
          <w:hyperlink w:anchor="_Toc88126839" w:history="1">
            <w:r w:rsidR="00621F8B" w:rsidRPr="00621F8B">
              <w:rPr>
                <w:rStyle w:val="Hipervnculo"/>
                <w:noProof/>
              </w:rPr>
              <w:t>5.</w:t>
            </w:r>
            <w:r w:rsidR="00621F8B" w:rsidRPr="00621F8B">
              <w:rPr>
                <w:rFonts w:asciiTheme="minorHAnsi" w:eastAsiaTheme="minorEastAsia" w:hAnsiTheme="minorHAnsi" w:cstheme="minorBidi"/>
                <w:noProof/>
                <w:spacing w:val="0"/>
                <w:sz w:val="22"/>
                <w:szCs w:val="22"/>
                <w:lang w:eastAsia="es-CO"/>
              </w:rPr>
              <w:tab/>
            </w:r>
            <w:r w:rsidR="00621F8B" w:rsidRPr="00621F8B">
              <w:rPr>
                <w:rStyle w:val="Hipervnculo"/>
                <w:noProof/>
              </w:rPr>
              <w:t>CENSO DE CONTRIBUYENTES Y ESTADO DE REPORTE AL SUI</w:t>
            </w:r>
            <w:r w:rsidR="00621F8B" w:rsidRPr="00621F8B">
              <w:rPr>
                <w:noProof/>
                <w:webHidden/>
              </w:rPr>
              <w:tab/>
            </w:r>
            <w:r w:rsidR="00621F8B" w:rsidRPr="00621F8B">
              <w:rPr>
                <w:noProof/>
                <w:webHidden/>
              </w:rPr>
              <w:fldChar w:fldCharType="begin"/>
            </w:r>
            <w:r w:rsidR="00621F8B" w:rsidRPr="00621F8B">
              <w:rPr>
                <w:noProof/>
                <w:webHidden/>
              </w:rPr>
              <w:instrText xml:space="preserve"> PAGEREF _Toc88126839 \h </w:instrText>
            </w:r>
            <w:r w:rsidR="00621F8B" w:rsidRPr="00621F8B">
              <w:rPr>
                <w:noProof/>
                <w:webHidden/>
              </w:rPr>
            </w:r>
            <w:r w:rsidR="00621F8B" w:rsidRPr="00621F8B">
              <w:rPr>
                <w:noProof/>
                <w:webHidden/>
              </w:rPr>
              <w:fldChar w:fldCharType="separate"/>
            </w:r>
            <w:r w:rsidR="00621F8B" w:rsidRPr="00621F8B">
              <w:rPr>
                <w:noProof/>
                <w:webHidden/>
              </w:rPr>
              <w:t>17</w:t>
            </w:r>
            <w:r w:rsidR="00621F8B" w:rsidRPr="00621F8B">
              <w:rPr>
                <w:noProof/>
                <w:webHidden/>
              </w:rPr>
              <w:fldChar w:fldCharType="end"/>
            </w:r>
          </w:hyperlink>
        </w:p>
        <w:p w14:paraId="76318067" w14:textId="35101CF5" w:rsidR="00621F8B" w:rsidRPr="00621F8B" w:rsidRDefault="00FF1E0C">
          <w:pPr>
            <w:pStyle w:val="TDC2"/>
            <w:tabs>
              <w:tab w:val="left" w:pos="800"/>
              <w:tab w:val="right" w:leader="dot" w:pos="8637"/>
            </w:tabs>
            <w:rPr>
              <w:rFonts w:asciiTheme="minorHAnsi" w:eastAsiaTheme="minorEastAsia" w:hAnsiTheme="minorHAnsi" w:cstheme="minorBidi"/>
              <w:noProof/>
              <w:spacing w:val="0"/>
              <w:sz w:val="22"/>
              <w:szCs w:val="22"/>
              <w:lang w:eastAsia="es-CO"/>
            </w:rPr>
          </w:pPr>
          <w:hyperlink w:anchor="_Toc88126840" w:history="1">
            <w:r w:rsidR="00621F8B" w:rsidRPr="00621F8B">
              <w:rPr>
                <w:rStyle w:val="Hipervnculo"/>
                <w:noProof/>
              </w:rPr>
              <w:t>5.1</w:t>
            </w:r>
            <w:r w:rsidR="00621F8B" w:rsidRPr="00621F8B">
              <w:rPr>
                <w:rFonts w:asciiTheme="minorHAnsi" w:eastAsiaTheme="minorEastAsia" w:hAnsiTheme="minorHAnsi" w:cstheme="minorBidi"/>
                <w:noProof/>
                <w:spacing w:val="0"/>
                <w:sz w:val="22"/>
                <w:szCs w:val="22"/>
                <w:lang w:eastAsia="es-CO"/>
              </w:rPr>
              <w:tab/>
            </w:r>
            <w:r w:rsidR="00621F8B" w:rsidRPr="00621F8B">
              <w:rPr>
                <w:rStyle w:val="Hipervnculo"/>
                <w:noProof/>
              </w:rPr>
              <w:t>DETERMINACIÓN NÚMERO DE PRESTADORES DE SERVICIOS PÚBLICOS</w:t>
            </w:r>
            <w:r w:rsidR="00621F8B" w:rsidRPr="00621F8B">
              <w:rPr>
                <w:noProof/>
                <w:webHidden/>
              </w:rPr>
              <w:tab/>
            </w:r>
            <w:r w:rsidR="00621F8B" w:rsidRPr="00621F8B">
              <w:rPr>
                <w:noProof/>
                <w:webHidden/>
              </w:rPr>
              <w:fldChar w:fldCharType="begin"/>
            </w:r>
            <w:r w:rsidR="00621F8B" w:rsidRPr="00621F8B">
              <w:rPr>
                <w:noProof/>
                <w:webHidden/>
              </w:rPr>
              <w:instrText xml:space="preserve"> PAGEREF _Toc88126840 \h </w:instrText>
            </w:r>
            <w:r w:rsidR="00621F8B" w:rsidRPr="00621F8B">
              <w:rPr>
                <w:noProof/>
                <w:webHidden/>
              </w:rPr>
            </w:r>
            <w:r w:rsidR="00621F8B" w:rsidRPr="00621F8B">
              <w:rPr>
                <w:noProof/>
                <w:webHidden/>
              </w:rPr>
              <w:fldChar w:fldCharType="separate"/>
            </w:r>
            <w:r w:rsidR="00621F8B" w:rsidRPr="00621F8B">
              <w:rPr>
                <w:noProof/>
                <w:webHidden/>
              </w:rPr>
              <w:t>17</w:t>
            </w:r>
            <w:r w:rsidR="00621F8B" w:rsidRPr="00621F8B">
              <w:rPr>
                <w:noProof/>
                <w:webHidden/>
              </w:rPr>
              <w:fldChar w:fldCharType="end"/>
            </w:r>
          </w:hyperlink>
        </w:p>
        <w:p w14:paraId="6417F71C" w14:textId="69E8FD96" w:rsidR="00621F8B" w:rsidRPr="00621F8B" w:rsidRDefault="00FF1E0C">
          <w:pPr>
            <w:pStyle w:val="TDC2"/>
            <w:tabs>
              <w:tab w:val="left" w:pos="800"/>
              <w:tab w:val="right" w:leader="dot" w:pos="8637"/>
            </w:tabs>
            <w:rPr>
              <w:rFonts w:asciiTheme="minorHAnsi" w:eastAsiaTheme="minorEastAsia" w:hAnsiTheme="minorHAnsi" w:cstheme="minorBidi"/>
              <w:noProof/>
              <w:spacing w:val="0"/>
              <w:sz w:val="22"/>
              <w:szCs w:val="22"/>
              <w:lang w:eastAsia="es-CO"/>
            </w:rPr>
          </w:pPr>
          <w:hyperlink w:anchor="_Toc88126841" w:history="1">
            <w:r w:rsidR="00621F8B" w:rsidRPr="00621F8B">
              <w:rPr>
                <w:rStyle w:val="Hipervnculo"/>
                <w:noProof/>
              </w:rPr>
              <w:t>5.2</w:t>
            </w:r>
            <w:r w:rsidR="00621F8B" w:rsidRPr="00621F8B">
              <w:rPr>
                <w:rFonts w:asciiTheme="minorHAnsi" w:eastAsiaTheme="minorEastAsia" w:hAnsiTheme="minorHAnsi" w:cstheme="minorBidi"/>
                <w:noProof/>
                <w:spacing w:val="0"/>
                <w:sz w:val="22"/>
                <w:szCs w:val="22"/>
                <w:lang w:eastAsia="es-CO"/>
              </w:rPr>
              <w:tab/>
            </w:r>
            <w:r w:rsidR="00621F8B" w:rsidRPr="00621F8B">
              <w:rPr>
                <w:rStyle w:val="Hipervnculo"/>
                <w:noProof/>
              </w:rPr>
              <w:t>PRESTADORES POR TIPO DE SERVICIO PÚBLICO</w:t>
            </w:r>
            <w:r w:rsidR="00621F8B" w:rsidRPr="00621F8B">
              <w:rPr>
                <w:noProof/>
                <w:webHidden/>
              </w:rPr>
              <w:tab/>
            </w:r>
            <w:r w:rsidR="00621F8B" w:rsidRPr="00621F8B">
              <w:rPr>
                <w:noProof/>
                <w:webHidden/>
              </w:rPr>
              <w:fldChar w:fldCharType="begin"/>
            </w:r>
            <w:r w:rsidR="00621F8B" w:rsidRPr="00621F8B">
              <w:rPr>
                <w:noProof/>
                <w:webHidden/>
              </w:rPr>
              <w:instrText xml:space="preserve"> PAGEREF _Toc88126841 \h </w:instrText>
            </w:r>
            <w:r w:rsidR="00621F8B" w:rsidRPr="00621F8B">
              <w:rPr>
                <w:noProof/>
                <w:webHidden/>
              </w:rPr>
            </w:r>
            <w:r w:rsidR="00621F8B" w:rsidRPr="00621F8B">
              <w:rPr>
                <w:noProof/>
                <w:webHidden/>
              </w:rPr>
              <w:fldChar w:fldCharType="separate"/>
            </w:r>
            <w:r w:rsidR="00621F8B" w:rsidRPr="00621F8B">
              <w:rPr>
                <w:noProof/>
                <w:webHidden/>
              </w:rPr>
              <w:t>17</w:t>
            </w:r>
            <w:r w:rsidR="00621F8B" w:rsidRPr="00621F8B">
              <w:rPr>
                <w:noProof/>
                <w:webHidden/>
              </w:rPr>
              <w:fldChar w:fldCharType="end"/>
            </w:r>
          </w:hyperlink>
        </w:p>
        <w:p w14:paraId="066FEB94" w14:textId="47FAF24F" w:rsidR="00621F8B" w:rsidRPr="00621F8B" w:rsidRDefault="00FF1E0C">
          <w:pPr>
            <w:pStyle w:val="TDC2"/>
            <w:tabs>
              <w:tab w:val="left" w:pos="800"/>
              <w:tab w:val="right" w:leader="dot" w:pos="8637"/>
            </w:tabs>
            <w:rPr>
              <w:rFonts w:asciiTheme="minorHAnsi" w:eastAsiaTheme="minorEastAsia" w:hAnsiTheme="minorHAnsi" w:cstheme="minorBidi"/>
              <w:noProof/>
              <w:spacing w:val="0"/>
              <w:sz w:val="22"/>
              <w:szCs w:val="22"/>
              <w:lang w:eastAsia="es-CO"/>
            </w:rPr>
          </w:pPr>
          <w:hyperlink w:anchor="_Toc88126842" w:history="1">
            <w:r w:rsidR="00621F8B" w:rsidRPr="00621F8B">
              <w:rPr>
                <w:rStyle w:val="Hipervnculo"/>
                <w:noProof/>
              </w:rPr>
              <w:t>5.3</w:t>
            </w:r>
            <w:r w:rsidR="00621F8B" w:rsidRPr="00621F8B">
              <w:rPr>
                <w:rFonts w:asciiTheme="minorHAnsi" w:eastAsiaTheme="minorEastAsia" w:hAnsiTheme="minorHAnsi" w:cstheme="minorBidi"/>
                <w:noProof/>
                <w:spacing w:val="0"/>
                <w:sz w:val="22"/>
                <w:szCs w:val="22"/>
                <w:lang w:eastAsia="es-CO"/>
              </w:rPr>
              <w:tab/>
            </w:r>
            <w:r w:rsidR="00621F8B" w:rsidRPr="00621F8B">
              <w:rPr>
                <w:rStyle w:val="Hipervnculo"/>
                <w:noProof/>
              </w:rPr>
              <w:t>PRESTADORES DEL ÁMBITO DE REGULACIÓN DE LA CREG</w:t>
            </w:r>
            <w:r w:rsidR="00621F8B" w:rsidRPr="00621F8B">
              <w:rPr>
                <w:noProof/>
                <w:webHidden/>
              </w:rPr>
              <w:tab/>
            </w:r>
            <w:r w:rsidR="00621F8B" w:rsidRPr="00621F8B">
              <w:rPr>
                <w:noProof/>
                <w:webHidden/>
              </w:rPr>
              <w:fldChar w:fldCharType="begin"/>
            </w:r>
            <w:r w:rsidR="00621F8B" w:rsidRPr="00621F8B">
              <w:rPr>
                <w:noProof/>
                <w:webHidden/>
              </w:rPr>
              <w:instrText xml:space="preserve"> PAGEREF _Toc88126842 \h </w:instrText>
            </w:r>
            <w:r w:rsidR="00621F8B" w:rsidRPr="00621F8B">
              <w:rPr>
                <w:noProof/>
                <w:webHidden/>
              </w:rPr>
            </w:r>
            <w:r w:rsidR="00621F8B" w:rsidRPr="00621F8B">
              <w:rPr>
                <w:noProof/>
                <w:webHidden/>
              </w:rPr>
              <w:fldChar w:fldCharType="separate"/>
            </w:r>
            <w:r w:rsidR="00621F8B" w:rsidRPr="00621F8B">
              <w:rPr>
                <w:noProof/>
                <w:webHidden/>
              </w:rPr>
              <w:t>18</w:t>
            </w:r>
            <w:r w:rsidR="00621F8B" w:rsidRPr="00621F8B">
              <w:rPr>
                <w:noProof/>
                <w:webHidden/>
              </w:rPr>
              <w:fldChar w:fldCharType="end"/>
            </w:r>
          </w:hyperlink>
        </w:p>
        <w:p w14:paraId="0EAD50A7" w14:textId="100172F7" w:rsidR="00621F8B" w:rsidRPr="00621F8B" w:rsidRDefault="00FF1E0C">
          <w:pPr>
            <w:pStyle w:val="TDC2"/>
            <w:tabs>
              <w:tab w:val="left" w:pos="800"/>
              <w:tab w:val="right" w:leader="dot" w:pos="8637"/>
            </w:tabs>
            <w:rPr>
              <w:rFonts w:asciiTheme="minorHAnsi" w:eastAsiaTheme="minorEastAsia" w:hAnsiTheme="minorHAnsi" w:cstheme="minorBidi"/>
              <w:noProof/>
              <w:spacing w:val="0"/>
              <w:sz w:val="22"/>
              <w:szCs w:val="22"/>
              <w:lang w:eastAsia="es-CO"/>
            </w:rPr>
          </w:pPr>
          <w:hyperlink w:anchor="_Toc88126843" w:history="1">
            <w:r w:rsidR="00621F8B" w:rsidRPr="00621F8B">
              <w:rPr>
                <w:rStyle w:val="Hipervnculo"/>
                <w:noProof/>
              </w:rPr>
              <w:t>5.4</w:t>
            </w:r>
            <w:r w:rsidR="00621F8B" w:rsidRPr="00621F8B">
              <w:rPr>
                <w:rFonts w:asciiTheme="minorHAnsi" w:eastAsiaTheme="minorEastAsia" w:hAnsiTheme="minorHAnsi" w:cstheme="minorBidi"/>
                <w:noProof/>
                <w:spacing w:val="0"/>
                <w:sz w:val="22"/>
                <w:szCs w:val="22"/>
                <w:lang w:eastAsia="es-CO"/>
              </w:rPr>
              <w:tab/>
            </w:r>
            <w:r w:rsidR="00621F8B" w:rsidRPr="00621F8B">
              <w:rPr>
                <w:rStyle w:val="Hipervnculo"/>
                <w:noProof/>
              </w:rPr>
              <w:t>ESTADO DE REPORTE DE INFORMACIÓN AL SUI</w:t>
            </w:r>
            <w:r w:rsidR="00621F8B" w:rsidRPr="00621F8B">
              <w:rPr>
                <w:noProof/>
                <w:webHidden/>
              </w:rPr>
              <w:tab/>
            </w:r>
            <w:r w:rsidR="00621F8B" w:rsidRPr="00621F8B">
              <w:rPr>
                <w:noProof/>
                <w:webHidden/>
              </w:rPr>
              <w:fldChar w:fldCharType="begin"/>
            </w:r>
            <w:r w:rsidR="00621F8B" w:rsidRPr="00621F8B">
              <w:rPr>
                <w:noProof/>
                <w:webHidden/>
              </w:rPr>
              <w:instrText xml:space="preserve"> PAGEREF _Toc88126843 \h </w:instrText>
            </w:r>
            <w:r w:rsidR="00621F8B" w:rsidRPr="00621F8B">
              <w:rPr>
                <w:noProof/>
                <w:webHidden/>
              </w:rPr>
            </w:r>
            <w:r w:rsidR="00621F8B" w:rsidRPr="00621F8B">
              <w:rPr>
                <w:noProof/>
                <w:webHidden/>
              </w:rPr>
              <w:fldChar w:fldCharType="separate"/>
            </w:r>
            <w:r w:rsidR="00621F8B" w:rsidRPr="00621F8B">
              <w:rPr>
                <w:noProof/>
                <w:webHidden/>
              </w:rPr>
              <w:t>18</w:t>
            </w:r>
            <w:r w:rsidR="00621F8B" w:rsidRPr="00621F8B">
              <w:rPr>
                <w:noProof/>
                <w:webHidden/>
              </w:rPr>
              <w:fldChar w:fldCharType="end"/>
            </w:r>
          </w:hyperlink>
        </w:p>
        <w:p w14:paraId="29FBDFE0" w14:textId="59599692" w:rsidR="00621F8B" w:rsidRPr="00621F8B" w:rsidRDefault="00FF1E0C">
          <w:pPr>
            <w:pStyle w:val="TDC2"/>
            <w:tabs>
              <w:tab w:val="left" w:pos="800"/>
              <w:tab w:val="right" w:leader="dot" w:pos="8637"/>
            </w:tabs>
            <w:rPr>
              <w:rFonts w:asciiTheme="minorHAnsi" w:eastAsiaTheme="minorEastAsia" w:hAnsiTheme="minorHAnsi" w:cstheme="minorBidi"/>
              <w:noProof/>
              <w:spacing w:val="0"/>
              <w:sz w:val="22"/>
              <w:szCs w:val="22"/>
              <w:lang w:eastAsia="es-CO"/>
            </w:rPr>
          </w:pPr>
          <w:hyperlink w:anchor="_Toc88126844" w:history="1">
            <w:r w:rsidR="00621F8B" w:rsidRPr="00621F8B">
              <w:rPr>
                <w:rStyle w:val="Hipervnculo"/>
                <w:noProof/>
              </w:rPr>
              <w:t>5.5</w:t>
            </w:r>
            <w:r w:rsidR="00621F8B" w:rsidRPr="00621F8B">
              <w:rPr>
                <w:rFonts w:asciiTheme="minorHAnsi" w:eastAsiaTheme="minorEastAsia" w:hAnsiTheme="minorHAnsi" w:cstheme="minorBidi"/>
                <w:noProof/>
                <w:spacing w:val="0"/>
                <w:sz w:val="22"/>
                <w:szCs w:val="22"/>
                <w:lang w:eastAsia="es-CO"/>
              </w:rPr>
              <w:tab/>
            </w:r>
            <w:r w:rsidR="00621F8B" w:rsidRPr="00621F8B">
              <w:rPr>
                <w:rStyle w:val="Hipervnculo"/>
                <w:noProof/>
              </w:rPr>
              <w:t>EMPRESAS QUE DESARROLLAN ACTIVIDADES EN MÁS DE UN SECTOR:</w:t>
            </w:r>
            <w:r w:rsidR="00621F8B" w:rsidRPr="00621F8B">
              <w:rPr>
                <w:noProof/>
                <w:webHidden/>
              </w:rPr>
              <w:tab/>
            </w:r>
            <w:r w:rsidR="00621F8B" w:rsidRPr="00621F8B">
              <w:rPr>
                <w:noProof/>
                <w:webHidden/>
              </w:rPr>
              <w:fldChar w:fldCharType="begin"/>
            </w:r>
            <w:r w:rsidR="00621F8B" w:rsidRPr="00621F8B">
              <w:rPr>
                <w:noProof/>
                <w:webHidden/>
              </w:rPr>
              <w:instrText xml:space="preserve"> PAGEREF _Toc88126844 \h </w:instrText>
            </w:r>
            <w:r w:rsidR="00621F8B" w:rsidRPr="00621F8B">
              <w:rPr>
                <w:noProof/>
                <w:webHidden/>
              </w:rPr>
            </w:r>
            <w:r w:rsidR="00621F8B" w:rsidRPr="00621F8B">
              <w:rPr>
                <w:noProof/>
                <w:webHidden/>
              </w:rPr>
              <w:fldChar w:fldCharType="separate"/>
            </w:r>
            <w:r w:rsidR="00621F8B" w:rsidRPr="00621F8B">
              <w:rPr>
                <w:noProof/>
                <w:webHidden/>
              </w:rPr>
              <w:t>19</w:t>
            </w:r>
            <w:r w:rsidR="00621F8B" w:rsidRPr="00621F8B">
              <w:rPr>
                <w:noProof/>
                <w:webHidden/>
              </w:rPr>
              <w:fldChar w:fldCharType="end"/>
            </w:r>
          </w:hyperlink>
        </w:p>
        <w:p w14:paraId="3EC8599C" w14:textId="715169C8" w:rsidR="00621F8B" w:rsidRPr="00621F8B" w:rsidRDefault="00FF1E0C">
          <w:pPr>
            <w:pStyle w:val="TDC1"/>
            <w:tabs>
              <w:tab w:val="left" w:pos="400"/>
              <w:tab w:val="right" w:leader="dot" w:pos="8637"/>
            </w:tabs>
            <w:rPr>
              <w:rFonts w:asciiTheme="minorHAnsi" w:eastAsiaTheme="minorEastAsia" w:hAnsiTheme="minorHAnsi" w:cstheme="minorBidi"/>
              <w:noProof/>
              <w:spacing w:val="0"/>
              <w:sz w:val="22"/>
              <w:szCs w:val="22"/>
              <w:lang w:eastAsia="es-CO"/>
            </w:rPr>
          </w:pPr>
          <w:hyperlink w:anchor="_Toc88126845" w:history="1">
            <w:r w:rsidR="00621F8B" w:rsidRPr="00621F8B">
              <w:rPr>
                <w:rStyle w:val="Hipervnculo"/>
                <w:noProof/>
              </w:rPr>
              <w:t>6.</w:t>
            </w:r>
            <w:r w:rsidR="00621F8B" w:rsidRPr="00621F8B">
              <w:rPr>
                <w:rFonts w:asciiTheme="minorHAnsi" w:eastAsiaTheme="minorEastAsia" w:hAnsiTheme="minorHAnsi" w:cstheme="minorBidi"/>
                <w:noProof/>
                <w:spacing w:val="0"/>
                <w:sz w:val="22"/>
                <w:szCs w:val="22"/>
                <w:lang w:eastAsia="es-CO"/>
              </w:rPr>
              <w:tab/>
            </w:r>
            <w:r w:rsidR="00621F8B" w:rsidRPr="00621F8B">
              <w:rPr>
                <w:rStyle w:val="Hipervnculo"/>
                <w:noProof/>
              </w:rPr>
              <w:t>ANTECEDENTES</w:t>
            </w:r>
            <w:r w:rsidR="00621F8B" w:rsidRPr="00621F8B">
              <w:rPr>
                <w:noProof/>
                <w:webHidden/>
              </w:rPr>
              <w:tab/>
            </w:r>
            <w:r w:rsidR="00621F8B" w:rsidRPr="00621F8B">
              <w:rPr>
                <w:noProof/>
                <w:webHidden/>
              </w:rPr>
              <w:fldChar w:fldCharType="begin"/>
            </w:r>
            <w:r w:rsidR="00621F8B" w:rsidRPr="00621F8B">
              <w:rPr>
                <w:noProof/>
                <w:webHidden/>
              </w:rPr>
              <w:instrText xml:space="preserve"> PAGEREF _Toc88126845 \h </w:instrText>
            </w:r>
            <w:r w:rsidR="00621F8B" w:rsidRPr="00621F8B">
              <w:rPr>
                <w:noProof/>
                <w:webHidden/>
              </w:rPr>
            </w:r>
            <w:r w:rsidR="00621F8B" w:rsidRPr="00621F8B">
              <w:rPr>
                <w:noProof/>
                <w:webHidden/>
              </w:rPr>
              <w:fldChar w:fldCharType="separate"/>
            </w:r>
            <w:r w:rsidR="00621F8B" w:rsidRPr="00621F8B">
              <w:rPr>
                <w:noProof/>
                <w:webHidden/>
              </w:rPr>
              <w:t>19</w:t>
            </w:r>
            <w:r w:rsidR="00621F8B" w:rsidRPr="00621F8B">
              <w:rPr>
                <w:noProof/>
                <w:webHidden/>
              </w:rPr>
              <w:fldChar w:fldCharType="end"/>
            </w:r>
          </w:hyperlink>
        </w:p>
        <w:p w14:paraId="27228938" w14:textId="4B3E1159" w:rsidR="00621F8B" w:rsidRPr="00621F8B" w:rsidRDefault="00FF1E0C">
          <w:pPr>
            <w:pStyle w:val="TDC1"/>
            <w:tabs>
              <w:tab w:val="left" w:pos="400"/>
              <w:tab w:val="right" w:leader="dot" w:pos="8637"/>
            </w:tabs>
            <w:rPr>
              <w:rFonts w:asciiTheme="minorHAnsi" w:eastAsiaTheme="minorEastAsia" w:hAnsiTheme="minorHAnsi" w:cstheme="minorBidi"/>
              <w:noProof/>
              <w:spacing w:val="0"/>
              <w:sz w:val="22"/>
              <w:szCs w:val="22"/>
              <w:lang w:eastAsia="es-CO"/>
            </w:rPr>
          </w:pPr>
          <w:hyperlink w:anchor="_Toc88126846" w:history="1">
            <w:r w:rsidR="00621F8B" w:rsidRPr="00621F8B">
              <w:rPr>
                <w:rStyle w:val="Hipervnculo"/>
                <w:noProof/>
              </w:rPr>
              <w:t>7.</w:t>
            </w:r>
            <w:r w:rsidR="00621F8B" w:rsidRPr="00621F8B">
              <w:rPr>
                <w:rFonts w:asciiTheme="minorHAnsi" w:eastAsiaTheme="minorEastAsia" w:hAnsiTheme="minorHAnsi" w:cstheme="minorBidi"/>
                <w:noProof/>
                <w:spacing w:val="0"/>
                <w:sz w:val="22"/>
                <w:szCs w:val="22"/>
                <w:lang w:eastAsia="es-CO"/>
              </w:rPr>
              <w:tab/>
            </w:r>
            <w:r w:rsidR="00621F8B" w:rsidRPr="00621F8B">
              <w:rPr>
                <w:rStyle w:val="Hipervnculo"/>
                <w:noProof/>
              </w:rPr>
              <w:t>REGULADOS OMISOS</w:t>
            </w:r>
            <w:r w:rsidR="00621F8B" w:rsidRPr="00621F8B">
              <w:rPr>
                <w:noProof/>
                <w:webHidden/>
              </w:rPr>
              <w:tab/>
            </w:r>
            <w:r w:rsidR="00621F8B" w:rsidRPr="00621F8B">
              <w:rPr>
                <w:noProof/>
                <w:webHidden/>
              </w:rPr>
              <w:fldChar w:fldCharType="begin"/>
            </w:r>
            <w:r w:rsidR="00621F8B" w:rsidRPr="00621F8B">
              <w:rPr>
                <w:noProof/>
                <w:webHidden/>
              </w:rPr>
              <w:instrText xml:space="preserve"> PAGEREF _Toc88126846 \h </w:instrText>
            </w:r>
            <w:r w:rsidR="00621F8B" w:rsidRPr="00621F8B">
              <w:rPr>
                <w:noProof/>
                <w:webHidden/>
              </w:rPr>
            </w:r>
            <w:r w:rsidR="00621F8B" w:rsidRPr="00621F8B">
              <w:rPr>
                <w:noProof/>
                <w:webHidden/>
              </w:rPr>
              <w:fldChar w:fldCharType="separate"/>
            </w:r>
            <w:r w:rsidR="00621F8B" w:rsidRPr="00621F8B">
              <w:rPr>
                <w:noProof/>
                <w:webHidden/>
              </w:rPr>
              <w:t>20</w:t>
            </w:r>
            <w:r w:rsidR="00621F8B" w:rsidRPr="00621F8B">
              <w:rPr>
                <w:noProof/>
                <w:webHidden/>
              </w:rPr>
              <w:fldChar w:fldCharType="end"/>
            </w:r>
          </w:hyperlink>
        </w:p>
        <w:p w14:paraId="72F6F11F" w14:textId="3C5C9700" w:rsidR="00621F8B" w:rsidRPr="00621F8B" w:rsidRDefault="00FF1E0C">
          <w:pPr>
            <w:pStyle w:val="TDC1"/>
            <w:tabs>
              <w:tab w:val="left" w:pos="400"/>
              <w:tab w:val="right" w:leader="dot" w:pos="8637"/>
            </w:tabs>
            <w:rPr>
              <w:rFonts w:asciiTheme="minorHAnsi" w:eastAsiaTheme="minorEastAsia" w:hAnsiTheme="minorHAnsi" w:cstheme="minorBidi"/>
              <w:noProof/>
              <w:spacing w:val="0"/>
              <w:sz w:val="22"/>
              <w:szCs w:val="22"/>
              <w:lang w:eastAsia="es-CO"/>
            </w:rPr>
          </w:pPr>
          <w:hyperlink w:anchor="_Toc88126847" w:history="1">
            <w:r w:rsidR="00621F8B" w:rsidRPr="00621F8B">
              <w:rPr>
                <w:rStyle w:val="Hipervnculo"/>
                <w:noProof/>
              </w:rPr>
              <w:t>8.</w:t>
            </w:r>
            <w:r w:rsidR="00621F8B" w:rsidRPr="00621F8B">
              <w:rPr>
                <w:rFonts w:asciiTheme="minorHAnsi" w:eastAsiaTheme="minorEastAsia" w:hAnsiTheme="minorHAnsi" w:cstheme="minorBidi"/>
                <w:noProof/>
                <w:spacing w:val="0"/>
                <w:sz w:val="22"/>
                <w:szCs w:val="22"/>
                <w:lang w:eastAsia="es-CO"/>
              </w:rPr>
              <w:tab/>
            </w:r>
            <w:r w:rsidR="00621F8B" w:rsidRPr="00621F8B">
              <w:rPr>
                <w:rStyle w:val="Hipervnculo"/>
                <w:noProof/>
              </w:rPr>
              <w:t>INFORMACIÓN REPORTADA</w:t>
            </w:r>
            <w:r w:rsidR="00621F8B" w:rsidRPr="00621F8B">
              <w:rPr>
                <w:noProof/>
                <w:webHidden/>
              </w:rPr>
              <w:tab/>
            </w:r>
            <w:r w:rsidR="00621F8B" w:rsidRPr="00621F8B">
              <w:rPr>
                <w:noProof/>
                <w:webHidden/>
              </w:rPr>
              <w:fldChar w:fldCharType="begin"/>
            </w:r>
            <w:r w:rsidR="00621F8B" w:rsidRPr="00621F8B">
              <w:rPr>
                <w:noProof/>
                <w:webHidden/>
              </w:rPr>
              <w:instrText xml:space="preserve"> PAGEREF _Toc88126847 \h </w:instrText>
            </w:r>
            <w:r w:rsidR="00621F8B" w:rsidRPr="00621F8B">
              <w:rPr>
                <w:noProof/>
                <w:webHidden/>
              </w:rPr>
            </w:r>
            <w:r w:rsidR="00621F8B" w:rsidRPr="00621F8B">
              <w:rPr>
                <w:noProof/>
                <w:webHidden/>
              </w:rPr>
              <w:fldChar w:fldCharType="separate"/>
            </w:r>
            <w:r w:rsidR="00621F8B" w:rsidRPr="00621F8B">
              <w:rPr>
                <w:noProof/>
                <w:webHidden/>
              </w:rPr>
              <w:t>20</w:t>
            </w:r>
            <w:r w:rsidR="00621F8B" w:rsidRPr="00621F8B">
              <w:rPr>
                <w:noProof/>
                <w:webHidden/>
              </w:rPr>
              <w:fldChar w:fldCharType="end"/>
            </w:r>
          </w:hyperlink>
        </w:p>
        <w:p w14:paraId="068D32EB" w14:textId="0C00C938" w:rsidR="00621F8B" w:rsidRPr="00621F8B" w:rsidRDefault="00FF1E0C">
          <w:pPr>
            <w:pStyle w:val="TDC2"/>
            <w:tabs>
              <w:tab w:val="left" w:pos="800"/>
              <w:tab w:val="right" w:leader="dot" w:pos="8637"/>
            </w:tabs>
            <w:rPr>
              <w:rFonts w:asciiTheme="minorHAnsi" w:eastAsiaTheme="minorEastAsia" w:hAnsiTheme="minorHAnsi" w:cstheme="minorBidi"/>
              <w:noProof/>
              <w:spacing w:val="0"/>
              <w:sz w:val="22"/>
              <w:szCs w:val="22"/>
              <w:lang w:eastAsia="es-CO"/>
            </w:rPr>
          </w:pPr>
          <w:hyperlink w:anchor="_Toc88126848" w:history="1">
            <w:r w:rsidR="00621F8B" w:rsidRPr="00621F8B">
              <w:rPr>
                <w:rStyle w:val="Hipervnculo"/>
                <w:noProof/>
              </w:rPr>
              <w:t>8.1</w:t>
            </w:r>
            <w:r w:rsidR="00621F8B" w:rsidRPr="00621F8B">
              <w:rPr>
                <w:rFonts w:asciiTheme="minorHAnsi" w:eastAsiaTheme="minorEastAsia" w:hAnsiTheme="minorHAnsi" w:cstheme="minorBidi"/>
                <w:noProof/>
                <w:spacing w:val="0"/>
                <w:sz w:val="22"/>
                <w:szCs w:val="22"/>
                <w:lang w:eastAsia="es-CO"/>
              </w:rPr>
              <w:tab/>
            </w:r>
            <w:r w:rsidR="00621F8B" w:rsidRPr="00621F8B">
              <w:rPr>
                <w:rStyle w:val="Hipervnculo"/>
                <w:noProof/>
              </w:rPr>
              <w:t>PLAZOS SSPD PARA EL CARGUE AL SUI DE LA INFORMACIÓN FINANCIERA</w:t>
            </w:r>
            <w:r w:rsidR="00621F8B" w:rsidRPr="00621F8B">
              <w:rPr>
                <w:noProof/>
                <w:webHidden/>
              </w:rPr>
              <w:tab/>
            </w:r>
            <w:r w:rsidR="00621F8B" w:rsidRPr="00621F8B">
              <w:rPr>
                <w:noProof/>
                <w:webHidden/>
              </w:rPr>
              <w:fldChar w:fldCharType="begin"/>
            </w:r>
            <w:r w:rsidR="00621F8B" w:rsidRPr="00621F8B">
              <w:rPr>
                <w:noProof/>
                <w:webHidden/>
              </w:rPr>
              <w:instrText xml:space="preserve"> PAGEREF _Toc88126848 \h </w:instrText>
            </w:r>
            <w:r w:rsidR="00621F8B" w:rsidRPr="00621F8B">
              <w:rPr>
                <w:noProof/>
                <w:webHidden/>
              </w:rPr>
            </w:r>
            <w:r w:rsidR="00621F8B" w:rsidRPr="00621F8B">
              <w:rPr>
                <w:noProof/>
                <w:webHidden/>
              </w:rPr>
              <w:fldChar w:fldCharType="separate"/>
            </w:r>
            <w:r w:rsidR="00621F8B" w:rsidRPr="00621F8B">
              <w:rPr>
                <w:noProof/>
                <w:webHidden/>
              </w:rPr>
              <w:t>20</w:t>
            </w:r>
            <w:r w:rsidR="00621F8B" w:rsidRPr="00621F8B">
              <w:rPr>
                <w:noProof/>
                <w:webHidden/>
              </w:rPr>
              <w:fldChar w:fldCharType="end"/>
            </w:r>
          </w:hyperlink>
        </w:p>
        <w:p w14:paraId="71E71033" w14:textId="76C67986" w:rsidR="00621F8B" w:rsidRPr="00621F8B" w:rsidRDefault="00FF1E0C">
          <w:pPr>
            <w:pStyle w:val="TDC2"/>
            <w:tabs>
              <w:tab w:val="left" w:pos="800"/>
              <w:tab w:val="right" w:leader="dot" w:pos="8637"/>
            </w:tabs>
            <w:rPr>
              <w:rFonts w:asciiTheme="minorHAnsi" w:eastAsiaTheme="minorEastAsia" w:hAnsiTheme="minorHAnsi" w:cstheme="minorBidi"/>
              <w:noProof/>
              <w:spacing w:val="0"/>
              <w:sz w:val="22"/>
              <w:szCs w:val="22"/>
              <w:lang w:eastAsia="es-CO"/>
            </w:rPr>
          </w:pPr>
          <w:hyperlink w:anchor="_Toc88126849" w:history="1">
            <w:r w:rsidR="00621F8B" w:rsidRPr="00621F8B">
              <w:rPr>
                <w:rStyle w:val="Hipervnculo"/>
                <w:noProof/>
              </w:rPr>
              <w:t>8.2</w:t>
            </w:r>
            <w:r w:rsidR="00621F8B" w:rsidRPr="00621F8B">
              <w:rPr>
                <w:rFonts w:asciiTheme="minorHAnsi" w:eastAsiaTheme="minorEastAsia" w:hAnsiTheme="minorHAnsi" w:cstheme="minorBidi"/>
                <w:noProof/>
                <w:spacing w:val="0"/>
                <w:sz w:val="22"/>
                <w:szCs w:val="22"/>
                <w:lang w:eastAsia="es-CO"/>
              </w:rPr>
              <w:tab/>
            </w:r>
            <w:r w:rsidR="00621F8B" w:rsidRPr="00621F8B">
              <w:rPr>
                <w:rStyle w:val="Hipervnculo"/>
                <w:noProof/>
              </w:rPr>
              <w:t>EMPRESAS EN RÉGIMEN DE REESTRUCTURACIÓN, INSOLVENCIA O INACTIVAS.</w:t>
            </w:r>
            <w:r w:rsidR="00621F8B" w:rsidRPr="00621F8B">
              <w:rPr>
                <w:noProof/>
                <w:webHidden/>
              </w:rPr>
              <w:tab/>
            </w:r>
            <w:r w:rsidR="00621F8B" w:rsidRPr="00621F8B">
              <w:rPr>
                <w:noProof/>
                <w:webHidden/>
              </w:rPr>
              <w:fldChar w:fldCharType="begin"/>
            </w:r>
            <w:r w:rsidR="00621F8B" w:rsidRPr="00621F8B">
              <w:rPr>
                <w:noProof/>
                <w:webHidden/>
              </w:rPr>
              <w:instrText xml:space="preserve"> PAGEREF _Toc88126849 \h </w:instrText>
            </w:r>
            <w:r w:rsidR="00621F8B" w:rsidRPr="00621F8B">
              <w:rPr>
                <w:noProof/>
                <w:webHidden/>
              </w:rPr>
            </w:r>
            <w:r w:rsidR="00621F8B" w:rsidRPr="00621F8B">
              <w:rPr>
                <w:noProof/>
                <w:webHidden/>
              </w:rPr>
              <w:fldChar w:fldCharType="separate"/>
            </w:r>
            <w:r w:rsidR="00621F8B" w:rsidRPr="00621F8B">
              <w:rPr>
                <w:noProof/>
                <w:webHidden/>
              </w:rPr>
              <w:t>21</w:t>
            </w:r>
            <w:r w:rsidR="00621F8B" w:rsidRPr="00621F8B">
              <w:rPr>
                <w:noProof/>
                <w:webHidden/>
              </w:rPr>
              <w:fldChar w:fldCharType="end"/>
            </w:r>
          </w:hyperlink>
        </w:p>
        <w:p w14:paraId="48656286" w14:textId="1839BDD5" w:rsidR="00621F8B" w:rsidRPr="00621F8B" w:rsidRDefault="00FF1E0C">
          <w:pPr>
            <w:pStyle w:val="TDC2"/>
            <w:tabs>
              <w:tab w:val="left" w:pos="800"/>
              <w:tab w:val="right" w:leader="dot" w:pos="8637"/>
            </w:tabs>
            <w:rPr>
              <w:rFonts w:asciiTheme="minorHAnsi" w:eastAsiaTheme="minorEastAsia" w:hAnsiTheme="minorHAnsi" w:cstheme="minorBidi"/>
              <w:noProof/>
              <w:spacing w:val="0"/>
              <w:sz w:val="22"/>
              <w:szCs w:val="22"/>
              <w:lang w:eastAsia="es-CO"/>
            </w:rPr>
          </w:pPr>
          <w:hyperlink w:anchor="_Toc88126850" w:history="1">
            <w:r w:rsidR="00621F8B" w:rsidRPr="00621F8B">
              <w:rPr>
                <w:rStyle w:val="Hipervnculo"/>
                <w:noProof/>
              </w:rPr>
              <w:t>8.3</w:t>
            </w:r>
            <w:r w:rsidR="00621F8B" w:rsidRPr="00621F8B">
              <w:rPr>
                <w:rFonts w:asciiTheme="minorHAnsi" w:eastAsiaTheme="minorEastAsia" w:hAnsiTheme="minorHAnsi" w:cstheme="minorBidi"/>
                <w:noProof/>
                <w:spacing w:val="0"/>
                <w:sz w:val="22"/>
                <w:szCs w:val="22"/>
                <w:lang w:eastAsia="es-CO"/>
              </w:rPr>
              <w:tab/>
            </w:r>
            <w:r w:rsidR="00621F8B" w:rsidRPr="00621F8B">
              <w:rPr>
                <w:rStyle w:val="Hipervnculo"/>
                <w:noProof/>
              </w:rPr>
              <w:t>EMPRESAS QUE REPORTARON EN EL SISTEMA SUI INFORMACION AL CIERRE DE DICIEMBRE 31 DE 2020 Y AL CIERRE DE DICIEMBRE 31 DE 2019:</w:t>
            </w:r>
            <w:r w:rsidR="00621F8B" w:rsidRPr="00621F8B">
              <w:rPr>
                <w:noProof/>
                <w:webHidden/>
              </w:rPr>
              <w:tab/>
            </w:r>
            <w:r w:rsidR="00621F8B" w:rsidRPr="00621F8B">
              <w:rPr>
                <w:noProof/>
                <w:webHidden/>
              </w:rPr>
              <w:fldChar w:fldCharType="begin"/>
            </w:r>
            <w:r w:rsidR="00621F8B" w:rsidRPr="00621F8B">
              <w:rPr>
                <w:noProof/>
                <w:webHidden/>
              </w:rPr>
              <w:instrText xml:space="preserve"> PAGEREF _Toc88126850 \h </w:instrText>
            </w:r>
            <w:r w:rsidR="00621F8B" w:rsidRPr="00621F8B">
              <w:rPr>
                <w:noProof/>
                <w:webHidden/>
              </w:rPr>
            </w:r>
            <w:r w:rsidR="00621F8B" w:rsidRPr="00621F8B">
              <w:rPr>
                <w:noProof/>
                <w:webHidden/>
              </w:rPr>
              <w:fldChar w:fldCharType="separate"/>
            </w:r>
            <w:r w:rsidR="00621F8B" w:rsidRPr="00621F8B">
              <w:rPr>
                <w:noProof/>
                <w:webHidden/>
              </w:rPr>
              <w:t>22</w:t>
            </w:r>
            <w:r w:rsidR="00621F8B" w:rsidRPr="00621F8B">
              <w:rPr>
                <w:noProof/>
                <w:webHidden/>
              </w:rPr>
              <w:fldChar w:fldCharType="end"/>
            </w:r>
          </w:hyperlink>
        </w:p>
        <w:p w14:paraId="74817B07" w14:textId="0ED131AA" w:rsidR="00621F8B" w:rsidRPr="00621F8B" w:rsidRDefault="00FF1E0C">
          <w:pPr>
            <w:pStyle w:val="TDC2"/>
            <w:tabs>
              <w:tab w:val="left" w:pos="800"/>
              <w:tab w:val="right" w:leader="dot" w:pos="8637"/>
            </w:tabs>
            <w:rPr>
              <w:rFonts w:asciiTheme="minorHAnsi" w:eastAsiaTheme="minorEastAsia" w:hAnsiTheme="minorHAnsi" w:cstheme="minorBidi"/>
              <w:noProof/>
              <w:spacing w:val="0"/>
              <w:sz w:val="22"/>
              <w:szCs w:val="22"/>
              <w:lang w:eastAsia="es-CO"/>
            </w:rPr>
          </w:pPr>
          <w:hyperlink w:anchor="_Toc88126851" w:history="1">
            <w:r w:rsidR="00621F8B" w:rsidRPr="00621F8B">
              <w:rPr>
                <w:rStyle w:val="Hipervnculo"/>
                <w:noProof/>
              </w:rPr>
              <w:t>8.4</w:t>
            </w:r>
            <w:r w:rsidR="00621F8B" w:rsidRPr="00621F8B">
              <w:rPr>
                <w:rFonts w:asciiTheme="minorHAnsi" w:eastAsiaTheme="minorEastAsia" w:hAnsiTheme="minorHAnsi" w:cstheme="minorBidi"/>
                <w:noProof/>
                <w:spacing w:val="0"/>
                <w:sz w:val="22"/>
                <w:szCs w:val="22"/>
                <w:lang w:eastAsia="es-CO"/>
              </w:rPr>
              <w:tab/>
            </w:r>
            <w:r w:rsidR="00621F8B" w:rsidRPr="00621F8B">
              <w:rPr>
                <w:rStyle w:val="Hipervnculo"/>
                <w:noProof/>
              </w:rPr>
              <w:t>EMPRESAS QUE REPORTARON EN EL SISTEMA SUI INFORMACIÓN AL CIERRE DE DICIEMBRE 31 DE 2019 Y NO REPORTARON CON CORTE AL 21 DE SEPTIEMBRE DE 2021, EL CIERRE A DICIEMBRE 31 DE 2020:</w:t>
            </w:r>
            <w:r w:rsidR="00621F8B" w:rsidRPr="00621F8B">
              <w:rPr>
                <w:noProof/>
                <w:webHidden/>
              </w:rPr>
              <w:tab/>
            </w:r>
            <w:r w:rsidR="00621F8B" w:rsidRPr="00621F8B">
              <w:rPr>
                <w:noProof/>
                <w:webHidden/>
              </w:rPr>
              <w:fldChar w:fldCharType="begin"/>
            </w:r>
            <w:r w:rsidR="00621F8B" w:rsidRPr="00621F8B">
              <w:rPr>
                <w:noProof/>
                <w:webHidden/>
              </w:rPr>
              <w:instrText xml:space="preserve"> PAGEREF _Toc88126851 \h </w:instrText>
            </w:r>
            <w:r w:rsidR="00621F8B" w:rsidRPr="00621F8B">
              <w:rPr>
                <w:noProof/>
                <w:webHidden/>
              </w:rPr>
            </w:r>
            <w:r w:rsidR="00621F8B" w:rsidRPr="00621F8B">
              <w:rPr>
                <w:noProof/>
                <w:webHidden/>
              </w:rPr>
              <w:fldChar w:fldCharType="separate"/>
            </w:r>
            <w:r w:rsidR="00621F8B" w:rsidRPr="00621F8B">
              <w:rPr>
                <w:noProof/>
                <w:webHidden/>
              </w:rPr>
              <w:t>32</w:t>
            </w:r>
            <w:r w:rsidR="00621F8B" w:rsidRPr="00621F8B">
              <w:rPr>
                <w:noProof/>
                <w:webHidden/>
              </w:rPr>
              <w:fldChar w:fldCharType="end"/>
            </w:r>
          </w:hyperlink>
        </w:p>
        <w:p w14:paraId="2659BF45" w14:textId="53DE8968" w:rsidR="00621F8B" w:rsidRPr="00621F8B" w:rsidRDefault="00FF1E0C">
          <w:pPr>
            <w:pStyle w:val="TDC2"/>
            <w:tabs>
              <w:tab w:val="left" w:pos="800"/>
              <w:tab w:val="right" w:leader="dot" w:pos="8637"/>
            </w:tabs>
            <w:rPr>
              <w:rFonts w:asciiTheme="minorHAnsi" w:eastAsiaTheme="minorEastAsia" w:hAnsiTheme="minorHAnsi" w:cstheme="minorBidi"/>
              <w:noProof/>
              <w:spacing w:val="0"/>
              <w:sz w:val="22"/>
              <w:szCs w:val="22"/>
              <w:lang w:eastAsia="es-CO"/>
            </w:rPr>
          </w:pPr>
          <w:hyperlink w:anchor="_Toc88126852" w:history="1">
            <w:r w:rsidR="00621F8B" w:rsidRPr="00621F8B">
              <w:rPr>
                <w:rStyle w:val="Hipervnculo"/>
                <w:noProof/>
              </w:rPr>
              <w:t>8.5</w:t>
            </w:r>
            <w:r w:rsidR="00621F8B" w:rsidRPr="00621F8B">
              <w:rPr>
                <w:rFonts w:asciiTheme="minorHAnsi" w:eastAsiaTheme="minorEastAsia" w:hAnsiTheme="minorHAnsi" w:cstheme="minorBidi"/>
                <w:noProof/>
                <w:spacing w:val="0"/>
                <w:sz w:val="22"/>
                <w:szCs w:val="22"/>
                <w:lang w:eastAsia="es-CO"/>
              </w:rPr>
              <w:tab/>
            </w:r>
            <w:r w:rsidR="00621F8B" w:rsidRPr="00621F8B">
              <w:rPr>
                <w:rStyle w:val="Hipervnculo"/>
                <w:noProof/>
              </w:rPr>
              <w:t>EMPRESAS QUE REPORTARON EN EL SISTEMA SUI INFORMACIÓN AL CIERRE DE DICIEMBRE 31 DE 2018 Y NO REPORTARON CON CORTE AL 21 DE SEPTIEMBRE DE 2021, EL CIERRE A DICIEMBRE 31 DE 2020:</w:t>
            </w:r>
            <w:r w:rsidR="00621F8B" w:rsidRPr="00621F8B">
              <w:rPr>
                <w:noProof/>
                <w:webHidden/>
              </w:rPr>
              <w:tab/>
            </w:r>
            <w:r w:rsidR="00621F8B" w:rsidRPr="00621F8B">
              <w:rPr>
                <w:noProof/>
                <w:webHidden/>
              </w:rPr>
              <w:fldChar w:fldCharType="begin"/>
            </w:r>
            <w:r w:rsidR="00621F8B" w:rsidRPr="00621F8B">
              <w:rPr>
                <w:noProof/>
                <w:webHidden/>
              </w:rPr>
              <w:instrText xml:space="preserve"> PAGEREF _Toc88126852 \h </w:instrText>
            </w:r>
            <w:r w:rsidR="00621F8B" w:rsidRPr="00621F8B">
              <w:rPr>
                <w:noProof/>
                <w:webHidden/>
              </w:rPr>
            </w:r>
            <w:r w:rsidR="00621F8B" w:rsidRPr="00621F8B">
              <w:rPr>
                <w:noProof/>
                <w:webHidden/>
              </w:rPr>
              <w:fldChar w:fldCharType="separate"/>
            </w:r>
            <w:r w:rsidR="00621F8B" w:rsidRPr="00621F8B">
              <w:rPr>
                <w:noProof/>
                <w:webHidden/>
              </w:rPr>
              <w:t>34</w:t>
            </w:r>
            <w:r w:rsidR="00621F8B" w:rsidRPr="00621F8B">
              <w:rPr>
                <w:noProof/>
                <w:webHidden/>
              </w:rPr>
              <w:fldChar w:fldCharType="end"/>
            </w:r>
          </w:hyperlink>
        </w:p>
        <w:p w14:paraId="5C0B7A21" w14:textId="4DCC0C7A" w:rsidR="00621F8B" w:rsidRPr="00621F8B" w:rsidRDefault="00FF1E0C">
          <w:pPr>
            <w:pStyle w:val="TDC2"/>
            <w:tabs>
              <w:tab w:val="left" w:pos="800"/>
              <w:tab w:val="right" w:leader="dot" w:pos="8637"/>
            </w:tabs>
            <w:rPr>
              <w:rFonts w:asciiTheme="minorHAnsi" w:eastAsiaTheme="minorEastAsia" w:hAnsiTheme="minorHAnsi" w:cstheme="minorBidi"/>
              <w:noProof/>
              <w:spacing w:val="0"/>
              <w:sz w:val="22"/>
              <w:szCs w:val="22"/>
              <w:lang w:eastAsia="es-CO"/>
            </w:rPr>
          </w:pPr>
          <w:hyperlink w:anchor="_Toc88126853" w:history="1">
            <w:r w:rsidR="00621F8B" w:rsidRPr="00621F8B">
              <w:rPr>
                <w:rStyle w:val="Hipervnculo"/>
                <w:noProof/>
              </w:rPr>
              <w:t>8.6</w:t>
            </w:r>
            <w:r w:rsidR="00621F8B" w:rsidRPr="00621F8B">
              <w:rPr>
                <w:rFonts w:asciiTheme="minorHAnsi" w:eastAsiaTheme="minorEastAsia" w:hAnsiTheme="minorHAnsi" w:cstheme="minorBidi"/>
                <w:noProof/>
                <w:spacing w:val="0"/>
                <w:sz w:val="22"/>
                <w:szCs w:val="22"/>
                <w:lang w:eastAsia="es-CO"/>
              </w:rPr>
              <w:tab/>
            </w:r>
            <w:r w:rsidR="00621F8B" w:rsidRPr="00621F8B">
              <w:rPr>
                <w:rStyle w:val="Hipervnculo"/>
                <w:noProof/>
              </w:rPr>
              <w:t>EMPRESAS CUYO VALOR DE CONTRIBUCIÓN ES INFERIOR A LA CUANTÍA MÍNIMA.</w:t>
            </w:r>
            <w:r w:rsidR="00621F8B" w:rsidRPr="00621F8B">
              <w:rPr>
                <w:noProof/>
                <w:webHidden/>
              </w:rPr>
              <w:tab/>
            </w:r>
            <w:r w:rsidR="00621F8B" w:rsidRPr="00621F8B">
              <w:rPr>
                <w:noProof/>
                <w:webHidden/>
              </w:rPr>
              <w:fldChar w:fldCharType="begin"/>
            </w:r>
            <w:r w:rsidR="00621F8B" w:rsidRPr="00621F8B">
              <w:rPr>
                <w:noProof/>
                <w:webHidden/>
              </w:rPr>
              <w:instrText xml:space="preserve"> PAGEREF _Toc88126853 \h </w:instrText>
            </w:r>
            <w:r w:rsidR="00621F8B" w:rsidRPr="00621F8B">
              <w:rPr>
                <w:noProof/>
                <w:webHidden/>
              </w:rPr>
            </w:r>
            <w:r w:rsidR="00621F8B" w:rsidRPr="00621F8B">
              <w:rPr>
                <w:noProof/>
                <w:webHidden/>
              </w:rPr>
              <w:fldChar w:fldCharType="separate"/>
            </w:r>
            <w:r w:rsidR="00621F8B" w:rsidRPr="00621F8B">
              <w:rPr>
                <w:noProof/>
                <w:webHidden/>
              </w:rPr>
              <w:t>34</w:t>
            </w:r>
            <w:r w:rsidR="00621F8B" w:rsidRPr="00621F8B">
              <w:rPr>
                <w:noProof/>
                <w:webHidden/>
              </w:rPr>
              <w:fldChar w:fldCharType="end"/>
            </w:r>
          </w:hyperlink>
        </w:p>
        <w:p w14:paraId="3F592971" w14:textId="4A6133DC" w:rsidR="00621F8B" w:rsidRPr="00621F8B" w:rsidRDefault="00FF1E0C">
          <w:pPr>
            <w:pStyle w:val="TDC2"/>
            <w:tabs>
              <w:tab w:val="left" w:pos="800"/>
              <w:tab w:val="right" w:leader="dot" w:pos="8637"/>
            </w:tabs>
            <w:rPr>
              <w:rFonts w:asciiTheme="minorHAnsi" w:eastAsiaTheme="minorEastAsia" w:hAnsiTheme="minorHAnsi" w:cstheme="minorBidi"/>
              <w:noProof/>
              <w:spacing w:val="0"/>
              <w:sz w:val="22"/>
              <w:szCs w:val="22"/>
              <w:lang w:eastAsia="es-CO"/>
            </w:rPr>
          </w:pPr>
          <w:hyperlink w:anchor="_Toc88126854" w:history="1">
            <w:r w:rsidR="00621F8B" w:rsidRPr="00621F8B">
              <w:rPr>
                <w:rStyle w:val="Hipervnculo"/>
                <w:noProof/>
              </w:rPr>
              <w:t>8.7</w:t>
            </w:r>
            <w:r w:rsidR="00621F8B" w:rsidRPr="00621F8B">
              <w:rPr>
                <w:rFonts w:asciiTheme="minorHAnsi" w:eastAsiaTheme="minorEastAsia" w:hAnsiTheme="minorHAnsi" w:cstheme="minorBidi"/>
                <w:noProof/>
                <w:spacing w:val="0"/>
                <w:sz w:val="22"/>
                <w:szCs w:val="22"/>
                <w:lang w:eastAsia="es-CO"/>
              </w:rPr>
              <w:tab/>
            </w:r>
            <w:r w:rsidR="00621F8B" w:rsidRPr="00621F8B">
              <w:rPr>
                <w:rStyle w:val="Hipervnculo"/>
                <w:noProof/>
              </w:rPr>
              <w:t>EMPRESAS QUE REPORTARON EN EL SISTEMA SUI INFORMACIÓN AL CIERRE DE DICIEMBRE DE  2020 Y NO REPORTARON AL CIERRE DE DICIEMBRE 31 DE  2019:</w:t>
            </w:r>
            <w:r w:rsidR="00621F8B" w:rsidRPr="00621F8B">
              <w:rPr>
                <w:noProof/>
                <w:webHidden/>
              </w:rPr>
              <w:tab/>
            </w:r>
            <w:r w:rsidR="00621F8B" w:rsidRPr="00621F8B">
              <w:rPr>
                <w:noProof/>
                <w:webHidden/>
              </w:rPr>
              <w:fldChar w:fldCharType="begin"/>
            </w:r>
            <w:r w:rsidR="00621F8B" w:rsidRPr="00621F8B">
              <w:rPr>
                <w:noProof/>
                <w:webHidden/>
              </w:rPr>
              <w:instrText xml:space="preserve"> PAGEREF _Toc88126854 \h </w:instrText>
            </w:r>
            <w:r w:rsidR="00621F8B" w:rsidRPr="00621F8B">
              <w:rPr>
                <w:noProof/>
                <w:webHidden/>
              </w:rPr>
            </w:r>
            <w:r w:rsidR="00621F8B" w:rsidRPr="00621F8B">
              <w:rPr>
                <w:noProof/>
                <w:webHidden/>
              </w:rPr>
              <w:fldChar w:fldCharType="separate"/>
            </w:r>
            <w:r w:rsidR="00621F8B" w:rsidRPr="00621F8B">
              <w:rPr>
                <w:noProof/>
                <w:webHidden/>
              </w:rPr>
              <w:t>35</w:t>
            </w:r>
            <w:r w:rsidR="00621F8B" w:rsidRPr="00621F8B">
              <w:rPr>
                <w:noProof/>
                <w:webHidden/>
              </w:rPr>
              <w:fldChar w:fldCharType="end"/>
            </w:r>
          </w:hyperlink>
        </w:p>
        <w:p w14:paraId="5A97ABA4" w14:textId="3478983B" w:rsidR="00621F8B" w:rsidRPr="00621F8B" w:rsidRDefault="00FF1E0C">
          <w:pPr>
            <w:pStyle w:val="TDC2"/>
            <w:tabs>
              <w:tab w:val="left" w:pos="800"/>
              <w:tab w:val="right" w:leader="dot" w:pos="8637"/>
            </w:tabs>
            <w:rPr>
              <w:rFonts w:asciiTheme="minorHAnsi" w:eastAsiaTheme="minorEastAsia" w:hAnsiTheme="minorHAnsi" w:cstheme="minorBidi"/>
              <w:noProof/>
              <w:spacing w:val="0"/>
              <w:sz w:val="22"/>
              <w:szCs w:val="22"/>
              <w:lang w:eastAsia="es-CO"/>
            </w:rPr>
          </w:pPr>
          <w:hyperlink w:anchor="_Toc88126855" w:history="1">
            <w:r w:rsidR="00621F8B" w:rsidRPr="00621F8B">
              <w:rPr>
                <w:rStyle w:val="Hipervnculo"/>
                <w:noProof/>
              </w:rPr>
              <w:t>8.8</w:t>
            </w:r>
            <w:r w:rsidR="00621F8B" w:rsidRPr="00621F8B">
              <w:rPr>
                <w:rFonts w:asciiTheme="minorHAnsi" w:eastAsiaTheme="minorEastAsia" w:hAnsiTheme="minorHAnsi" w:cstheme="minorBidi"/>
                <w:noProof/>
                <w:spacing w:val="0"/>
                <w:sz w:val="22"/>
                <w:szCs w:val="22"/>
                <w:lang w:eastAsia="es-CO"/>
              </w:rPr>
              <w:tab/>
            </w:r>
            <w:r w:rsidR="00621F8B" w:rsidRPr="00621F8B">
              <w:rPr>
                <w:rStyle w:val="Hipervnculo"/>
                <w:noProof/>
              </w:rPr>
              <w:t>EMPRESAS QUE NO REPORTARON EN EL SISTEMA SUI INFORMACION AL CIERRE DE DICIEMBRE 31 DE LOS AÑOS 2019 Y 2020 Y QUE ESTAN RELACIONADAS COMO INSCRITAS EN LA RESOLUCIÓN CENSO DE LA SSPD:</w:t>
            </w:r>
            <w:r w:rsidR="00621F8B" w:rsidRPr="00621F8B">
              <w:rPr>
                <w:noProof/>
                <w:webHidden/>
              </w:rPr>
              <w:tab/>
            </w:r>
            <w:r w:rsidR="00621F8B" w:rsidRPr="00621F8B">
              <w:rPr>
                <w:noProof/>
                <w:webHidden/>
              </w:rPr>
              <w:fldChar w:fldCharType="begin"/>
            </w:r>
            <w:r w:rsidR="00621F8B" w:rsidRPr="00621F8B">
              <w:rPr>
                <w:noProof/>
                <w:webHidden/>
              </w:rPr>
              <w:instrText xml:space="preserve"> PAGEREF _Toc88126855 \h </w:instrText>
            </w:r>
            <w:r w:rsidR="00621F8B" w:rsidRPr="00621F8B">
              <w:rPr>
                <w:noProof/>
                <w:webHidden/>
              </w:rPr>
            </w:r>
            <w:r w:rsidR="00621F8B" w:rsidRPr="00621F8B">
              <w:rPr>
                <w:noProof/>
                <w:webHidden/>
              </w:rPr>
              <w:fldChar w:fldCharType="separate"/>
            </w:r>
            <w:r w:rsidR="00621F8B" w:rsidRPr="00621F8B">
              <w:rPr>
                <w:noProof/>
                <w:webHidden/>
              </w:rPr>
              <w:t>37</w:t>
            </w:r>
            <w:r w:rsidR="00621F8B" w:rsidRPr="00621F8B">
              <w:rPr>
                <w:noProof/>
                <w:webHidden/>
              </w:rPr>
              <w:fldChar w:fldCharType="end"/>
            </w:r>
          </w:hyperlink>
        </w:p>
        <w:p w14:paraId="07A09962" w14:textId="04FB181D" w:rsidR="00621F8B" w:rsidRPr="00621F8B" w:rsidRDefault="00FF1E0C">
          <w:pPr>
            <w:pStyle w:val="TDC1"/>
            <w:tabs>
              <w:tab w:val="left" w:pos="400"/>
              <w:tab w:val="right" w:leader="dot" w:pos="8637"/>
            </w:tabs>
            <w:rPr>
              <w:rFonts w:asciiTheme="minorHAnsi" w:eastAsiaTheme="minorEastAsia" w:hAnsiTheme="minorHAnsi" w:cstheme="minorBidi"/>
              <w:noProof/>
              <w:spacing w:val="0"/>
              <w:sz w:val="22"/>
              <w:szCs w:val="22"/>
              <w:lang w:eastAsia="es-CO"/>
            </w:rPr>
          </w:pPr>
          <w:hyperlink w:anchor="_Toc88126856" w:history="1">
            <w:r w:rsidR="00621F8B" w:rsidRPr="00621F8B">
              <w:rPr>
                <w:rStyle w:val="Hipervnculo"/>
                <w:noProof/>
              </w:rPr>
              <w:t>9.</w:t>
            </w:r>
            <w:r w:rsidR="00621F8B" w:rsidRPr="00621F8B">
              <w:rPr>
                <w:rFonts w:asciiTheme="minorHAnsi" w:eastAsiaTheme="minorEastAsia" w:hAnsiTheme="minorHAnsi" w:cstheme="minorBidi"/>
                <w:noProof/>
                <w:spacing w:val="0"/>
                <w:sz w:val="22"/>
                <w:szCs w:val="22"/>
                <w:lang w:eastAsia="es-CO"/>
              </w:rPr>
              <w:tab/>
            </w:r>
            <w:r w:rsidR="00621F8B" w:rsidRPr="00621F8B">
              <w:rPr>
                <w:rStyle w:val="Hipervnculo"/>
                <w:noProof/>
              </w:rPr>
              <w:t>LIQUIDACIÓN CONTRIBUCIÓN ESPECIAL PARA LA VIGENCIA 2021</w:t>
            </w:r>
            <w:r w:rsidR="00621F8B" w:rsidRPr="00621F8B">
              <w:rPr>
                <w:noProof/>
                <w:webHidden/>
              </w:rPr>
              <w:tab/>
            </w:r>
            <w:r w:rsidR="00621F8B" w:rsidRPr="00621F8B">
              <w:rPr>
                <w:noProof/>
                <w:webHidden/>
              </w:rPr>
              <w:fldChar w:fldCharType="begin"/>
            </w:r>
            <w:r w:rsidR="00621F8B" w:rsidRPr="00621F8B">
              <w:rPr>
                <w:noProof/>
                <w:webHidden/>
              </w:rPr>
              <w:instrText xml:space="preserve"> PAGEREF _Toc88126856 \h </w:instrText>
            </w:r>
            <w:r w:rsidR="00621F8B" w:rsidRPr="00621F8B">
              <w:rPr>
                <w:noProof/>
                <w:webHidden/>
              </w:rPr>
            </w:r>
            <w:r w:rsidR="00621F8B" w:rsidRPr="00621F8B">
              <w:rPr>
                <w:noProof/>
                <w:webHidden/>
              </w:rPr>
              <w:fldChar w:fldCharType="separate"/>
            </w:r>
            <w:r w:rsidR="00621F8B" w:rsidRPr="00621F8B">
              <w:rPr>
                <w:noProof/>
                <w:webHidden/>
              </w:rPr>
              <w:t>39</w:t>
            </w:r>
            <w:r w:rsidR="00621F8B" w:rsidRPr="00621F8B">
              <w:rPr>
                <w:noProof/>
                <w:webHidden/>
              </w:rPr>
              <w:fldChar w:fldCharType="end"/>
            </w:r>
          </w:hyperlink>
        </w:p>
        <w:p w14:paraId="3729002C" w14:textId="1FA7D36F" w:rsidR="00621F8B" w:rsidRPr="00621F8B" w:rsidRDefault="00FF1E0C">
          <w:pPr>
            <w:pStyle w:val="TDC2"/>
            <w:tabs>
              <w:tab w:val="left" w:pos="800"/>
              <w:tab w:val="right" w:leader="dot" w:pos="8637"/>
            </w:tabs>
            <w:rPr>
              <w:rFonts w:asciiTheme="minorHAnsi" w:eastAsiaTheme="minorEastAsia" w:hAnsiTheme="minorHAnsi" w:cstheme="minorBidi"/>
              <w:noProof/>
              <w:spacing w:val="0"/>
              <w:sz w:val="22"/>
              <w:szCs w:val="22"/>
              <w:lang w:eastAsia="es-CO"/>
            </w:rPr>
          </w:pPr>
          <w:hyperlink w:anchor="_Toc88126857" w:history="1">
            <w:r w:rsidR="00621F8B" w:rsidRPr="00621F8B">
              <w:rPr>
                <w:rStyle w:val="Hipervnculo"/>
                <w:noProof/>
              </w:rPr>
              <w:t>9.1</w:t>
            </w:r>
            <w:r w:rsidR="00621F8B" w:rsidRPr="00621F8B">
              <w:rPr>
                <w:rFonts w:asciiTheme="minorHAnsi" w:eastAsiaTheme="minorEastAsia" w:hAnsiTheme="minorHAnsi" w:cstheme="minorBidi"/>
                <w:noProof/>
                <w:spacing w:val="0"/>
                <w:sz w:val="22"/>
                <w:szCs w:val="22"/>
                <w:lang w:eastAsia="es-CO"/>
              </w:rPr>
              <w:tab/>
            </w:r>
            <w:r w:rsidR="00621F8B" w:rsidRPr="00621F8B">
              <w:rPr>
                <w:rStyle w:val="Hipervnculo"/>
                <w:noProof/>
              </w:rPr>
              <w:t>PRESUPUESTO NETO ENERGÍA Y GAS COMBUSTIBLE VIGENCIA 2021</w:t>
            </w:r>
            <w:r w:rsidR="00621F8B" w:rsidRPr="00621F8B">
              <w:rPr>
                <w:noProof/>
                <w:webHidden/>
              </w:rPr>
              <w:tab/>
            </w:r>
            <w:r w:rsidR="00621F8B" w:rsidRPr="00621F8B">
              <w:rPr>
                <w:noProof/>
                <w:webHidden/>
              </w:rPr>
              <w:fldChar w:fldCharType="begin"/>
            </w:r>
            <w:r w:rsidR="00621F8B" w:rsidRPr="00621F8B">
              <w:rPr>
                <w:noProof/>
                <w:webHidden/>
              </w:rPr>
              <w:instrText xml:space="preserve"> PAGEREF _Toc88126857 \h </w:instrText>
            </w:r>
            <w:r w:rsidR="00621F8B" w:rsidRPr="00621F8B">
              <w:rPr>
                <w:noProof/>
                <w:webHidden/>
              </w:rPr>
            </w:r>
            <w:r w:rsidR="00621F8B" w:rsidRPr="00621F8B">
              <w:rPr>
                <w:noProof/>
                <w:webHidden/>
              </w:rPr>
              <w:fldChar w:fldCharType="separate"/>
            </w:r>
            <w:r w:rsidR="00621F8B" w:rsidRPr="00621F8B">
              <w:rPr>
                <w:noProof/>
                <w:webHidden/>
              </w:rPr>
              <w:t>39</w:t>
            </w:r>
            <w:r w:rsidR="00621F8B" w:rsidRPr="00621F8B">
              <w:rPr>
                <w:noProof/>
                <w:webHidden/>
              </w:rPr>
              <w:fldChar w:fldCharType="end"/>
            </w:r>
          </w:hyperlink>
        </w:p>
        <w:p w14:paraId="3AF85AF9" w14:textId="63A19341" w:rsidR="00621F8B" w:rsidRPr="00621F8B" w:rsidRDefault="00FF1E0C">
          <w:pPr>
            <w:pStyle w:val="TDC2"/>
            <w:tabs>
              <w:tab w:val="left" w:pos="800"/>
              <w:tab w:val="right" w:leader="dot" w:pos="8637"/>
            </w:tabs>
            <w:rPr>
              <w:rFonts w:asciiTheme="minorHAnsi" w:eastAsiaTheme="minorEastAsia" w:hAnsiTheme="minorHAnsi" w:cstheme="minorBidi"/>
              <w:noProof/>
              <w:spacing w:val="0"/>
              <w:sz w:val="22"/>
              <w:szCs w:val="22"/>
              <w:lang w:eastAsia="es-CO"/>
            </w:rPr>
          </w:pPr>
          <w:hyperlink w:anchor="_Toc88126858" w:history="1">
            <w:r w:rsidR="00621F8B" w:rsidRPr="00621F8B">
              <w:rPr>
                <w:rStyle w:val="Hipervnculo"/>
                <w:noProof/>
              </w:rPr>
              <w:t>9.2</w:t>
            </w:r>
            <w:r w:rsidR="00621F8B" w:rsidRPr="00621F8B">
              <w:rPr>
                <w:rFonts w:asciiTheme="minorHAnsi" w:eastAsiaTheme="minorEastAsia" w:hAnsiTheme="minorHAnsi" w:cstheme="minorBidi"/>
                <w:noProof/>
                <w:spacing w:val="0"/>
                <w:sz w:val="22"/>
                <w:szCs w:val="22"/>
                <w:lang w:eastAsia="es-CO"/>
              </w:rPr>
              <w:tab/>
            </w:r>
            <w:r w:rsidR="00621F8B" w:rsidRPr="00621F8B">
              <w:rPr>
                <w:rStyle w:val="Hipervnculo"/>
                <w:noProof/>
              </w:rPr>
              <w:t>FALTANTE PRESUPUESTAL CONTRIBUCIÓN ESPECIAL VIGENCIA 2021.</w:t>
            </w:r>
            <w:r w:rsidR="00621F8B" w:rsidRPr="00621F8B">
              <w:rPr>
                <w:noProof/>
                <w:webHidden/>
              </w:rPr>
              <w:tab/>
            </w:r>
            <w:r w:rsidR="00621F8B" w:rsidRPr="00621F8B">
              <w:rPr>
                <w:noProof/>
                <w:webHidden/>
              </w:rPr>
              <w:fldChar w:fldCharType="begin"/>
            </w:r>
            <w:r w:rsidR="00621F8B" w:rsidRPr="00621F8B">
              <w:rPr>
                <w:noProof/>
                <w:webHidden/>
              </w:rPr>
              <w:instrText xml:space="preserve"> PAGEREF _Toc88126858 \h </w:instrText>
            </w:r>
            <w:r w:rsidR="00621F8B" w:rsidRPr="00621F8B">
              <w:rPr>
                <w:noProof/>
                <w:webHidden/>
              </w:rPr>
            </w:r>
            <w:r w:rsidR="00621F8B" w:rsidRPr="00621F8B">
              <w:rPr>
                <w:noProof/>
                <w:webHidden/>
              </w:rPr>
              <w:fldChar w:fldCharType="separate"/>
            </w:r>
            <w:r w:rsidR="00621F8B" w:rsidRPr="00621F8B">
              <w:rPr>
                <w:noProof/>
                <w:webHidden/>
              </w:rPr>
              <w:t>41</w:t>
            </w:r>
            <w:r w:rsidR="00621F8B" w:rsidRPr="00621F8B">
              <w:rPr>
                <w:noProof/>
                <w:webHidden/>
              </w:rPr>
              <w:fldChar w:fldCharType="end"/>
            </w:r>
          </w:hyperlink>
        </w:p>
        <w:p w14:paraId="64C6C4C4" w14:textId="4C282A55" w:rsidR="00621F8B" w:rsidRPr="00621F8B" w:rsidRDefault="00FF1E0C">
          <w:pPr>
            <w:pStyle w:val="TDC2"/>
            <w:tabs>
              <w:tab w:val="left" w:pos="800"/>
              <w:tab w:val="right" w:leader="dot" w:pos="8637"/>
            </w:tabs>
            <w:rPr>
              <w:rFonts w:asciiTheme="minorHAnsi" w:eastAsiaTheme="minorEastAsia" w:hAnsiTheme="minorHAnsi" w:cstheme="minorBidi"/>
              <w:noProof/>
              <w:spacing w:val="0"/>
              <w:sz w:val="22"/>
              <w:szCs w:val="22"/>
              <w:lang w:eastAsia="es-CO"/>
            </w:rPr>
          </w:pPr>
          <w:hyperlink w:anchor="_Toc88126859" w:history="1">
            <w:r w:rsidR="00621F8B" w:rsidRPr="00621F8B">
              <w:rPr>
                <w:rStyle w:val="Hipervnculo"/>
                <w:noProof/>
              </w:rPr>
              <w:t>9.3</w:t>
            </w:r>
            <w:r w:rsidR="00621F8B" w:rsidRPr="00621F8B">
              <w:rPr>
                <w:rFonts w:asciiTheme="minorHAnsi" w:eastAsiaTheme="minorEastAsia" w:hAnsiTheme="minorHAnsi" w:cstheme="minorBidi"/>
                <w:noProof/>
                <w:spacing w:val="0"/>
                <w:sz w:val="22"/>
                <w:szCs w:val="22"/>
                <w:lang w:eastAsia="es-CO"/>
              </w:rPr>
              <w:tab/>
            </w:r>
            <w:r w:rsidR="00621F8B" w:rsidRPr="00621F8B">
              <w:rPr>
                <w:rStyle w:val="Hipervnculo"/>
                <w:noProof/>
              </w:rPr>
              <w:t>APLICACIÓN DEL PARÁGRAFO 2 DEL ARTÍCULO 85 DE LA LEY 142 DE 1994.</w:t>
            </w:r>
            <w:r w:rsidR="00621F8B" w:rsidRPr="00621F8B">
              <w:rPr>
                <w:noProof/>
                <w:webHidden/>
              </w:rPr>
              <w:tab/>
            </w:r>
            <w:r w:rsidR="00621F8B" w:rsidRPr="00621F8B">
              <w:rPr>
                <w:noProof/>
                <w:webHidden/>
              </w:rPr>
              <w:fldChar w:fldCharType="begin"/>
            </w:r>
            <w:r w:rsidR="00621F8B" w:rsidRPr="00621F8B">
              <w:rPr>
                <w:noProof/>
                <w:webHidden/>
              </w:rPr>
              <w:instrText xml:space="preserve"> PAGEREF _Toc88126859 \h </w:instrText>
            </w:r>
            <w:r w:rsidR="00621F8B" w:rsidRPr="00621F8B">
              <w:rPr>
                <w:noProof/>
                <w:webHidden/>
              </w:rPr>
            </w:r>
            <w:r w:rsidR="00621F8B" w:rsidRPr="00621F8B">
              <w:rPr>
                <w:noProof/>
                <w:webHidden/>
              </w:rPr>
              <w:fldChar w:fldCharType="separate"/>
            </w:r>
            <w:r w:rsidR="00621F8B" w:rsidRPr="00621F8B">
              <w:rPr>
                <w:noProof/>
                <w:webHidden/>
              </w:rPr>
              <w:t>41</w:t>
            </w:r>
            <w:r w:rsidR="00621F8B" w:rsidRPr="00621F8B">
              <w:rPr>
                <w:noProof/>
                <w:webHidden/>
              </w:rPr>
              <w:fldChar w:fldCharType="end"/>
            </w:r>
          </w:hyperlink>
        </w:p>
        <w:p w14:paraId="387789E4" w14:textId="79F25999" w:rsidR="00621F8B" w:rsidRPr="00621F8B" w:rsidRDefault="00FF1E0C">
          <w:pPr>
            <w:pStyle w:val="TDC2"/>
            <w:tabs>
              <w:tab w:val="left" w:pos="800"/>
              <w:tab w:val="right" w:leader="dot" w:pos="8637"/>
            </w:tabs>
            <w:rPr>
              <w:rFonts w:asciiTheme="minorHAnsi" w:eastAsiaTheme="minorEastAsia" w:hAnsiTheme="minorHAnsi" w:cstheme="minorBidi"/>
              <w:noProof/>
              <w:spacing w:val="0"/>
              <w:sz w:val="22"/>
              <w:szCs w:val="22"/>
              <w:lang w:eastAsia="es-CO"/>
            </w:rPr>
          </w:pPr>
          <w:hyperlink w:anchor="_Toc88126860" w:history="1">
            <w:r w:rsidR="00621F8B" w:rsidRPr="00621F8B">
              <w:rPr>
                <w:rStyle w:val="Hipervnculo"/>
                <w:noProof/>
              </w:rPr>
              <w:t>9.4</w:t>
            </w:r>
            <w:r w:rsidR="00621F8B" w:rsidRPr="00621F8B">
              <w:rPr>
                <w:rFonts w:asciiTheme="minorHAnsi" w:eastAsiaTheme="minorEastAsia" w:hAnsiTheme="minorHAnsi" w:cstheme="minorBidi"/>
                <w:noProof/>
                <w:spacing w:val="0"/>
                <w:sz w:val="22"/>
                <w:szCs w:val="22"/>
                <w:lang w:eastAsia="es-CO"/>
              </w:rPr>
              <w:tab/>
            </w:r>
            <w:r w:rsidR="00621F8B" w:rsidRPr="00621F8B">
              <w:rPr>
                <w:rStyle w:val="Hipervnculo"/>
                <w:noProof/>
              </w:rPr>
              <w:t>BASE GRAVABLE LIQUIDACIÓN CONTRIBUCIÓN ESPECIAL 2021.</w:t>
            </w:r>
            <w:r w:rsidR="00621F8B" w:rsidRPr="00621F8B">
              <w:rPr>
                <w:noProof/>
                <w:webHidden/>
              </w:rPr>
              <w:tab/>
            </w:r>
            <w:r w:rsidR="00621F8B" w:rsidRPr="00621F8B">
              <w:rPr>
                <w:noProof/>
                <w:webHidden/>
              </w:rPr>
              <w:fldChar w:fldCharType="begin"/>
            </w:r>
            <w:r w:rsidR="00621F8B" w:rsidRPr="00621F8B">
              <w:rPr>
                <w:noProof/>
                <w:webHidden/>
              </w:rPr>
              <w:instrText xml:space="preserve"> PAGEREF _Toc88126860 \h </w:instrText>
            </w:r>
            <w:r w:rsidR="00621F8B" w:rsidRPr="00621F8B">
              <w:rPr>
                <w:noProof/>
                <w:webHidden/>
              </w:rPr>
            </w:r>
            <w:r w:rsidR="00621F8B" w:rsidRPr="00621F8B">
              <w:rPr>
                <w:noProof/>
                <w:webHidden/>
              </w:rPr>
              <w:fldChar w:fldCharType="separate"/>
            </w:r>
            <w:r w:rsidR="00621F8B" w:rsidRPr="00621F8B">
              <w:rPr>
                <w:noProof/>
                <w:webHidden/>
              </w:rPr>
              <w:t>42</w:t>
            </w:r>
            <w:r w:rsidR="00621F8B" w:rsidRPr="00621F8B">
              <w:rPr>
                <w:noProof/>
                <w:webHidden/>
              </w:rPr>
              <w:fldChar w:fldCharType="end"/>
            </w:r>
          </w:hyperlink>
        </w:p>
        <w:p w14:paraId="5CF1BEE0" w14:textId="09F6BA70" w:rsidR="00621F8B" w:rsidRPr="00621F8B" w:rsidRDefault="00FF1E0C">
          <w:pPr>
            <w:pStyle w:val="TDC2"/>
            <w:tabs>
              <w:tab w:val="left" w:pos="800"/>
              <w:tab w:val="right" w:leader="dot" w:pos="8637"/>
            </w:tabs>
            <w:rPr>
              <w:rFonts w:asciiTheme="minorHAnsi" w:eastAsiaTheme="minorEastAsia" w:hAnsiTheme="minorHAnsi" w:cstheme="minorBidi"/>
              <w:noProof/>
              <w:spacing w:val="0"/>
              <w:sz w:val="22"/>
              <w:szCs w:val="22"/>
              <w:lang w:eastAsia="es-CO"/>
            </w:rPr>
          </w:pPr>
          <w:hyperlink w:anchor="_Toc88126861" w:history="1">
            <w:r w:rsidR="00621F8B" w:rsidRPr="00621F8B">
              <w:rPr>
                <w:rStyle w:val="Hipervnculo"/>
                <w:noProof/>
              </w:rPr>
              <w:t>9.5</w:t>
            </w:r>
            <w:r w:rsidR="00621F8B" w:rsidRPr="00621F8B">
              <w:rPr>
                <w:rFonts w:asciiTheme="minorHAnsi" w:eastAsiaTheme="minorEastAsia" w:hAnsiTheme="minorHAnsi" w:cstheme="minorBidi"/>
                <w:noProof/>
                <w:spacing w:val="0"/>
                <w:sz w:val="22"/>
                <w:szCs w:val="22"/>
                <w:lang w:eastAsia="es-CO"/>
              </w:rPr>
              <w:tab/>
            </w:r>
            <w:r w:rsidR="00621F8B" w:rsidRPr="00621F8B">
              <w:rPr>
                <w:rStyle w:val="Hipervnculo"/>
                <w:noProof/>
              </w:rPr>
              <w:t>LIQUIDACIÓN CONTRIBUCIÓN ESPECIAL 2021.</w:t>
            </w:r>
            <w:r w:rsidR="00621F8B" w:rsidRPr="00621F8B">
              <w:rPr>
                <w:noProof/>
                <w:webHidden/>
              </w:rPr>
              <w:tab/>
            </w:r>
            <w:r w:rsidR="00621F8B" w:rsidRPr="00621F8B">
              <w:rPr>
                <w:noProof/>
                <w:webHidden/>
              </w:rPr>
              <w:fldChar w:fldCharType="begin"/>
            </w:r>
            <w:r w:rsidR="00621F8B" w:rsidRPr="00621F8B">
              <w:rPr>
                <w:noProof/>
                <w:webHidden/>
              </w:rPr>
              <w:instrText xml:space="preserve"> PAGEREF _Toc88126861 \h </w:instrText>
            </w:r>
            <w:r w:rsidR="00621F8B" w:rsidRPr="00621F8B">
              <w:rPr>
                <w:noProof/>
                <w:webHidden/>
              </w:rPr>
            </w:r>
            <w:r w:rsidR="00621F8B" w:rsidRPr="00621F8B">
              <w:rPr>
                <w:noProof/>
                <w:webHidden/>
              </w:rPr>
              <w:fldChar w:fldCharType="separate"/>
            </w:r>
            <w:r w:rsidR="00621F8B" w:rsidRPr="00621F8B">
              <w:rPr>
                <w:noProof/>
                <w:webHidden/>
              </w:rPr>
              <w:t>44</w:t>
            </w:r>
            <w:r w:rsidR="00621F8B" w:rsidRPr="00621F8B">
              <w:rPr>
                <w:noProof/>
                <w:webHidden/>
              </w:rPr>
              <w:fldChar w:fldCharType="end"/>
            </w:r>
          </w:hyperlink>
        </w:p>
        <w:p w14:paraId="4134896B" w14:textId="6B1C0671" w:rsidR="00621F8B" w:rsidRPr="00621F8B" w:rsidRDefault="00FF1E0C">
          <w:pPr>
            <w:pStyle w:val="TDC2"/>
            <w:tabs>
              <w:tab w:val="left" w:pos="800"/>
              <w:tab w:val="right" w:leader="dot" w:pos="8637"/>
            </w:tabs>
            <w:rPr>
              <w:rFonts w:asciiTheme="minorHAnsi" w:eastAsiaTheme="minorEastAsia" w:hAnsiTheme="minorHAnsi" w:cstheme="minorBidi"/>
              <w:noProof/>
              <w:spacing w:val="0"/>
              <w:sz w:val="22"/>
              <w:szCs w:val="22"/>
              <w:lang w:eastAsia="es-CO"/>
            </w:rPr>
          </w:pPr>
          <w:hyperlink w:anchor="_Toc88126862" w:history="1">
            <w:r w:rsidR="00621F8B" w:rsidRPr="00621F8B">
              <w:rPr>
                <w:rStyle w:val="Hipervnculo"/>
                <w:noProof/>
              </w:rPr>
              <w:t>9.6</w:t>
            </w:r>
            <w:r w:rsidR="00621F8B" w:rsidRPr="00621F8B">
              <w:rPr>
                <w:rFonts w:asciiTheme="minorHAnsi" w:eastAsiaTheme="minorEastAsia" w:hAnsiTheme="minorHAnsi" w:cstheme="minorBidi"/>
                <w:noProof/>
                <w:spacing w:val="0"/>
                <w:sz w:val="22"/>
                <w:szCs w:val="22"/>
                <w:lang w:eastAsia="es-CO"/>
              </w:rPr>
              <w:tab/>
            </w:r>
            <w:r w:rsidR="00621F8B" w:rsidRPr="00621F8B">
              <w:rPr>
                <w:rStyle w:val="Hipervnculo"/>
                <w:noProof/>
              </w:rPr>
              <w:t>EMPRESAS REGULADAS POR SECTOR CONTRIBUCIÓN ESPECIAL 2021.</w:t>
            </w:r>
            <w:r w:rsidR="00621F8B" w:rsidRPr="00621F8B">
              <w:rPr>
                <w:noProof/>
                <w:webHidden/>
              </w:rPr>
              <w:tab/>
            </w:r>
            <w:r w:rsidR="00621F8B" w:rsidRPr="00621F8B">
              <w:rPr>
                <w:noProof/>
                <w:webHidden/>
              </w:rPr>
              <w:fldChar w:fldCharType="begin"/>
            </w:r>
            <w:r w:rsidR="00621F8B" w:rsidRPr="00621F8B">
              <w:rPr>
                <w:noProof/>
                <w:webHidden/>
              </w:rPr>
              <w:instrText xml:space="preserve"> PAGEREF _Toc88126862 \h </w:instrText>
            </w:r>
            <w:r w:rsidR="00621F8B" w:rsidRPr="00621F8B">
              <w:rPr>
                <w:noProof/>
                <w:webHidden/>
              </w:rPr>
            </w:r>
            <w:r w:rsidR="00621F8B" w:rsidRPr="00621F8B">
              <w:rPr>
                <w:noProof/>
                <w:webHidden/>
              </w:rPr>
              <w:fldChar w:fldCharType="separate"/>
            </w:r>
            <w:r w:rsidR="00621F8B" w:rsidRPr="00621F8B">
              <w:rPr>
                <w:noProof/>
                <w:webHidden/>
              </w:rPr>
              <w:t>45</w:t>
            </w:r>
            <w:r w:rsidR="00621F8B" w:rsidRPr="00621F8B">
              <w:rPr>
                <w:noProof/>
                <w:webHidden/>
              </w:rPr>
              <w:fldChar w:fldCharType="end"/>
            </w:r>
          </w:hyperlink>
        </w:p>
        <w:p w14:paraId="178892E2" w14:textId="6A397095" w:rsidR="00621F8B" w:rsidRPr="00621F8B" w:rsidRDefault="00FF1E0C">
          <w:pPr>
            <w:pStyle w:val="TDC1"/>
            <w:tabs>
              <w:tab w:val="left" w:pos="600"/>
              <w:tab w:val="right" w:leader="dot" w:pos="8637"/>
            </w:tabs>
            <w:rPr>
              <w:rFonts w:asciiTheme="minorHAnsi" w:eastAsiaTheme="minorEastAsia" w:hAnsiTheme="minorHAnsi" w:cstheme="minorBidi"/>
              <w:noProof/>
              <w:spacing w:val="0"/>
              <w:sz w:val="22"/>
              <w:szCs w:val="22"/>
              <w:lang w:eastAsia="es-CO"/>
            </w:rPr>
          </w:pPr>
          <w:hyperlink w:anchor="_Toc88126863" w:history="1">
            <w:r w:rsidR="00621F8B" w:rsidRPr="00621F8B">
              <w:rPr>
                <w:rStyle w:val="Hipervnculo"/>
                <w:noProof/>
              </w:rPr>
              <w:t>10.</w:t>
            </w:r>
            <w:r w:rsidR="00621F8B" w:rsidRPr="00621F8B">
              <w:rPr>
                <w:rFonts w:asciiTheme="minorHAnsi" w:eastAsiaTheme="minorEastAsia" w:hAnsiTheme="minorHAnsi" w:cstheme="minorBidi"/>
                <w:noProof/>
                <w:spacing w:val="0"/>
                <w:sz w:val="22"/>
                <w:szCs w:val="22"/>
                <w:lang w:eastAsia="es-CO"/>
              </w:rPr>
              <w:tab/>
            </w:r>
            <w:r w:rsidR="00621F8B" w:rsidRPr="00621F8B">
              <w:rPr>
                <w:rStyle w:val="Hipervnculo"/>
                <w:noProof/>
              </w:rPr>
              <w:t>BASE GRAVABLE Y CONTRIBUCIÓN ESPECIAL AÑO 2021</w:t>
            </w:r>
            <w:r w:rsidR="00621F8B" w:rsidRPr="00621F8B">
              <w:rPr>
                <w:noProof/>
                <w:webHidden/>
              </w:rPr>
              <w:tab/>
            </w:r>
            <w:r w:rsidR="00621F8B" w:rsidRPr="00621F8B">
              <w:rPr>
                <w:noProof/>
                <w:webHidden/>
              </w:rPr>
              <w:fldChar w:fldCharType="begin"/>
            </w:r>
            <w:r w:rsidR="00621F8B" w:rsidRPr="00621F8B">
              <w:rPr>
                <w:noProof/>
                <w:webHidden/>
              </w:rPr>
              <w:instrText xml:space="preserve"> PAGEREF _Toc88126863 \h </w:instrText>
            </w:r>
            <w:r w:rsidR="00621F8B" w:rsidRPr="00621F8B">
              <w:rPr>
                <w:noProof/>
                <w:webHidden/>
              </w:rPr>
            </w:r>
            <w:r w:rsidR="00621F8B" w:rsidRPr="00621F8B">
              <w:rPr>
                <w:noProof/>
                <w:webHidden/>
              </w:rPr>
              <w:fldChar w:fldCharType="separate"/>
            </w:r>
            <w:r w:rsidR="00621F8B" w:rsidRPr="00621F8B">
              <w:rPr>
                <w:noProof/>
                <w:webHidden/>
              </w:rPr>
              <w:t>45</w:t>
            </w:r>
            <w:r w:rsidR="00621F8B" w:rsidRPr="00621F8B">
              <w:rPr>
                <w:noProof/>
                <w:webHidden/>
              </w:rPr>
              <w:fldChar w:fldCharType="end"/>
            </w:r>
          </w:hyperlink>
        </w:p>
        <w:p w14:paraId="6D77A6BD" w14:textId="4E20AFE1" w:rsidR="00621F8B" w:rsidRPr="00621F8B" w:rsidRDefault="00FF1E0C">
          <w:pPr>
            <w:pStyle w:val="TDC2"/>
            <w:tabs>
              <w:tab w:val="left" w:pos="800"/>
              <w:tab w:val="right" w:leader="dot" w:pos="8637"/>
            </w:tabs>
            <w:rPr>
              <w:rFonts w:asciiTheme="minorHAnsi" w:eastAsiaTheme="minorEastAsia" w:hAnsiTheme="minorHAnsi" w:cstheme="minorBidi"/>
              <w:noProof/>
              <w:spacing w:val="0"/>
              <w:sz w:val="22"/>
              <w:szCs w:val="22"/>
              <w:lang w:eastAsia="es-CO"/>
            </w:rPr>
          </w:pPr>
          <w:hyperlink w:anchor="_Toc88126864" w:history="1">
            <w:r w:rsidR="00621F8B" w:rsidRPr="00621F8B">
              <w:rPr>
                <w:rStyle w:val="Hipervnculo"/>
                <w:noProof/>
              </w:rPr>
              <w:t>10.1</w:t>
            </w:r>
            <w:r w:rsidR="00621F8B" w:rsidRPr="00621F8B">
              <w:rPr>
                <w:rFonts w:asciiTheme="minorHAnsi" w:eastAsiaTheme="minorEastAsia" w:hAnsiTheme="minorHAnsi" w:cstheme="minorBidi"/>
                <w:noProof/>
                <w:spacing w:val="0"/>
                <w:sz w:val="22"/>
                <w:szCs w:val="22"/>
                <w:lang w:eastAsia="es-CO"/>
              </w:rPr>
              <w:tab/>
            </w:r>
            <w:r w:rsidR="00621F8B" w:rsidRPr="00621F8B">
              <w:rPr>
                <w:rStyle w:val="Hipervnculo"/>
                <w:noProof/>
              </w:rPr>
              <w:t>SERVICIO DE ENERGÍA.</w:t>
            </w:r>
            <w:r w:rsidR="00621F8B" w:rsidRPr="00621F8B">
              <w:rPr>
                <w:noProof/>
                <w:webHidden/>
              </w:rPr>
              <w:tab/>
            </w:r>
            <w:r w:rsidR="00621F8B" w:rsidRPr="00621F8B">
              <w:rPr>
                <w:noProof/>
                <w:webHidden/>
              </w:rPr>
              <w:fldChar w:fldCharType="begin"/>
            </w:r>
            <w:r w:rsidR="00621F8B" w:rsidRPr="00621F8B">
              <w:rPr>
                <w:noProof/>
                <w:webHidden/>
              </w:rPr>
              <w:instrText xml:space="preserve"> PAGEREF _Toc88126864 \h </w:instrText>
            </w:r>
            <w:r w:rsidR="00621F8B" w:rsidRPr="00621F8B">
              <w:rPr>
                <w:noProof/>
                <w:webHidden/>
              </w:rPr>
            </w:r>
            <w:r w:rsidR="00621F8B" w:rsidRPr="00621F8B">
              <w:rPr>
                <w:noProof/>
                <w:webHidden/>
              </w:rPr>
              <w:fldChar w:fldCharType="separate"/>
            </w:r>
            <w:r w:rsidR="00621F8B" w:rsidRPr="00621F8B">
              <w:rPr>
                <w:noProof/>
                <w:webHidden/>
              </w:rPr>
              <w:t>45</w:t>
            </w:r>
            <w:r w:rsidR="00621F8B" w:rsidRPr="00621F8B">
              <w:rPr>
                <w:noProof/>
                <w:webHidden/>
              </w:rPr>
              <w:fldChar w:fldCharType="end"/>
            </w:r>
          </w:hyperlink>
        </w:p>
        <w:p w14:paraId="22449B2C" w14:textId="4D544D97" w:rsidR="00621F8B" w:rsidRPr="00621F8B" w:rsidRDefault="00FF1E0C">
          <w:pPr>
            <w:pStyle w:val="TDC2"/>
            <w:tabs>
              <w:tab w:val="left" w:pos="800"/>
              <w:tab w:val="right" w:leader="dot" w:pos="8637"/>
            </w:tabs>
            <w:rPr>
              <w:rFonts w:asciiTheme="minorHAnsi" w:eastAsiaTheme="minorEastAsia" w:hAnsiTheme="minorHAnsi" w:cstheme="minorBidi"/>
              <w:noProof/>
              <w:spacing w:val="0"/>
              <w:sz w:val="22"/>
              <w:szCs w:val="22"/>
              <w:lang w:eastAsia="es-CO"/>
            </w:rPr>
          </w:pPr>
          <w:hyperlink w:anchor="_Toc88126865" w:history="1">
            <w:r w:rsidR="00621F8B" w:rsidRPr="00621F8B">
              <w:rPr>
                <w:rStyle w:val="Hipervnculo"/>
                <w:noProof/>
              </w:rPr>
              <w:t>10.2</w:t>
            </w:r>
            <w:r w:rsidR="00621F8B" w:rsidRPr="00621F8B">
              <w:rPr>
                <w:rFonts w:asciiTheme="minorHAnsi" w:eastAsiaTheme="minorEastAsia" w:hAnsiTheme="minorHAnsi" w:cstheme="minorBidi"/>
                <w:noProof/>
                <w:spacing w:val="0"/>
                <w:sz w:val="22"/>
                <w:szCs w:val="22"/>
                <w:lang w:eastAsia="es-CO"/>
              </w:rPr>
              <w:tab/>
            </w:r>
            <w:r w:rsidR="00621F8B" w:rsidRPr="00621F8B">
              <w:rPr>
                <w:rStyle w:val="Hipervnculo"/>
                <w:noProof/>
              </w:rPr>
              <w:t>SERVICIO DE GAS NATURAL.</w:t>
            </w:r>
            <w:r w:rsidR="00621F8B" w:rsidRPr="00621F8B">
              <w:rPr>
                <w:noProof/>
                <w:webHidden/>
              </w:rPr>
              <w:tab/>
            </w:r>
            <w:r w:rsidR="00621F8B" w:rsidRPr="00621F8B">
              <w:rPr>
                <w:noProof/>
                <w:webHidden/>
              </w:rPr>
              <w:fldChar w:fldCharType="begin"/>
            </w:r>
            <w:r w:rsidR="00621F8B" w:rsidRPr="00621F8B">
              <w:rPr>
                <w:noProof/>
                <w:webHidden/>
              </w:rPr>
              <w:instrText xml:space="preserve"> PAGEREF _Toc88126865 \h </w:instrText>
            </w:r>
            <w:r w:rsidR="00621F8B" w:rsidRPr="00621F8B">
              <w:rPr>
                <w:noProof/>
                <w:webHidden/>
              </w:rPr>
            </w:r>
            <w:r w:rsidR="00621F8B" w:rsidRPr="00621F8B">
              <w:rPr>
                <w:noProof/>
                <w:webHidden/>
              </w:rPr>
              <w:fldChar w:fldCharType="separate"/>
            </w:r>
            <w:r w:rsidR="00621F8B" w:rsidRPr="00621F8B">
              <w:rPr>
                <w:noProof/>
                <w:webHidden/>
              </w:rPr>
              <w:t>52</w:t>
            </w:r>
            <w:r w:rsidR="00621F8B" w:rsidRPr="00621F8B">
              <w:rPr>
                <w:noProof/>
                <w:webHidden/>
              </w:rPr>
              <w:fldChar w:fldCharType="end"/>
            </w:r>
          </w:hyperlink>
        </w:p>
        <w:p w14:paraId="3D0199DC" w14:textId="3E7EC23D" w:rsidR="00621F8B" w:rsidRPr="00621F8B" w:rsidRDefault="00FF1E0C">
          <w:pPr>
            <w:pStyle w:val="TDC2"/>
            <w:tabs>
              <w:tab w:val="left" w:pos="800"/>
              <w:tab w:val="right" w:leader="dot" w:pos="8637"/>
            </w:tabs>
            <w:rPr>
              <w:rFonts w:asciiTheme="minorHAnsi" w:eastAsiaTheme="minorEastAsia" w:hAnsiTheme="minorHAnsi" w:cstheme="minorBidi"/>
              <w:noProof/>
              <w:spacing w:val="0"/>
              <w:sz w:val="22"/>
              <w:szCs w:val="22"/>
              <w:lang w:eastAsia="es-CO"/>
            </w:rPr>
          </w:pPr>
          <w:hyperlink w:anchor="_Toc88126866" w:history="1">
            <w:r w:rsidR="00621F8B" w:rsidRPr="00621F8B">
              <w:rPr>
                <w:rStyle w:val="Hipervnculo"/>
                <w:noProof/>
              </w:rPr>
              <w:t>10.3</w:t>
            </w:r>
            <w:r w:rsidR="00621F8B" w:rsidRPr="00621F8B">
              <w:rPr>
                <w:rFonts w:asciiTheme="minorHAnsi" w:eastAsiaTheme="minorEastAsia" w:hAnsiTheme="minorHAnsi" w:cstheme="minorBidi"/>
                <w:noProof/>
                <w:spacing w:val="0"/>
                <w:sz w:val="22"/>
                <w:szCs w:val="22"/>
                <w:lang w:eastAsia="es-CO"/>
              </w:rPr>
              <w:tab/>
            </w:r>
            <w:r w:rsidR="00621F8B" w:rsidRPr="00621F8B">
              <w:rPr>
                <w:rStyle w:val="Hipervnculo"/>
                <w:noProof/>
              </w:rPr>
              <w:t>SERVICIO DE GLP.</w:t>
            </w:r>
            <w:r w:rsidR="00621F8B" w:rsidRPr="00621F8B">
              <w:rPr>
                <w:noProof/>
                <w:webHidden/>
              </w:rPr>
              <w:tab/>
            </w:r>
            <w:r w:rsidR="00621F8B" w:rsidRPr="00621F8B">
              <w:rPr>
                <w:noProof/>
                <w:webHidden/>
              </w:rPr>
              <w:fldChar w:fldCharType="begin"/>
            </w:r>
            <w:r w:rsidR="00621F8B" w:rsidRPr="00621F8B">
              <w:rPr>
                <w:noProof/>
                <w:webHidden/>
              </w:rPr>
              <w:instrText xml:space="preserve"> PAGEREF _Toc88126866 \h </w:instrText>
            </w:r>
            <w:r w:rsidR="00621F8B" w:rsidRPr="00621F8B">
              <w:rPr>
                <w:noProof/>
                <w:webHidden/>
              </w:rPr>
            </w:r>
            <w:r w:rsidR="00621F8B" w:rsidRPr="00621F8B">
              <w:rPr>
                <w:noProof/>
                <w:webHidden/>
              </w:rPr>
              <w:fldChar w:fldCharType="separate"/>
            </w:r>
            <w:r w:rsidR="00621F8B" w:rsidRPr="00621F8B">
              <w:rPr>
                <w:noProof/>
                <w:webHidden/>
              </w:rPr>
              <w:t>56</w:t>
            </w:r>
            <w:r w:rsidR="00621F8B" w:rsidRPr="00621F8B">
              <w:rPr>
                <w:noProof/>
                <w:webHidden/>
              </w:rPr>
              <w:fldChar w:fldCharType="end"/>
            </w:r>
          </w:hyperlink>
        </w:p>
        <w:p w14:paraId="01787394" w14:textId="74233581" w:rsidR="00621F8B" w:rsidRPr="00621F8B" w:rsidRDefault="00FF1E0C">
          <w:pPr>
            <w:pStyle w:val="TDC2"/>
            <w:tabs>
              <w:tab w:val="left" w:pos="800"/>
              <w:tab w:val="right" w:leader="dot" w:pos="8637"/>
            </w:tabs>
            <w:rPr>
              <w:rFonts w:asciiTheme="minorHAnsi" w:eastAsiaTheme="minorEastAsia" w:hAnsiTheme="minorHAnsi" w:cstheme="minorBidi"/>
              <w:noProof/>
              <w:spacing w:val="0"/>
              <w:sz w:val="22"/>
              <w:szCs w:val="22"/>
              <w:lang w:eastAsia="es-CO"/>
            </w:rPr>
          </w:pPr>
          <w:hyperlink w:anchor="_Toc88126867" w:history="1">
            <w:r w:rsidR="00621F8B" w:rsidRPr="00621F8B">
              <w:rPr>
                <w:rStyle w:val="Hipervnculo"/>
                <w:noProof/>
              </w:rPr>
              <w:t>10.4</w:t>
            </w:r>
            <w:r w:rsidR="00621F8B" w:rsidRPr="00621F8B">
              <w:rPr>
                <w:rFonts w:asciiTheme="minorHAnsi" w:eastAsiaTheme="minorEastAsia" w:hAnsiTheme="minorHAnsi" w:cstheme="minorBidi"/>
                <w:noProof/>
                <w:spacing w:val="0"/>
                <w:sz w:val="22"/>
                <w:szCs w:val="22"/>
                <w:lang w:eastAsia="es-CO"/>
              </w:rPr>
              <w:tab/>
            </w:r>
            <w:r w:rsidR="00621F8B" w:rsidRPr="00621F8B">
              <w:rPr>
                <w:rStyle w:val="Hipervnculo"/>
                <w:noProof/>
              </w:rPr>
              <w:t>REGULADOS COMO AGENTES ESPECIALES DEL MERCADO</w:t>
            </w:r>
            <w:r w:rsidR="00621F8B" w:rsidRPr="00621F8B">
              <w:rPr>
                <w:noProof/>
                <w:webHidden/>
              </w:rPr>
              <w:tab/>
            </w:r>
            <w:r w:rsidR="00621F8B" w:rsidRPr="00621F8B">
              <w:rPr>
                <w:noProof/>
                <w:webHidden/>
              </w:rPr>
              <w:fldChar w:fldCharType="begin"/>
            </w:r>
            <w:r w:rsidR="00621F8B" w:rsidRPr="00621F8B">
              <w:rPr>
                <w:noProof/>
                <w:webHidden/>
              </w:rPr>
              <w:instrText xml:space="preserve"> PAGEREF _Toc88126867 \h </w:instrText>
            </w:r>
            <w:r w:rsidR="00621F8B" w:rsidRPr="00621F8B">
              <w:rPr>
                <w:noProof/>
                <w:webHidden/>
              </w:rPr>
            </w:r>
            <w:r w:rsidR="00621F8B" w:rsidRPr="00621F8B">
              <w:rPr>
                <w:noProof/>
                <w:webHidden/>
              </w:rPr>
              <w:fldChar w:fldCharType="separate"/>
            </w:r>
            <w:r w:rsidR="00621F8B" w:rsidRPr="00621F8B">
              <w:rPr>
                <w:noProof/>
                <w:webHidden/>
              </w:rPr>
              <w:t>58</w:t>
            </w:r>
            <w:r w:rsidR="00621F8B" w:rsidRPr="00621F8B">
              <w:rPr>
                <w:noProof/>
                <w:webHidden/>
              </w:rPr>
              <w:fldChar w:fldCharType="end"/>
            </w:r>
          </w:hyperlink>
        </w:p>
        <w:p w14:paraId="04F6A267" w14:textId="0DED1713" w:rsidR="00621F8B" w:rsidRPr="00621F8B" w:rsidRDefault="00FF1E0C">
          <w:pPr>
            <w:pStyle w:val="TDC2"/>
            <w:tabs>
              <w:tab w:val="left" w:pos="800"/>
              <w:tab w:val="right" w:leader="dot" w:pos="8637"/>
            </w:tabs>
            <w:rPr>
              <w:rFonts w:asciiTheme="minorHAnsi" w:eastAsiaTheme="minorEastAsia" w:hAnsiTheme="minorHAnsi" w:cstheme="minorBidi"/>
              <w:noProof/>
              <w:spacing w:val="0"/>
              <w:sz w:val="22"/>
              <w:szCs w:val="22"/>
              <w:lang w:eastAsia="es-CO"/>
            </w:rPr>
          </w:pPr>
          <w:hyperlink w:anchor="_Toc88126868" w:history="1">
            <w:r w:rsidR="00621F8B" w:rsidRPr="00621F8B">
              <w:rPr>
                <w:rStyle w:val="Hipervnculo"/>
                <w:noProof/>
              </w:rPr>
              <w:t>10.5</w:t>
            </w:r>
            <w:r w:rsidR="00621F8B" w:rsidRPr="00621F8B">
              <w:rPr>
                <w:rFonts w:asciiTheme="minorHAnsi" w:eastAsiaTheme="minorEastAsia" w:hAnsiTheme="minorHAnsi" w:cstheme="minorBidi"/>
                <w:noProof/>
                <w:spacing w:val="0"/>
                <w:sz w:val="22"/>
                <w:szCs w:val="22"/>
                <w:lang w:eastAsia="es-CO"/>
              </w:rPr>
              <w:tab/>
            </w:r>
            <w:r w:rsidR="00621F8B" w:rsidRPr="00621F8B">
              <w:rPr>
                <w:rStyle w:val="Hipervnculo"/>
                <w:noProof/>
              </w:rPr>
              <w:t>CONSOLIDADO GENERAL CONTRIBUCIÓN 2021</w:t>
            </w:r>
            <w:r w:rsidR="00621F8B" w:rsidRPr="00621F8B">
              <w:rPr>
                <w:noProof/>
                <w:webHidden/>
              </w:rPr>
              <w:tab/>
            </w:r>
            <w:r w:rsidR="00621F8B" w:rsidRPr="00621F8B">
              <w:rPr>
                <w:noProof/>
                <w:webHidden/>
              </w:rPr>
              <w:fldChar w:fldCharType="begin"/>
            </w:r>
            <w:r w:rsidR="00621F8B" w:rsidRPr="00621F8B">
              <w:rPr>
                <w:noProof/>
                <w:webHidden/>
              </w:rPr>
              <w:instrText xml:space="preserve"> PAGEREF _Toc88126868 \h </w:instrText>
            </w:r>
            <w:r w:rsidR="00621F8B" w:rsidRPr="00621F8B">
              <w:rPr>
                <w:noProof/>
                <w:webHidden/>
              </w:rPr>
            </w:r>
            <w:r w:rsidR="00621F8B" w:rsidRPr="00621F8B">
              <w:rPr>
                <w:noProof/>
                <w:webHidden/>
              </w:rPr>
              <w:fldChar w:fldCharType="separate"/>
            </w:r>
            <w:r w:rsidR="00621F8B" w:rsidRPr="00621F8B">
              <w:rPr>
                <w:noProof/>
                <w:webHidden/>
              </w:rPr>
              <w:t>59</w:t>
            </w:r>
            <w:r w:rsidR="00621F8B" w:rsidRPr="00621F8B">
              <w:rPr>
                <w:noProof/>
                <w:webHidden/>
              </w:rPr>
              <w:fldChar w:fldCharType="end"/>
            </w:r>
          </w:hyperlink>
        </w:p>
        <w:p w14:paraId="04C0EE4A" w14:textId="49008DE4" w:rsidR="00621F8B" w:rsidRPr="00621F8B" w:rsidRDefault="00FF1E0C">
          <w:pPr>
            <w:pStyle w:val="TDC1"/>
            <w:tabs>
              <w:tab w:val="left" w:pos="600"/>
              <w:tab w:val="right" w:leader="dot" w:pos="8637"/>
            </w:tabs>
            <w:rPr>
              <w:rFonts w:asciiTheme="minorHAnsi" w:eastAsiaTheme="minorEastAsia" w:hAnsiTheme="minorHAnsi" w:cstheme="minorBidi"/>
              <w:noProof/>
              <w:spacing w:val="0"/>
              <w:sz w:val="22"/>
              <w:szCs w:val="22"/>
              <w:lang w:eastAsia="es-CO"/>
            </w:rPr>
          </w:pPr>
          <w:hyperlink w:anchor="_Toc88126869" w:history="1">
            <w:r w:rsidR="00621F8B" w:rsidRPr="00621F8B">
              <w:rPr>
                <w:rStyle w:val="Hipervnculo"/>
                <w:noProof/>
              </w:rPr>
              <w:t>11.</w:t>
            </w:r>
            <w:r w:rsidR="00621F8B" w:rsidRPr="00621F8B">
              <w:rPr>
                <w:rFonts w:asciiTheme="minorHAnsi" w:eastAsiaTheme="minorEastAsia" w:hAnsiTheme="minorHAnsi" w:cstheme="minorBidi"/>
                <w:noProof/>
                <w:spacing w:val="0"/>
                <w:sz w:val="22"/>
                <w:szCs w:val="22"/>
                <w:lang w:eastAsia="es-CO"/>
              </w:rPr>
              <w:tab/>
            </w:r>
            <w:r w:rsidR="00621F8B" w:rsidRPr="00621F8B">
              <w:rPr>
                <w:rStyle w:val="Hipervnculo"/>
                <w:noProof/>
              </w:rPr>
              <w:t>NO REPORTANTES, OMISOS Y MOROSOS</w:t>
            </w:r>
            <w:r w:rsidR="00621F8B" w:rsidRPr="00621F8B">
              <w:rPr>
                <w:noProof/>
                <w:webHidden/>
              </w:rPr>
              <w:tab/>
            </w:r>
            <w:r w:rsidR="00621F8B" w:rsidRPr="00621F8B">
              <w:rPr>
                <w:noProof/>
                <w:webHidden/>
              </w:rPr>
              <w:fldChar w:fldCharType="begin"/>
            </w:r>
            <w:r w:rsidR="00621F8B" w:rsidRPr="00621F8B">
              <w:rPr>
                <w:noProof/>
                <w:webHidden/>
              </w:rPr>
              <w:instrText xml:space="preserve"> PAGEREF _Toc88126869 \h </w:instrText>
            </w:r>
            <w:r w:rsidR="00621F8B" w:rsidRPr="00621F8B">
              <w:rPr>
                <w:noProof/>
                <w:webHidden/>
              </w:rPr>
            </w:r>
            <w:r w:rsidR="00621F8B" w:rsidRPr="00621F8B">
              <w:rPr>
                <w:noProof/>
                <w:webHidden/>
              </w:rPr>
              <w:fldChar w:fldCharType="separate"/>
            </w:r>
            <w:r w:rsidR="00621F8B" w:rsidRPr="00621F8B">
              <w:rPr>
                <w:noProof/>
                <w:webHidden/>
              </w:rPr>
              <w:t>74</w:t>
            </w:r>
            <w:r w:rsidR="00621F8B" w:rsidRPr="00621F8B">
              <w:rPr>
                <w:noProof/>
                <w:webHidden/>
              </w:rPr>
              <w:fldChar w:fldCharType="end"/>
            </w:r>
          </w:hyperlink>
        </w:p>
        <w:p w14:paraId="78823393" w14:textId="269C43F1" w:rsidR="00621F8B" w:rsidRPr="00621F8B" w:rsidRDefault="00FF1E0C">
          <w:pPr>
            <w:pStyle w:val="TDC1"/>
            <w:tabs>
              <w:tab w:val="left" w:pos="600"/>
              <w:tab w:val="right" w:leader="dot" w:pos="8637"/>
            </w:tabs>
            <w:rPr>
              <w:rFonts w:asciiTheme="minorHAnsi" w:eastAsiaTheme="minorEastAsia" w:hAnsiTheme="minorHAnsi" w:cstheme="minorBidi"/>
              <w:noProof/>
              <w:spacing w:val="0"/>
              <w:sz w:val="22"/>
              <w:szCs w:val="22"/>
              <w:lang w:eastAsia="es-CO"/>
            </w:rPr>
          </w:pPr>
          <w:hyperlink w:anchor="_Toc88126870" w:history="1">
            <w:r w:rsidR="00621F8B" w:rsidRPr="00621F8B">
              <w:rPr>
                <w:rStyle w:val="Hipervnculo"/>
                <w:noProof/>
              </w:rPr>
              <w:t>12.</w:t>
            </w:r>
            <w:r w:rsidR="00621F8B" w:rsidRPr="00621F8B">
              <w:rPr>
                <w:rFonts w:asciiTheme="minorHAnsi" w:eastAsiaTheme="minorEastAsia" w:hAnsiTheme="minorHAnsi" w:cstheme="minorBidi"/>
                <w:noProof/>
                <w:spacing w:val="0"/>
                <w:sz w:val="22"/>
                <w:szCs w:val="22"/>
                <w:lang w:eastAsia="es-CO"/>
              </w:rPr>
              <w:tab/>
            </w:r>
            <w:r w:rsidR="00621F8B" w:rsidRPr="00621F8B">
              <w:rPr>
                <w:rStyle w:val="Hipervnculo"/>
                <w:noProof/>
              </w:rPr>
              <w:t>PUBLICACIÓN PARA CONSULTA Y COMENTARIOS</w:t>
            </w:r>
            <w:r w:rsidR="00621F8B" w:rsidRPr="00621F8B">
              <w:rPr>
                <w:noProof/>
                <w:webHidden/>
              </w:rPr>
              <w:tab/>
            </w:r>
            <w:r w:rsidR="00621F8B" w:rsidRPr="00621F8B">
              <w:rPr>
                <w:noProof/>
                <w:webHidden/>
              </w:rPr>
              <w:fldChar w:fldCharType="begin"/>
            </w:r>
            <w:r w:rsidR="00621F8B" w:rsidRPr="00621F8B">
              <w:rPr>
                <w:noProof/>
                <w:webHidden/>
              </w:rPr>
              <w:instrText xml:space="preserve"> PAGEREF _Toc88126870 \h </w:instrText>
            </w:r>
            <w:r w:rsidR="00621F8B" w:rsidRPr="00621F8B">
              <w:rPr>
                <w:noProof/>
                <w:webHidden/>
              </w:rPr>
            </w:r>
            <w:r w:rsidR="00621F8B" w:rsidRPr="00621F8B">
              <w:rPr>
                <w:noProof/>
                <w:webHidden/>
              </w:rPr>
              <w:fldChar w:fldCharType="separate"/>
            </w:r>
            <w:r w:rsidR="00621F8B" w:rsidRPr="00621F8B">
              <w:rPr>
                <w:noProof/>
                <w:webHidden/>
              </w:rPr>
              <w:t>75</w:t>
            </w:r>
            <w:r w:rsidR="00621F8B" w:rsidRPr="00621F8B">
              <w:rPr>
                <w:noProof/>
                <w:webHidden/>
              </w:rPr>
              <w:fldChar w:fldCharType="end"/>
            </w:r>
          </w:hyperlink>
        </w:p>
        <w:p w14:paraId="36019327" w14:textId="1E1C3168" w:rsidR="00621F8B" w:rsidRPr="00621F8B" w:rsidRDefault="00FF1E0C">
          <w:pPr>
            <w:pStyle w:val="TDC1"/>
            <w:tabs>
              <w:tab w:val="right" w:leader="dot" w:pos="8637"/>
            </w:tabs>
            <w:rPr>
              <w:rFonts w:asciiTheme="minorHAnsi" w:eastAsiaTheme="minorEastAsia" w:hAnsiTheme="minorHAnsi" w:cstheme="minorBidi"/>
              <w:noProof/>
              <w:spacing w:val="0"/>
              <w:sz w:val="22"/>
              <w:szCs w:val="22"/>
              <w:lang w:eastAsia="es-CO"/>
            </w:rPr>
          </w:pPr>
          <w:hyperlink w:anchor="_Toc88126871" w:history="1">
            <w:r w:rsidR="00621F8B" w:rsidRPr="00621F8B">
              <w:rPr>
                <w:rStyle w:val="Hipervnculo"/>
                <w:noProof/>
              </w:rPr>
              <w:t>ABREVIATURAS UTILIZADAS</w:t>
            </w:r>
            <w:r w:rsidR="00621F8B" w:rsidRPr="00621F8B">
              <w:rPr>
                <w:noProof/>
                <w:webHidden/>
              </w:rPr>
              <w:tab/>
            </w:r>
            <w:r w:rsidR="00621F8B" w:rsidRPr="00621F8B">
              <w:rPr>
                <w:noProof/>
                <w:webHidden/>
              </w:rPr>
              <w:fldChar w:fldCharType="begin"/>
            </w:r>
            <w:r w:rsidR="00621F8B" w:rsidRPr="00621F8B">
              <w:rPr>
                <w:noProof/>
                <w:webHidden/>
              </w:rPr>
              <w:instrText xml:space="preserve"> PAGEREF _Toc88126871 \h </w:instrText>
            </w:r>
            <w:r w:rsidR="00621F8B" w:rsidRPr="00621F8B">
              <w:rPr>
                <w:noProof/>
                <w:webHidden/>
              </w:rPr>
            </w:r>
            <w:r w:rsidR="00621F8B" w:rsidRPr="00621F8B">
              <w:rPr>
                <w:noProof/>
                <w:webHidden/>
              </w:rPr>
              <w:fldChar w:fldCharType="separate"/>
            </w:r>
            <w:r w:rsidR="00621F8B" w:rsidRPr="00621F8B">
              <w:rPr>
                <w:noProof/>
                <w:webHidden/>
              </w:rPr>
              <w:t>76</w:t>
            </w:r>
            <w:r w:rsidR="00621F8B" w:rsidRPr="00621F8B">
              <w:rPr>
                <w:noProof/>
                <w:webHidden/>
              </w:rPr>
              <w:fldChar w:fldCharType="end"/>
            </w:r>
          </w:hyperlink>
        </w:p>
        <w:p w14:paraId="6D83999E" w14:textId="75771435" w:rsidR="001E6912" w:rsidRPr="00621F8B" w:rsidRDefault="001E6912">
          <w:r w:rsidRPr="00621F8B">
            <w:rPr>
              <w:lang w:val="es-ES"/>
            </w:rPr>
            <w:fldChar w:fldCharType="end"/>
          </w:r>
        </w:p>
      </w:sdtContent>
    </w:sdt>
    <w:p w14:paraId="21095444" w14:textId="60C27D09" w:rsidR="00C71A5F" w:rsidRDefault="00C71A5F">
      <w:pPr>
        <w:jc w:val="left"/>
        <w:rPr>
          <w:rFonts w:cs="Arial"/>
          <w:sz w:val="22"/>
          <w:szCs w:val="22"/>
        </w:rPr>
      </w:pPr>
      <w:r>
        <w:rPr>
          <w:b/>
          <w:bCs/>
          <w:sz w:val="22"/>
          <w:szCs w:val="22"/>
        </w:rPr>
        <w:br w:type="page"/>
      </w:r>
    </w:p>
    <w:p w14:paraId="1B11D1CC" w14:textId="338F71B1" w:rsidR="00371AEF" w:rsidRPr="001E6912" w:rsidRDefault="008D2091" w:rsidP="001E6912">
      <w:pPr>
        <w:pStyle w:val="Ttulo10"/>
        <w:tabs>
          <w:tab w:val="left" w:pos="2354"/>
          <w:tab w:val="center" w:pos="4503"/>
        </w:tabs>
        <w:ind w:left="360"/>
        <w:rPr>
          <w:sz w:val="22"/>
          <w:szCs w:val="22"/>
        </w:rPr>
      </w:pPr>
      <w:bookmarkStart w:id="0" w:name="_Toc88126824"/>
      <w:r w:rsidRPr="001E6912">
        <w:rPr>
          <w:sz w:val="22"/>
          <w:szCs w:val="22"/>
        </w:rPr>
        <w:lastRenderedPageBreak/>
        <w:t>INTRODUCCIÓ</w:t>
      </w:r>
      <w:r w:rsidR="00D22B0A" w:rsidRPr="001E6912">
        <w:rPr>
          <w:sz w:val="22"/>
          <w:szCs w:val="22"/>
        </w:rPr>
        <w:t>N</w:t>
      </w:r>
      <w:bookmarkEnd w:id="0"/>
    </w:p>
    <w:p w14:paraId="012E2EA1" w14:textId="77777777" w:rsidR="001E6912" w:rsidRDefault="001E6912" w:rsidP="001E6912">
      <w:pPr>
        <w:pStyle w:val="Textoindependiente"/>
        <w:spacing w:after="0"/>
        <w:rPr>
          <w:rFonts w:cs="Arial"/>
          <w:sz w:val="22"/>
          <w:szCs w:val="22"/>
        </w:rPr>
      </w:pPr>
    </w:p>
    <w:p w14:paraId="64DBE56C" w14:textId="22768777" w:rsidR="00622FEA" w:rsidRDefault="00F20A2B" w:rsidP="00F20A2B">
      <w:pPr>
        <w:pStyle w:val="Textoindependiente"/>
        <w:spacing w:after="0"/>
        <w:rPr>
          <w:rFonts w:cs="Arial"/>
          <w:sz w:val="22"/>
          <w:szCs w:val="22"/>
        </w:rPr>
      </w:pPr>
      <w:r w:rsidRPr="001E6912">
        <w:rPr>
          <w:rFonts w:cs="Arial"/>
          <w:sz w:val="22"/>
          <w:szCs w:val="22"/>
        </w:rPr>
        <w:t xml:space="preserve">El presente documento </w:t>
      </w:r>
      <w:r w:rsidR="001E6912" w:rsidRPr="001E6912">
        <w:rPr>
          <w:rFonts w:cs="Arial"/>
          <w:sz w:val="22"/>
          <w:szCs w:val="22"/>
        </w:rPr>
        <w:t xml:space="preserve">se constituye como base </w:t>
      </w:r>
      <w:r w:rsidR="00503F37">
        <w:rPr>
          <w:rFonts w:cs="Arial"/>
          <w:sz w:val="22"/>
          <w:szCs w:val="22"/>
        </w:rPr>
        <w:t>de la</w:t>
      </w:r>
      <w:r w:rsidR="001E6912" w:rsidRPr="001E6912">
        <w:rPr>
          <w:rFonts w:cs="Arial"/>
          <w:sz w:val="22"/>
          <w:szCs w:val="22"/>
        </w:rPr>
        <w:t xml:space="preserve"> </w:t>
      </w:r>
      <w:r w:rsidR="00503F37">
        <w:rPr>
          <w:rFonts w:cs="Arial"/>
          <w:sz w:val="22"/>
          <w:szCs w:val="22"/>
        </w:rPr>
        <w:t>R</w:t>
      </w:r>
      <w:r w:rsidR="001E6912" w:rsidRPr="001E6912">
        <w:rPr>
          <w:rFonts w:cs="Arial"/>
          <w:sz w:val="22"/>
          <w:szCs w:val="22"/>
        </w:rPr>
        <w:t>esolución</w:t>
      </w:r>
      <w:r w:rsidR="00503F37">
        <w:rPr>
          <w:rFonts w:cs="Arial"/>
          <w:sz w:val="22"/>
          <w:szCs w:val="22"/>
        </w:rPr>
        <w:t xml:space="preserve"> N° 172 del 07 de octubre de 2021, para consulta</w:t>
      </w:r>
      <w:r w:rsidR="001E6912" w:rsidRPr="001E6912">
        <w:rPr>
          <w:rFonts w:cs="Arial"/>
          <w:sz w:val="22"/>
          <w:szCs w:val="22"/>
        </w:rPr>
        <w:t xml:space="preserve">: </w:t>
      </w:r>
      <w:r w:rsidRPr="00F20A2B">
        <w:rPr>
          <w:rFonts w:cs="Arial"/>
          <w:i/>
          <w:iCs/>
          <w:sz w:val="22"/>
          <w:szCs w:val="22"/>
        </w:rPr>
        <w:t xml:space="preserve">Por la cual se ordena hacer público un proyecto de resolución de carácter general </w:t>
      </w:r>
      <w:r w:rsidR="001E6912" w:rsidRPr="00F20A2B">
        <w:rPr>
          <w:rFonts w:cs="Arial"/>
          <w:i/>
          <w:iCs/>
          <w:sz w:val="22"/>
          <w:szCs w:val="22"/>
        </w:rPr>
        <w:t>“P</w:t>
      </w:r>
      <w:r w:rsidR="001E6912" w:rsidRPr="00E02914">
        <w:rPr>
          <w:rFonts w:cs="Arial"/>
          <w:i/>
          <w:iCs/>
          <w:sz w:val="22"/>
          <w:szCs w:val="22"/>
        </w:rPr>
        <w:t>or la cual se señala el porcentaje de la contribución especial que deben pagar las entidades sometidas a la regulación de la Comisión de Regulación de Energía y Gas en el año 2020 y se dictan otras disposiciones”</w:t>
      </w:r>
      <w:r w:rsidR="001E6912" w:rsidRPr="001E6912">
        <w:rPr>
          <w:rFonts w:cs="Arial"/>
          <w:sz w:val="22"/>
          <w:szCs w:val="22"/>
        </w:rPr>
        <w:t xml:space="preserve">, </w:t>
      </w:r>
      <w:r>
        <w:rPr>
          <w:rFonts w:cs="Arial"/>
          <w:sz w:val="22"/>
          <w:szCs w:val="22"/>
        </w:rPr>
        <w:t xml:space="preserve">al </w:t>
      </w:r>
      <w:r w:rsidRPr="001E6912">
        <w:rPr>
          <w:rFonts w:cs="Arial"/>
          <w:sz w:val="22"/>
          <w:szCs w:val="22"/>
        </w:rPr>
        <w:t>conten</w:t>
      </w:r>
      <w:r>
        <w:rPr>
          <w:rFonts w:cs="Arial"/>
          <w:sz w:val="22"/>
          <w:szCs w:val="22"/>
        </w:rPr>
        <w:t>er</w:t>
      </w:r>
      <w:r w:rsidRPr="001E6912">
        <w:rPr>
          <w:rFonts w:cs="Arial"/>
          <w:sz w:val="22"/>
          <w:szCs w:val="22"/>
        </w:rPr>
        <w:t xml:space="preserve"> la metodología de depuración, cálculo y liquidación de la contribución especial para la vigencia 202</w:t>
      </w:r>
      <w:r>
        <w:rPr>
          <w:rFonts w:cs="Arial"/>
          <w:sz w:val="22"/>
          <w:szCs w:val="22"/>
        </w:rPr>
        <w:t>1</w:t>
      </w:r>
      <w:r w:rsidRPr="001E6912">
        <w:rPr>
          <w:rFonts w:cs="Arial"/>
          <w:sz w:val="22"/>
          <w:szCs w:val="22"/>
        </w:rPr>
        <w:t xml:space="preserve"> a favor de la Comisión de Regulación de Energía y Gas (CREG), señalada en el artículo 85 de la Ley 142 de 1994</w:t>
      </w:r>
      <w:r>
        <w:rPr>
          <w:rFonts w:cs="Arial"/>
          <w:sz w:val="22"/>
          <w:szCs w:val="22"/>
        </w:rPr>
        <w:t>.</w:t>
      </w:r>
    </w:p>
    <w:p w14:paraId="2947A9F4" w14:textId="77777777" w:rsidR="00622FEA" w:rsidRDefault="00622FEA" w:rsidP="001E6912">
      <w:pPr>
        <w:pStyle w:val="Textoindependiente"/>
        <w:spacing w:after="0"/>
        <w:rPr>
          <w:rFonts w:cs="Arial"/>
          <w:sz w:val="22"/>
          <w:szCs w:val="22"/>
        </w:rPr>
      </w:pPr>
    </w:p>
    <w:p w14:paraId="0971699B" w14:textId="4B35D18A" w:rsidR="001E6912" w:rsidRPr="001E6912" w:rsidRDefault="00F20A2B" w:rsidP="001E6912">
      <w:pPr>
        <w:pStyle w:val="Textoindependiente"/>
        <w:spacing w:after="0"/>
        <w:rPr>
          <w:rFonts w:cs="Arial"/>
          <w:sz w:val="22"/>
          <w:szCs w:val="22"/>
        </w:rPr>
      </w:pPr>
      <w:r>
        <w:rPr>
          <w:rFonts w:cs="Arial"/>
          <w:sz w:val="22"/>
          <w:szCs w:val="22"/>
        </w:rPr>
        <w:t xml:space="preserve">Se explica la </w:t>
      </w:r>
      <w:r w:rsidR="001E6912" w:rsidRPr="001E6912">
        <w:rPr>
          <w:rFonts w:cs="Arial"/>
          <w:sz w:val="22"/>
          <w:szCs w:val="22"/>
        </w:rPr>
        <w:t>determina</w:t>
      </w:r>
      <w:r>
        <w:rPr>
          <w:rFonts w:cs="Arial"/>
          <w:sz w:val="22"/>
          <w:szCs w:val="22"/>
        </w:rPr>
        <w:t>ción de</w:t>
      </w:r>
      <w:r w:rsidR="001E6912" w:rsidRPr="001E6912">
        <w:rPr>
          <w:rFonts w:cs="Arial"/>
          <w:sz w:val="22"/>
          <w:szCs w:val="22"/>
        </w:rPr>
        <w:t xml:space="preserve"> la tarifa o factor general con el cual se va liquidar la contribución especial para cada regulado, teniendo en cuenta la base gravable de cada empresa, y se presenta la liquidación </w:t>
      </w:r>
      <w:r w:rsidR="005D483A">
        <w:rPr>
          <w:rFonts w:cs="Arial"/>
          <w:sz w:val="22"/>
          <w:szCs w:val="22"/>
        </w:rPr>
        <w:t xml:space="preserve">preliminar </w:t>
      </w:r>
      <w:r w:rsidR="001E6912" w:rsidRPr="001E6912">
        <w:rPr>
          <w:rFonts w:cs="Arial"/>
          <w:sz w:val="22"/>
          <w:szCs w:val="22"/>
        </w:rPr>
        <w:t>con el valor a pagar por cada uno de contribuyentes,</w:t>
      </w:r>
      <w:r w:rsidR="00E02914">
        <w:rPr>
          <w:rFonts w:cs="Arial"/>
          <w:sz w:val="22"/>
          <w:szCs w:val="22"/>
        </w:rPr>
        <w:t xml:space="preserve"> </w:t>
      </w:r>
      <w:r w:rsidR="005D483A">
        <w:rPr>
          <w:rFonts w:cs="Arial"/>
          <w:sz w:val="22"/>
          <w:szCs w:val="22"/>
        </w:rPr>
        <w:t xml:space="preserve">a efectos de </w:t>
      </w:r>
      <w:r w:rsidR="00E02914">
        <w:rPr>
          <w:rFonts w:cs="Arial"/>
          <w:sz w:val="22"/>
          <w:szCs w:val="22"/>
        </w:rPr>
        <w:t xml:space="preserve">recibir </w:t>
      </w:r>
      <w:r w:rsidR="00411CEC">
        <w:rPr>
          <w:rFonts w:cs="Arial"/>
          <w:sz w:val="22"/>
          <w:szCs w:val="22"/>
        </w:rPr>
        <w:t xml:space="preserve">las </w:t>
      </w:r>
      <w:r w:rsidR="00E02914">
        <w:rPr>
          <w:rFonts w:cs="Arial"/>
          <w:sz w:val="22"/>
          <w:szCs w:val="22"/>
        </w:rPr>
        <w:t>observaciones o comentarios</w:t>
      </w:r>
      <w:r w:rsidR="00411CEC">
        <w:rPr>
          <w:rFonts w:cs="Arial"/>
          <w:sz w:val="22"/>
          <w:szCs w:val="22"/>
        </w:rPr>
        <w:t xml:space="preserve"> a que haya lugar,</w:t>
      </w:r>
      <w:r w:rsidR="00E02914">
        <w:rPr>
          <w:rFonts w:cs="Arial"/>
          <w:sz w:val="22"/>
          <w:szCs w:val="22"/>
        </w:rPr>
        <w:t xml:space="preserve"> </w:t>
      </w:r>
      <w:r w:rsidR="005D483A">
        <w:rPr>
          <w:rFonts w:cs="Arial"/>
          <w:sz w:val="22"/>
          <w:szCs w:val="22"/>
        </w:rPr>
        <w:t xml:space="preserve">los cuales, de ser el caso, serán incorporados en el acto administrativo </w:t>
      </w:r>
      <w:r w:rsidR="00CD428C">
        <w:rPr>
          <w:rFonts w:cs="Arial"/>
          <w:sz w:val="22"/>
          <w:szCs w:val="22"/>
        </w:rPr>
        <w:t xml:space="preserve">definitivo </w:t>
      </w:r>
      <w:r w:rsidR="005D483A">
        <w:rPr>
          <w:rFonts w:cs="Arial"/>
          <w:sz w:val="22"/>
          <w:szCs w:val="22"/>
        </w:rPr>
        <w:t>de determinación de la tarifa, y la posterior liquidación individual para cada sujeto regulado.</w:t>
      </w:r>
    </w:p>
    <w:p w14:paraId="5EA0AE87" w14:textId="77777777" w:rsidR="001E6912" w:rsidRDefault="001E6912" w:rsidP="001E6912">
      <w:pPr>
        <w:pStyle w:val="Textoindependiente"/>
        <w:spacing w:after="0"/>
        <w:rPr>
          <w:rFonts w:cs="Arial"/>
          <w:sz w:val="22"/>
          <w:szCs w:val="22"/>
        </w:rPr>
      </w:pPr>
    </w:p>
    <w:p w14:paraId="49C545DF" w14:textId="7085B96F" w:rsidR="001E6912" w:rsidRPr="001E6912" w:rsidRDefault="001E6912" w:rsidP="001E6912">
      <w:pPr>
        <w:pStyle w:val="Textoindependiente"/>
        <w:spacing w:after="0"/>
        <w:rPr>
          <w:rFonts w:cs="Arial"/>
          <w:sz w:val="22"/>
          <w:szCs w:val="22"/>
        </w:rPr>
      </w:pPr>
      <w:r w:rsidRPr="001E6912">
        <w:rPr>
          <w:rFonts w:cs="Arial"/>
          <w:sz w:val="22"/>
          <w:szCs w:val="22"/>
        </w:rPr>
        <w:t>Se toma como fuente de información financiera la reportada por los regulados en el Sistema de Único de Información (SUI), administrado por la Superintendencia de Servicios Públicos Domiciliarios (SSPD) por parte de las empresas prestadoras de los servicios públicos domiciliarios de energía eléctrica y gas combustible</w:t>
      </w:r>
      <w:r>
        <w:rPr>
          <w:rFonts w:cs="Arial"/>
          <w:sz w:val="22"/>
          <w:szCs w:val="22"/>
        </w:rPr>
        <w:t xml:space="preserve">. Se entiende en el presente documento como gas combustible </w:t>
      </w:r>
      <w:r w:rsidR="00ED0153">
        <w:rPr>
          <w:rFonts w:cs="Arial"/>
          <w:sz w:val="22"/>
          <w:szCs w:val="22"/>
        </w:rPr>
        <w:t>a</w:t>
      </w:r>
      <w:r w:rsidR="00280F88">
        <w:rPr>
          <w:rFonts w:cs="Arial"/>
          <w:sz w:val="22"/>
          <w:szCs w:val="22"/>
        </w:rPr>
        <w:t xml:space="preserve"> los servicios de</w:t>
      </w:r>
      <w:r w:rsidR="00ED0153">
        <w:rPr>
          <w:rFonts w:cs="Arial"/>
          <w:sz w:val="22"/>
          <w:szCs w:val="22"/>
        </w:rPr>
        <w:t xml:space="preserve"> </w:t>
      </w:r>
      <w:r w:rsidR="00ED0153" w:rsidRPr="001E6912">
        <w:rPr>
          <w:rFonts w:cs="Arial"/>
          <w:sz w:val="22"/>
          <w:szCs w:val="22"/>
        </w:rPr>
        <w:t>gas</w:t>
      </w:r>
      <w:r w:rsidRPr="001E6912">
        <w:rPr>
          <w:rFonts w:cs="Arial"/>
          <w:sz w:val="22"/>
          <w:szCs w:val="22"/>
        </w:rPr>
        <w:t xml:space="preserve"> natural</w:t>
      </w:r>
      <w:r>
        <w:rPr>
          <w:rFonts w:cs="Arial"/>
          <w:sz w:val="22"/>
          <w:szCs w:val="22"/>
        </w:rPr>
        <w:t xml:space="preserve"> (</w:t>
      </w:r>
      <w:r w:rsidRPr="001E6912">
        <w:rPr>
          <w:rFonts w:cs="Arial"/>
          <w:sz w:val="22"/>
          <w:szCs w:val="22"/>
        </w:rPr>
        <w:t>GN</w:t>
      </w:r>
      <w:r>
        <w:rPr>
          <w:rFonts w:cs="Arial"/>
          <w:sz w:val="22"/>
          <w:szCs w:val="22"/>
        </w:rPr>
        <w:t xml:space="preserve">) </w:t>
      </w:r>
      <w:r w:rsidRPr="001E6912">
        <w:rPr>
          <w:rFonts w:cs="Arial"/>
          <w:sz w:val="22"/>
          <w:szCs w:val="22"/>
        </w:rPr>
        <w:t>y</w:t>
      </w:r>
      <w:r w:rsidR="00ED0153">
        <w:rPr>
          <w:rFonts w:cs="Arial"/>
          <w:sz w:val="22"/>
          <w:szCs w:val="22"/>
        </w:rPr>
        <w:t xml:space="preserve"> </w:t>
      </w:r>
      <w:r w:rsidRPr="001E6912">
        <w:rPr>
          <w:rFonts w:cs="Arial"/>
          <w:sz w:val="22"/>
          <w:szCs w:val="22"/>
        </w:rPr>
        <w:t xml:space="preserve">gas licuado de petróleo </w:t>
      </w:r>
      <w:r>
        <w:rPr>
          <w:rFonts w:cs="Arial"/>
          <w:sz w:val="22"/>
          <w:szCs w:val="22"/>
        </w:rPr>
        <w:t>(</w:t>
      </w:r>
      <w:r w:rsidRPr="001E6912">
        <w:rPr>
          <w:rFonts w:cs="Arial"/>
          <w:sz w:val="22"/>
          <w:szCs w:val="22"/>
        </w:rPr>
        <w:t>GLP).</w:t>
      </w:r>
    </w:p>
    <w:p w14:paraId="2041F553" w14:textId="77777777" w:rsidR="001E6912" w:rsidRDefault="001E6912" w:rsidP="001E6912">
      <w:pPr>
        <w:pStyle w:val="Textoindependiente"/>
        <w:spacing w:after="0"/>
        <w:rPr>
          <w:rFonts w:cs="Arial"/>
          <w:sz w:val="22"/>
          <w:szCs w:val="22"/>
        </w:rPr>
      </w:pPr>
    </w:p>
    <w:p w14:paraId="4AFD64F3" w14:textId="44BB7473" w:rsidR="001E6912" w:rsidRDefault="00CD428C" w:rsidP="001E6912">
      <w:pPr>
        <w:pStyle w:val="Textoindependiente"/>
        <w:spacing w:after="0"/>
        <w:rPr>
          <w:rFonts w:cs="Arial"/>
          <w:sz w:val="22"/>
          <w:szCs w:val="22"/>
        </w:rPr>
      </w:pPr>
      <w:r>
        <w:rPr>
          <w:rFonts w:cs="Arial"/>
          <w:sz w:val="22"/>
          <w:szCs w:val="22"/>
        </w:rPr>
        <w:t>Igualmente, s</w:t>
      </w:r>
      <w:r w:rsidR="00280F88">
        <w:rPr>
          <w:rFonts w:cs="Arial"/>
          <w:sz w:val="22"/>
          <w:szCs w:val="22"/>
        </w:rPr>
        <w:t>e presenta el marco legal y a</w:t>
      </w:r>
      <w:r w:rsidR="001E6912" w:rsidRPr="001E6912">
        <w:rPr>
          <w:rFonts w:cs="Arial"/>
          <w:sz w:val="22"/>
          <w:szCs w:val="22"/>
        </w:rPr>
        <w:t>dicionalmente se determinan otras disposiciones como el tratamiento de contribuyentes omisos, el reporte al boletín de deudores morosos del Estado (BDME) y procedimientos generales de contribución y cartera, así como un glosario de términos.</w:t>
      </w:r>
    </w:p>
    <w:p w14:paraId="0BDE928A" w14:textId="341D3FC4" w:rsidR="00ED0153" w:rsidRDefault="00ED0153" w:rsidP="00E37904">
      <w:pPr>
        <w:rPr>
          <w:rFonts w:cs="Arial"/>
          <w:sz w:val="22"/>
          <w:szCs w:val="22"/>
        </w:rPr>
      </w:pPr>
    </w:p>
    <w:p w14:paraId="61241FA3" w14:textId="312A698D" w:rsidR="00ED0153" w:rsidRDefault="00ED0153" w:rsidP="00E37904">
      <w:pPr>
        <w:rPr>
          <w:rFonts w:cs="Arial"/>
          <w:sz w:val="22"/>
          <w:szCs w:val="22"/>
        </w:rPr>
      </w:pPr>
    </w:p>
    <w:p w14:paraId="43200264" w14:textId="51FE4B9E" w:rsidR="00ED0153" w:rsidRDefault="00ED0153" w:rsidP="00E37904">
      <w:pPr>
        <w:rPr>
          <w:rFonts w:cs="Arial"/>
          <w:sz w:val="22"/>
          <w:szCs w:val="22"/>
        </w:rPr>
      </w:pPr>
    </w:p>
    <w:p w14:paraId="23A7C5A4" w14:textId="4138413F" w:rsidR="00ED0153" w:rsidRDefault="00ED0153" w:rsidP="00E37904">
      <w:pPr>
        <w:rPr>
          <w:rFonts w:cs="Arial"/>
          <w:sz w:val="22"/>
          <w:szCs w:val="22"/>
        </w:rPr>
      </w:pPr>
    </w:p>
    <w:p w14:paraId="262BD66B" w14:textId="1E83B38C" w:rsidR="00ED0153" w:rsidRDefault="00ED0153" w:rsidP="00E37904">
      <w:pPr>
        <w:rPr>
          <w:rFonts w:cs="Arial"/>
          <w:sz w:val="22"/>
          <w:szCs w:val="22"/>
        </w:rPr>
      </w:pPr>
    </w:p>
    <w:p w14:paraId="3D8BBD0E" w14:textId="01293B2B" w:rsidR="00ED0153" w:rsidRDefault="00ED0153" w:rsidP="00E37904">
      <w:pPr>
        <w:rPr>
          <w:rFonts w:cs="Arial"/>
          <w:sz w:val="22"/>
          <w:szCs w:val="22"/>
        </w:rPr>
      </w:pPr>
    </w:p>
    <w:p w14:paraId="25CF9AEB" w14:textId="296366B1" w:rsidR="00ED0153" w:rsidRDefault="00ED0153" w:rsidP="00E37904">
      <w:pPr>
        <w:rPr>
          <w:rFonts w:cs="Arial"/>
          <w:sz w:val="22"/>
          <w:szCs w:val="22"/>
        </w:rPr>
      </w:pPr>
    </w:p>
    <w:p w14:paraId="65675304" w14:textId="6D0118E6" w:rsidR="00ED0153" w:rsidRDefault="00ED0153" w:rsidP="00E37904">
      <w:pPr>
        <w:rPr>
          <w:rFonts w:cs="Arial"/>
          <w:sz w:val="22"/>
          <w:szCs w:val="22"/>
        </w:rPr>
      </w:pPr>
    </w:p>
    <w:p w14:paraId="5E252A83" w14:textId="36853616" w:rsidR="00ED0153" w:rsidRDefault="00ED0153" w:rsidP="00E37904">
      <w:pPr>
        <w:rPr>
          <w:rFonts w:cs="Arial"/>
          <w:sz w:val="22"/>
          <w:szCs w:val="22"/>
        </w:rPr>
      </w:pPr>
    </w:p>
    <w:p w14:paraId="2F78C688" w14:textId="77D1BE0F" w:rsidR="00ED0153" w:rsidRDefault="00ED0153" w:rsidP="00E37904">
      <w:pPr>
        <w:rPr>
          <w:rFonts w:cs="Arial"/>
          <w:sz w:val="22"/>
          <w:szCs w:val="22"/>
        </w:rPr>
      </w:pPr>
    </w:p>
    <w:p w14:paraId="44752BE0" w14:textId="0741B401" w:rsidR="00ED0153" w:rsidRDefault="00ED0153" w:rsidP="00E37904">
      <w:pPr>
        <w:rPr>
          <w:rFonts w:cs="Arial"/>
          <w:sz w:val="22"/>
          <w:szCs w:val="22"/>
        </w:rPr>
      </w:pPr>
    </w:p>
    <w:p w14:paraId="7EA3464D" w14:textId="5894AF95" w:rsidR="00ED0153" w:rsidRDefault="00ED0153" w:rsidP="00E37904">
      <w:pPr>
        <w:rPr>
          <w:rFonts w:cs="Arial"/>
          <w:sz w:val="22"/>
          <w:szCs w:val="22"/>
        </w:rPr>
      </w:pPr>
    </w:p>
    <w:p w14:paraId="5B20C6D0" w14:textId="7E5A45DF" w:rsidR="00ED0153" w:rsidRDefault="00ED0153" w:rsidP="00E37904">
      <w:pPr>
        <w:rPr>
          <w:rFonts w:cs="Arial"/>
          <w:sz w:val="22"/>
          <w:szCs w:val="22"/>
        </w:rPr>
      </w:pPr>
    </w:p>
    <w:p w14:paraId="683774CB" w14:textId="77777777" w:rsidR="00A87948" w:rsidRDefault="00A87948" w:rsidP="00E37904">
      <w:pPr>
        <w:rPr>
          <w:rFonts w:cs="Arial"/>
          <w:sz w:val="22"/>
          <w:szCs w:val="22"/>
        </w:rPr>
      </w:pPr>
    </w:p>
    <w:p w14:paraId="13B7401A" w14:textId="20C4EC28" w:rsidR="00ED0153" w:rsidRDefault="00ED0153" w:rsidP="00E37904">
      <w:pPr>
        <w:rPr>
          <w:rFonts w:cs="Arial"/>
          <w:sz w:val="22"/>
          <w:szCs w:val="22"/>
        </w:rPr>
      </w:pPr>
    </w:p>
    <w:p w14:paraId="3DA48A55" w14:textId="77777777" w:rsidR="00C25D47" w:rsidRDefault="00C25D47" w:rsidP="00E37904">
      <w:pPr>
        <w:rPr>
          <w:rFonts w:cs="Arial"/>
          <w:sz w:val="22"/>
          <w:szCs w:val="22"/>
        </w:rPr>
      </w:pPr>
    </w:p>
    <w:p w14:paraId="508EA331" w14:textId="77777777" w:rsidR="00ED0153" w:rsidRDefault="00ED0153" w:rsidP="00ED0153">
      <w:pPr>
        <w:pStyle w:val="Ttulo10"/>
        <w:numPr>
          <w:ilvl w:val="0"/>
          <w:numId w:val="37"/>
        </w:numPr>
        <w:rPr>
          <w:sz w:val="22"/>
          <w:szCs w:val="22"/>
        </w:rPr>
      </w:pPr>
      <w:bookmarkStart w:id="1" w:name="_Toc54170168"/>
      <w:bookmarkStart w:id="2" w:name="_Toc88126825"/>
      <w:r>
        <w:rPr>
          <w:sz w:val="22"/>
          <w:szCs w:val="22"/>
        </w:rPr>
        <w:lastRenderedPageBreak/>
        <w:t>MARCO LEGAL</w:t>
      </w:r>
      <w:bookmarkEnd w:id="1"/>
      <w:bookmarkEnd w:id="2"/>
    </w:p>
    <w:p w14:paraId="328CBFB1" w14:textId="5CA2C024" w:rsidR="00ED0153" w:rsidRDefault="00ED0153" w:rsidP="00E37904">
      <w:pPr>
        <w:rPr>
          <w:rFonts w:cs="Arial"/>
          <w:sz w:val="22"/>
          <w:szCs w:val="22"/>
        </w:rPr>
      </w:pPr>
    </w:p>
    <w:p w14:paraId="732BDD87" w14:textId="72D5A4A5" w:rsidR="009E6FF4" w:rsidRDefault="009E6FF4" w:rsidP="00ED0153">
      <w:pPr>
        <w:rPr>
          <w:sz w:val="22"/>
          <w:szCs w:val="22"/>
        </w:rPr>
      </w:pPr>
      <w:r>
        <w:rPr>
          <w:sz w:val="22"/>
          <w:szCs w:val="22"/>
        </w:rPr>
        <w:t>Constitución Política de Colombia, inciso 2 del artículo 338, artículo 365 y artículo 370.</w:t>
      </w:r>
    </w:p>
    <w:p w14:paraId="14D255AD" w14:textId="77777777" w:rsidR="009E6FF4" w:rsidRDefault="009E6FF4" w:rsidP="00ED0153">
      <w:pPr>
        <w:rPr>
          <w:sz w:val="22"/>
          <w:szCs w:val="22"/>
        </w:rPr>
      </w:pPr>
    </w:p>
    <w:p w14:paraId="430A50EC" w14:textId="74DE7242" w:rsidR="00ED0153" w:rsidRPr="00C35785" w:rsidRDefault="00ED0153" w:rsidP="00ED0153">
      <w:pPr>
        <w:rPr>
          <w:sz w:val="22"/>
          <w:szCs w:val="22"/>
        </w:rPr>
      </w:pPr>
      <w:r w:rsidRPr="00C35785">
        <w:rPr>
          <w:sz w:val="22"/>
          <w:szCs w:val="22"/>
        </w:rPr>
        <w:t xml:space="preserve">Ley 142 de 1994, </w:t>
      </w:r>
      <w:r w:rsidRPr="00C35785">
        <w:rPr>
          <w:i/>
          <w:iCs/>
          <w:sz w:val="22"/>
          <w:szCs w:val="22"/>
        </w:rPr>
        <w:t>“Por la cual se establece el régimen de los servicios públicos domiciliarios y se dictan otras disposiciones”.</w:t>
      </w:r>
    </w:p>
    <w:p w14:paraId="7DCF5941" w14:textId="77777777" w:rsidR="00ED0153" w:rsidRPr="00C35785" w:rsidRDefault="00ED0153" w:rsidP="00ED0153">
      <w:pPr>
        <w:rPr>
          <w:sz w:val="22"/>
          <w:szCs w:val="22"/>
        </w:rPr>
      </w:pPr>
    </w:p>
    <w:p w14:paraId="16A0058E" w14:textId="77777777" w:rsidR="00ED0153" w:rsidRDefault="00ED0153" w:rsidP="00ED0153">
      <w:pPr>
        <w:rPr>
          <w:sz w:val="22"/>
          <w:szCs w:val="22"/>
        </w:rPr>
      </w:pPr>
      <w:r w:rsidRPr="00C35785">
        <w:rPr>
          <w:sz w:val="22"/>
          <w:szCs w:val="22"/>
        </w:rPr>
        <w:t xml:space="preserve">Ley 143 de 1994, </w:t>
      </w:r>
      <w:r w:rsidRPr="00C35785">
        <w:rPr>
          <w:i/>
          <w:iCs/>
          <w:sz w:val="22"/>
          <w:szCs w:val="22"/>
        </w:rPr>
        <w:t>“Por la cual se establece el régimen para la generación, interconexión, transmisión, distribución y comercialización de electricidad en el territorio nacional, se conceden unas autorizaciones y se dictan otras disposiciones en materia energética”.</w:t>
      </w:r>
    </w:p>
    <w:p w14:paraId="1401E4A4" w14:textId="77777777" w:rsidR="00ED0153" w:rsidRDefault="00ED0153" w:rsidP="00ED0153">
      <w:pPr>
        <w:rPr>
          <w:sz w:val="22"/>
          <w:szCs w:val="22"/>
        </w:rPr>
      </w:pPr>
    </w:p>
    <w:p w14:paraId="27AD2911" w14:textId="77777777" w:rsidR="00ED0153" w:rsidRPr="00C35785" w:rsidRDefault="00ED0153" w:rsidP="00ED0153">
      <w:pPr>
        <w:rPr>
          <w:sz w:val="22"/>
          <w:szCs w:val="22"/>
        </w:rPr>
      </w:pPr>
      <w:r w:rsidRPr="00C35785">
        <w:rPr>
          <w:sz w:val="22"/>
          <w:szCs w:val="22"/>
        </w:rPr>
        <w:t>Ley 689 de 2001</w:t>
      </w:r>
      <w:r>
        <w:rPr>
          <w:sz w:val="22"/>
          <w:szCs w:val="22"/>
        </w:rPr>
        <w:t xml:space="preserve">, </w:t>
      </w:r>
      <w:r w:rsidRPr="00C35785">
        <w:rPr>
          <w:i/>
          <w:iCs/>
          <w:sz w:val="22"/>
          <w:szCs w:val="22"/>
        </w:rPr>
        <w:t>“Por la cual se modifica parcialmente la Ley 142 de 1994. Le asignó a la SSPD la responsabilidad de establecer, administrar, mantener y operar un sistema único de información que se caracterizará, como su nombre lo indica, por ser único y servir de referencia verdadera para el sector de servicios públicos domiciliarios del país”.</w:t>
      </w:r>
    </w:p>
    <w:p w14:paraId="390D4193" w14:textId="307E6585" w:rsidR="00ED0153" w:rsidRDefault="00ED0153" w:rsidP="00ED0153">
      <w:pPr>
        <w:rPr>
          <w:sz w:val="22"/>
          <w:szCs w:val="22"/>
        </w:rPr>
      </w:pPr>
    </w:p>
    <w:p w14:paraId="7C095EED" w14:textId="070F739E" w:rsidR="00D36A90" w:rsidRDefault="00D36A90" w:rsidP="00ED0153">
      <w:pPr>
        <w:rPr>
          <w:sz w:val="22"/>
          <w:szCs w:val="22"/>
        </w:rPr>
      </w:pPr>
      <w:r>
        <w:rPr>
          <w:sz w:val="22"/>
          <w:szCs w:val="22"/>
        </w:rPr>
        <w:t xml:space="preserve">Ley 1314 de 2009, </w:t>
      </w:r>
      <w:r w:rsidRPr="00D36A90">
        <w:rPr>
          <w:i/>
          <w:iCs/>
          <w:sz w:val="22"/>
          <w:szCs w:val="22"/>
        </w:rPr>
        <w:t>“Por la cual se regulan los principios y normas de contabilidad e información financiera y de aseguramiento de información aceptados en Colombia, se señalan las autoridades competentes, el procedimiento para su expedición y se determinan las entidades responsables de vigilar su cumplimiento”.</w:t>
      </w:r>
    </w:p>
    <w:p w14:paraId="204A6F8D" w14:textId="77777777" w:rsidR="00D36A90" w:rsidRPr="00C35785" w:rsidRDefault="00D36A90" w:rsidP="00ED0153">
      <w:pPr>
        <w:rPr>
          <w:sz w:val="22"/>
          <w:szCs w:val="22"/>
        </w:rPr>
      </w:pPr>
    </w:p>
    <w:p w14:paraId="4C997A6B" w14:textId="12041150" w:rsidR="00ED0153" w:rsidRPr="00C35785" w:rsidRDefault="00ED0153" w:rsidP="00ED0153">
      <w:pPr>
        <w:rPr>
          <w:rFonts w:cs="Arial"/>
          <w:sz w:val="22"/>
          <w:szCs w:val="22"/>
        </w:rPr>
      </w:pPr>
      <w:r w:rsidRPr="00C35785">
        <w:rPr>
          <w:rFonts w:cs="Arial"/>
          <w:sz w:val="22"/>
          <w:szCs w:val="22"/>
        </w:rPr>
        <w:t xml:space="preserve">Documento </w:t>
      </w:r>
      <w:r w:rsidR="00D75F54" w:rsidRPr="00C35785">
        <w:rPr>
          <w:rFonts w:cs="Arial"/>
          <w:sz w:val="22"/>
          <w:szCs w:val="22"/>
        </w:rPr>
        <w:t>CONPES</w:t>
      </w:r>
      <w:r w:rsidR="00D75F54">
        <w:rPr>
          <w:rFonts w:cs="Arial"/>
          <w:sz w:val="22"/>
          <w:szCs w:val="22"/>
        </w:rPr>
        <w:t xml:space="preserve"> N°</w:t>
      </w:r>
      <w:r w:rsidRPr="00C35785">
        <w:rPr>
          <w:rFonts w:cs="Arial"/>
          <w:sz w:val="22"/>
          <w:szCs w:val="22"/>
        </w:rPr>
        <w:t xml:space="preserve"> 3168 de 2002, </w:t>
      </w:r>
      <w:r w:rsidRPr="00C35785">
        <w:rPr>
          <w:rFonts w:cs="Arial"/>
          <w:i/>
          <w:iCs/>
          <w:sz w:val="22"/>
          <w:szCs w:val="22"/>
        </w:rPr>
        <w:t>“Estrategia para la puesta en marcha del SUI - Sistema Único de Información de los Servicios Públicos Domiciliarios”.</w:t>
      </w:r>
    </w:p>
    <w:p w14:paraId="36FA48CB" w14:textId="77777777" w:rsidR="00ED0153" w:rsidRDefault="00ED0153" w:rsidP="00ED0153">
      <w:pPr>
        <w:rPr>
          <w:rFonts w:cs="Arial"/>
          <w:sz w:val="22"/>
          <w:szCs w:val="22"/>
        </w:rPr>
      </w:pPr>
    </w:p>
    <w:p w14:paraId="3AC75921" w14:textId="77777777" w:rsidR="00ED0153" w:rsidRPr="000B277D" w:rsidRDefault="00ED0153" w:rsidP="00ED0153">
      <w:pPr>
        <w:rPr>
          <w:rFonts w:cs="Arial"/>
          <w:i/>
          <w:iCs/>
          <w:sz w:val="22"/>
          <w:szCs w:val="22"/>
        </w:rPr>
      </w:pPr>
      <w:r w:rsidRPr="000B277D">
        <w:rPr>
          <w:rFonts w:cs="Arial"/>
          <w:sz w:val="22"/>
          <w:szCs w:val="22"/>
        </w:rPr>
        <w:t>Resolución SSPD N° 013092 de 2002</w:t>
      </w:r>
      <w:r>
        <w:rPr>
          <w:rFonts w:cs="Arial"/>
          <w:sz w:val="22"/>
          <w:szCs w:val="22"/>
        </w:rPr>
        <w:t xml:space="preserve">, </w:t>
      </w:r>
      <w:r w:rsidRPr="000B277D">
        <w:rPr>
          <w:rFonts w:cs="Arial"/>
          <w:i/>
          <w:iCs/>
          <w:sz w:val="22"/>
          <w:szCs w:val="22"/>
        </w:rPr>
        <w:t>“Por el cual se estableció el Formato Único de Información para las Empresas de Servicios Públicos previo concepto del Ministerio de Ambiente y Desarrollo Sostenible, Ministerio de Vivienda, Ciudad y Territorio de Colombia, Ministerio de Minas y ENERGÍA, Ministerios de Tecnologías de la Información y las Comunicaciones y de las Comisiones de Regulación de Agua Potable y Saneamiento Básico (CRA), Comisión de Regulación de ENERGÍA y Gas (CREG), Comisión de Regulación de Comunicaciones (CRC) y Departamento Nacional de Planeación (DNP)”.</w:t>
      </w:r>
    </w:p>
    <w:p w14:paraId="0CB32879" w14:textId="77777777" w:rsidR="00ED0153" w:rsidRPr="00C35785" w:rsidRDefault="00ED0153" w:rsidP="00ED0153">
      <w:pPr>
        <w:rPr>
          <w:rFonts w:cs="Arial"/>
          <w:sz w:val="22"/>
          <w:szCs w:val="22"/>
        </w:rPr>
      </w:pPr>
    </w:p>
    <w:p w14:paraId="679100B0" w14:textId="74FB08FA" w:rsidR="00007AEB" w:rsidRDefault="00ED0153" w:rsidP="00ED0153">
      <w:pPr>
        <w:rPr>
          <w:sz w:val="22"/>
          <w:szCs w:val="22"/>
        </w:rPr>
      </w:pPr>
      <w:r w:rsidRPr="00C35785">
        <w:rPr>
          <w:rFonts w:cs="Arial"/>
          <w:sz w:val="22"/>
          <w:szCs w:val="22"/>
        </w:rPr>
        <w:t>Ley 812 de 2003</w:t>
      </w:r>
      <w:r w:rsidRPr="00C35785">
        <w:rPr>
          <w:sz w:val="22"/>
          <w:szCs w:val="22"/>
        </w:rPr>
        <w:t xml:space="preserve">, </w:t>
      </w:r>
      <w:r w:rsidRPr="00C35785">
        <w:rPr>
          <w:i/>
          <w:iCs/>
          <w:sz w:val="22"/>
          <w:szCs w:val="22"/>
        </w:rPr>
        <w:t>“Por la cual se aprueba el Plan Nacional de Desarrollo 2003-2006, hacia un Estado comunitario”.</w:t>
      </w:r>
    </w:p>
    <w:p w14:paraId="5D945EB9" w14:textId="2002BB72" w:rsidR="00007AEB" w:rsidRDefault="00007AEB" w:rsidP="00ED0153">
      <w:pPr>
        <w:rPr>
          <w:sz w:val="22"/>
          <w:szCs w:val="22"/>
        </w:rPr>
      </w:pPr>
    </w:p>
    <w:p w14:paraId="23DDCEE5" w14:textId="02DDEB8F" w:rsidR="00007AEB" w:rsidRPr="00007AEB" w:rsidRDefault="00007AEB" w:rsidP="00ED0153">
      <w:pPr>
        <w:rPr>
          <w:i/>
          <w:iCs/>
          <w:sz w:val="22"/>
          <w:szCs w:val="22"/>
        </w:rPr>
      </w:pPr>
      <w:r>
        <w:rPr>
          <w:sz w:val="22"/>
          <w:szCs w:val="22"/>
        </w:rPr>
        <w:t xml:space="preserve">Ley 904 de 2004, </w:t>
      </w:r>
      <w:r>
        <w:rPr>
          <w:i/>
          <w:iCs/>
          <w:sz w:val="22"/>
          <w:szCs w:val="22"/>
        </w:rPr>
        <w:t>“</w:t>
      </w:r>
      <w:r w:rsidRPr="00007AEB">
        <w:rPr>
          <w:i/>
          <w:iCs/>
          <w:sz w:val="22"/>
          <w:szCs w:val="22"/>
        </w:rPr>
        <w:t>Por medio de la cual se prorroga la vigencia de la Ley 716 de 2001, prorrogada y modificada por la Ley 863 de 2003 y se modifican algunas de sus disposiciones</w:t>
      </w:r>
      <w:r>
        <w:rPr>
          <w:i/>
          <w:iCs/>
          <w:sz w:val="22"/>
          <w:szCs w:val="22"/>
        </w:rPr>
        <w:t>”.</w:t>
      </w:r>
    </w:p>
    <w:p w14:paraId="1FF0082D" w14:textId="77777777" w:rsidR="00ED0153" w:rsidRDefault="00ED0153" w:rsidP="00ED0153">
      <w:pPr>
        <w:rPr>
          <w:sz w:val="22"/>
          <w:szCs w:val="22"/>
        </w:rPr>
      </w:pPr>
    </w:p>
    <w:p w14:paraId="720230F3" w14:textId="77777777" w:rsidR="00ED0153" w:rsidRPr="00C35785" w:rsidRDefault="00ED0153" w:rsidP="00ED0153">
      <w:pPr>
        <w:rPr>
          <w:sz w:val="22"/>
          <w:szCs w:val="22"/>
        </w:rPr>
      </w:pPr>
      <w:r w:rsidRPr="00C35785">
        <w:rPr>
          <w:sz w:val="22"/>
          <w:szCs w:val="22"/>
        </w:rPr>
        <w:t xml:space="preserve">Ley 1066 de 2006, </w:t>
      </w:r>
      <w:r w:rsidRPr="00C35785">
        <w:rPr>
          <w:i/>
          <w:iCs/>
          <w:sz w:val="22"/>
          <w:szCs w:val="22"/>
        </w:rPr>
        <w:t>“Por la cual se dictan normas para la normalización de la cartera pública y se dictan otras disposiciones”.</w:t>
      </w:r>
    </w:p>
    <w:p w14:paraId="591CD948" w14:textId="77777777" w:rsidR="00ED0153" w:rsidRPr="00C35785" w:rsidRDefault="00ED0153" w:rsidP="00ED0153">
      <w:pPr>
        <w:rPr>
          <w:sz w:val="22"/>
          <w:szCs w:val="22"/>
        </w:rPr>
      </w:pPr>
    </w:p>
    <w:p w14:paraId="42C87480" w14:textId="77777777" w:rsidR="00ED0153" w:rsidRPr="00C35785" w:rsidRDefault="00ED0153" w:rsidP="00ED0153">
      <w:pPr>
        <w:rPr>
          <w:sz w:val="22"/>
          <w:szCs w:val="22"/>
        </w:rPr>
      </w:pPr>
      <w:r w:rsidRPr="00C35785">
        <w:rPr>
          <w:sz w:val="22"/>
          <w:szCs w:val="22"/>
        </w:rPr>
        <w:t xml:space="preserve">Ley 1437 de 2011, </w:t>
      </w:r>
      <w:r w:rsidRPr="00C35785">
        <w:rPr>
          <w:i/>
          <w:iCs/>
          <w:sz w:val="22"/>
          <w:szCs w:val="22"/>
        </w:rPr>
        <w:t>“Por la cual se expide el Código de Procedimiento Administrativo y de lo Contencioso Administrativo”</w:t>
      </w:r>
      <w:r w:rsidRPr="00C35785">
        <w:rPr>
          <w:sz w:val="22"/>
          <w:szCs w:val="22"/>
        </w:rPr>
        <w:t>.</w:t>
      </w:r>
    </w:p>
    <w:p w14:paraId="1F2A2812" w14:textId="09810F49" w:rsidR="00ED0153" w:rsidRDefault="00ED0153" w:rsidP="00ED0153">
      <w:pPr>
        <w:rPr>
          <w:sz w:val="22"/>
          <w:szCs w:val="22"/>
        </w:rPr>
      </w:pPr>
    </w:p>
    <w:p w14:paraId="17B23FB5" w14:textId="16A277E3" w:rsidR="009E6FF4" w:rsidRDefault="009E6FF4" w:rsidP="009E6FF4">
      <w:pPr>
        <w:rPr>
          <w:sz w:val="22"/>
          <w:szCs w:val="22"/>
        </w:rPr>
      </w:pPr>
      <w:r w:rsidRPr="00C35785">
        <w:rPr>
          <w:sz w:val="22"/>
          <w:szCs w:val="22"/>
        </w:rPr>
        <w:lastRenderedPageBreak/>
        <w:t>Ley 20</w:t>
      </w:r>
      <w:r>
        <w:rPr>
          <w:sz w:val="22"/>
          <w:szCs w:val="22"/>
        </w:rPr>
        <w:t>63</w:t>
      </w:r>
      <w:r w:rsidRPr="00C35785">
        <w:rPr>
          <w:sz w:val="22"/>
          <w:szCs w:val="22"/>
        </w:rPr>
        <w:t xml:space="preserve"> de</w:t>
      </w:r>
      <w:r>
        <w:rPr>
          <w:sz w:val="22"/>
          <w:szCs w:val="22"/>
        </w:rPr>
        <w:t xml:space="preserve">l 28 de noviembre de </w:t>
      </w:r>
      <w:r w:rsidRPr="00C35785">
        <w:rPr>
          <w:sz w:val="22"/>
          <w:szCs w:val="22"/>
        </w:rPr>
        <w:t>20</w:t>
      </w:r>
      <w:r>
        <w:rPr>
          <w:sz w:val="22"/>
          <w:szCs w:val="22"/>
        </w:rPr>
        <w:t>20</w:t>
      </w:r>
      <w:r w:rsidRPr="00C35785">
        <w:rPr>
          <w:sz w:val="22"/>
          <w:szCs w:val="22"/>
        </w:rPr>
        <w:t xml:space="preserve"> </w:t>
      </w:r>
      <w:r w:rsidRPr="00C35785">
        <w:rPr>
          <w:i/>
          <w:iCs/>
          <w:sz w:val="22"/>
          <w:szCs w:val="22"/>
        </w:rPr>
        <w:t>"Por la cual se decreta el Presupuesto de Rentas y Recursos de Capital y Ley de Apropiaciones para la vigencia fiscal del 1 de enero al 31 de diciembre de 202</w:t>
      </w:r>
      <w:r>
        <w:rPr>
          <w:i/>
          <w:iCs/>
          <w:sz w:val="22"/>
          <w:szCs w:val="22"/>
        </w:rPr>
        <w:t>1</w:t>
      </w:r>
      <w:r w:rsidRPr="00C35785">
        <w:rPr>
          <w:i/>
          <w:iCs/>
          <w:sz w:val="22"/>
          <w:szCs w:val="22"/>
        </w:rPr>
        <w:t>”</w:t>
      </w:r>
      <w:r w:rsidRPr="00C35785">
        <w:rPr>
          <w:sz w:val="22"/>
          <w:szCs w:val="22"/>
        </w:rPr>
        <w:t>.</w:t>
      </w:r>
    </w:p>
    <w:p w14:paraId="71DDF603" w14:textId="77777777" w:rsidR="00007AEB" w:rsidRDefault="00007AEB" w:rsidP="009E6FF4">
      <w:pPr>
        <w:rPr>
          <w:sz w:val="22"/>
          <w:szCs w:val="22"/>
        </w:rPr>
      </w:pPr>
    </w:p>
    <w:p w14:paraId="2C5E9695" w14:textId="2FCC1955" w:rsidR="00D36A90" w:rsidRPr="00D63D4C" w:rsidRDefault="00D36A90" w:rsidP="009E6FF4">
      <w:pPr>
        <w:rPr>
          <w:i/>
          <w:iCs/>
          <w:sz w:val="22"/>
          <w:szCs w:val="22"/>
        </w:rPr>
      </w:pPr>
      <w:r w:rsidRPr="00D36A90">
        <w:rPr>
          <w:sz w:val="22"/>
          <w:szCs w:val="22"/>
        </w:rPr>
        <w:t>Decreto 1524</w:t>
      </w:r>
      <w:r>
        <w:rPr>
          <w:sz w:val="22"/>
          <w:szCs w:val="22"/>
        </w:rPr>
        <w:t xml:space="preserve"> de 1994, </w:t>
      </w:r>
      <w:r w:rsidR="00D63D4C">
        <w:rPr>
          <w:i/>
          <w:iCs/>
          <w:sz w:val="22"/>
          <w:szCs w:val="22"/>
        </w:rPr>
        <w:t>“</w:t>
      </w:r>
      <w:r w:rsidR="00D63D4C" w:rsidRPr="00D63D4C">
        <w:rPr>
          <w:i/>
          <w:iCs/>
          <w:sz w:val="22"/>
          <w:szCs w:val="22"/>
        </w:rPr>
        <w:t>por el cual se delegan las funciones presidenciales de señalar políticas generales de administración y control de eficiencia en los servicios públicos domiciliarios, y se dictan otras disposiciones</w:t>
      </w:r>
      <w:r w:rsidR="00D63D4C">
        <w:rPr>
          <w:i/>
          <w:iCs/>
          <w:sz w:val="22"/>
          <w:szCs w:val="22"/>
        </w:rPr>
        <w:t>”.</w:t>
      </w:r>
    </w:p>
    <w:p w14:paraId="3734241C" w14:textId="117594CC" w:rsidR="009E6FF4" w:rsidRDefault="009E6FF4" w:rsidP="00ED0153">
      <w:pPr>
        <w:rPr>
          <w:sz w:val="22"/>
          <w:szCs w:val="22"/>
        </w:rPr>
      </w:pPr>
    </w:p>
    <w:p w14:paraId="66DA1C77" w14:textId="08B9FBE0" w:rsidR="00D36A90" w:rsidRDefault="00D36A90" w:rsidP="00ED0153">
      <w:pPr>
        <w:rPr>
          <w:sz w:val="22"/>
          <w:szCs w:val="22"/>
        </w:rPr>
      </w:pPr>
      <w:r w:rsidRPr="00D36A90">
        <w:rPr>
          <w:sz w:val="22"/>
          <w:szCs w:val="22"/>
        </w:rPr>
        <w:t xml:space="preserve">Decreto </w:t>
      </w:r>
      <w:r>
        <w:rPr>
          <w:sz w:val="22"/>
          <w:szCs w:val="22"/>
        </w:rPr>
        <w:t xml:space="preserve">2253 de 1994, </w:t>
      </w:r>
      <w:r w:rsidR="00D63D4C">
        <w:rPr>
          <w:i/>
          <w:iCs/>
          <w:sz w:val="22"/>
          <w:szCs w:val="22"/>
        </w:rPr>
        <w:t>“Por la cual se delegan unas funciones”</w:t>
      </w:r>
      <w:r w:rsidR="00D63D4C">
        <w:rPr>
          <w:sz w:val="22"/>
          <w:szCs w:val="22"/>
        </w:rPr>
        <w:t xml:space="preserve">. </w:t>
      </w:r>
    </w:p>
    <w:p w14:paraId="62007606" w14:textId="46BCA01E" w:rsidR="00007AEB" w:rsidRDefault="00007AEB" w:rsidP="00ED0153">
      <w:pPr>
        <w:rPr>
          <w:sz w:val="22"/>
          <w:szCs w:val="22"/>
        </w:rPr>
      </w:pPr>
    </w:p>
    <w:p w14:paraId="4D5773DE" w14:textId="017512A0" w:rsidR="00007AEB" w:rsidRDefault="00007AEB" w:rsidP="00ED0153">
      <w:pPr>
        <w:rPr>
          <w:sz w:val="22"/>
          <w:szCs w:val="22"/>
        </w:rPr>
      </w:pPr>
      <w:r w:rsidRPr="00007AEB">
        <w:rPr>
          <w:sz w:val="22"/>
          <w:szCs w:val="22"/>
        </w:rPr>
        <w:t>Decreto 111 de 1996</w:t>
      </w:r>
      <w:r>
        <w:rPr>
          <w:sz w:val="22"/>
          <w:szCs w:val="22"/>
        </w:rPr>
        <w:t xml:space="preserve">, </w:t>
      </w:r>
      <w:r w:rsidRPr="00007AEB">
        <w:rPr>
          <w:i/>
          <w:iCs/>
          <w:sz w:val="22"/>
          <w:szCs w:val="22"/>
        </w:rPr>
        <w:t>“Por el cual se compilan la Ley 38 de 1989, la Ley 179 de 1994 y la Ley 225 de 1995 que conforman el estatuto orgánico del presupuesto</w:t>
      </w:r>
      <w:r>
        <w:rPr>
          <w:i/>
          <w:iCs/>
          <w:sz w:val="22"/>
          <w:szCs w:val="22"/>
        </w:rPr>
        <w:t>”</w:t>
      </w:r>
      <w:r w:rsidRPr="00007AEB">
        <w:rPr>
          <w:i/>
          <w:iCs/>
          <w:sz w:val="22"/>
          <w:szCs w:val="22"/>
        </w:rPr>
        <w:t>.</w:t>
      </w:r>
    </w:p>
    <w:p w14:paraId="32540E18" w14:textId="77777777" w:rsidR="00D36A90" w:rsidRDefault="00D36A90" w:rsidP="00ED0153">
      <w:pPr>
        <w:rPr>
          <w:sz w:val="22"/>
          <w:szCs w:val="22"/>
        </w:rPr>
      </w:pPr>
    </w:p>
    <w:p w14:paraId="34154DD8" w14:textId="77777777" w:rsidR="009E6FF4" w:rsidRPr="000B277D" w:rsidRDefault="009E6FF4" w:rsidP="009E6FF4">
      <w:pPr>
        <w:rPr>
          <w:i/>
          <w:iCs/>
          <w:sz w:val="22"/>
          <w:szCs w:val="22"/>
        </w:rPr>
      </w:pPr>
      <w:r w:rsidRPr="000B277D">
        <w:rPr>
          <w:sz w:val="22"/>
          <w:szCs w:val="22"/>
        </w:rPr>
        <w:t>Decreto 2696 de 2004</w:t>
      </w:r>
      <w:r>
        <w:rPr>
          <w:sz w:val="22"/>
          <w:szCs w:val="22"/>
        </w:rPr>
        <w:t xml:space="preserve">, </w:t>
      </w:r>
      <w:r w:rsidRPr="000B277D">
        <w:rPr>
          <w:i/>
          <w:iCs/>
          <w:sz w:val="22"/>
          <w:szCs w:val="22"/>
        </w:rPr>
        <w:t>“Por el cual se definen las reglas mínimas para garantizar la divulgación y la participación en las actuaciones de las Comisiones de Regulación”.</w:t>
      </w:r>
    </w:p>
    <w:p w14:paraId="30583774" w14:textId="77777777" w:rsidR="009E6FF4" w:rsidRPr="00C35785" w:rsidRDefault="009E6FF4" w:rsidP="009E6FF4">
      <w:pPr>
        <w:rPr>
          <w:sz w:val="22"/>
          <w:szCs w:val="22"/>
        </w:rPr>
      </w:pPr>
    </w:p>
    <w:p w14:paraId="43542AC4" w14:textId="77777777" w:rsidR="009E6FF4" w:rsidRPr="00C35785" w:rsidRDefault="009E6FF4" w:rsidP="009E6FF4">
      <w:pPr>
        <w:rPr>
          <w:sz w:val="22"/>
          <w:szCs w:val="22"/>
        </w:rPr>
      </w:pPr>
      <w:r w:rsidRPr="00C35785">
        <w:rPr>
          <w:rFonts w:cs="Arial"/>
          <w:sz w:val="22"/>
          <w:szCs w:val="22"/>
        </w:rPr>
        <w:t>Decreto 4299 de 2005</w:t>
      </w:r>
      <w:r w:rsidRPr="00C35785">
        <w:rPr>
          <w:sz w:val="22"/>
          <w:szCs w:val="22"/>
        </w:rPr>
        <w:t xml:space="preserve">, </w:t>
      </w:r>
      <w:r w:rsidRPr="00C35785">
        <w:rPr>
          <w:i/>
          <w:iCs/>
          <w:sz w:val="22"/>
          <w:szCs w:val="22"/>
        </w:rPr>
        <w:t>“Por el cual se reglamenta el artículo 61 de la Ley 812 de 2003 y se establecen otras disposiciones”.</w:t>
      </w:r>
    </w:p>
    <w:p w14:paraId="4567A442" w14:textId="77777777" w:rsidR="009E6FF4" w:rsidRDefault="009E6FF4" w:rsidP="00ED0153">
      <w:pPr>
        <w:rPr>
          <w:sz w:val="22"/>
          <w:szCs w:val="22"/>
        </w:rPr>
      </w:pPr>
    </w:p>
    <w:p w14:paraId="2F4FFEA6" w14:textId="4A03BED9" w:rsidR="00ED0153" w:rsidRPr="00C35785" w:rsidRDefault="00ED0153" w:rsidP="00ED0153">
      <w:pPr>
        <w:rPr>
          <w:sz w:val="22"/>
          <w:szCs w:val="22"/>
        </w:rPr>
      </w:pPr>
      <w:r w:rsidRPr="00C35785">
        <w:rPr>
          <w:sz w:val="22"/>
          <w:szCs w:val="22"/>
        </w:rPr>
        <w:t xml:space="preserve">Decreto 1260 de 2013, </w:t>
      </w:r>
      <w:r w:rsidRPr="00C35785">
        <w:rPr>
          <w:i/>
          <w:iCs/>
          <w:sz w:val="22"/>
          <w:szCs w:val="22"/>
        </w:rPr>
        <w:t>“Por el cual se modifica la estructura de la Comisión de Regulación de Energía y Gas (CREG)”</w:t>
      </w:r>
      <w:r w:rsidR="00007AEB">
        <w:rPr>
          <w:i/>
          <w:iCs/>
          <w:sz w:val="22"/>
          <w:szCs w:val="22"/>
        </w:rPr>
        <w:t>.</w:t>
      </w:r>
      <w:r w:rsidR="00007AEB">
        <w:rPr>
          <w:i/>
          <w:iCs/>
          <w:sz w:val="22"/>
          <w:szCs w:val="22"/>
        </w:rPr>
        <w:tab/>
      </w:r>
    </w:p>
    <w:p w14:paraId="2AE9046B" w14:textId="77777777" w:rsidR="00ED0153" w:rsidRDefault="00ED0153" w:rsidP="00ED0153">
      <w:pPr>
        <w:rPr>
          <w:sz w:val="22"/>
          <w:szCs w:val="22"/>
        </w:rPr>
      </w:pPr>
    </w:p>
    <w:p w14:paraId="485B35BE" w14:textId="77777777" w:rsidR="00ED0153" w:rsidRDefault="00ED0153" w:rsidP="00ED0153">
      <w:pPr>
        <w:rPr>
          <w:sz w:val="22"/>
          <w:szCs w:val="22"/>
        </w:rPr>
      </w:pPr>
      <w:r w:rsidRPr="00C35785">
        <w:rPr>
          <w:rFonts w:cs="Arial"/>
          <w:sz w:val="22"/>
          <w:szCs w:val="22"/>
        </w:rPr>
        <w:t>Decreto 1068 de 2015</w:t>
      </w:r>
      <w:r w:rsidRPr="00C35785">
        <w:rPr>
          <w:sz w:val="22"/>
          <w:szCs w:val="22"/>
        </w:rPr>
        <w:t xml:space="preserve">, </w:t>
      </w:r>
      <w:r w:rsidRPr="00C35785">
        <w:rPr>
          <w:i/>
          <w:iCs/>
          <w:sz w:val="22"/>
          <w:szCs w:val="22"/>
        </w:rPr>
        <w:t>“Por medio del cual se expide el decreto único reglamentario del sector Hacienda y Crédito Público”.</w:t>
      </w:r>
    </w:p>
    <w:p w14:paraId="6E298EB1" w14:textId="77777777" w:rsidR="00ED0153" w:rsidRPr="00C35785" w:rsidRDefault="00ED0153" w:rsidP="00ED0153">
      <w:pPr>
        <w:rPr>
          <w:sz w:val="22"/>
          <w:szCs w:val="22"/>
        </w:rPr>
      </w:pPr>
    </w:p>
    <w:p w14:paraId="4B53FFE1" w14:textId="77777777" w:rsidR="00ED0153" w:rsidRDefault="00ED0153" w:rsidP="00ED0153">
      <w:pPr>
        <w:rPr>
          <w:sz w:val="22"/>
          <w:szCs w:val="22"/>
        </w:rPr>
      </w:pPr>
      <w:r w:rsidRPr="00C35785">
        <w:rPr>
          <w:rFonts w:cs="Arial"/>
          <w:sz w:val="22"/>
          <w:szCs w:val="22"/>
        </w:rPr>
        <w:t>Decreto 1</w:t>
      </w:r>
      <w:r>
        <w:rPr>
          <w:rFonts w:cs="Arial"/>
          <w:sz w:val="22"/>
          <w:szCs w:val="22"/>
        </w:rPr>
        <w:t>081</w:t>
      </w:r>
      <w:r w:rsidRPr="00C35785">
        <w:rPr>
          <w:rFonts w:cs="Arial"/>
          <w:sz w:val="22"/>
          <w:szCs w:val="22"/>
        </w:rPr>
        <w:t xml:space="preserve"> de 2015</w:t>
      </w:r>
      <w:r w:rsidRPr="00C35785">
        <w:rPr>
          <w:sz w:val="22"/>
          <w:szCs w:val="22"/>
        </w:rPr>
        <w:t xml:space="preserve">, </w:t>
      </w:r>
      <w:r w:rsidRPr="00814907">
        <w:rPr>
          <w:i/>
          <w:iCs/>
          <w:sz w:val="22"/>
          <w:szCs w:val="22"/>
        </w:rPr>
        <w:t>“Por medio del cual se expide el Decreto Reglamentario Único del Sector Presidencia de la República”.</w:t>
      </w:r>
    </w:p>
    <w:p w14:paraId="708C4403" w14:textId="77777777" w:rsidR="00ED0153" w:rsidRDefault="00ED0153" w:rsidP="00ED0153">
      <w:pPr>
        <w:rPr>
          <w:rFonts w:cs="Arial"/>
          <w:sz w:val="22"/>
          <w:szCs w:val="22"/>
        </w:rPr>
      </w:pPr>
    </w:p>
    <w:p w14:paraId="11D04E8F" w14:textId="77777777" w:rsidR="00ED0153" w:rsidRPr="00C35785" w:rsidRDefault="00ED0153" w:rsidP="00ED0153">
      <w:pPr>
        <w:rPr>
          <w:sz w:val="22"/>
          <w:szCs w:val="22"/>
        </w:rPr>
      </w:pPr>
      <w:r w:rsidRPr="00C35785">
        <w:rPr>
          <w:rFonts w:cs="Arial"/>
          <w:sz w:val="22"/>
          <w:szCs w:val="22"/>
        </w:rPr>
        <w:t>Decreto 1082 de 2015</w:t>
      </w:r>
      <w:r w:rsidRPr="00C35785">
        <w:rPr>
          <w:sz w:val="22"/>
          <w:szCs w:val="22"/>
        </w:rPr>
        <w:t xml:space="preserve">, </w:t>
      </w:r>
      <w:r w:rsidRPr="00C35785">
        <w:rPr>
          <w:i/>
          <w:iCs/>
          <w:sz w:val="22"/>
          <w:szCs w:val="22"/>
        </w:rPr>
        <w:t>“Por medio del cual se expide el decreto único reglamentario del sector administrativo de ​​planeación nacional”.</w:t>
      </w:r>
    </w:p>
    <w:p w14:paraId="7F626C42" w14:textId="293476B4" w:rsidR="00ED0153" w:rsidRDefault="00ED0153" w:rsidP="00ED0153">
      <w:pPr>
        <w:rPr>
          <w:sz w:val="22"/>
          <w:szCs w:val="22"/>
        </w:rPr>
      </w:pPr>
    </w:p>
    <w:p w14:paraId="5CBAAF5B" w14:textId="275C398C" w:rsidR="00D63D4C" w:rsidRDefault="00D63D4C" w:rsidP="00ED0153">
      <w:pPr>
        <w:rPr>
          <w:sz w:val="22"/>
          <w:szCs w:val="22"/>
        </w:rPr>
      </w:pPr>
      <w:r w:rsidRPr="00D63D4C">
        <w:rPr>
          <w:sz w:val="22"/>
          <w:szCs w:val="22"/>
        </w:rPr>
        <w:t>D</w:t>
      </w:r>
      <w:r>
        <w:rPr>
          <w:sz w:val="22"/>
          <w:szCs w:val="22"/>
        </w:rPr>
        <w:t>ecreto</w:t>
      </w:r>
      <w:r w:rsidRPr="00D63D4C">
        <w:rPr>
          <w:sz w:val="22"/>
          <w:szCs w:val="22"/>
        </w:rPr>
        <w:t xml:space="preserve"> 2420 de 2015</w:t>
      </w:r>
      <w:r>
        <w:rPr>
          <w:sz w:val="22"/>
          <w:szCs w:val="22"/>
        </w:rPr>
        <w:t xml:space="preserve">, </w:t>
      </w:r>
      <w:r w:rsidRPr="00D63D4C">
        <w:rPr>
          <w:i/>
          <w:iCs/>
          <w:sz w:val="22"/>
          <w:szCs w:val="22"/>
        </w:rPr>
        <w:t>"Por medio del cual se expide el Decreto Único Reglamentario de las Normas de Contabilidad, de Información Financiera y de Aseguramiento de la Información y se dictan otras disposiciones".</w:t>
      </w:r>
    </w:p>
    <w:p w14:paraId="1666EBEF" w14:textId="77777777" w:rsidR="00D63D4C" w:rsidRDefault="00D63D4C" w:rsidP="00ED0153">
      <w:pPr>
        <w:rPr>
          <w:sz w:val="22"/>
          <w:szCs w:val="22"/>
        </w:rPr>
      </w:pPr>
    </w:p>
    <w:p w14:paraId="52BE2FEA" w14:textId="77777777" w:rsidR="009E6FF4" w:rsidRPr="00C35785" w:rsidRDefault="009E6FF4" w:rsidP="009E6FF4">
      <w:pPr>
        <w:rPr>
          <w:sz w:val="22"/>
          <w:szCs w:val="22"/>
        </w:rPr>
      </w:pPr>
      <w:r>
        <w:rPr>
          <w:sz w:val="22"/>
          <w:szCs w:val="22"/>
        </w:rPr>
        <w:t xml:space="preserve">Anexo del </w:t>
      </w:r>
      <w:r w:rsidRPr="00C35785">
        <w:rPr>
          <w:sz w:val="22"/>
          <w:szCs w:val="22"/>
        </w:rPr>
        <w:t xml:space="preserve">Decreto </w:t>
      </w:r>
      <w:r>
        <w:rPr>
          <w:sz w:val="22"/>
          <w:szCs w:val="22"/>
        </w:rPr>
        <w:t>1805</w:t>
      </w:r>
      <w:r w:rsidRPr="00C35785">
        <w:rPr>
          <w:sz w:val="22"/>
          <w:szCs w:val="22"/>
        </w:rPr>
        <w:t xml:space="preserve"> de</w:t>
      </w:r>
      <w:r>
        <w:rPr>
          <w:sz w:val="22"/>
          <w:szCs w:val="22"/>
        </w:rPr>
        <w:t>l</w:t>
      </w:r>
      <w:r w:rsidRPr="00C35785">
        <w:rPr>
          <w:sz w:val="22"/>
          <w:szCs w:val="22"/>
        </w:rPr>
        <w:t xml:space="preserve"> </w:t>
      </w:r>
      <w:r>
        <w:rPr>
          <w:sz w:val="22"/>
          <w:szCs w:val="22"/>
        </w:rPr>
        <w:t xml:space="preserve">31 de diciembre de </w:t>
      </w:r>
      <w:r w:rsidRPr="00C35785">
        <w:rPr>
          <w:sz w:val="22"/>
          <w:szCs w:val="22"/>
        </w:rPr>
        <w:t>20</w:t>
      </w:r>
      <w:r>
        <w:rPr>
          <w:sz w:val="22"/>
          <w:szCs w:val="22"/>
        </w:rPr>
        <w:t>20</w:t>
      </w:r>
      <w:r w:rsidRPr="00C35785">
        <w:rPr>
          <w:sz w:val="22"/>
          <w:szCs w:val="22"/>
        </w:rPr>
        <w:t xml:space="preserve">, </w:t>
      </w:r>
      <w:r w:rsidRPr="00C35785">
        <w:rPr>
          <w:i/>
          <w:iCs/>
          <w:sz w:val="22"/>
          <w:szCs w:val="22"/>
        </w:rPr>
        <w:t>“Por el cual se liquida el Presupuesto General de la Nación para la vigencia fiscal de 202</w:t>
      </w:r>
      <w:r>
        <w:rPr>
          <w:i/>
          <w:iCs/>
          <w:sz w:val="22"/>
          <w:szCs w:val="22"/>
        </w:rPr>
        <w:t>1</w:t>
      </w:r>
      <w:r w:rsidRPr="00C35785">
        <w:rPr>
          <w:i/>
          <w:iCs/>
          <w:sz w:val="22"/>
          <w:szCs w:val="22"/>
        </w:rPr>
        <w:t>, se detallan las apropiaciones y se clasifican y definen los gastos”.</w:t>
      </w:r>
    </w:p>
    <w:p w14:paraId="2C909978" w14:textId="7B376572" w:rsidR="00ED0153" w:rsidRDefault="00ED0153" w:rsidP="00ED0153">
      <w:pPr>
        <w:rPr>
          <w:rFonts w:cs="Arial"/>
          <w:sz w:val="22"/>
          <w:szCs w:val="22"/>
        </w:rPr>
      </w:pPr>
    </w:p>
    <w:p w14:paraId="173BB7EF" w14:textId="16D433E7" w:rsidR="00D63D4C" w:rsidRPr="00D63D4C" w:rsidRDefault="00D63D4C" w:rsidP="00ED0153">
      <w:pPr>
        <w:rPr>
          <w:rFonts w:cs="Arial"/>
          <w:i/>
          <w:iCs/>
          <w:sz w:val="22"/>
          <w:szCs w:val="22"/>
        </w:rPr>
      </w:pPr>
      <w:bookmarkStart w:id="3" w:name="_Hlk86299885"/>
      <w:r w:rsidRPr="00D63D4C">
        <w:rPr>
          <w:rFonts w:cs="Arial"/>
          <w:sz w:val="22"/>
          <w:szCs w:val="22"/>
        </w:rPr>
        <w:t>Resoluci</w:t>
      </w:r>
      <w:r>
        <w:rPr>
          <w:rFonts w:cs="Arial"/>
          <w:sz w:val="22"/>
          <w:szCs w:val="22"/>
        </w:rPr>
        <w:t xml:space="preserve">ón CGN </w:t>
      </w:r>
      <w:r w:rsidRPr="00D63D4C">
        <w:rPr>
          <w:rFonts w:cs="Arial"/>
          <w:sz w:val="22"/>
          <w:szCs w:val="22"/>
        </w:rPr>
        <w:t>N° 414 de 2014</w:t>
      </w:r>
      <w:r>
        <w:rPr>
          <w:rFonts w:cs="Arial"/>
          <w:sz w:val="22"/>
          <w:szCs w:val="22"/>
        </w:rPr>
        <w:t xml:space="preserve">, </w:t>
      </w:r>
      <w:r w:rsidRPr="00D63D4C">
        <w:rPr>
          <w:rFonts w:cs="Arial"/>
          <w:i/>
          <w:iCs/>
          <w:sz w:val="22"/>
          <w:szCs w:val="22"/>
        </w:rPr>
        <w:t>“Por la cual se incorpora en el Régimen de Contabilidad Pública, el marco normativo aplicable para algunas empresas sujetas a su ámbito y se dictan otras disposiciones”.</w:t>
      </w:r>
    </w:p>
    <w:bookmarkEnd w:id="3"/>
    <w:p w14:paraId="0D61F23C" w14:textId="4B9CC13E" w:rsidR="00D63D4C" w:rsidRDefault="00D63D4C" w:rsidP="00ED0153">
      <w:pPr>
        <w:rPr>
          <w:rFonts w:cs="Arial"/>
          <w:sz w:val="22"/>
          <w:szCs w:val="22"/>
        </w:rPr>
      </w:pPr>
    </w:p>
    <w:p w14:paraId="20DC9E3C" w14:textId="51EE1ADC" w:rsidR="00D63D4C" w:rsidRPr="00D63D4C" w:rsidRDefault="00D63D4C" w:rsidP="00D63D4C">
      <w:pPr>
        <w:rPr>
          <w:rFonts w:cs="Arial"/>
          <w:i/>
          <w:iCs/>
          <w:sz w:val="22"/>
          <w:szCs w:val="22"/>
        </w:rPr>
      </w:pPr>
      <w:r w:rsidRPr="00D63D4C">
        <w:rPr>
          <w:rFonts w:cs="Arial"/>
          <w:sz w:val="22"/>
          <w:szCs w:val="22"/>
        </w:rPr>
        <w:lastRenderedPageBreak/>
        <w:t>Resoluci</w:t>
      </w:r>
      <w:r>
        <w:rPr>
          <w:rFonts w:cs="Arial"/>
          <w:sz w:val="22"/>
          <w:szCs w:val="22"/>
        </w:rPr>
        <w:t xml:space="preserve">ón CGN </w:t>
      </w:r>
      <w:r w:rsidRPr="00D63D4C">
        <w:rPr>
          <w:rFonts w:cs="Arial"/>
          <w:sz w:val="22"/>
          <w:szCs w:val="22"/>
        </w:rPr>
        <w:t xml:space="preserve">N° </w:t>
      </w:r>
      <w:r>
        <w:rPr>
          <w:rFonts w:cs="Arial"/>
          <w:sz w:val="22"/>
          <w:szCs w:val="22"/>
        </w:rPr>
        <w:t>533</w:t>
      </w:r>
      <w:r w:rsidRPr="00D63D4C">
        <w:rPr>
          <w:rFonts w:cs="Arial"/>
          <w:sz w:val="22"/>
          <w:szCs w:val="22"/>
        </w:rPr>
        <w:t xml:space="preserve"> de 201</w:t>
      </w:r>
      <w:r>
        <w:rPr>
          <w:rFonts w:cs="Arial"/>
          <w:sz w:val="22"/>
          <w:szCs w:val="22"/>
        </w:rPr>
        <w:t xml:space="preserve">5, </w:t>
      </w:r>
      <w:r w:rsidRPr="00D63D4C">
        <w:rPr>
          <w:rFonts w:cs="Arial"/>
          <w:i/>
          <w:iCs/>
          <w:sz w:val="22"/>
          <w:szCs w:val="22"/>
        </w:rPr>
        <w:t>“Por la cual se incorpora en el Régimen de Contabilidad Pública, el marco normativo aplicable a entidades de gobierno y se dictan otras disposiciones”.</w:t>
      </w:r>
    </w:p>
    <w:p w14:paraId="57AE36F2" w14:textId="517ED06F" w:rsidR="00D63D4C" w:rsidRDefault="00D63D4C" w:rsidP="00ED0153">
      <w:pPr>
        <w:rPr>
          <w:rFonts w:cs="Arial"/>
          <w:sz w:val="22"/>
          <w:szCs w:val="22"/>
        </w:rPr>
      </w:pPr>
    </w:p>
    <w:p w14:paraId="288C938B" w14:textId="7CBE9B65" w:rsidR="00D36A90" w:rsidRPr="00D36A90" w:rsidRDefault="00D36A90" w:rsidP="00D36A90">
      <w:pPr>
        <w:rPr>
          <w:rFonts w:cs="Arial"/>
          <w:sz w:val="22"/>
          <w:szCs w:val="22"/>
        </w:rPr>
      </w:pPr>
      <w:r w:rsidRPr="00D36A90">
        <w:rPr>
          <w:rFonts w:cs="Arial"/>
          <w:sz w:val="22"/>
          <w:szCs w:val="22"/>
        </w:rPr>
        <w:t>Resolución SSPD N° 20151300047005</w:t>
      </w:r>
      <w:r>
        <w:rPr>
          <w:rFonts w:cs="Arial"/>
          <w:sz w:val="22"/>
          <w:szCs w:val="22"/>
        </w:rPr>
        <w:t xml:space="preserve"> del 7 de octubre de 2015,</w:t>
      </w:r>
      <w:r w:rsidRPr="00D36A90">
        <w:rPr>
          <w:rFonts w:cs="Arial"/>
          <w:sz w:val="22"/>
          <w:szCs w:val="22"/>
        </w:rPr>
        <w:t xml:space="preserve"> “</w:t>
      </w:r>
      <w:r w:rsidRPr="00D36A90">
        <w:rPr>
          <w:rFonts w:cs="Arial"/>
          <w:i/>
          <w:iCs/>
          <w:sz w:val="22"/>
          <w:szCs w:val="22"/>
        </w:rPr>
        <w:t>Por la cual se establecen los requerimientos que deben surtir los prestadores ante la SSPD, en relación con el Registro Único de Prestadores (RUPS) para su inscripción, actualización y cancelación</w:t>
      </w:r>
      <w:r w:rsidRPr="00D36A90">
        <w:rPr>
          <w:rFonts w:cs="Arial"/>
          <w:sz w:val="22"/>
          <w:szCs w:val="22"/>
        </w:rPr>
        <w:t>”.</w:t>
      </w:r>
    </w:p>
    <w:p w14:paraId="44D488B0" w14:textId="73557D06" w:rsidR="00D36A90" w:rsidRDefault="00D36A90" w:rsidP="00ED0153">
      <w:pPr>
        <w:rPr>
          <w:rFonts w:cs="Arial"/>
          <w:sz w:val="22"/>
          <w:szCs w:val="22"/>
        </w:rPr>
      </w:pPr>
    </w:p>
    <w:p w14:paraId="362AD637" w14:textId="77777777" w:rsidR="00D36A90" w:rsidRPr="00D36A90" w:rsidRDefault="00D36A90" w:rsidP="00D36A90">
      <w:pPr>
        <w:rPr>
          <w:rFonts w:cs="Arial"/>
          <w:i/>
          <w:iCs/>
          <w:sz w:val="22"/>
          <w:szCs w:val="22"/>
        </w:rPr>
      </w:pPr>
      <w:r w:rsidRPr="00D36A90">
        <w:rPr>
          <w:rFonts w:cs="Arial"/>
          <w:sz w:val="22"/>
          <w:szCs w:val="22"/>
        </w:rPr>
        <w:t xml:space="preserve">Resolución CREG N° 039 de 2017, </w:t>
      </w:r>
      <w:r w:rsidRPr="00D36A90">
        <w:rPr>
          <w:rFonts w:cs="Arial"/>
          <w:i/>
          <w:iCs/>
          <w:sz w:val="22"/>
          <w:szCs w:val="22"/>
        </w:rPr>
        <w:t>“Por la cual se establece el Reglamento Interno de la Comisión de Regulación de Energía y Gas, CREG”.</w:t>
      </w:r>
    </w:p>
    <w:p w14:paraId="023E96C6" w14:textId="6F8B6550" w:rsidR="00D36A90" w:rsidRDefault="00D36A90" w:rsidP="00ED0153">
      <w:pPr>
        <w:rPr>
          <w:rFonts w:cs="Arial"/>
          <w:sz w:val="22"/>
          <w:szCs w:val="22"/>
        </w:rPr>
      </w:pPr>
    </w:p>
    <w:p w14:paraId="51BAA5B9" w14:textId="2D34AA18" w:rsidR="00B02CB5" w:rsidRPr="00F7451B" w:rsidRDefault="00B02CB5" w:rsidP="00ED0153">
      <w:pPr>
        <w:rPr>
          <w:rFonts w:cs="Arial"/>
          <w:i/>
          <w:iCs/>
          <w:sz w:val="22"/>
          <w:szCs w:val="22"/>
        </w:rPr>
      </w:pPr>
      <w:r w:rsidRPr="00B02CB5">
        <w:rPr>
          <w:rFonts w:cs="Arial"/>
          <w:sz w:val="22"/>
          <w:szCs w:val="22"/>
        </w:rPr>
        <w:t xml:space="preserve">Resolución CGN N° </w:t>
      </w:r>
      <w:r>
        <w:rPr>
          <w:rFonts w:cs="Arial"/>
          <w:sz w:val="22"/>
          <w:szCs w:val="22"/>
        </w:rPr>
        <w:t>037</w:t>
      </w:r>
      <w:r w:rsidRPr="00B02CB5">
        <w:rPr>
          <w:rFonts w:cs="Arial"/>
          <w:sz w:val="22"/>
          <w:szCs w:val="22"/>
        </w:rPr>
        <w:t xml:space="preserve"> de 201</w:t>
      </w:r>
      <w:r>
        <w:rPr>
          <w:rFonts w:cs="Arial"/>
          <w:sz w:val="22"/>
          <w:szCs w:val="22"/>
        </w:rPr>
        <w:t>7</w:t>
      </w:r>
      <w:r w:rsidRPr="00B02CB5">
        <w:rPr>
          <w:rFonts w:cs="Arial"/>
          <w:sz w:val="22"/>
          <w:szCs w:val="22"/>
        </w:rPr>
        <w:t xml:space="preserve">, </w:t>
      </w:r>
      <w:r w:rsidRPr="00F7451B">
        <w:rPr>
          <w:rFonts w:cs="Arial"/>
          <w:i/>
          <w:iCs/>
          <w:sz w:val="22"/>
          <w:szCs w:val="22"/>
        </w:rPr>
        <w:t>“</w:t>
      </w:r>
      <w:r w:rsidR="00F7451B" w:rsidRPr="00F7451B">
        <w:rPr>
          <w:rFonts w:cs="Arial"/>
          <w:i/>
          <w:iCs/>
          <w:sz w:val="22"/>
          <w:szCs w:val="22"/>
        </w:rPr>
        <w:t>Por la cual se regula el marco normativo para empresas que coticen en el Mercado de Valores o que capten o administren ahorro del público</w:t>
      </w:r>
      <w:r w:rsidRPr="00F7451B">
        <w:rPr>
          <w:rFonts w:cs="Arial"/>
          <w:i/>
          <w:iCs/>
          <w:sz w:val="22"/>
          <w:szCs w:val="22"/>
        </w:rPr>
        <w:t>”.</w:t>
      </w:r>
    </w:p>
    <w:p w14:paraId="11734C9A" w14:textId="77777777" w:rsidR="00B02CB5" w:rsidRPr="00D36A90" w:rsidRDefault="00B02CB5" w:rsidP="00ED0153">
      <w:pPr>
        <w:rPr>
          <w:rFonts w:cs="Arial"/>
          <w:sz w:val="22"/>
          <w:szCs w:val="22"/>
        </w:rPr>
      </w:pPr>
    </w:p>
    <w:p w14:paraId="7C558B65" w14:textId="62D486F3" w:rsidR="00D75F54" w:rsidRPr="00D36A90" w:rsidRDefault="00D75F54" w:rsidP="00D75F54">
      <w:pPr>
        <w:rPr>
          <w:rFonts w:cs="Arial"/>
          <w:sz w:val="22"/>
          <w:szCs w:val="22"/>
        </w:rPr>
      </w:pPr>
      <w:r w:rsidRPr="00D36A90">
        <w:rPr>
          <w:rFonts w:cs="Arial"/>
          <w:sz w:val="22"/>
          <w:szCs w:val="22"/>
        </w:rPr>
        <w:t xml:space="preserve">Resolución SSPD N° 20212200012515 del 31 de marzo de 2021, </w:t>
      </w:r>
      <w:r w:rsidRPr="00D36A90">
        <w:rPr>
          <w:rFonts w:cs="Arial"/>
          <w:i/>
          <w:iCs/>
          <w:sz w:val="22"/>
          <w:szCs w:val="22"/>
        </w:rPr>
        <w:t>“Por la cual se expiden los lineamientos para el cargue de información al Sistema Único de Información (SUI) aplicable a los prestadores del servicio públ</w:t>
      </w:r>
      <w:r w:rsidR="009E6FF4" w:rsidRPr="00D36A90">
        <w:rPr>
          <w:rFonts w:cs="Arial"/>
          <w:i/>
          <w:iCs/>
          <w:sz w:val="22"/>
          <w:szCs w:val="22"/>
        </w:rPr>
        <w:t>ico de energía eléctrica del Sistema Interconectado Nacional (SIN)</w:t>
      </w:r>
      <w:r w:rsidRPr="00D36A90">
        <w:rPr>
          <w:rFonts w:cs="Arial"/>
          <w:i/>
          <w:iCs/>
          <w:sz w:val="22"/>
          <w:szCs w:val="22"/>
        </w:rPr>
        <w:t>”</w:t>
      </w:r>
      <w:r w:rsidRPr="00D36A90">
        <w:rPr>
          <w:rFonts w:cs="Arial"/>
          <w:sz w:val="22"/>
          <w:szCs w:val="22"/>
        </w:rPr>
        <w:t>.</w:t>
      </w:r>
    </w:p>
    <w:p w14:paraId="43984B3B" w14:textId="77777777" w:rsidR="00D75F54" w:rsidRPr="00C35785" w:rsidRDefault="00D75F54" w:rsidP="00ED0153">
      <w:pPr>
        <w:rPr>
          <w:sz w:val="22"/>
          <w:szCs w:val="22"/>
        </w:rPr>
      </w:pPr>
    </w:p>
    <w:p w14:paraId="37C3A716" w14:textId="17EDF665" w:rsidR="00ED0153" w:rsidRPr="00C35785" w:rsidRDefault="00ED0153" w:rsidP="00ED0153">
      <w:pPr>
        <w:rPr>
          <w:sz w:val="22"/>
          <w:szCs w:val="22"/>
        </w:rPr>
      </w:pPr>
      <w:r w:rsidRPr="00C35785">
        <w:rPr>
          <w:sz w:val="22"/>
          <w:szCs w:val="22"/>
        </w:rPr>
        <w:t xml:space="preserve">Resolución SSPD N° </w:t>
      </w:r>
      <w:r w:rsidR="00D75F54" w:rsidRPr="00D75F54">
        <w:rPr>
          <w:sz w:val="22"/>
          <w:szCs w:val="22"/>
        </w:rPr>
        <w:t>20211000016645</w:t>
      </w:r>
      <w:r w:rsidRPr="00C35785">
        <w:rPr>
          <w:sz w:val="22"/>
          <w:szCs w:val="22"/>
        </w:rPr>
        <w:t xml:space="preserve"> del </w:t>
      </w:r>
      <w:r w:rsidR="00D75F54">
        <w:rPr>
          <w:sz w:val="22"/>
          <w:szCs w:val="22"/>
        </w:rPr>
        <w:t>09</w:t>
      </w:r>
      <w:r w:rsidRPr="00C35785">
        <w:rPr>
          <w:sz w:val="22"/>
          <w:szCs w:val="22"/>
        </w:rPr>
        <w:t xml:space="preserve"> de </w:t>
      </w:r>
      <w:r w:rsidR="00D75F54">
        <w:rPr>
          <w:sz w:val="22"/>
          <w:szCs w:val="22"/>
        </w:rPr>
        <w:t>abril</w:t>
      </w:r>
      <w:r w:rsidRPr="00C35785">
        <w:rPr>
          <w:sz w:val="22"/>
          <w:szCs w:val="22"/>
        </w:rPr>
        <w:t xml:space="preserve"> de 202</w:t>
      </w:r>
      <w:r w:rsidR="00D75F54">
        <w:rPr>
          <w:sz w:val="22"/>
          <w:szCs w:val="22"/>
        </w:rPr>
        <w:t>1</w:t>
      </w:r>
      <w:r w:rsidRPr="00C35785">
        <w:rPr>
          <w:sz w:val="22"/>
          <w:szCs w:val="22"/>
        </w:rPr>
        <w:t xml:space="preserve">, </w:t>
      </w:r>
      <w:r w:rsidRPr="00C35785">
        <w:rPr>
          <w:i/>
          <w:iCs/>
          <w:sz w:val="22"/>
          <w:szCs w:val="22"/>
        </w:rPr>
        <w:t>“Por la cual se establecen los plazos para el cargue de la información financiera con corte a 31 de diciembre de 20</w:t>
      </w:r>
      <w:r w:rsidR="00D75F54">
        <w:rPr>
          <w:i/>
          <w:iCs/>
          <w:sz w:val="22"/>
          <w:szCs w:val="22"/>
        </w:rPr>
        <w:t>20</w:t>
      </w:r>
      <w:r w:rsidRPr="00C35785">
        <w:rPr>
          <w:i/>
          <w:iCs/>
          <w:sz w:val="22"/>
          <w:szCs w:val="22"/>
        </w:rPr>
        <w:t xml:space="preserve"> y se dictan otras disposiciones”</w:t>
      </w:r>
      <w:r w:rsidRPr="00C35785">
        <w:rPr>
          <w:sz w:val="22"/>
          <w:szCs w:val="22"/>
        </w:rPr>
        <w:t>.</w:t>
      </w:r>
    </w:p>
    <w:p w14:paraId="67EDCC2F" w14:textId="77777777" w:rsidR="00ED0153" w:rsidRPr="00C35785" w:rsidRDefault="00ED0153" w:rsidP="00ED0153">
      <w:pPr>
        <w:rPr>
          <w:sz w:val="22"/>
          <w:szCs w:val="22"/>
        </w:rPr>
      </w:pPr>
    </w:p>
    <w:p w14:paraId="28BF1512" w14:textId="59945923" w:rsidR="00ED0153" w:rsidRPr="00D75F54" w:rsidRDefault="00ED0153" w:rsidP="00ED0153">
      <w:pPr>
        <w:rPr>
          <w:sz w:val="22"/>
          <w:szCs w:val="22"/>
        </w:rPr>
      </w:pPr>
      <w:r w:rsidRPr="00C35785">
        <w:rPr>
          <w:sz w:val="22"/>
          <w:szCs w:val="22"/>
        </w:rPr>
        <w:t xml:space="preserve">Resolución SSPD N° </w:t>
      </w:r>
      <w:r w:rsidR="00D75F54" w:rsidRPr="00D75F54">
        <w:rPr>
          <w:sz w:val="22"/>
          <w:szCs w:val="22"/>
        </w:rPr>
        <w:t>20211000206585</w:t>
      </w:r>
      <w:r w:rsidRPr="00C35785">
        <w:rPr>
          <w:sz w:val="22"/>
          <w:szCs w:val="22"/>
        </w:rPr>
        <w:t xml:space="preserve"> del </w:t>
      </w:r>
      <w:r w:rsidR="00D75F54">
        <w:rPr>
          <w:sz w:val="22"/>
          <w:szCs w:val="22"/>
        </w:rPr>
        <w:t>03</w:t>
      </w:r>
      <w:r w:rsidRPr="00C35785">
        <w:rPr>
          <w:sz w:val="22"/>
          <w:szCs w:val="22"/>
        </w:rPr>
        <w:t xml:space="preserve"> de </w:t>
      </w:r>
      <w:r w:rsidR="00D75F54">
        <w:rPr>
          <w:sz w:val="22"/>
          <w:szCs w:val="22"/>
        </w:rPr>
        <w:t>junio</w:t>
      </w:r>
      <w:r w:rsidRPr="00C35785">
        <w:rPr>
          <w:sz w:val="22"/>
          <w:szCs w:val="22"/>
        </w:rPr>
        <w:t xml:space="preserve"> de 202</w:t>
      </w:r>
      <w:r w:rsidR="00D75F54">
        <w:rPr>
          <w:sz w:val="22"/>
          <w:szCs w:val="22"/>
        </w:rPr>
        <w:t>1</w:t>
      </w:r>
      <w:r w:rsidRPr="00C35785">
        <w:rPr>
          <w:sz w:val="22"/>
          <w:szCs w:val="22"/>
        </w:rPr>
        <w:t xml:space="preserve">, </w:t>
      </w:r>
      <w:r w:rsidRPr="00C35785">
        <w:rPr>
          <w:i/>
          <w:iCs/>
          <w:sz w:val="22"/>
          <w:szCs w:val="22"/>
        </w:rPr>
        <w:t xml:space="preserve">“Por la cual se </w:t>
      </w:r>
      <w:r w:rsidR="00D75F54">
        <w:rPr>
          <w:i/>
          <w:iCs/>
          <w:sz w:val="22"/>
          <w:szCs w:val="22"/>
        </w:rPr>
        <w:t>establece</w:t>
      </w:r>
      <w:r w:rsidRPr="00C35785">
        <w:rPr>
          <w:i/>
          <w:iCs/>
          <w:sz w:val="22"/>
          <w:szCs w:val="22"/>
        </w:rPr>
        <w:t xml:space="preserve"> el número de prestadores que servirá como base para liquidar la contribución especial para el año 202</w:t>
      </w:r>
      <w:r w:rsidR="00D75F54">
        <w:rPr>
          <w:i/>
          <w:iCs/>
          <w:sz w:val="22"/>
          <w:szCs w:val="22"/>
        </w:rPr>
        <w:t>1</w:t>
      </w:r>
      <w:r w:rsidRPr="00C35785">
        <w:rPr>
          <w:i/>
          <w:iCs/>
          <w:sz w:val="22"/>
          <w:szCs w:val="22"/>
        </w:rPr>
        <w:t xml:space="preserve"> y la contribución adicional para el fortalecimiento del Fondo Empresarial”.</w:t>
      </w:r>
    </w:p>
    <w:p w14:paraId="6AB212EC" w14:textId="7A69FFA5" w:rsidR="00ED0153" w:rsidRDefault="00ED0153" w:rsidP="00E37904">
      <w:pPr>
        <w:rPr>
          <w:rFonts w:cs="Arial"/>
          <w:sz w:val="22"/>
          <w:szCs w:val="22"/>
        </w:rPr>
      </w:pPr>
    </w:p>
    <w:p w14:paraId="4F81629D" w14:textId="31B0FCAC" w:rsidR="00635E24" w:rsidRDefault="00635E24" w:rsidP="00E37904">
      <w:pPr>
        <w:rPr>
          <w:rFonts w:cs="Arial"/>
          <w:sz w:val="22"/>
          <w:szCs w:val="22"/>
        </w:rPr>
      </w:pPr>
    </w:p>
    <w:p w14:paraId="6DDA31F1" w14:textId="51D8504C" w:rsidR="00635E24" w:rsidRDefault="00635E24" w:rsidP="00E37904">
      <w:pPr>
        <w:rPr>
          <w:rFonts w:cs="Arial"/>
          <w:sz w:val="22"/>
          <w:szCs w:val="22"/>
        </w:rPr>
      </w:pPr>
    </w:p>
    <w:p w14:paraId="728D6606" w14:textId="6B071918" w:rsidR="00635E24" w:rsidRDefault="00635E24" w:rsidP="00E37904">
      <w:pPr>
        <w:rPr>
          <w:rFonts w:cs="Arial"/>
          <w:sz w:val="22"/>
          <w:szCs w:val="22"/>
        </w:rPr>
      </w:pPr>
    </w:p>
    <w:p w14:paraId="0A5A938D" w14:textId="30AF23BA" w:rsidR="00635E24" w:rsidRDefault="00635E24" w:rsidP="00E37904">
      <w:pPr>
        <w:rPr>
          <w:rFonts w:cs="Arial"/>
          <w:sz w:val="22"/>
          <w:szCs w:val="22"/>
        </w:rPr>
      </w:pPr>
    </w:p>
    <w:p w14:paraId="49FA6EB0" w14:textId="369340FD" w:rsidR="00635E24" w:rsidRDefault="00635E24">
      <w:pPr>
        <w:jc w:val="left"/>
        <w:rPr>
          <w:rFonts w:cs="Arial"/>
          <w:sz w:val="22"/>
          <w:szCs w:val="22"/>
        </w:rPr>
      </w:pPr>
      <w:r>
        <w:rPr>
          <w:rFonts w:cs="Arial"/>
          <w:sz w:val="22"/>
          <w:szCs w:val="22"/>
        </w:rPr>
        <w:br w:type="page"/>
      </w:r>
    </w:p>
    <w:p w14:paraId="542A63D9" w14:textId="77777777" w:rsidR="00280F88" w:rsidRDefault="00280F88" w:rsidP="00280F88">
      <w:pPr>
        <w:pStyle w:val="Ttulo10"/>
        <w:numPr>
          <w:ilvl w:val="0"/>
          <w:numId w:val="37"/>
        </w:numPr>
        <w:rPr>
          <w:sz w:val="22"/>
          <w:szCs w:val="22"/>
        </w:rPr>
      </w:pPr>
      <w:bookmarkStart w:id="4" w:name="_Toc54170169"/>
      <w:bookmarkStart w:id="5" w:name="_Toc88126826"/>
      <w:r w:rsidRPr="007226D7">
        <w:rPr>
          <w:sz w:val="22"/>
          <w:szCs w:val="22"/>
        </w:rPr>
        <w:lastRenderedPageBreak/>
        <w:t>CONTRIBUCIÓN ESPECIAL</w:t>
      </w:r>
      <w:r>
        <w:rPr>
          <w:sz w:val="22"/>
          <w:szCs w:val="22"/>
        </w:rPr>
        <w:t xml:space="preserve"> POR ACTIVIDADES REGULATORIAS</w:t>
      </w:r>
      <w:bookmarkEnd w:id="4"/>
      <w:bookmarkEnd w:id="5"/>
    </w:p>
    <w:p w14:paraId="79456CAC" w14:textId="49584E40" w:rsidR="00280F88" w:rsidRDefault="00280F88" w:rsidP="00280F88"/>
    <w:p w14:paraId="5BBED34D" w14:textId="77777777" w:rsidR="00635E24" w:rsidRPr="001E4D4D" w:rsidRDefault="00635E24" w:rsidP="00280F88"/>
    <w:p w14:paraId="7766F173" w14:textId="77777777" w:rsidR="00280F88" w:rsidRPr="007226D7" w:rsidRDefault="00280F88" w:rsidP="00280F88">
      <w:pPr>
        <w:pStyle w:val="Subttulo"/>
        <w:numPr>
          <w:ilvl w:val="1"/>
          <w:numId w:val="37"/>
        </w:numPr>
        <w:ind w:left="357" w:hanging="357"/>
        <w:jc w:val="left"/>
        <w:rPr>
          <w:b/>
          <w:bCs/>
          <w:sz w:val="22"/>
          <w:szCs w:val="22"/>
        </w:rPr>
      </w:pPr>
      <w:bookmarkStart w:id="6" w:name="_Toc54170170"/>
      <w:bookmarkStart w:id="7" w:name="_Toc88126827"/>
      <w:r>
        <w:rPr>
          <w:b/>
          <w:bCs/>
          <w:sz w:val="22"/>
          <w:szCs w:val="22"/>
        </w:rPr>
        <w:t>NATURALEZA DE LA ENTIDAD COMO SUJETO ACTIVO</w:t>
      </w:r>
      <w:bookmarkEnd w:id="6"/>
      <w:bookmarkEnd w:id="7"/>
    </w:p>
    <w:p w14:paraId="4349C96E" w14:textId="77777777" w:rsidR="00280F88" w:rsidRDefault="00280F88" w:rsidP="00280F88">
      <w:pPr>
        <w:pStyle w:val="Textoindependiente"/>
        <w:spacing w:after="0" w:line="240" w:lineRule="auto"/>
        <w:rPr>
          <w:rFonts w:cs="Arial"/>
          <w:sz w:val="22"/>
          <w:szCs w:val="22"/>
        </w:rPr>
      </w:pPr>
    </w:p>
    <w:p w14:paraId="41711FA7" w14:textId="77777777" w:rsidR="00635E24" w:rsidRDefault="00280F88" w:rsidP="00280F88">
      <w:pPr>
        <w:pStyle w:val="Textoindependiente"/>
        <w:spacing w:after="0" w:line="240" w:lineRule="auto"/>
        <w:rPr>
          <w:rFonts w:cs="Arial"/>
          <w:sz w:val="22"/>
          <w:szCs w:val="22"/>
        </w:rPr>
      </w:pPr>
      <w:r>
        <w:rPr>
          <w:rFonts w:cs="Arial"/>
          <w:sz w:val="22"/>
          <w:szCs w:val="22"/>
        </w:rPr>
        <w:t>La Comisión de Regulación de Energía y Gas (CREG), creada mediante el artículo 21 de la Ley 143 de 1994, e</w:t>
      </w:r>
      <w:r w:rsidRPr="00E53036">
        <w:rPr>
          <w:rFonts w:cs="Arial"/>
          <w:sz w:val="22"/>
          <w:szCs w:val="22"/>
        </w:rPr>
        <w:t>s una entidad pública descentralizada del nivel nacional, adscrita al Ministerio de Minas y Energía</w:t>
      </w:r>
      <w:r>
        <w:rPr>
          <w:rFonts w:cs="Arial"/>
          <w:sz w:val="22"/>
          <w:szCs w:val="22"/>
        </w:rPr>
        <w:t xml:space="preserve">, </w:t>
      </w:r>
      <w:r w:rsidR="00F20A2B">
        <w:rPr>
          <w:rFonts w:cs="Arial"/>
          <w:sz w:val="22"/>
          <w:szCs w:val="22"/>
        </w:rPr>
        <w:t>constituida</w:t>
      </w:r>
      <w:r>
        <w:rPr>
          <w:rFonts w:cs="Arial"/>
          <w:sz w:val="22"/>
          <w:szCs w:val="22"/>
        </w:rPr>
        <w:t xml:space="preserve"> como </w:t>
      </w:r>
      <w:r w:rsidRPr="00E53036">
        <w:rPr>
          <w:rFonts w:cs="Arial"/>
          <w:sz w:val="22"/>
          <w:szCs w:val="22"/>
        </w:rPr>
        <w:t>Unidad Administrativa Especial (UAE) sin personería jurídica, con autonomía administrativa, técnica y financiera</w:t>
      </w:r>
      <w:r w:rsidR="00635E24">
        <w:rPr>
          <w:rFonts w:cs="Arial"/>
          <w:sz w:val="22"/>
          <w:szCs w:val="22"/>
        </w:rPr>
        <w:t xml:space="preserve">. </w:t>
      </w:r>
    </w:p>
    <w:p w14:paraId="1D360B25" w14:textId="77777777" w:rsidR="00635E24" w:rsidRDefault="00635E24" w:rsidP="00280F88">
      <w:pPr>
        <w:pStyle w:val="Textoindependiente"/>
        <w:spacing w:after="0" w:line="240" w:lineRule="auto"/>
        <w:rPr>
          <w:rFonts w:cs="Arial"/>
          <w:sz w:val="22"/>
          <w:szCs w:val="22"/>
        </w:rPr>
      </w:pPr>
    </w:p>
    <w:p w14:paraId="00C15629" w14:textId="1C048A6C" w:rsidR="00280F88" w:rsidRDefault="00635E24" w:rsidP="00280F88">
      <w:pPr>
        <w:pStyle w:val="Textoindependiente"/>
        <w:spacing w:after="0" w:line="240" w:lineRule="auto"/>
        <w:rPr>
          <w:rFonts w:cs="Arial"/>
          <w:sz w:val="22"/>
          <w:szCs w:val="22"/>
        </w:rPr>
      </w:pPr>
      <w:r>
        <w:rPr>
          <w:rFonts w:cs="Arial"/>
          <w:sz w:val="22"/>
          <w:szCs w:val="22"/>
        </w:rPr>
        <w:t>S</w:t>
      </w:r>
      <w:r w:rsidR="00280F88">
        <w:rPr>
          <w:rFonts w:cs="Arial"/>
          <w:sz w:val="22"/>
          <w:szCs w:val="22"/>
        </w:rPr>
        <w:t xml:space="preserve">us recursos </w:t>
      </w:r>
      <w:r>
        <w:rPr>
          <w:rFonts w:cs="Arial"/>
          <w:sz w:val="22"/>
          <w:szCs w:val="22"/>
        </w:rPr>
        <w:t xml:space="preserve">fueron </w:t>
      </w:r>
      <w:r w:rsidR="00280F88">
        <w:rPr>
          <w:rFonts w:cs="Arial"/>
          <w:sz w:val="22"/>
          <w:szCs w:val="22"/>
        </w:rPr>
        <w:t>administrados por una fiducia mercantil a través de un patrimonio autónomo</w:t>
      </w:r>
      <w:r w:rsidR="00F20A2B">
        <w:rPr>
          <w:rFonts w:cs="Arial"/>
          <w:sz w:val="22"/>
          <w:szCs w:val="22"/>
        </w:rPr>
        <w:t xml:space="preserve"> </w:t>
      </w:r>
      <w:r>
        <w:rPr>
          <w:rFonts w:cs="Arial"/>
          <w:sz w:val="22"/>
          <w:szCs w:val="22"/>
        </w:rPr>
        <w:t xml:space="preserve">hasta el 30 de septiembre de 2021. Actualmente los recursos se administran directamente por la CREG </w:t>
      </w:r>
      <w:r w:rsidR="00F20A2B">
        <w:rPr>
          <w:rFonts w:cs="Arial"/>
          <w:sz w:val="22"/>
          <w:szCs w:val="22"/>
        </w:rPr>
        <w:t>a través de la Cuenta Única Nacional (CUN)</w:t>
      </w:r>
      <w:r>
        <w:rPr>
          <w:rFonts w:cs="Arial"/>
          <w:sz w:val="22"/>
          <w:szCs w:val="22"/>
        </w:rPr>
        <w:t xml:space="preserve">, de la </w:t>
      </w:r>
      <w:r w:rsidRPr="00635E24">
        <w:rPr>
          <w:rFonts w:cs="Arial"/>
          <w:sz w:val="22"/>
          <w:szCs w:val="22"/>
        </w:rPr>
        <w:t xml:space="preserve">Dirección General de Crédito Público y Tesoro Nacional </w:t>
      </w:r>
      <w:r>
        <w:rPr>
          <w:rFonts w:cs="Arial"/>
          <w:sz w:val="22"/>
          <w:szCs w:val="22"/>
        </w:rPr>
        <w:t>(</w:t>
      </w:r>
      <w:r w:rsidRPr="00635E24">
        <w:rPr>
          <w:rFonts w:cs="Arial"/>
          <w:sz w:val="22"/>
          <w:szCs w:val="22"/>
        </w:rPr>
        <w:t>DGCPTN</w:t>
      </w:r>
      <w:r>
        <w:rPr>
          <w:rFonts w:cs="Arial"/>
          <w:sz w:val="22"/>
          <w:szCs w:val="22"/>
        </w:rPr>
        <w:t>) del Ministerio de Hacienda y Crédito Público (MHCP).</w:t>
      </w:r>
    </w:p>
    <w:p w14:paraId="1413042A" w14:textId="5B37C4E3" w:rsidR="00280F88" w:rsidRDefault="00280F88" w:rsidP="00280F88">
      <w:pPr>
        <w:pStyle w:val="Textoindependiente"/>
        <w:spacing w:after="0" w:line="240" w:lineRule="auto"/>
        <w:rPr>
          <w:rFonts w:cs="Arial"/>
          <w:sz w:val="22"/>
          <w:szCs w:val="22"/>
        </w:rPr>
      </w:pPr>
    </w:p>
    <w:p w14:paraId="38938B9D" w14:textId="7BD6E2F9" w:rsidR="00280F88" w:rsidRDefault="00280F88" w:rsidP="00280F88">
      <w:pPr>
        <w:pStyle w:val="Textoindependiente"/>
        <w:spacing w:line="240" w:lineRule="auto"/>
        <w:rPr>
          <w:rFonts w:cs="Arial"/>
          <w:sz w:val="22"/>
          <w:szCs w:val="22"/>
        </w:rPr>
      </w:pPr>
      <w:r w:rsidRPr="00BA277E">
        <w:rPr>
          <w:rFonts w:cs="Arial"/>
          <w:sz w:val="22"/>
          <w:szCs w:val="22"/>
        </w:rPr>
        <w:t xml:space="preserve">Con el fin de financiar los gastos de funcionamiento e inversión de la </w:t>
      </w:r>
      <w:r>
        <w:rPr>
          <w:rFonts w:cs="Arial"/>
          <w:sz w:val="22"/>
          <w:szCs w:val="22"/>
        </w:rPr>
        <w:t>entidad</w:t>
      </w:r>
      <w:r w:rsidRPr="00BA277E">
        <w:rPr>
          <w:rFonts w:cs="Arial"/>
          <w:sz w:val="22"/>
          <w:szCs w:val="22"/>
        </w:rPr>
        <w:t xml:space="preserve"> y en general recuperar los costos del servicio, </w:t>
      </w:r>
      <w:r>
        <w:rPr>
          <w:rFonts w:cs="Arial"/>
          <w:sz w:val="22"/>
          <w:szCs w:val="22"/>
        </w:rPr>
        <w:t xml:space="preserve">en desarrollo de actividades </w:t>
      </w:r>
      <w:r w:rsidRPr="00BB6B36">
        <w:rPr>
          <w:rFonts w:cs="Arial"/>
          <w:sz w:val="22"/>
          <w:szCs w:val="22"/>
        </w:rPr>
        <w:t>ejecutivas de la administración pública</w:t>
      </w:r>
      <w:r>
        <w:rPr>
          <w:rFonts w:cs="Arial"/>
          <w:sz w:val="22"/>
          <w:szCs w:val="22"/>
        </w:rPr>
        <w:t xml:space="preserve">, </w:t>
      </w:r>
      <w:r w:rsidRPr="00BB6B36">
        <w:rPr>
          <w:rFonts w:cs="Arial"/>
          <w:sz w:val="22"/>
          <w:szCs w:val="22"/>
        </w:rPr>
        <w:t>reguladoras y facilitadoras de la actividad económica</w:t>
      </w:r>
      <w:r>
        <w:rPr>
          <w:rFonts w:cs="Arial"/>
          <w:sz w:val="22"/>
          <w:szCs w:val="22"/>
        </w:rPr>
        <w:t>, e</w:t>
      </w:r>
      <w:r w:rsidRPr="00BA277E">
        <w:rPr>
          <w:rFonts w:cs="Arial"/>
          <w:sz w:val="22"/>
          <w:szCs w:val="22"/>
        </w:rPr>
        <w:t>l artículo 85 de la Ley 142 de 1994</w:t>
      </w:r>
      <w:r>
        <w:rPr>
          <w:rFonts w:cs="Arial"/>
          <w:sz w:val="22"/>
          <w:szCs w:val="22"/>
        </w:rPr>
        <w:t xml:space="preserve">, faculta como sujeto activo a la CREG para administrar y percibir </w:t>
      </w:r>
      <w:r w:rsidR="00F20A2B">
        <w:rPr>
          <w:rFonts w:cs="Arial"/>
          <w:sz w:val="22"/>
          <w:szCs w:val="22"/>
        </w:rPr>
        <w:t xml:space="preserve">la tasa </w:t>
      </w:r>
      <w:r>
        <w:rPr>
          <w:rFonts w:cs="Arial"/>
          <w:sz w:val="22"/>
          <w:szCs w:val="22"/>
        </w:rPr>
        <w:t>parafiscal</w:t>
      </w:r>
      <w:r w:rsidRPr="00CC1537">
        <w:rPr>
          <w:rFonts w:cs="Arial"/>
          <w:sz w:val="22"/>
          <w:szCs w:val="22"/>
        </w:rPr>
        <w:t xml:space="preserve"> </w:t>
      </w:r>
      <w:r>
        <w:rPr>
          <w:rFonts w:cs="Arial"/>
          <w:sz w:val="22"/>
          <w:szCs w:val="22"/>
        </w:rPr>
        <w:t xml:space="preserve">anual </w:t>
      </w:r>
      <w:r w:rsidRPr="00CC1537">
        <w:rPr>
          <w:rFonts w:cs="Arial"/>
          <w:sz w:val="22"/>
          <w:szCs w:val="22"/>
        </w:rPr>
        <w:t>de contribución especial</w:t>
      </w:r>
      <w:r>
        <w:rPr>
          <w:rFonts w:cs="Arial"/>
          <w:sz w:val="22"/>
          <w:szCs w:val="22"/>
        </w:rPr>
        <w:t xml:space="preserve">, </w:t>
      </w:r>
      <w:r w:rsidRPr="00BA277E">
        <w:rPr>
          <w:rFonts w:cs="Arial"/>
          <w:sz w:val="22"/>
          <w:szCs w:val="22"/>
        </w:rPr>
        <w:t>precisa</w:t>
      </w:r>
      <w:r>
        <w:rPr>
          <w:rFonts w:cs="Arial"/>
          <w:sz w:val="22"/>
          <w:szCs w:val="22"/>
        </w:rPr>
        <w:t>r</w:t>
      </w:r>
      <w:r w:rsidRPr="00BA277E">
        <w:rPr>
          <w:rFonts w:cs="Arial"/>
          <w:sz w:val="22"/>
          <w:szCs w:val="22"/>
        </w:rPr>
        <w:t xml:space="preserve"> algunos elementos </w:t>
      </w:r>
      <w:r>
        <w:rPr>
          <w:rFonts w:cs="Arial"/>
          <w:sz w:val="22"/>
          <w:szCs w:val="22"/>
        </w:rPr>
        <w:t xml:space="preserve">del tributo, definir la  </w:t>
      </w:r>
      <w:r w:rsidRPr="005F34D8">
        <w:rPr>
          <w:rFonts w:cs="Arial"/>
          <w:sz w:val="22"/>
          <w:szCs w:val="22"/>
        </w:rPr>
        <w:t xml:space="preserve">metodología de </w:t>
      </w:r>
      <w:r>
        <w:rPr>
          <w:rFonts w:cs="Arial"/>
          <w:sz w:val="22"/>
          <w:szCs w:val="22"/>
        </w:rPr>
        <w:t xml:space="preserve">depuración, cálculo, </w:t>
      </w:r>
      <w:r w:rsidRPr="005E2062">
        <w:rPr>
          <w:rFonts w:cs="Arial"/>
          <w:sz w:val="22"/>
          <w:szCs w:val="22"/>
        </w:rPr>
        <w:t>liquidación, cobro y recaudo</w:t>
      </w:r>
      <w:r>
        <w:rPr>
          <w:rFonts w:cs="Arial"/>
          <w:sz w:val="22"/>
          <w:szCs w:val="22"/>
        </w:rPr>
        <w:t xml:space="preserve">, </w:t>
      </w:r>
      <w:r w:rsidRPr="00BA277E">
        <w:rPr>
          <w:rFonts w:cs="Arial"/>
          <w:sz w:val="22"/>
          <w:szCs w:val="22"/>
        </w:rPr>
        <w:t xml:space="preserve">y por este medio contribuir a la modernización y fortalecimiento institucional de </w:t>
      </w:r>
      <w:r>
        <w:rPr>
          <w:rFonts w:cs="Arial"/>
          <w:sz w:val="22"/>
          <w:szCs w:val="22"/>
        </w:rPr>
        <w:t>la entidad.</w:t>
      </w:r>
    </w:p>
    <w:p w14:paraId="69D46ADF" w14:textId="30CB9817" w:rsidR="00280F88" w:rsidRDefault="00434709" w:rsidP="00434709">
      <w:pPr>
        <w:pStyle w:val="Subttulo"/>
        <w:numPr>
          <w:ilvl w:val="1"/>
          <w:numId w:val="37"/>
        </w:numPr>
        <w:spacing w:after="0"/>
        <w:ind w:left="357" w:hanging="357"/>
        <w:jc w:val="left"/>
        <w:rPr>
          <w:b/>
          <w:bCs/>
          <w:sz w:val="22"/>
          <w:szCs w:val="22"/>
        </w:rPr>
      </w:pPr>
      <w:bookmarkStart w:id="8" w:name="_Toc88126828"/>
      <w:r>
        <w:rPr>
          <w:b/>
          <w:bCs/>
          <w:sz w:val="22"/>
          <w:szCs w:val="22"/>
        </w:rPr>
        <w:t>VIGENCIA DE LOS TRIBUTOS</w:t>
      </w:r>
      <w:bookmarkEnd w:id="8"/>
    </w:p>
    <w:p w14:paraId="344DB1E1" w14:textId="4D3F6CC4" w:rsidR="00434709" w:rsidRDefault="00434709" w:rsidP="00434709">
      <w:pPr>
        <w:pStyle w:val="Subttulo"/>
        <w:spacing w:after="0"/>
        <w:jc w:val="left"/>
        <w:rPr>
          <w:b/>
          <w:bCs/>
          <w:sz w:val="22"/>
          <w:szCs w:val="22"/>
        </w:rPr>
      </w:pPr>
    </w:p>
    <w:p w14:paraId="62DB847B" w14:textId="3C25BFB6" w:rsidR="00434709" w:rsidRDefault="00434709" w:rsidP="00A35A48">
      <w:pPr>
        <w:pStyle w:val="Textoindependiente"/>
        <w:spacing w:after="0" w:line="240" w:lineRule="auto"/>
        <w:rPr>
          <w:b/>
          <w:bCs/>
          <w:sz w:val="22"/>
          <w:szCs w:val="22"/>
        </w:rPr>
      </w:pPr>
      <w:r>
        <w:rPr>
          <w:rFonts w:cs="Arial"/>
          <w:sz w:val="22"/>
          <w:szCs w:val="22"/>
        </w:rPr>
        <w:t xml:space="preserve">Por cuanto el periodo para la prescripción de los tributos es de cinco años, para la tasa parafiscal de la contribución especial a favor de la CREG </w:t>
      </w:r>
      <w:r w:rsidR="00A35A48">
        <w:rPr>
          <w:rFonts w:cs="Arial"/>
          <w:sz w:val="22"/>
          <w:szCs w:val="22"/>
        </w:rPr>
        <w:t xml:space="preserve">como sujeto activo y </w:t>
      </w:r>
      <w:r>
        <w:rPr>
          <w:rFonts w:cs="Arial"/>
          <w:sz w:val="22"/>
          <w:szCs w:val="22"/>
        </w:rPr>
        <w:t>debe tenerse en cuenta</w:t>
      </w:r>
      <w:r w:rsidR="00A35A48">
        <w:rPr>
          <w:rFonts w:cs="Arial"/>
          <w:sz w:val="22"/>
          <w:szCs w:val="22"/>
        </w:rPr>
        <w:t xml:space="preserve"> además</w:t>
      </w:r>
      <w:r>
        <w:rPr>
          <w:rFonts w:cs="Arial"/>
          <w:sz w:val="22"/>
          <w:szCs w:val="22"/>
        </w:rPr>
        <w:t xml:space="preserve">: </w:t>
      </w:r>
      <w:r w:rsidR="00A35A48">
        <w:rPr>
          <w:rFonts w:cs="Arial"/>
          <w:sz w:val="22"/>
          <w:szCs w:val="22"/>
        </w:rPr>
        <w:t xml:space="preserve">los sujetos pasivos, </w:t>
      </w:r>
      <w:r>
        <w:rPr>
          <w:rFonts w:cs="Arial"/>
          <w:sz w:val="22"/>
          <w:szCs w:val="22"/>
        </w:rPr>
        <w:t>el hechor generador, así como la metodología aplicable para cada año de liquidación, con el fin de liquidar la base gravable</w:t>
      </w:r>
      <w:r w:rsidR="005F42FE">
        <w:rPr>
          <w:rFonts w:cs="Arial"/>
          <w:sz w:val="22"/>
          <w:szCs w:val="22"/>
        </w:rPr>
        <w:t xml:space="preserve"> </w:t>
      </w:r>
      <w:r>
        <w:rPr>
          <w:rFonts w:cs="Arial"/>
          <w:sz w:val="22"/>
          <w:szCs w:val="22"/>
        </w:rPr>
        <w:t>y por consiguiente el valor de la contribución especial</w:t>
      </w:r>
      <w:r w:rsidR="0099440C">
        <w:rPr>
          <w:rFonts w:cs="Arial"/>
          <w:sz w:val="22"/>
          <w:szCs w:val="22"/>
        </w:rPr>
        <w:t>, teniendo presente que l</w:t>
      </w:r>
      <w:r w:rsidR="005F42FE">
        <w:rPr>
          <w:rFonts w:cs="Arial"/>
          <w:sz w:val="22"/>
          <w:szCs w:val="22"/>
        </w:rPr>
        <w:t>a tarifa aplicable para todos los años</w:t>
      </w:r>
      <w:r w:rsidR="00A35A48">
        <w:rPr>
          <w:rFonts w:cs="Arial"/>
          <w:sz w:val="22"/>
          <w:szCs w:val="22"/>
        </w:rPr>
        <w:t xml:space="preserve"> no podrá ser superior al </w:t>
      </w:r>
      <w:r w:rsidR="005F42FE">
        <w:rPr>
          <w:rFonts w:cs="Arial"/>
          <w:sz w:val="22"/>
          <w:szCs w:val="22"/>
        </w:rPr>
        <w:t>1%.</w:t>
      </w:r>
    </w:p>
    <w:p w14:paraId="416A1D58" w14:textId="1EF49F40" w:rsidR="00635E24" w:rsidRDefault="00635E24" w:rsidP="003B72DD">
      <w:pPr>
        <w:pStyle w:val="Subttulo"/>
        <w:spacing w:after="0"/>
        <w:jc w:val="left"/>
        <w:rPr>
          <w:b/>
          <w:bCs/>
          <w:sz w:val="22"/>
          <w:szCs w:val="22"/>
        </w:rPr>
      </w:pPr>
    </w:p>
    <w:p w14:paraId="28289636" w14:textId="7D98D277" w:rsidR="00434709" w:rsidRPr="007226D7" w:rsidRDefault="00635E24" w:rsidP="00434709">
      <w:pPr>
        <w:pStyle w:val="Subttulo"/>
        <w:numPr>
          <w:ilvl w:val="1"/>
          <w:numId w:val="37"/>
        </w:numPr>
        <w:spacing w:after="0"/>
        <w:ind w:left="357" w:hanging="357"/>
        <w:jc w:val="left"/>
        <w:rPr>
          <w:b/>
          <w:bCs/>
          <w:sz w:val="22"/>
          <w:szCs w:val="22"/>
        </w:rPr>
      </w:pPr>
      <w:bookmarkStart w:id="9" w:name="_Toc88126829"/>
      <w:r>
        <w:rPr>
          <w:b/>
          <w:bCs/>
          <w:sz w:val="22"/>
          <w:szCs w:val="22"/>
        </w:rPr>
        <w:t xml:space="preserve">SOBRE EL </w:t>
      </w:r>
      <w:r w:rsidR="00434709" w:rsidRPr="007226D7">
        <w:rPr>
          <w:b/>
          <w:bCs/>
          <w:sz w:val="22"/>
          <w:szCs w:val="22"/>
        </w:rPr>
        <w:t>HECHO GENERADOR Y LOS SUJETOS PASIVOS</w:t>
      </w:r>
      <w:bookmarkEnd w:id="9"/>
    </w:p>
    <w:p w14:paraId="1514CEDF" w14:textId="6D1B6ADF" w:rsidR="00280F88" w:rsidRDefault="00280F88" w:rsidP="00434709">
      <w:pPr>
        <w:pStyle w:val="Textoindependiente"/>
        <w:spacing w:after="0" w:line="240" w:lineRule="auto"/>
        <w:rPr>
          <w:rFonts w:cs="Arial"/>
          <w:sz w:val="22"/>
          <w:szCs w:val="22"/>
        </w:rPr>
      </w:pPr>
    </w:p>
    <w:p w14:paraId="2B9900AB" w14:textId="5BE4502E" w:rsidR="00635E24" w:rsidRDefault="00635E24" w:rsidP="00635E24">
      <w:pPr>
        <w:pStyle w:val="Textoindependiente"/>
        <w:spacing w:after="0" w:line="240" w:lineRule="auto"/>
        <w:rPr>
          <w:rFonts w:cs="Arial"/>
          <w:sz w:val="22"/>
          <w:szCs w:val="22"/>
        </w:rPr>
      </w:pPr>
      <w:r>
        <w:rPr>
          <w:rFonts w:cs="Arial"/>
          <w:sz w:val="22"/>
          <w:szCs w:val="22"/>
        </w:rPr>
        <w:t>La metodología para hallar la base gravable y la tarifa de la contribución especial a favor de la CREG es aplicable para todos los sujetos pasivos</w:t>
      </w:r>
      <w:r w:rsidR="00CE05E5">
        <w:rPr>
          <w:rFonts w:cs="Arial"/>
          <w:sz w:val="22"/>
          <w:szCs w:val="22"/>
        </w:rPr>
        <w:t>.</w:t>
      </w:r>
      <w:r>
        <w:rPr>
          <w:rFonts w:cs="Arial"/>
          <w:sz w:val="22"/>
          <w:szCs w:val="22"/>
        </w:rPr>
        <w:t xml:space="preserve"> </w:t>
      </w:r>
    </w:p>
    <w:p w14:paraId="33934824" w14:textId="77777777" w:rsidR="0078634D" w:rsidRDefault="0078634D" w:rsidP="00635E24">
      <w:pPr>
        <w:pStyle w:val="Textoindependiente"/>
        <w:spacing w:after="0" w:line="240" w:lineRule="auto"/>
        <w:rPr>
          <w:rFonts w:cs="Arial"/>
          <w:sz w:val="22"/>
          <w:szCs w:val="22"/>
        </w:rPr>
      </w:pPr>
    </w:p>
    <w:p w14:paraId="4BFBDFE0" w14:textId="5F57D292" w:rsidR="00F20A2B" w:rsidRDefault="00635E24" w:rsidP="00641B75">
      <w:pPr>
        <w:pStyle w:val="Textoindependiente"/>
        <w:spacing w:after="0" w:line="240" w:lineRule="auto"/>
        <w:rPr>
          <w:rFonts w:cs="Arial"/>
          <w:sz w:val="22"/>
          <w:szCs w:val="22"/>
        </w:rPr>
      </w:pPr>
      <w:r>
        <w:rPr>
          <w:rFonts w:cs="Arial"/>
          <w:sz w:val="22"/>
          <w:szCs w:val="22"/>
        </w:rPr>
        <w:t>Para el año 2021, s</w:t>
      </w:r>
      <w:r w:rsidR="00280F88" w:rsidRPr="00601447">
        <w:rPr>
          <w:rFonts w:cs="Arial"/>
          <w:sz w:val="22"/>
          <w:szCs w:val="22"/>
        </w:rPr>
        <w:t>on sujetos pasivos de la contribución especial a favor de la CREG</w:t>
      </w:r>
      <w:r w:rsidR="007032E5">
        <w:rPr>
          <w:rFonts w:cs="Arial"/>
          <w:sz w:val="22"/>
          <w:szCs w:val="22"/>
        </w:rPr>
        <w:t xml:space="preserve"> </w:t>
      </w:r>
      <w:r w:rsidR="00280F88" w:rsidRPr="00071F0A">
        <w:rPr>
          <w:rFonts w:cs="Arial"/>
          <w:sz w:val="22"/>
          <w:szCs w:val="22"/>
        </w:rPr>
        <w:t xml:space="preserve">las </w:t>
      </w:r>
      <w:r w:rsidR="00E7146C" w:rsidRPr="00601447">
        <w:rPr>
          <w:rFonts w:cs="Arial"/>
          <w:sz w:val="22"/>
          <w:szCs w:val="22"/>
        </w:rPr>
        <w:t>personas prestadoras de servicios públicos domiciliarios</w:t>
      </w:r>
      <w:r w:rsidR="00E7146C">
        <w:rPr>
          <w:rFonts w:cs="Arial"/>
          <w:sz w:val="22"/>
          <w:szCs w:val="22"/>
        </w:rPr>
        <w:t>,</w:t>
      </w:r>
      <w:r w:rsidR="00E7146C" w:rsidRPr="00071F0A">
        <w:rPr>
          <w:rFonts w:cs="Arial"/>
          <w:sz w:val="22"/>
          <w:szCs w:val="22"/>
        </w:rPr>
        <w:t xml:space="preserve"> </w:t>
      </w:r>
      <w:r w:rsidR="00280F88" w:rsidRPr="00071F0A">
        <w:rPr>
          <w:rFonts w:cs="Arial"/>
          <w:sz w:val="22"/>
          <w:szCs w:val="22"/>
        </w:rPr>
        <w:t xml:space="preserve">sujetas a la regulación de la entidad, </w:t>
      </w:r>
      <w:r w:rsidR="00280F88">
        <w:rPr>
          <w:rFonts w:cs="Arial"/>
          <w:sz w:val="22"/>
          <w:szCs w:val="22"/>
        </w:rPr>
        <w:t>señalados</w:t>
      </w:r>
      <w:r w:rsidR="00280F88" w:rsidRPr="00601447">
        <w:rPr>
          <w:rFonts w:cs="Arial"/>
          <w:sz w:val="22"/>
          <w:szCs w:val="22"/>
        </w:rPr>
        <w:t xml:space="preserve"> en </w:t>
      </w:r>
      <w:r w:rsidR="00F20A2B" w:rsidRPr="00F20A2B">
        <w:rPr>
          <w:rFonts w:cs="Arial"/>
          <w:sz w:val="22"/>
          <w:szCs w:val="22"/>
        </w:rPr>
        <w:t>los artículos 15 y 16 de la Ley 142 de 1994</w:t>
      </w:r>
      <w:r w:rsidR="00E7146C">
        <w:rPr>
          <w:rFonts w:cs="Arial"/>
          <w:sz w:val="22"/>
          <w:szCs w:val="22"/>
        </w:rPr>
        <w:t>.</w:t>
      </w:r>
    </w:p>
    <w:p w14:paraId="786EF776" w14:textId="65CE6146" w:rsidR="00280F88" w:rsidRDefault="00280F88" w:rsidP="00641B75">
      <w:pPr>
        <w:pStyle w:val="Textoindependiente"/>
        <w:spacing w:after="0" w:line="240" w:lineRule="auto"/>
        <w:rPr>
          <w:rFonts w:cs="Arial"/>
          <w:sz w:val="22"/>
          <w:szCs w:val="22"/>
        </w:rPr>
      </w:pPr>
    </w:p>
    <w:p w14:paraId="397697CB" w14:textId="2535C27B" w:rsidR="00A35A48" w:rsidRDefault="00A35A48" w:rsidP="00641B75">
      <w:pPr>
        <w:pStyle w:val="Textoindependiente"/>
        <w:spacing w:after="0" w:line="240" w:lineRule="auto"/>
        <w:rPr>
          <w:rFonts w:cs="Arial"/>
          <w:sz w:val="22"/>
          <w:szCs w:val="22"/>
        </w:rPr>
      </w:pPr>
    </w:p>
    <w:p w14:paraId="1A72A860" w14:textId="77777777" w:rsidR="00A35A48" w:rsidRDefault="00A35A48" w:rsidP="00641B75">
      <w:pPr>
        <w:pStyle w:val="Textoindependiente"/>
        <w:spacing w:after="0" w:line="240" w:lineRule="auto"/>
        <w:rPr>
          <w:rFonts w:cs="Arial"/>
          <w:sz w:val="22"/>
          <w:szCs w:val="22"/>
        </w:rPr>
      </w:pPr>
    </w:p>
    <w:p w14:paraId="79535332" w14:textId="5541F34B" w:rsidR="00280F88" w:rsidRPr="007226D7" w:rsidRDefault="00280F88" w:rsidP="00641B75">
      <w:pPr>
        <w:pStyle w:val="Subttulo"/>
        <w:numPr>
          <w:ilvl w:val="1"/>
          <w:numId w:val="37"/>
        </w:numPr>
        <w:spacing w:after="0"/>
        <w:ind w:left="357" w:hanging="357"/>
        <w:jc w:val="left"/>
        <w:rPr>
          <w:b/>
          <w:bCs/>
          <w:sz w:val="22"/>
          <w:szCs w:val="22"/>
        </w:rPr>
      </w:pPr>
      <w:bookmarkStart w:id="10" w:name="_Toc54170172"/>
      <w:bookmarkStart w:id="11" w:name="_Toc88126830"/>
      <w:r w:rsidRPr="007226D7">
        <w:rPr>
          <w:b/>
          <w:bCs/>
          <w:sz w:val="22"/>
          <w:szCs w:val="22"/>
        </w:rPr>
        <w:lastRenderedPageBreak/>
        <w:t>BASE GRAVABLE</w:t>
      </w:r>
      <w:bookmarkEnd w:id="10"/>
      <w:bookmarkEnd w:id="11"/>
    </w:p>
    <w:p w14:paraId="0CAB9244" w14:textId="77777777" w:rsidR="00280F88" w:rsidRDefault="00280F88" w:rsidP="00641B75">
      <w:pPr>
        <w:pStyle w:val="Textoindependiente"/>
        <w:spacing w:after="0" w:line="240" w:lineRule="auto"/>
        <w:rPr>
          <w:rFonts w:cs="Arial"/>
          <w:sz w:val="22"/>
          <w:szCs w:val="22"/>
        </w:rPr>
      </w:pPr>
    </w:p>
    <w:p w14:paraId="445DF6BC" w14:textId="5C2D5F14" w:rsidR="00280F88" w:rsidRDefault="00635E24" w:rsidP="00280F88">
      <w:pPr>
        <w:pStyle w:val="Textoindependiente"/>
        <w:spacing w:after="0" w:line="240" w:lineRule="auto"/>
        <w:rPr>
          <w:rFonts w:cs="Arial"/>
          <w:sz w:val="22"/>
          <w:szCs w:val="22"/>
        </w:rPr>
      </w:pPr>
      <w:bookmarkStart w:id="12" w:name="_Hlk51743368"/>
      <w:r>
        <w:rPr>
          <w:rFonts w:cs="Arial"/>
          <w:sz w:val="22"/>
          <w:szCs w:val="22"/>
        </w:rPr>
        <w:t>De esta forma, l</w:t>
      </w:r>
      <w:r w:rsidR="00280F88" w:rsidRPr="00B60E08">
        <w:rPr>
          <w:rFonts w:cs="Arial"/>
          <w:sz w:val="22"/>
          <w:szCs w:val="22"/>
        </w:rPr>
        <w:t xml:space="preserve">a base gravable </w:t>
      </w:r>
      <w:r w:rsidR="00280F88">
        <w:rPr>
          <w:rFonts w:cs="Arial"/>
          <w:sz w:val="22"/>
          <w:szCs w:val="22"/>
        </w:rPr>
        <w:t xml:space="preserve">(Bg) </w:t>
      </w:r>
      <w:r w:rsidR="0078634D">
        <w:rPr>
          <w:rFonts w:cs="Arial"/>
          <w:sz w:val="22"/>
          <w:szCs w:val="22"/>
        </w:rPr>
        <w:t xml:space="preserve">para </w:t>
      </w:r>
      <w:r w:rsidR="00682879">
        <w:rPr>
          <w:rFonts w:cs="Arial"/>
          <w:sz w:val="22"/>
          <w:szCs w:val="22"/>
        </w:rPr>
        <w:t xml:space="preserve"> 2021 </w:t>
      </w:r>
      <w:r w:rsidR="00280F88" w:rsidRPr="00B60E08">
        <w:rPr>
          <w:rFonts w:cs="Arial"/>
          <w:sz w:val="22"/>
          <w:szCs w:val="22"/>
        </w:rPr>
        <w:t>se calculará</w:t>
      </w:r>
      <w:r w:rsidR="0078267D">
        <w:rPr>
          <w:rFonts w:cs="Arial"/>
          <w:sz w:val="22"/>
          <w:szCs w:val="22"/>
        </w:rPr>
        <w:t xml:space="preserve"> según la siguiente fórmula</w:t>
      </w:r>
      <w:r w:rsidR="00280F88" w:rsidRPr="00B60E08">
        <w:rPr>
          <w:rFonts w:cs="Arial"/>
          <w:sz w:val="22"/>
          <w:szCs w:val="22"/>
        </w:rPr>
        <w:t xml:space="preserve"> para cada sujeto pasivo así:</w:t>
      </w:r>
    </w:p>
    <w:p w14:paraId="1D1E8002" w14:textId="04FE9F55" w:rsidR="00682879" w:rsidRPr="00682879" w:rsidRDefault="0078267D" w:rsidP="003B72DD">
      <w:pPr>
        <w:pStyle w:val="Textoindependiente"/>
        <w:spacing w:after="0" w:line="240" w:lineRule="auto"/>
        <w:jc w:val="center"/>
        <w:rPr>
          <w:rFonts w:ascii="Cambria Math" w:hAnsi="Cambria Math" w:cs="Arial"/>
          <w:iCs/>
          <w:sz w:val="28"/>
          <w:szCs w:val="28"/>
        </w:rPr>
      </w:pPr>
      <w:r>
        <w:rPr>
          <w:rFonts w:cs="Arial"/>
          <w:sz w:val="28"/>
          <w:szCs w:val="28"/>
        </w:rPr>
        <w:t xml:space="preserve">                                </w:t>
      </w:r>
      <m:oMath>
        <m:r>
          <w:rPr>
            <w:rFonts w:ascii="Cambria Math" w:hAnsi="Cambria Math" w:cs="Arial"/>
            <w:sz w:val="28"/>
            <w:szCs w:val="28"/>
          </w:rPr>
          <m:t>Bg=gf-ex [+go]</m:t>
        </m:r>
      </m:oMath>
      <w:r w:rsidR="00682879">
        <w:rPr>
          <w:rFonts w:ascii="Cambria Math" w:hAnsi="Cambria Math" w:cs="Arial"/>
          <w:iCs/>
          <w:sz w:val="28"/>
          <w:szCs w:val="28"/>
        </w:rPr>
        <w:t xml:space="preserve"> </w:t>
      </w:r>
      <w:r w:rsidR="00682879" w:rsidRPr="00682879">
        <w:rPr>
          <w:rFonts w:cs="Arial"/>
          <w:sz w:val="24"/>
          <w:szCs w:val="24"/>
          <w:vertAlign w:val="superscript"/>
        </w:rPr>
        <w:t>1</w:t>
      </w:r>
      <w:r w:rsidR="00682879" w:rsidRPr="00682879">
        <w:rPr>
          <w:rFonts w:ascii="Cambria Math" w:hAnsi="Cambria Math" w:cs="Arial"/>
          <w:iCs/>
          <w:sz w:val="24"/>
          <w:szCs w:val="24"/>
        </w:rPr>
        <w:t xml:space="preserve">  </w:t>
      </w:r>
      <w:r w:rsidR="00682879">
        <w:rPr>
          <w:rFonts w:ascii="Cambria Math" w:hAnsi="Cambria Math" w:cs="Arial"/>
          <w:iCs/>
          <w:sz w:val="28"/>
          <w:szCs w:val="28"/>
        </w:rPr>
        <w:t xml:space="preserve">      </w:t>
      </w:r>
      <w:r>
        <w:rPr>
          <w:rFonts w:ascii="Cambria Math" w:hAnsi="Cambria Math" w:cs="Arial"/>
          <w:iCs/>
          <w:sz w:val="28"/>
          <w:szCs w:val="28"/>
        </w:rPr>
        <w:tab/>
        <w:t xml:space="preserve">                            </w:t>
      </w:r>
      <w:r w:rsidR="00682879" w:rsidRPr="00323A3F">
        <w:rPr>
          <w:rFonts w:cs="Arial"/>
          <w:sz w:val="22"/>
          <w:szCs w:val="22"/>
        </w:rPr>
        <w:t>(</w:t>
      </w:r>
      <w:r>
        <w:rPr>
          <w:rFonts w:cs="Arial"/>
          <w:sz w:val="22"/>
          <w:szCs w:val="22"/>
        </w:rPr>
        <w:t>1</w:t>
      </w:r>
      <w:r w:rsidR="00682879" w:rsidRPr="00323A3F">
        <w:rPr>
          <w:rFonts w:cs="Arial"/>
          <w:sz w:val="22"/>
          <w:szCs w:val="22"/>
        </w:rPr>
        <w:t>)</w:t>
      </w:r>
    </w:p>
    <w:p w14:paraId="0B0AB9EC" w14:textId="77777777" w:rsidR="0078634D" w:rsidRPr="0099440C" w:rsidRDefault="0078634D" w:rsidP="0078634D">
      <w:pPr>
        <w:pStyle w:val="Textoindependiente"/>
        <w:spacing w:after="0" w:line="240" w:lineRule="auto"/>
        <w:rPr>
          <w:rFonts w:cs="Arial"/>
          <w:i/>
          <w:iCs/>
          <w:sz w:val="22"/>
          <w:szCs w:val="22"/>
        </w:rPr>
      </w:pPr>
      <w:r w:rsidRPr="0099440C">
        <w:rPr>
          <w:rFonts w:cs="Arial"/>
          <w:i/>
          <w:iCs/>
          <w:sz w:val="22"/>
          <w:szCs w:val="22"/>
        </w:rPr>
        <w:t xml:space="preserve">Donde: </w:t>
      </w:r>
    </w:p>
    <w:p w14:paraId="358B4038" w14:textId="77777777" w:rsidR="0078634D" w:rsidRPr="0099440C" w:rsidRDefault="0078634D" w:rsidP="0078634D">
      <w:pPr>
        <w:pStyle w:val="Textoindependiente"/>
        <w:spacing w:after="0" w:line="240" w:lineRule="auto"/>
        <w:rPr>
          <w:rFonts w:cs="Arial"/>
          <w:sz w:val="10"/>
          <w:szCs w:val="10"/>
        </w:rPr>
      </w:pPr>
    </w:p>
    <w:p w14:paraId="3A2B61A3" w14:textId="77777777" w:rsidR="0078634D" w:rsidRDefault="0078634D" w:rsidP="0078634D">
      <w:pPr>
        <w:pStyle w:val="Textoindependiente"/>
        <w:spacing w:after="0" w:line="240" w:lineRule="auto"/>
        <w:rPr>
          <w:rFonts w:cs="Arial"/>
          <w:i/>
          <w:iCs/>
          <w:sz w:val="22"/>
          <w:szCs w:val="22"/>
        </w:rPr>
      </w:pPr>
      <w:r>
        <w:rPr>
          <w:rFonts w:cs="Arial"/>
          <w:i/>
          <w:iCs/>
          <w:sz w:val="22"/>
          <w:szCs w:val="22"/>
        </w:rPr>
        <w:t>gf: gastos de funcionamiento</w:t>
      </w:r>
    </w:p>
    <w:p w14:paraId="2D4D7405" w14:textId="77777777" w:rsidR="0078634D" w:rsidRDefault="0078634D" w:rsidP="0078634D">
      <w:pPr>
        <w:pStyle w:val="Textoindependiente"/>
        <w:spacing w:after="0" w:line="240" w:lineRule="auto"/>
        <w:rPr>
          <w:rFonts w:cs="Arial"/>
          <w:i/>
          <w:iCs/>
          <w:sz w:val="22"/>
          <w:szCs w:val="22"/>
        </w:rPr>
      </w:pPr>
      <w:r>
        <w:rPr>
          <w:rFonts w:cs="Arial"/>
          <w:i/>
          <w:iCs/>
          <w:sz w:val="22"/>
          <w:szCs w:val="22"/>
        </w:rPr>
        <w:t>ex: exclusiones</w:t>
      </w:r>
    </w:p>
    <w:p w14:paraId="0F68BA70" w14:textId="77777777" w:rsidR="0078634D" w:rsidRPr="00682879" w:rsidRDefault="0078634D" w:rsidP="0078634D">
      <w:pPr>
        <w:pStyle w:val="Textoindependiente"/>
        <w:spacing w:after="0" w:line="240" w:lineRule="auto"/>
        <w:rPr>
          <w:rFonts w:cs="Arial"/>
          <w:i/>
          <w:iCs/>
          <w:sz w:val="22"/>
          <w:szCs w:val="22"/>
        </w:rPr>
      </w:pPr>
      <w:r>
        <w:rPr>
          <w:rFonts w:cs="Arial"/>
          <w:i/>
          <w:iCs/>
          <w:sz w:val="22"/>
          <w:szCs w:val="22"/>
        </w:rPr>
        <w:t>go: gastos operativos</w:t>
      </w:r>
    </w:p>
    <w:p w14:paraId="2CB3AECF" w14:textId="77777777" w:rsidR="0078634D" w:rsidRDefault="0078634D" w:rsidP="00682879">
      <w:pPr>
        <w:pStyle w:val="Textoindependiente"/>
        <w:spacing w:before="40" w:after="40" w:line="240" w:lineRule="auto"/>
        <w:ind w:right="57"/>
        <w:rPr>
          <w:rFonts w:cs="Arial"/>
          <w:sz w:val="22"/>
          <w:szCs w:val="22"/>
        </w:rPr>
      </w:pPr>
    </w:p>
    <w:p w14:paraId="42D4E7CC" w14:textId="268F0985" w:rsidR="00682879" w:rsidRPr="00EA69D4" w:rsidRDefault="00682879" w:rsidP="00682879">
      <w:pPr>
        <w:pStyle w:val="Textoindependiente"/>
        <w:spacing w:before="40" w:after="40" w:line="240" w:lineRule="auto"/>
        <w:ind w:right="57"/>
        <w:rPr>
          <w:rFonts w:cs="Arial"/>
          <w:sz w:val="22"/>
          <w:szCs w:val="22"/>
        </w:rPr>
      </w:pPr>
      <w:r w:rsidRPr="00EA69D4">
        <w:rPr>
          <w:rFonts w:cs="Arial"/>
          <w:sz w:val="22"/>
          <w:szCs w:val="22"/>
        </w:rPr>
        <w:t>Las exclusiones (</w:t>
      </w:r>
      <w:r w:rsidRPr="00EA69D4">
        <w:rPr>
          <w:rFonts w:cs="Arial"/>
          <w:i/>
          <w:iCs/>
          <w:sz w:val="22"/>
          <w:szCs w:val="22"/>
        </w:rPr>
        <w:t>ex</w:t>
      </w:r>
      <w:r w:rsidRPr="00EA69D4">
        <w:rPr>
          <w:rFonts w:cs="Arial"/>
          <w:sz w:val="22"/>
          <w:szCs w:val="22"/>
        </w:rPr>
        <w:t>) corresponden a los gastos operativos, las compras de electricidad, las compras de combustible</w:t>
      </w:r>
      <w:r w:rsidR="00EA69D4" w:rsidRPr="00EA69D4">
        <w:rPr>
          <w:rFonts w:cs="Arial"/>
          <w:sz w:val="22"/>
          <w:szCs w:val="22"/>
        </w:rPr>
        <w:t>,</w:t>
      </w:r>
      <w:r w:rsidRPr="00EA69D4">
        <w:rPr>
          <w:rFonts w:cs="Arial"/>
          <w:sz w:val="22"/>
          <w:szCs w:val="22"/>
        </w:rPr>
        <w:t xml:space="preserve"> los peajes, </w:t>
      </w:r>
      <w:r w:rsidR="00EA69D4" w:rsidRPr="00EA69D4">
        <w:rPr>
          <w:rFonts w:cs="Arial"/>
          <w:sz w:val="22"/>
          <w:szCs w:val="22"/>
        </w:rPr>
        <w:t>y los siguientes</w:t>
      </w:r>
      <w:r w:rsidR="0078634D">
        <w:rPr>
          <w:rFonts w:cs="Arial"/>
          <w:sz w:val="22"/>
          <w:szCs w:val="22"/>
        </w:rPr>
        <w:t xml:space="preserve"> conceptos</w:t>
      </w:r>
      <w:r w:rsidR="00EA69D4" w:rsidRPr="00EA69D4">
        <w:rPr>
          <w:rFonts w:cs="Arial"/>
          <w:sz w:val="22"/>
          <w:szCs w:val="22"/>
        </w:rPr>
        <w:t>:</w:t>
      </w:r>
    </w:p>
    <w:p w14:paraId="690C4118" w14:textId="162A187A" w:rsidR="00EA69D4" w:rsidRDefault="00EA69D4" w:rsidP="00682879">
      <w:pPr>
        <w:pStyle w:val="Textoindependiente"/>
        <w:spacing w:before="40" w:after="40" w:line="240" w:lineRule="auto"/>
        <w:ind w:right="57"/>
        <w:rPr>
          <w:rFonts w:cs="Arial"/>
        </w:rPr>
      </w:pPr>
    </w:p>
    <w:tbl>
      <w:tblPr>
        <w:tblW w:w="5524" w:type="dxa"/>
        <w:tblCellMar>
          <w:left w:w="70" w:type="dxa"/>
          <w:right w:w="70" w:type="dxa"/>
        </w:tblCellMar>
        <w:tblLook w:val="04A0" w:firstRow="1" w:lastRow="0" w:firstColumn="1" w:lastColumn="0" w:noHBand="0" w:noVBand="1"/>
      </w:tblPr>
      <w:tblGrid>
        <w:gridCol w:w="5524"/>
      </w:tblGrid>
      <w:tr w:rsidR="00EA69D4" w:rsidRPr="00EA69D4" w14:paraId="6DB47E13" w14:textId="77777777" w:rsidTr="00EA69D4">
        <w:trPr>
          <w:trHeight w:val="290"/>
        </w:trPr>
        <w:tc>
          <w:tcPr>
            <w:tcW w:w="55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125E32" w14:textId="77777777" w:rsidR="00EA69D4" w:rsidRPr="00EA69D4" w:rsidRDefault="00EA69D4" w:rsidP="00EA69D4">
            <w:pPr>
              <w:jc w:val="left"/>
              <w:rPr>
                <w:rFonts w:cs="Arial"/>
                <w:spacing w:val="0"/>
                <w:lang w:eastAsia="es-CO"/>
              </w:rPr>
            </w:pPr>
            <w:r w:rsidRPr="00EA69D4">
              <w:rPr>
                <w:rFonts w:cs="Arial"/>
                <w:spacing w:val="0"/>
                <w:lang w:eastAsia="es-CO"/>
              </w:rPr>
              <w:t xml:space="preserve">Total Gastos Administrativos </w:t>
            </w:r>
          </w:p>
        </w:tc>
      </w:tr>
      <w:tr w:rsidR="00EA69D4" w:rsidRPr="00EA69D4" w14:paraId="2F97A2A0" w14:textId="77777777" w:rsidTr="00EA69D4">
        <w:trPr>
          <w:trHeight w:val="290"/>
        </w:trPr>
        <w:tc>
          <w:tcPr>
            <w:tcW w:w="5524" w:type="dxa"/>
            <w:tcBorders>
              <w:top w:val="nil"/>
              <w:left w:val="single" w:sz="4" w:space="0" w:color="auto"/>
              <w:bottom w:val="single" w:sz="4" w:space="0" w:color="auto"/>
              <w:right w:val="single" w:sz="4" w:space="0" w:color="auto"/>
            </w:tcBorders>
            <w:shd w:val="clear" w:color="auto" w:fill="auto"/>
            <w:noWrap/>
            <w:vAlign w:val="center"/>
            <w:hideMark/>
          </w:tcPr>
          <w:p w14:paraId="40559DE8" w14:textId="317574C1" w:rsidR="00EA69D4" w:rsidRPr="00EA69D4" w:rsidRDefault="00EA69D4" w:rsidP="00EA69D4">
            <w:pPr>
              <w:jc w:val="left"/>
              <w:rPr>
                <w:rFonts w:cs="Arial"/>
                <w:spacing w:val="0"/>
                <w:lang w:eastAsia="es-CO"/>
              </w:rPr>
            </w:pPr>
            <w:r w:rsidRPr="00EA69D4">
              <w:rPr>
                <w:rFonts w:cs="Arial"/>
                <w:spacing w:val="0"/>
                <w:lang w:eastAsia="es-CO"/>
              </w:rPr>
              <w:t xml:space="preserve"> (-) Ajustes </w:t>
            </w:r>
            <w:r w:rsidR="001A35E5">
              <w:rPr>
                <w:rFonts w:cs="Arial"/>
                <w:spacing w:val="0"/>
                <w:lang w:eastAsia="es-CO"/>
              </w:rPr>
              <w:t>d</w:t>
            </w:r>
            <w:r w:rsidRPr="00EA69D4">
              <w:rPr>
                <w:rFonts w:cs="Arial"/>
                <w:spacing w:val="0"/>
                <w:lang w:eastAsia="es-CO"/>
              </w:rPr>
              <w:t xml:space="preserve">iferencia en </w:t>
            </w:r>
            <w:r w:rsidR="001A35E5">
              <w:rPr>
                <w:rFonts w:cs="Arial"/>
                <w:spacing w:val="0"/>
                <w:lang w:eastAsia="es-CO"/>
              </w:rPr>
              <w:t>c</w:t>
            </w:r>
            <w:r w:rsidRPr="00EA69D4">
              <w:rPr>
                <w:rFonts w:cs="Arial"/>
                <w:spacing w:val="0"/>
                <w:lang w:eastAsia="es-CO"/>
              </w:rPr>
              <w:t xml:space="preserve">ambio </w:t>
            </w:r>
          </w:p>
        </w:tc>
      </w:tr>
      <w:tr w:rsidR="00EA69D4" w:rsidRPr="00EA69D4" w14:paraId="1CE8D5C7" w14:textId="77777777" w:rsidTr="00EA69D4">
        <w:trPr>
          <w:trHeight w:val="290"/>
        </w:trPr>
        <w:tc>
          <w:tcPr>
            <w:tcW w:w="5524" w:type="dxa"/>
            <w:tcBorders>
              <w:top w:val="nil"/>
              <w:left w:val="single" w:sz="4" w:space="0" w:color="auto"/>
              <w:bottom w:val="single" w:sz="4" w:space="0" w:color="auto"/>
              <w:right w:val="single" w:sz="4" w:space="0" w:color="auto"/>
            </w:tcBorders>
            <w:shd w:val="clear" w:color="auto" w:fill="auto"/>
            <w:noWrap/>
            <w:vAlign w:val="center"/>
            <w:hideMark/>
          </w:tcPr>
          <w:p w14:paraId="6746A9B1" w14:textId="77777777" w:rsidR="00EA69D4" w:rsidRPr="00EA69D4" w:rsidRDefault="00EA69D4" w:rsidP="00EA69D4">
            <w:pPr>
              <w:jc w:val="left"/>
              <w:rPr>
                <w:rFonts w:cs="Arial"/>
                <w:spacing w:val="0"/>
                <w:lang w:eastAsia="es-CO"/>
              </w:rPr>
            </w:pPr>
            <w:r w:rsidRPr="00EA69D4">
              <w:rPr>
                <w:rFonts w:cs="Arial"/>
                <w:spacing w:val="0"/>
                <w:lang w:eastAsia="es-CO"/>
              </w:rPr>
              <w:t xml:space="preserve"> (-) Comisiones </w:t>
            </w:r>
          </w:p>
        </w:tc>
      </w:tr>
      <w:tr w:rsidR="00EA69D4" w:rsidRPr="00EA69D4" w14:paraId="4D0EBDDE" w14:textId="77777777" w:rsidTr="00EA69D4">
        <w:trPr>
          <w:trHeight w:val="290"/>
        </w:trPr>
        <w:tc>
          <w:tcPr>
            <w:tcW w:w="5524" w:type="dxa"/>
            <w:tcBorders>
              <w:top w:val="nil"/>
              <w:left w:val="single" w:sz="4" w:space="0" w:color="auto"/>
              <w:bottom w:val="single" w:sz="4" w:space="0" w:color="auto"/>
              <w:right w:val="single" w:sz="4" w:space="0" w:color="auto"/>
            </w:tcBorders>
            <w:shd w:val="clear" w:color="auto" w:fill="auto"/>
            <w:noWrap/>
            <w:vAlign w:val="center"/>
            <w:hideMark/>
          </w:tcPr>
          <w:p w14:paraId="2B5DEB0B" w14:textId="77777777" w:rsidR="00EA69D4" w:rsidRPr="00EA69D4" w:rsidRDefault="00EA69D4" w:rsidP="00EA69D4">
            <w:pPr>
              <w:jc w:val="left"/>
              <w:rPr>
                <w:rFonts w:cs="Arial"/>
                <w:spacing w:val="0"/>
                <w:lang w:eastAsia="es-CO"/>
              </w:rPr>
            </w:pPr>
            <w:r w:rsidRPr="00EA69D4">
              <w:rPr>
                <w:rFonts w:cs="Arial"/>
                <w:spacing w:val="0"/>
                <w:lang w:eastAsia="es-CO"/>
              </w:rPr>
              <w:t xml:space="preserve"> (-) Donaciones </w:t>
            </w:r>
          </w:p>
        </w:tc>
      </w:tr>
      <w:tr w:rsidR="00EA69D4" w:rsidRPr="00EA69D4" w14:paraId="37A98102" w14:textId="77777777" w:rsidTr="00EA69D4">
        <w:trPr>
          <w:trHeight w:val="290"/>
        </w:trPr>
        <w:tc>
          <w:tcPr>
            <w:tcW w:w="5524" w:type="dxa"/>
            <w:tcBorders>
              <w:top w:val="nil"/>
              <w:left w:val="single" w:sz="4" w:space="0" w:color="auto"/>
              <w:bottom w:val="single" w:sz="4" w:space="0" w:color="auto"/>
              <w:right w:val="single" w:sz="4" w:space="0" w:color="auto"/>
            </w:tcBorders>
            <w:shd w:val="clear" w:color="auto" w:fill="auto"/>
            <w:noWrap/>
            <w:vAlign w:val="center"/>
            <w:hideMark/>
          </w:tcPr>
          <w:p w14:paraId="4996C251" w14:textId="77777777" w:rsidR="00EA69D4" w:rsidRPr="00EA69D4" w:rsidRDefault="00EA69D4" w:rsidP="00EA69D4">
            <w:pPr>
              <w:jc w:val="left"/>
              <w:rPr>
                <w:rFonts w:cs="Arial"/>
                <w:spacing w:val="0"/>
                <w:lang w:eastAsia="es-CO"/>
              </w:rPr>
            </w:pPr>
            <w:r w:rsidRPr="00EA69D4">
              <w:rPr>
                <w:rFonts w:cs="Arial"/>
                <w:spacing w:val="0"/>
                <w:lang w:eastAsia="es-CO"/>
              </w:rPr>
              <w:t xml:space="preserve"> (-) Financieros </w:t>
            </w:r>
          </w:p>
        </w:tc>
      </w:tr>
      <w:tr w:rsidR="00EA69D4" w:rsidRPr="00EA69D4" w14:paraId="766E2B0C" w14:textId="77777777" w:rsidTr="00EA69D4">
        <w:trPr>
          <w:trHeight w:val="290"/>
        </w:trPr>
        <w:tc>
          <w:tcPr>
            <w:tcW w:w="5524" w:type="dxa"/>
            <w:tcBorders>
              <w:top w:val="nil"/>
              <w:left w:val="single" w:sz="4" w:space="0" w:color="auto"/>
              <w:bottom w:val="single" w:sz="4" w:space="0" w:color="auto"/>
              <w:right w:val="single" w:sz="4" w:space="0" w:color="auto"/>
            </w:tcBorders>
            <w:shd w:val="clear" w:color="auto" w:fill="auto"/>
            <w:noWrap/>
            <w:vAlign w:val="center"/>
            <w:hideMark/>
          </w:tcPr>
          <w:p w14:paraId="7CC6EC8F" w14:textId="04E72971" w:rsidR="00EA69D4" w:rsidRPr="00EA69D4" w:rsidRDefault="00EA69D4" w:rsidP="00EA69D4">
            <w:pPr>
              <w:jc w:val="left"/>
              <w:rPr>
                <w:rFonts w:cs="Arial"/>
                <w:spacing w:val="0"/>
                <w:lang w:eastAsia="es-CO"/>
              </w:rPr>
            </w:pPr>
            <w:r w:rsidRPr="00EA69D4">
              <w:rPr>
                <w:rFonts w:cs="Arial"/>
                <w:spacing w:val="0"/>
                <w:lang w:eastAsia="es-CO"/>
              </w:rPr>
              <w:t xml:space="preserve"> (-) Perdida por el método de participación patrimonial </w:t>
            </w:r>
          </w:p>
        </w:tc>
      </w:tr>
      <w:tr w:rsidR="00EA69D4" w:rsidRPr="00EA69D4" w14:paraId="08DB4722" w14:textId="77777777" w:rsidTr="00EA69D4">
        <w:trPr>
          <w:trHeight w:val="290"/>
        </w:trPr>
        <w:tc>
          <w:tcPr>
            <w:tcW w:w="5524" w:type="dxa"/>
            <w:tcBorders>
              <w:top w:val="nil"/>
              <w:left w:val="single" w:sz="4" w:space="0" w:color="auto"/>
              <w:bottom w:val="single" w:sz="4" w:space="0" w:color="auto"/>
              <w:right w:val="single" w:sz="4" w:space="0" w:color="auto"/>
            </w:tcBorders>
            <w:shd w:val="clear" w:color="auto" w:fill="auto"/>
            <w:noWrap/>
            <w:vAlign w:val="center"/>
            <w:hideMark/>
          </w:tcPr>
          <w:p w14:paraId="7B766A5C" w14:textId="77777777" w:rsidR="00EA69D4" w:rsidRPr="00EA69D4" w:rsidRDefault="00EA69D4" w:rsidP="00EA69D4">
            <w:pPr>
              <w:jc w:val="left"/>
              <w:rPr>
                <w:rFonts w:cs="Arial"/>
                <w:spacing w:val="0"/>
                <w:lang w:eastAsia="es-CO"/>
              </w:rPr>
            </w:pPr>
            <w:r w:rsidRPr="00EA69D4">
              <w:rPr>
                <w:rFonts w:cs="Arial"/>
                <w:spacing w:val="0"/>
                <w:lang w:eastAsia="es-CO"/>
              </w:rPr>
              <w:t xml:space="preserve"> (-) Litigios y/o demandas </w:t>
            </w:r>
          </w:p>
        </w:tc>
      </w:tr>
      <w:tr w:rsidR="00EA69D4" w:rsidRPr="00EA69D4" w14:paraId="64BA1BEE" w14:textId="77777777" w:rsidTr="00EA69D4">
        <w:trPr>
          <w:trHeight w:val="290"/>
        </w:trPr>
        <w:tc>
          <w:tcPr>
            <w:tcW w:w="5524" w:type="dxa"/>
            <w:tcBorders>
              <w:top w:val="nil"/>
              <w:left w:val="single" w:sz="4" w:space="0" w:color="auto"/>
              <w:bottom w:val="single" w:sz="4" w:space="0" w:color="auto"/>
              <w:right w:val="single" w:sz="4" w:space="0" w:color="auto"/>
            </w:tcBorders>
            <w:shd w:val="clear" w:color="auto" w:fill="auto"/>
            <w:noWrap/>
            <w:vAlign w:val="center"/>
            <w:hideMark/>
          </w:tcPr>
          <w:p w14:paraId="5F4492A1" w14:textId="77777777" w:rsidR="00EA69D4" w:rsidRPr="00EA69D4" w:rsidRDefault="00EA69D4" w:rsidP="00EA69D4">
            <w:pPr>
              <w:jc w:val="left"/>
              <w:rPr>
                <w:rFonts w:cs="Arial"/>
                <w:spacing w:val="0"/>
                <w:lang w:eastAsia="es-CO"/>
              </w:rPr>
            </w:pPr>
            <w:r w:rsidRPr="00EA69D4">
              <w:rPr>
                <w:rFonts w:cs="Arial"/>
                <w:spacing w:val="0"/>
                <w:lang w:eastAsia="es-CO"/>
              </w:rPr>
              <w:t xml:space="preserve"> (-) Diversas </w:t>
            </w:r>
          </w:p>
        </w:tc>
      </w:tr>
      <w:tr w:rsidR="00EA69D4" w:rsidRPr="00EA69D4" w14:paraId="50644263" w14:textId="77777777" w:rsidTr="00EA69D4">
        <w:trPr>
          <w:trHeight w:val="290"/>
        </w:trPr>
        <w:tc>
          <w:tcPr>
            <w:tcW w:w="5524" w:type="dxa"/>
            <w:tcBorders>
              <w:top w:val="nil"/>
              <w:left w:val="single" w:sz="4" w:space="0" w:color="auto"/>
              <w:bottom w:val="single" w:sz="4" w:space="0" w:color="auto"/>
              <w:right w:val="single" w:sz="4" w:space="0" w:color="auto"/>
            </w:tcBorders>
            <w:shd w:val="clear" w:color="auto" w:fill="auto"/>
            <w:noWrap/>
            <w:vAlign w:val="center"/>
            <w:hideMark/>
          </w:tcPr>
          <w:p w14:paraId="52CE5373" w14:textId="77777777" w:rsidR="00EA69D4" w:rsidRPr="00EA69D4" w:rsidRDefault="00EA69D4" w:rsidP="00EA69D4">
            <w:pPr>
              <w:jc w:val="left"/>
              <w:rPr>
                <w:rFonts w:cs="Arial"/>
                <w:spacing w:val="0"/>
                <w:lang w:eastAsia="es-CO"/>
              </w:rPr>
            </w:pPr>
            <w:r w:rsidRPr="00EA69D4">
              <w:rPr>
                <w:rFonts w:cs="Arial"/>
                <w:spacing w:val="0"/>
                <w:lang w:eastAsia="es-CO"/>
              </w:rPr>
              <w:t xml:space="preserve"> (-) Amortización </w:t>
            </w:r>
          </w:p>
        </w:tc>
      </w:tr>
      <w:tr w:rsidR="00EA69D4" w:rsidRPr="00EA69D4" w14:paraId="7058A482" w14:textId="77777777" w:rsidTr="00EA69D4">
        <w:trPr>
          <w:trHeight w:val="290"/>
        </w:trPr>
        <w:tc>
          <w:tcPr>
            <w:tcW w:w="5524" w:type="dxa"/>
            <w:tcBorders>
              <w:top w:val="nil"/>
              <w:left w:val="single" w:sz="4" w:space="0" w:color="auto"/>
              <w:bottom w:val="single" w:sz="4" w:space="0" w:color="auto"/>
              <w:right w:val="single" w:sz="4" w:space="0" w:color="auto"/>
            </w:tcBorders>
            <w:shd w:val="clear" w:color="auto" w:fill="auto"/>
            <w:noWrap/>
            <w:vAlign w:val="center"/>
            <w:hideMark/>
          </w:tcPr>
          <w:p w14:paraId="3153A11D" w14:textId="77777777" w:rsidR="00EA69D4" w:rsidRPr="00EA69D4" w:rsidRDefault="00EA69D4" w:rsidP="00EA69D4">
            <w:pPr>
              <w:jc w:val="left"/>
              <w:rPr>
                <w:rFonts w:cs="Arial"/>
                <w:spacing w:val="0"/>
                <w:lang w:eastAsia="es-CO"/>
              </w:rPr>
            </w:pPr>
            <w:r w:rsidRPr="00EA69D4">
              <w:rPr>
                <w:rFonts w:cs="Arial"/>
                <w:spacing w:val="0"/>
                <w:lang w:eastAsia="es-CO"/>
              </w:rPr>
              <w:t xml:space="preserve"> (-) Depreciación </w:t>
            </w:r>
          </w:p>
        </w:tc>
      </w:tr>
      <w:tr w:rsidR="00EA69D4" w:rsidRPr="00EA69D4" w14:paraId="47AE252D" w14:textId="77777777" w:rsidTr="00EA69D4">
        <w:trPr>
          <w:trHeight w:val="290"/>
        </w:trPr>
        <w:tc>
          <w:tcPr>
            <w:tcW w:w="5524" w:type="dxa"/>
            <w:tcBorders>
              <w:top w:val="nil"/>
              <w:left w:val="single" w:sz="4" w:space="0" w:color="auto"/>
              <w:bottom w:val="single" w:sz="4" w:space="0" w:color="auto"/>
              <w:right w:val="single" w:sz="4" w:space="0" w:color="auto"/>
            </w:tcBorders>
            <w:shd w:val="clear" w:color="auto" w:fill="auto"/>
            <w:noWrap/>
            <w:vAlign w:val="center"/>
            <w:hideMark/>
          </w:tcPr>
          <w:p w14:paraId="13ABFA4D" w14:textId="77777777" w:rsidR="00EA69D4" w:rsidRPr="00EA69D4" w:rsidRDefault="00EA69D4" w:rsidP="00EA69D4">
            <w:pPr>
              <w:jc w:val="left"/>
              <w:rPr>
                <w:rFonts w:cs="Arial"/>
                <w:spacing w:val="0"/>
                <w:lang w:eastAsia="es-CO"/>
              </w:rPr>
            </w:pPr>
            <w:r w:rsidRPr="00EA69D4">
              <w:rPr>
                <w:rFonts w:cs="Arial"/>
                <w:spacing w:val="0"/>
                <w:lang w:eastAsia="es-CO"/>
              </w:rPr>
              <w:t xml:space="preserve"> (-) Deterioro </w:t>
            </w:r>
          </w:p>
        </w:tc>
      </w:tr>
      <w:tr w:rsidR="00EA69D4" w:rsidRPr="00EA69D4" w14:paraId="50778975" w14:textId="77777777" w:rsidTr="00EA69D4">
        <w:trPr>
          <w:trHeight w:val="290"/>
        </w:trPr>
        <w:tc>
          <w:tcPr>
            <w:tcW w:w="5524" w:type="dxa"/>
            <w:tcBorders>
              <w:top w:val="nil"/>
              <w:left w:val="single" w:sz="4" w:space="0" w:color="auto"/>
              <w:bottom w:val="single" w:sz="4" w:space="0" w:color="auto"/>
              <w:right w:val="single" w:sz="4" w:space="0" w:color="auto"/>
            </w:tcBorders>
            <w:shd w:val="clear" w:color="auto" w:fill="auto"/>
            <w:noWrap/>
            <w:vAlign w:val="center"/>
            <w:hideMark/>
          </w:tcPr>
          <w:p w14:paraId="7ED51AF1" w14:textId="01A0BB6B" w:rsidR="00EA69D4" w:rsidRPr="00EA69D4" w:rsidRDefault="00EA69D4" w:rsidP="00EA69D4">
            <w:pPr>
              <w:jc w:val="left"/>
              <w:rPr>
                <w:rFonts w:cs="Arial"/>
                <w:spacing w:val="0"/>
                <w:lang w:eastAsia="es-CO"/>
              </w:rPr>
            </w:pPr>
            <w:r w:rsidRPr="00EA69D4">
              <w:rPr>
                <w:rFonts w:cs="Arial"/>
                <w:spacing w:val="0"/>
                <w:lang w:eastAsia="es-CO"/>
              </w:rPr>
              <w:t xml:space="preserve"> (-) Impuesto a las </w:t>
            </w:r>
            <w:r w:rsidR="001A35E5">
              <w:rPr>
                <w:rFonts w:cs="Arial"/>
                <w:spacing w:val="0"/>
                <w:lang w:eastAsia="es-CO"/>
              </w:rPr>
              <w:t>g</w:t>
            </w:r>
            <w:r w:rsidRPr="00EA69D4">
              <w:rPr>
                <w:rFonts w:cs="Arial"/>
                <w:spacing w:val="0"/>
                <w:lang w:eastAsia="es-CO"/>
              </w:rPr>
              <w:t xml:space="preserve">anancias </w:t>
            </w:r>
            <w:r w:rsidR="001A35E5">
              <w:rPr>
                <w:rFonts w:cs="Arial"/>
                <w:spacing w:val="0"/>
                <w:lang w:eastAsia="es-CO"/>
              </w:rPr>
              <w:t>c</w:t>
            </w:r>
            <w:r w:rsidRPr="00EA69D4">
              <w:rPr>
                <w:rFonts w:cs="Arial"/>
                <w:spacing w:val="0"/>
                <w:lang w:eastAsia="es-CO"/>
              </w:rPr>
              <w:t xml:space="preserve">orrientes </w:t>
            </w:r>
          </w:p>
        </w:tc>
      </w:tr>
      <w:tr w:rsidR="00EA69D4" w:rsidRPr="00EA69D4" w14:paraId="1FBD0977" w14:textId="77777777" w:rsidTr="00EA69D4">
        <w:trPr>
          <w:trHeight w:val="290"/>
        </w:trPr>
        <w:tc>
          <w:tcPr>
            <w:tcW w:w="5524" w:type="dxa"/>
            <w:tcBorders>
              <w:top w:val="nil"/>
              <w:left w:val="single" w:sz="4" w:space="0" w:color="auto"/>
              <w:bottom w:val="single" w:sz="4" w:space="0" w:color="auto"/>
              <w:right w:val="single" w:sz="4" w:space="0" w:color="auto"/>
            </w:tcBorders>
            <w:shd w:val="clear" w:color="auto" w:fill="auto"/>
            <w:noWrap/>
            <w:vAlign w:val="center"/>
            <w:hideMark/>
          </w:tcPr>
          <w:p w14:paraId="14E13BBA" w14:textId="744D954C" w:rsidR="00EA69D4" w:rsidRPr="00EA69D4" w:rsidRDefault="00EA69D4" w:rsidP="00EA69D4">
            <w:pPr>
              <w:jc w:val="left"/>
              <w:rPr>
                <w:rFonts w:cs="Arial"/>
                <w:spacing w:val="0"/>
                <w:lang w:eastAsia="es-CO"/>
              </w:rPr>
            </w:pPr>
            <w:r w:rsidRPr="00EA69D4">
              <w:rPr>
                <w:rFonts w:cs="Arial"/>
                <w:spacing w:val="0"/>
                <w:lang w:eastAsia="es-CO"/>
              </w:rPr>
              <w:t xml:space="preserve"> (-) Impuesto a las </w:t>
            </w:r>
            <w:r w:rsidR="001A35E5">
              <w:rPr>
                <w:rFonts w:cs="Arial"/>
                <w:spacing w:val="0"/>
                <w:lang w:eastAsia="es-CO"/>
              </w:rPr>
              <w:t>g</w:t>
            </w:r>
            <w:r w:rsidRPr="00EA69D4">
              <w:rPr>
                <w:rFonts w:cs="Arial"/>
                <w:spacing w:val="0"/>
                <w:lang w:eastAsia="es-CO"/>
              </w:rPr>
              <w:t xml:space="preserve">anancias </w:t>
            </w:r>
            <w:r w:rsidR="001A35E5">
              <w:rPr>
                <w:rFonts w:cs="Arial"/>
                <w:spacing w:val="0"/>
                <w:lang w:eastAsia="es-CO"/>
              </w:rPr>
              <w:t>d</w:t>
            </w:r>
            <w:r w:rsidRPr="00EA69D4">
              <w:rPr>
                <w:rFonts w:cs="Arial"/>
                <w:spacing w:val="0"/>
                <w:lang w:eastAsia="es-CO"/>
              </w:rPr>
              <w:t xml:space="preserve">iferido </w:t>
            </w:r>
          </w:p>
        </w:tc>
      </w:tr>
      <w:tr w:rsidR="00EA69D4" w:rsidRPr="00EA69D4" w14:paraId="33ECF779" w14:textId="77777777" w:rsidTr="00EA69D4">
        <w:trPr>
          <w:trHeight w:val="290"/>
        </w:trPr>
        <w:tc>
          <w:tcPr>
            <w:tcW w:w="5524" w:type="dxa"/>
            <w:tcBorders>
              <w:top w:val="nil"/>
              <w:left w:val="single" w:sz="4" w:space="0" w:color="auto"/>
              <w:bottom w:val="single" w:sz="4" w:space="0" w:color="auto"/>
              <w:right w:val="single" w:sz="4" w:space="0" w:color="auto"/>
            </w:tcBorders>
            <w:shd w:val="clear" w:color="auto" w:fill="auto"/>
            <w:noWrap/>
            <w:vAlign w:val="center"/>
            <w:hideMark/>
          </w:tcPr>
          <w:p w14:paraId="3220EB3B" w14:textId="16466088" w:rsidR="00EA69D4" w:rsidRPr="00EA69D4" w:rsidRDefault="00EA69D4" w:rsidP="00EA69D4">
            <w:pPr>
              <w:jc w:val="left"/>
              <w:rPr>
                <w:rFonts w:cs="Arial"/>
                <w:spacing w:val="0"/>
                <w:lang w:eastAsia="es-CO"/>
              </w:rPr>
            </w:pPr>
            <w:r w:rsidRPr="00EA69D4">
              <w:rPr>
                <w:rFonts w:cs="Arial"/>
                <w:spacing w:val="0"/>
                <w:lang w:eastAsia="es-CO"/>
              </w:rPr>
              <w:t xml:space="preserve"> (-) Impuestos</w:t>
            </w:r>
            <w:r w:rsidR="001A35E5">
              <w:rPr>
                <w:rFonts w:cs="Arial"/>
                <w:spacing w:val="0"/>
                <w:lang w:eastAsia="es-CO"/>
              </w:rPr>
              <w:t>,</w:t>
            </w:r>
            <w:r w:rsidRPr="00EA69D4">
              <w:rPr>
                <w:rFonts w:cs="Arial"/>
                <w:spacing w:val="0"/>
                <w:lang w:eastAsia="es-CO"/>
              </w:rPr>
              <w:t xml:space="preserve"> </w:t>
            </w:r>
            <w:r w:rsidR="001A35E5">
              <w:rPr>
                <w:rFonts w:cs="Arial"/>
                <w:spacing w:val="0"/>
                <w:lang w:eastAsia="es-CO"/>
              </w:rPr>
              <w:t>t</w:t>
            </w:r>
            <w:r w:rsidRPr="00EA69D4">
              <w:rPr>
                <w:rFonts w:cs="Arial"/>
                <w:spacing w:val="0"/>
                <w:lang w:eastAsia="es-CO"/>
              </w:rPr>
              <w:t xml:space="preserve">asas y </w:t>
            </w:r>
            <w:r w:rsidR="001A35E5">
              <w:rPr>
                <w:rFonts w:cs="Arial"/>
                <w:spacing w:val="0"/>
                <w:lang w:eastAsia="es-CO"/>
              </w:rPr>
              <w:t>c</w:t>
            </w:r>
            <w:r w:rsidRPr="00EA69D4">
              <w:rPr>
                <w:rFonts w:cs="Arial"/>
                <w:spacing w:val="0"/>
                <w:lang w:eastAsia="es-CO"/>
              </w:rPr>
              <w:t xml:space="preserve">ontribuciones </w:t>
            </w:r>
          </w:p>
        </w:tc>
      </w:tr>
      <w:tr w:rsidR="00EA69D4" w:rsidRPr="00EA69D4" w14:paraId="0D291807" w14:textId="77777777" w:rsidTr="00EA69D4">
        <w:trPr>
          <w:trHeight w:val="290"/>
        </w:trPr>
        <w:tc>
          <w:tcPr>
            <w:tcW w:w="5524" w:type="dxa"/>
            <w:tcBorders>
              <w:top w:val="nil"/>
              <w:left w:val="single" w:sz="4" w:space="0" w:color="auto"/>
              <w:bottom w:val="single" w:sz="4" w:space="0" w:color="auto"/>
              <w:right w:val="single" w:sz="4" w:space="0" w:color="auto"/>
            </w:tcBorders>
            <w:shd w:val="clear" w:color="auto" w:fill="auto"/>
            <w:noWrap/>
            <w:vAlign w:val="center"/>
            <w:hideMark/>
          </w:tcPr>
          <w:p w14:paraId="24DEA9E9" w14:textId="71B3CF1D" w:rsidR="00EA69D4" w:rsidRPr="00EA69D4" w:rsidRDefault="00EA69D4" w:rsidP="00EA69D4">
            <w:pPr>
              <w:jc w:val="left"/>
              <w:rPr>
                <w:rFonts w:cs="Arial"/>
                <w:spacing w:val="0"/>
                <w:lang w:eastAsia="es-CO"/>
              </w:rPr>
            </w:pPr>
            <w:r w:rsidRPr="00EA69D4">
              <w:rPr>
                <w:rFonts w:cs="Arial"/>
                <w:spacing w:val="0"/>
                <w:lang w:eastAsia="es-CO"/>
              </w:rPr>
              <w:t xml:space="preserve"> (-) Gastos </w:t>
            </w:r>
            <w:r w:rsidR="001A35E5">
              <w:rPr>
                <w:rFonts w:cs="Arial"/>
                <w:spacing w:val="0"/>
                <w:lang w:eastAsia="es-CO"/>
              </w:rPr>
              <w:t>d</w:t>
            </w:r>
            <w:r w:rsidRPr="00EA69D4">
              <w:rPr>
                <w:rFonts w:cs="Arial"/>
                <w:spacing w:val="0"/>
                <w:lang w:eastAsia="es-CO"/>
              </w:rPr>
              <w:t xml:space="preserve">iversos </w:t>
            </w:r>
          </w:p>
        </w:tc>
      </w:tr>
    </w:tbl>
    <w:p w14:paraId="181FE1FF" w14:textId="77777777" w:rsidR="0078634D" w:rsidRDefault="0078634D" w:rsidP="00682879">
      <w:pPr>
        <w:pStyle w:val="Textoindependiente"/>
        <w:spacing w:after="0" w:line="240" w:lineRule="auto"/>
        <w:rPr>
          <w:rFonts w:cs="Arial"/>
          <w:sz w:val="22"/>
          <w:szCs w:val="22"/>
        </w:rPr>
      </w:pPr>
    </w:p>
    <w:p w14:paraId="596071A0" w14:textId="433D0CC6" w:rsidR="00682879" w:rsidRPr="00EA69D4" w:rsidRDefault="00682879" w:rsidP="00682879">
      <w:pPr>
        <w:pStyle w:val="Textoindependiente"/>
        <w:spacing w:after="0" w:line="240" w:lineRule="auto"/>
        <w:rPr>
          <w:rFonts w:cs="Arial"/>
          <w:iCs/>
          <w:sz w:val="22"/>
          <w:szCs w:val="22"/>
        </w:rPr>
      </w:pPr>
      <w:r w:rsidRPr="00EA69D4">
        <w:rPr>
          <w:rFonts w:cs="Arial"/>
          <w:sz w:val="22"/>
          <w:szCs w:val="22"/>
        </w:rPr>
        <w:t>Regla exceptiva</w:t>
      </w:r>
      <w:r w:rsidRPr="00EA69D4">
        <w:rPr>
          <w:rFonts w:cs="Arial"/>
          <w:sz w:val="22"/>
          <w:szCs w:val="22"/>
          <w:vertAlign w:val="superscript"/>
        </w:rPr>
        <w:t>1</w:t>
      </w:r>
      <w:r w:rsidRPr="00EA69D4">
        <w:rPr>
          <w:rFonts w:cs="Arial"/>
          <w:sz w:val="22"/>
          <w:szCs w:val="22"/>
        </w:rPr>
        <w:t xml:space="preserve">: </w:t>
      </w:r>
      <m:oMath>
        <m:r>
          <w:rPr>
            <w:rFonts w:ascii="Cambria Math" w:hAnsi="Cambria Math" w:cs="Arial"/>
            <w:sz w:val="22"/>
            <w:szCs w:val="22"/>
          </w:rPr>
          <m:t>[+go</m:t>
        </m:r>
        <m:r>
          <m:rPr>
            <m:sty m:val="p"/>
          </m:rPr>
          <w:rPr>
            <w:rFonts w:ascii="Cambria Math" w:hAnsi="Cambria Math" w:cs="Arial"/>
            <w:sz w:val="22"/>
            <w:szCs w:val="22"/>
          </w:rPr>
          <m:t>]</m:t>
        </m:r>
      </m:oMath>
      <w:r w:rsidRPr="00EA69D4">
        <w:rPr>
          <w:rFonts w:cs="Arial"/>
          <w:iCs/>
          <w:sz w:val="22"/>
          <w:szCs w:val="22"/>
        </w:rPr>
        <w:t>: cuando se necesite cubrir faltantes presupuestales, los gastos operativos pueden ser adicionados a los gastos de funcionamiento, en la misma proporción en que sean indispensables para cubrir el faltante presupuestal</w:t>
      </w:r>
      <w:r w:rsidR="00EA69D4" w:rsidRPr="00EA69D4">
        <w:rPr>
          <w:rFonts w:cs="Arial"/>
          <w:iCs/>
          <w:sz w:val="22"/>
          <w:szCs w:val="22"/>
        </w:rPr>
        <w:t xml:space="preserve">, conforme al párrafo 2 del artículo 85 de la Ley 142 de 1994: </w:t>
      </w:r>
    </w:p>
    <w:p w14:paraId="77289650" w14:textId="67833E03" w:rsidR="00EA69D4" w:rsidRDefault="00EA69D4" w:rsidP="00682879">
      <w:pPr>
        <w:pStyle w:val="Textoindependiente"/>
        <w:spacing w:after="0" w:line="240" w:lineRule="auto"/>
        <w:rPr>
          <w:rFonts w:cs="Arial"/>
          <w:iCs/>
        </w:rPr>
      </w:pPr>
    </w:p>
    <w:p w14:paraId="473D8FF7" w14:textId="77777777" w:rsidR="00EA69D4" w:rsidRPr="00482643" w:rsidRDefault="00EA69D4" w:rsidP="00EA69D4">
      <w:pPr>
        <w:ind w:left="357"/>
        <w:rPr>
          <w:rFonts w:ascii="Bookman Old Style" w:hAnsi="Bookman Old Style" w:cs="Arial"/>
        </w:rPr>
      </w:pPr>
      <w:r>
        <w:rPr>
          <w:rFonts w:ascii="Bookman Old Style" w:hAnsi="Bookman Old Style" w:cs="Arial"/>
        </w:rPr>
        <w:t>“</w:t>
      </w:r>
      <w:r w:rsidRPr="00E5224D">
        <w:rPr>
          <w:rFonts w:ascii="Bookman Old Style" w:hAnsi="Bookman Old Style" w:cs="Arial"/>
          <w:i/>
        </w:rPr>
        <w:t xml:space="preserve">Al fijar las contribuciones especiales se eliminarán, de los gastos de funcionamiento, </w:t>
      </w:r>
      <w:r w:rsidRPr="003628A6">
        <w:rPr>
          <w:rFonts w:ascii="Bookman Old Style" w:hAnsi="Bookman Old Style" w:cs="Arial"/>
          <w:i/>
          <w:u w:val="single"/>
        </w:rPr>
        <w:t>los gastos operativos</w:t>
      </w:r>
      <w:r w:rsidRPr="00E5224D">
        <w:rPr>
          <w:rFonts w:ascii="Bookman Old Style" w:hAnsi="Bookman Old Style" w:cs="Arial"/>
          <w:i/>
        </w:rPr>
        <w:t xml:space="preserve">; en las empresas del sector eléctrico, </w:t>
      </w:r>
      <w:r w:rsidRPr="003628A6">
        <w:rPr>
          <w:rFonts w:ascii="Bookman Old Style" w:hAnsi="Bookman Old Style" w:cs="Arial"/>
          <w:i/>
          <w:u w:val="single"/>
        </w:rPr>
        <w:t>las compras de electricidad, las compras de combustibles y los peajes</w:t>
      </w:r>
      <w:r w:rsidRPr="00E5224D">
        <w:rPr>
          <w:rFonts w:ascii="Bookman Old Style" w:hAnsi="Bookman Old Style" w:cs="Arial"/>
          <w:i/>
        </w:rPr>
        <w:t xml:space="preserve">, cuando hubiere lugar a ello; y en las empresas de otros sectores los </w:t>
      </w:r>
      <w:r w:rsidRPr="003628A6">
        <w:rPr>
          <w:rFonts w:ascii="Bookman Old Style" w:hAnsi="Bookman Old Style" w:cs="Arial"/>
          <w:i/>
          <w:u w:val="single"/>
        </w:rPr>
        <w:t>gastos de naturaleza similar</w:t>
      </w:r>
      <w:r w:rsidRPr="00E5224D">
        <w:rPr>
          <w:rFonts w:ascii="Bookman Old Style" w:hAnsi="Bookman Old Style" w:cs="Arial"/>
          <w:i/>
        </w:rPr>
        <w:t xml:space="preserve"> a éstos. </w:t>
      </w:r>
      <w:r w:rsidRPr="00E5224D">
        <w:rPr>
          <w:rFonts w:ascii="Bookman Old Style" w:hAnsi="Bookman Old Style" w:cs="Arial"/>
          <w:i/>
          <w:u w:val="single"/>
        </w:rPr>
        <w:t>Estos rubros podrán ser adicionados en la misma proporción en que sean indispensables para cubrir faltantes presupuestales de las comisiones y la superintendencia</w:t>
      </w:r>
      <w:r>
        <w:rPr>
          <w:rFonts w:ascii="Bookman Old Style" w:hAnsi="Bookman Old Style" w:cs="Arial"/>
          <w:i/>
        </w:rPr>
        <w:t>”</w:t>
      </w:r>
      <w:r w:rsidRPr="00E5224D">
        <w:rPr>
          <w:rFonts w:ascii="Bookman Old Style" w:hAnsi="Bookman Old Style" w:cs="Arial"/>
        </w:rPr>
        <w:t xml:space="preserve"> (subrayado fuera del texto original)</w:t>
      </w:r>
      <w:r>
        <w:rPr>
          <w:rFonts w:ascii="Bookman Old Style" w:hAnsi="Bookman Old Style" w:cs="Arial"/>
        </w:rPr>
        <w:t>.</w:t>
      </w:r>
    </w:p>
    <w:p w14:paraId="30EEE0DE" w14:textId="77777777" w:rsidR="00EA69D4" w:rsidRPr="00682879" w:rsidRDefault="00EA69D4" w:rsidP="00682879">
      <w:pPr>
        <w:pStyle w:val="Textoindependiente"/>
        <w:spacing w:after="0" w:line="240" w:lineRule="auto"/>
        <w:rPr>
          <w:rFonts w:cs="Arial"/>
        </w:rPr>
      </w:pPr>
    </w:p>
    <w:bookmarkEnd w:id="12"/>
    <w:p w14:paraId="686B2BFB" w14:textId="0A6588E3" w:rsidR="00EA69D4" w:rsidRDefault="00EA69D4" w:rsidP="00280F88">
      <w:pPr>
        <w:rPr>
          <w:rFonts w:cs="Arial"/>
          <w:bCs/>
          <w:sz w:val="22"/>
          <w:szCs w:val="22"/>
        </w:rPr>
      </w:pPr>
      <w:r>
        <w:rPr>
          <w:rFonts w:cs="Arial"/>
          <w:bCs/>
          <w:sz w:val="22"/>
          <w:szCs w:val="22"/>
        </w:rPr>
        <w:lastRenderedPageBreak/>
        <w:t xml:space="preserve">En este sentido se </w:t>
      </w:r>
      <w:r w:rsidRPr="00EA69D4">
        <w:rPr>
          <w:rFonts w:cs="Arial"/>
          <w:bCs/>
          <w:sz w:val="22"/>
          <w:szCs w:val="22"/>
        </w:rPr>
        <w:t>define</w:t>
      </w:r>
      <w:r>
        <w:rPr>
          <w:rFonts w:cs="Arial"/>
          <w:bCs/>
          <w:sz w:val="22"/>
          <w:szCs w:val="22"/>
        </w:rPr>
        <w:t>n</w:t>
      </w:r>
      <w:r w:rsidRPr="00EA69D4">
        <w:rPr>
          <w:rFonts w:cs="Arial"/>
          <w:bCs/>
          <w:sz w:val="22"/>
          <w:szCs w:val="22"/>
        </w:rPr>
        <w:t xml:space="preserve"> como conceptos enumerativos e incluyentes los siguientes: (i) gastos operativos, (ii) las compras de electricidad, combustibles y peajes y (iii) gastos de naturaleza similar, es decir, no se puede negar el primer inciso de los gastos operativos, porque: (i) este inciso de gastos operativos es parte integral del parágrafo en mención y (ii) de llegar a haber faltantes presupuestales, en el último inciso el legislador así lo permite: </w:t>
      </w:r>
      <w:r w:rsidRPr="003B72DD">
        <w:rPr>
          <w:rFonts w:cs="Arial"/>
          <w:bCs/>
          <w:i/>
          <w:iCs/>
          <w:sz w:val="22"/>
          <w:szCs w:val="22"/>
        </w:rPr>
        <w:t xml:space="preserve">“…Estos rubros podrán ser adicionados en la misma proporción en que sean indispensables para cubrir faltantes presupuestales de las comisiones y la superintendencia…”. </w:t>
      </w:r>
      <w:r>
        <w:rPr>
          <w:rFonts w:cs="Arial"/>
          <w:bCs/>
          <w:sz w:val="22"/>
          <w:szCs w:val="22"/>
        </w:rPr>
        <w:t>E</w:t>
      </w:r>
      <w:r w:rsidRPr="00EA69D4">
        <w:rPr>
          <w:rFonts w:cs="Arial"/>
          <w:bCs/>
          <w:sz w:val="22"/>
          <w:szCs w:val="22"/>
        </w:rPr>
        <w:t>s decir, de no tener en cuenta los gastos operativos el legislador hubiera hecho uso de alguna expresión tácita y literal de excepción</w:t>
      </w:r>
      <w:r w:rsidR="00876573">
        <w:rPr>
          <w:rFonts w:cs="Arial"/>
          <w:bCs/>
          <w:sz w:val="22"/>
          <w:szCs w:val="22"/>
        </w:rPr>
        <w:t>, que no está incluida en la norma.</w:t>
      </w:r>
    </w:p>
    <w:p w14:paraId="2B6944E9" w14:textId="54AC84AF" w:rsidR="00EA69D4" w:rsidRDefault="00EA69D4" w:rsidP="00280F88">
      <w:pPr>
        <w:rPr>
          <w:rFonts w:cs="Arial"/>
          <w:bCs/>
          <w:sz w:val="22"/>
          <w:szCs w:val="22"/>
        </w:rPr>
      </w:pPr>
    </w:p>
    <w:p w14:paraId="796B1C8A" w14:textId="31A75D50" w:rsidR="001A35E5" w:rsidRDefault="00876573" w:rsidP="00280F88">
      <w:pPr>
        <w:rPr>
          <w:rFonts w:cs="Arial"/>
          <w:bCs/>
          <w:sz w:val="22"/>
          <w:szCs w:val="22"/>
        </w:rPr>
      </w:pPr>
      <w:r>
        <w:rPr>
          <w:rFonts w:cs="Arial"/>
          <w:bCs/>
          <w:sz w:val="22"/>
          <w:szCs w:val="22"/>
        </w:rPr>
        <w:t>Es así como, p</w:t>
      </w:r>
      <w:r w:rsidR="001A35E5">
        <w:rPr>
          <w:rFonts w:cs="Arial"/>
          <w:bCs/>
          <w:sz w:val="22"/>
          <w:szCs w:val="22"/>
        </w:rPr>
        <w:t>ara la contribución especial del año 2021 fue necesario hacer uso del párrafo 2 del artículo 85 de la Ley 142 de 1994, y de los gastos operativos se tuvieron en cuenta los siguientes rubros:</w:t>
      </w:r>
    </w:p>
    <w:p w14:paraId="261222F5" w14:textId="20D3CD19" w:rsidR="001A35E5" w:rsidRPr="0078267D" w:rsidRDefault="001A35E5" w:rsidP="00280F88">
      <w:pPr>
        <w:rPr>
          <w:rFonts w:cs="Arial"/>
          <w:bCs/>
          <w:sz w:val="16"/>
          <w:szCs w:val="16"/>
        </w:rPr>
      </w:pPr>
    </w:p>
    <w:tbl>
      <w:tblPr>
        <w:tblW w:w="6941" w:type="dxa"/>
        <w:tblCellMar>
          <w:left w:w="70" w:type="dxa"/>
          <w:right w:w="70" w:type="dxa"/>
        </w:tblCellMar>
        <w:tblLook w:val="04A0" w:firstRow="1" w:lastRow="0" w:firstColumn="1" w:lastColumn="0" w:noHBand="0" w:noVBand="1"/>
      </w:tblPr>
      <w:tblGrid>
        <w:gridCol w:w="6941"/>
      </w:tblGrid>
      <w:tr w:rsidR="001A35E5" w:rsidRPr="001A35E5" w14:paraId="72767487" w14:textId="77777777" w:rsidTr="001A35E5">
        <w:trPr>
          <w:trHeight w:val="290"/>
        </w:trPr>
        <w:tc>
          <w:tcPr>
            <w:tcW w:w="69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E9CDA7B" w14:textId="2DA93C7D" w:rsidR="001A35E5" w:rsidRPr="001A35E5" w:rsidRDefault="001A35E5" w:rsidP="001A35E5">
            <w:pPr>
              <w:jc w:val="left"/>
              <w:rPr>
                <w:rFonts w:cs="Arial"/>
                <w:spacing w:val="0"/>
                <w:lang w:eastAsia="es-CO"/>
              </w:rPr>
            </w:pPr>
            <w:r>
              <w:rPr>
                <w:rFonts w:cs="Arial"/>
                <w:spacing w:val="0"/>
                <w:lang w:eastAsia="es-CO"/>
              </w:rPr>
              <w:t xml:space="preserve"> </w:t>
            </w:r>
            <w:r w:rsidRPr="001A35E5">
              <w:rPr>
                <w:rFonts w:cs="Arial"/>
                <w:spacing w:val="0"/>
                <w:lang w:eastAsia="es-CO"/>
              </w:rPr>
              <w:t xml:space="preserve">(+) Beneficios a empleados </w:t>
            </w:r>
          </w:p>
        </w:tc>
      </w:tr>
      <w:tr w:rsidR="001A35E5" w:rsidRPr="001A35E5" w14:paraId="3F4896FB" w14:textId="77777777" w:rsidTr="001A35E5">
        <w:trPr>
          <w:trHeight w:val="290"/>
        </w:trPr>
        <w:tc>
          <w:tcPr>
            <w:tcW w:w="6941"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56142B3" w14:textId="77777777" w:rsidR="001A35E5" w:rsidRPr="001A35E5" w:rsidRDefault="001A35E5" w:rsidP="001A35E5">
            <w:pPr>
              <w:jc w:val="left"/>
              <w:rPr>
                <w:rFonts w:cs="Arial"/>
                <w:spacing w:val="0"/>
                <w:lang w:eastAsia="es-CO"/>
              </w:rPr>
            </w:pPr>
            <w:r w:rsidRPr="001A35E5">
              <w:rPr>
                <w:rFonts w:cs="Arial"/>
                <w:spacing w:val="0"/>
                <w:lang w:eastAsia="es-CO"/>
              </w:rPr>
              <w:t xml:space="preserve"> (+) Generales </w:t>
            </w:r>
          </w:p>
        </w:tc>
      </w:tr>
      <w:tr w:rsidR="001A35E5" w:rsidRPr="001A35E5" w14:paraId="2C63C65C" w14:textId="77777777" w:rsidTr="001A35E5">
        <w:trPr>
          <w:trHeight w:val="290"/>
        </w:trPr>
        <w:tc>
          <w:tcPr>
            <w:tcW w:w="6941"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ED4FFBC" w14:textId="77777777" w:rsidR="001A35E5" w:rsidRPr="001A35E5" w:rsidRDefault="001A35E5" w:rsidP="001A35E5">
            <w:pPr>
              <w:jc w:val="left"/>
              <w:rPr>
                <w:rFonts w:cs="Arial"/>
                <w:spacing w:val="0"/>
                <w:lang w:eastAsia="es-CO"/>
              </w:rPr>
            </w:pPr>
            <w:r w:rsidRPr="001A35E5">
              <w:rPr>
                <w:rFonts w:cs="Arial"/>
                <w:spacing w:val="0"/>
                <w:lang w:eastAsia="es-CO"/>
              </w:rPr>
              <w:t xml:space="preserve"> (+) Honorarios </w:t>
            </w:r>
          </w:p>
        </w:tc>
      </w:tr>
      <w:tr w:rsidR="001A35E5" w:rsidRPr="001A35E5" w14:paraId="235581B7" w14:textId="77777777" w:rsidTr="001A35E5">
        <w:trPr>
          <w:trHeight w:val="290"/>
        </w:trPr>
        <w:tc>
          <w:tcPr>
            <w:tcW w:w="6941"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ABD82F4" w14:textId="5EF95768" w:rsidR="001A35E5" w:rsidRPr="001A35E5" w:rsidRDefault="001A35E5" w:rsidP="001A35E5">
            <w:pPr>
              <w:jc w:val="left"/>
              <w:rPr>
                <w:rFonts w:cs="Arial"/>
                <w:spacing w:val="0"/>
                <w:lang w:eastAsia="es-CO"/>
              </w:rPr>
            </w:pPr>
            <w:r w:rsidRPr="001A35E5">
              <w:rPr>
                <w:rFonts w:cs="Arial"/>
                <w:spacing w:val="0"/>
                <w:lang w:eastAsia="es-CO"/>
              </w:rPr>
              <w:t xml:space="preserve"> (+) Materiales y otros gastos </w:t>
            </w:r>
            <w:r>
              <w:rPr>
                <w:rFonts w:cs="Arial"/>
                <w:spacing w:val="0"/>
                <w:lang w:eastAsia="es-CO"/>
              </w:rPr>
              <w:t>de o</w:t>
            </w:r>
            <w:r w:rsidRPr="001A35E5">
              <w:rPr>
                <w:rFonts w:cs="Arial"/>
                <w:spacing w:val="0"/>
                <w:lang w:eastAsia="es-CO"/>
              </w:rPr>
              <w:t xml:space="preserve">peración </w:t>
            </w:r>
          </w:p>
        </w:tc>
      </w:tr>
      <w:tr w:rsidR="001A35E5" w:rsidRPr="001A35E5" w14:paraId="0DA6932F" w14:textId="77777777" w:rsidTr="001A35E5">
        <w:trPr>
          <w:trHeight w:val="290"/>
        </w:trPr>
        <w:tc>
          <w:tcPr>
            <w:tcW w:w="6941"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25E105D" w14:textId="77777777" w:rsidR="001A35E5" w:rsidRPr="001A35E5" w:rsidRDefault="001A35E5" w:rsidP="001A35E5">
            <w:pPr>
              <w:jc w:val="left"/>
              <w:rPr>
                <w:rFonts w:cs="Arial"/>
                <w:spacing w:val="0"/>
                <w:lang w:eastAsia="es-CO"/>
              </w:rPr>
            </w:pPr>
            <w:r w:rsidRPr="001A35E5">
              <w:rPr>
                <w:rFonts w:cs="Arial"/>
                <w:spacing w:val="0"/>
                <w:lang w:eastAsia="es-CO"/>
              </w:rPr>
              <w:t xml:space="preserve"> (+) Ordenes y contratos mantenimiento y reparaciones </w:t>
            </w:r>
          </w:p>
        </w:tc>
      </w:tr>
      <w:tr w:rsidR="001A35E5" w:rsidRPr="001A35E5" w14:paraId="3FC6B8E7" w14:textId="77777777" w:rsidTr="001A35E5">
        <w:trPr>
          <w:trHeight w:val="290"/>
        </w:trPr>
        <w:tc>
          <w:tcPr>
            <w:tcW w:w="6941"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A692BEB" w14:textId="77777777" w:rsidR="001A35E5" w:rsidRPr="001A35E5" w:rsidRDefault="001A35E5" w:rsidP="001A35E5">
            <w:pPr>
              <w:jc w:val="left"/>
              <w:rPr>
                <w:rFonts w:cs="Arial"/>
                <w:spacing w:val="0"/>
                <w:lang w:eastAsia="es-CO"/>
              </w:rPr>
            </w:pPr>
            <w:r w:rsidRPr="001A35E5">
              <w:rPr>
                <w:rFonts w:cs="Arial"/>
                <w:spacing w:val="0"/>
                <w:lang w:eastAsia="es-CO"/>
              </w:rPr>
              <w:t xml:space="preserve"> (+) Ordenes y contratos por otros servicios </w:t>
            </w:r>
          </w:p>
        </w:tc>
      </w:tr>
      <w:tr w:rsidR="001A35E5" w:rsidRPr="001A35E5" w14:paraId="171EC098" w14:textId="77777777" w:rsidTr="001A35E5">
        <w:trPr>
          <w:trHeight w:val="290"/>
        </w:trPr>
        <w:tc>
          <w:tcPr>
            <w:tcW w:w="6941"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5B04A4A" w14:textId="77777777" w:rsidR="001A35E5" w:rsidRPr="001A35E5" w:rsidRDefault="001A35E5" w:rsidP="001A35E5">
            <w:pPr>
              <w:jc w:val="left"/>
              <w:rPr>
                <w:rFonts w:cs="Arial"/>
                <w:spacing w:val="0"/>
                <w:lang w:eastAsia="es-CO"/>
              </w:rPr>
            </w:pPr>
            <w:r w:rsidRPr="001A35E5">
              <w:rPr>
                <w:rFonts w:cs="Arial"/>
                <w:spacing w:val="0"/>
                <w:lang w:eastAsia="es-CO"/>
              </w:rPr>
              <w:t xml:space="preserve"> (+) Seguros </w:t>
            </w:r>
          </w:p>
        </w:tc>
      </w:tr>
      <w:tr w:rsidR="001A35E5" w:rsidRPr="001A35E5" w14:paraId="55117B96" w14:textId="77777777" w:rsidTr="001A35E5">
        <w:trPr>
          <w:trHeight w:val="290"/>
        </w:trPr>
        <w:tc>
          <w:tcPr>
            <w:tcW w:w="6941"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1CF342E" w14:textId="30D10A0C" w:rsidR="001A35E5" w:rsidRPr="001A35E5" w:rsidRDefault="001A35E5" w:rsidP="001A35E5">
            <w:pPr>
              <w:jc w:val="left"/>
              <w:rPr>
                <w:rFonts w:cs="Arial"/>
                <w:spacing w:val="0"/>
                <w:lang w:eastAsia="es-CO"/>
              </w:rPr>
            </w:pPr>
            <w:r w:rsidRPr="001A35E5">
              <w:rPr>
                <w:rFonts w:cs="Arial"/>
                <w:spacing w:val="0"/>
                <w:lang w:eastAsia="es-CO"/>
              </w:rPr>
              <w:t xml:space="preserve"> (+) Servicios </w:t>
            </w:r>
            <w:r>
              <w:rPr>
                <w:rFonts w:cs="Arial"/>
                <w:spacing w:val="0"/>
                <w:lang w:eastAsia="es-CO"/>
              </w:rPr>
              <w:t>p</w:t>
            </w:r>
            <w:r w:rsidRPr="001A35E5">
              <w:rPr>
                <w:rFonts w:cs="Arial"/>
                <w:spacing w:val="0"/>
                <w:lang w:eastAsia="es-CO"/>
              </w:rPr>
              <w:t xml:space="preserve">úblicos </w:t>
            </w:r>
          </w:p>
        </w:tc>
      </w:tr>
    </w:tbl>
    <w:p w14:paraId="42FD4644" w14:textId="77777777" w:rsidR="001A35E5" w:rsidRPr="0078267D" w:rsidRDefault="001A35E5" w:rsidP="00280F88">
      <w:pPr>
        <w:rPr>
          <w:rFonts w:cs="Arial"/>
          <w:bCs/>
          <w:sz w:val="16"/>
          <w:szCs w:val="16"/>
        </w:rPr>
      </w:pPr>
    </w:p>
    <w:p w14:paraId="5B00BAFD" w14:textId="77777777" w:rsidR="00280F88" w:rsidRPr="007226D7" w:rsidRDefault="00280F88" w:rsidP="00280F88">
      <w:pPr>
        <w:pStyle w:val="Subttulo"/>
        <w:numPr>
          <w:ilvl w:val="1"/>
          <w:numId w:val="37"/>
        </w:numPr>
        <w:spacing w:after="0"/>
        <w:ind w:left="357" w:hanging="357"/>
        <w:jc w:val="left"/>
        <w:rPr>
          <w:b/>
          <w:bCs/>
          <w:sz w:val="22"/>
          <w:szCs w:val="22"/>
        </w:rPr>
      </w:pPr>
      <w:bookmarkStart w:id="13" w:name="_Toc54170174"/>
      <w:bookmarkStart w:id="14" w:name="_Toc88126831"/>
      <w:r w:rsidRPr="007226D7">
        <w:rPr>
          <w:b/>
          <w:bCs/>
          <w:sz w:val="22"/>
          <w:szCs w:val="22"/>
        </w:rPr>
        <w:t>TARIFA</w:t>
      </w:r>
      <w:bookmarkEnd w:id="13"/>
      <w:bookmarkEnd w:id="14"/>
    </w:p>
    <w:p w14:paraId="4612742C" w14:textId="77777777" w:rsidR="00280F88" w:rsidRDefault="00280F88" w:rsidP="00280F88">
      <w:pPr>
        <w:rPr>
          <w:rFonts w:cs="Arial"/>
          <w:sz w:val="22"/>
          <w:szCs w:val="22"/>
        </w:rPr>
      </w:pPr>
    </w:p>
    <w:p w14:paraId="4CFF83EA" w14:textId="4FAC2B37" w:rsidR="00280F88" w:rsidRDefault="005F42FE" w:rsidP="00280F88">
      <w:pPr>
        <w:rPr>
          <w:rFonts w:cs="Arial"/>
          <w:sz w:val="22"/>
          <w:szCs w:val="22"/>
        </w:rPr>
      </w:pPr>
      <w:bookmarkStart w:id="15" w:name="_Hlk51790659"/>
      <w:r>
        <w:rPr>
          <w:rFonts w:cs="Arial"/>
          <w:sz w:val="22"/>
          <w:szCs w:val="22"/>
        </w:rPr>
        <w:t>Para todos los años, l</w:t>
      </w:r>
      <w:r w:rsidR="00280F88">
        <w:rPr>
          <w:rFonts w:cs="Arial"/>
          <w:sz w:val="22"/>
          <w:szCs w:val="22"/>
        </w:rPr>
        <w:t xml:space="preserve">a </w:t>
      </w:r>
      <w:r w:rsidR="00280F88" w:rsidRPr="00163749">
        <w:rPr>
          <w:rFonts w:cs="Arial"/>
          <w:sz w:val="22"/>
          <w:szCs w:val="22"/>
        </w:rPr>
        <w:t xml:space="preserve">tarifa </w:t>
      </w:r>
      <w:r w:rsidR="00280F88">
        <w:rPr>
          <w:rFonts w:cs="Arial"/>
          <w:sz w:val="22"/>
          <w:szCs w:val="22"/>
        </w:rPr>
        <w:t xml:space="preserve">es un factor general con el cual se determina el valor a pagar por cada regulado contribuyente de la contribución especial en una vigencia específica. </w:t>
      </w:r>
    </w:p>
    <w:p w14:paraId="0174903D" w14:textId="77777777" w:rsidR="00280F88" w:rsidRDefault="00280F88" w:rsidP="00280F88">
      <w:pPr>
        <w:rPr>
          <w:rFonts w:cs="Arial"/>
          <w:sz w:val="22"/>
          <w:szCs w:val="22"/>
        </w:rPr>
      </w:pPr>
    </w:p>
    <w:p w14:paraId="6FCE1AAC" w14:textId="77777777" w:rsidR="00280F88" w:rsidRDefault="00280F88" w:rsidP="00280F88">
      <w:pPr>
        <w:rPr>
          <w:rFonts w:cs="Arial"/>
          <w:sz w:val="22"/>
          <w:szCs w:val="22"/>
        </w:rPr>
      </w:pPr>
      <w:r>
        <w:rPr>
          <w:rFonts w:cs="Arial"/>
          <w:sz w:val="22"/>
          <w:szCs w:val="22"/>
        </w:rPr>
        <w:t xml:space="preserve">Esta tarifa </w:t>
      </w:r>
      <w:r w:rsidRPr="00163749">
        <w:rPr>
          <w:rFonts w:cs="Arial"/>
          <w:sz w:val="22"/>
          <w:szCs w:val="22"/>
        </w:rPr>
        <w:t xml:space="preserve">será </w:t>
      </w:r>
      <w:r>
        <w:rPr>
          <w:rFonts w:cs="Arial"/>
          <w:sz w:val="22"/>
          <w:szCs w:val="22"/>
        </w:rPr>
        <w:t>hallada</w:t>
      </w:r>
      <w:r w:rsidRPr="00163749">
        <w:rPr>
          <w:rFonts w:cs="Arial"/>
          <w:sz w:val="22"/>
          <w:szCs w:val="22"/>
        </w:rPr>
        <w:t xml:space="preserve"> </w:t>
      </w:r>
      <w:r>
        <w:rPr>
          <w:rFonts w:cs="Arial"/>
          <w:sz w:val="22"/>
          <w:szCs w:val="22"/>
        </w:rPr>
        <w:t xml:space="preserve">tomando el presupuesto vigente de la CREG el cual será dividido sobre la sumatoria de las bases gravables de los sujetos pasivos. </w:t>
      </w:r>
    </w:p>
    <w:p w14:paraId="50E22043" w14:textId="77777777" w:rsidR="00280F88" w:rsidRDefault="00280F88" w:rsidP="00280F88">
      <w:pPr>
        <w:rPr>
          <w:rFonts w:cs="Arial"/>
          <w:sz w:val="22"/>
          <w:szCs w:val="22"/>
        </w:rPr>
      </w:pPr>
    </w:p>
    <w:p w14:paraId="0DFC7F63" w14:textId="070EB020" w:rsidR="00280F88" w:rsidRDefault="00280F88" w:rsidP="00280F88">
      <w:pPr>
        <w:rPr>
          <w:rFonts w:cs="Arial"/>
          <w:sz w:val="22"/>
          <w:szCs w:val="22"/>
        </w:rPr>
      </w:pPr>
      <w:r>
        <w:rPr>
          <w:rFonts w:cs="Arial"/>
          <w:sz w:val="22"/>
          <w:szCs w:val="22"/>
        </w:rPr>
        <w:t xml:space="preserve">La tarifa no podrá </w:t>
      </w:r>
      <w:r w:rsidRPr="00163749">
        <w:rPr>
          <w:rFonts w:cs="Arial"/>
          <w:sz w:val="22"/>
          <w:szCs w:val="22"/>
        </w:rPr>
        <w:t>ser superior al uno por ciento (1%) de las respectivas bases gravables</w:t>
      </w:r>
      <w:r w:rsidR="00B31A74">
        <w:rPr>
          <w:rFonts w:cs="Arial"/>
          <w:sz w:val="22"/>
          <w:szCs w:val="22"/>
        </w:rPr>
        <w:t>, salvo en los casos en los cuales sea aplicable el parágrafo 2 del artículo 85 de la Ley 142 de 1994.</w:t>
      </w:r>
    </w:p>
    <w:p w14:paraId="2AAFB2A9" w14:textId="77777777" w:rsidR="00280F88" w:rsidRDefault="00280F88" w:rsidP="00280F88">
      <w:pPr>
        <w:rPr>
          <w:rFonts w:cs="Arial"/>
          <w:sz w:val="22"/>
          <w:szCs w:val="22"/>
        </w:rPr>
      </w:pPr>
    </w:p>
    <w:p w14:paraId="3165D1FD" w14:textId="77777777" w:rsidR="00280F88" w:rsidRDefault="00280F88" w:rsidP="00280F88">
      <w:pPr>
        <w:pStyle w:val="Textoindependiente"/>
        <w:spacing w:after="0" w:line="240" w:lineRule="auto"/>
        <w:rPr>
          <w:rFonts w:cs="Arial"/>
          <w:sz w:val="22"/>
          <w:szCs w:val="22"/>
        </w:rPr>
      </w:pPr>
      <w:r w:rsidRPr="00B60E08">
        <w:rPr>
          <w:rFonts w:cs="Arial"/>
          <w:sz w:val="22"/>
          <w:szCs w:val="22"/>
        </w:rPr>
        <w:t xml:space="preserve">La </w:t>
      </w:r>
      <w:r>
        <w:rPr>
          <w:rFonts w:cs="Arial"/>
          <w:sz w:val="22"/>
          <w:szCs w:val="22"/>
        </w:rPr>
        <w:t xml:space="preserve">tarifa </w:t>
      </w:r>
      <w:r w:rsidRPr="00B60E08">
        <w:rPr>
          <w:rFonts w:cs="Arial"/>
          <w:sz w:val="22"/>
          <w:szCs w:val="22"/>
        </w:rPr>
        <w:t xml:space="preserve">descrita se calculará </w:t>
      </w:r>
      <w:r>
        <w:rPr>
          <w:rFonts w:cs="Arial"/>
          <w:sz w:val="22"/>
          <w:szCs w:val="22"/>
        </w:rPr>
        <w:t>de la siguiente manera</w:t>
      </w:r>
      <w:r w:rsidRPr="00B60E08">
        <w:rPr>
          <w:rFonts w:cs="Arial"/>
          <w:sz w:val="22"/>
          <w:szCs w:val="22"/>
        </w:rPr>
        <w:t>:</w:t>
      </w:r>
    </w:p>
    <w:p w14:paraId="2A35B386" w14:textId="24574536" w:rsidR="00280F88" w:rsidRDefault="00280F88" w:rsidP="003B72DD">
      <w:pPr>
        <w:pStyle w:val="Textoindependiente"/>
        <w:spacing w:after="0" w:line="240" w:lineRule="auto"/>
        <w:jc w:val="center"/>
        <w:rPr>
          <w:rFonts w:cs="Arial"/>
          <w:sz w:val="22"/>
          <w:szCs w:val="22"/>
        </w:rPr>
      </w:pPr>
    </w:p>
    <w:p w14:paraId="3825424B" w14:textId="7936B2B6" w:rsidR="00280F88" w:rsidRPr="00323A3F" w:rsidRDefault="0078267D" w:rsidP="003B72DD">
      <w:pPr>
        <w:pStyle w:val="Textoindependiente"/>
        <w:spacing w:after="0" w:line="240" w:lineRule="auto"/>
        <w:jc w:val="center"/>
        <w:rPr>
          <w:rFonts w:cs="Arial"/>
          <w:sz w:val="22"/>
          <w:szCs w:val="22"/>
        </w:rPr>
      </w:pPr>
      <w:r>
        <w:rPr>
          <w:rFonts w:cs="Arial"/>
          <w:sz w:val="28"/>
          <w:szCs w:val="28"/>
        </w:rPr>
        <w:t xml:space="preserve">                                   </w:t>
      </w:r>
      <m:oMath>
        <m:r>
          <w:rPr>
            <w:rFonts w:ascii="Cambria Math" w:hAnsi="Cambria Math" w:cs="Arial"/>
            <w:sz w:val="28"/>
            <w:szCs w:val="28"/>
          </w:rPr>
          <m:t xml:space="preserve">Tce= </m:t>
        </m:r>
        <m:f>
          <m:fPr>
            <m:ctrlPr>
              <w:rPr>
                <w:rFonts w:ascii="Cambria Math" w:hAnsi="Cambria Math" w:cs="Arial"/>
                <w:i/>
                <w:sz w:val="28"/>
                <w:szCs w:val="28"/>
              </w:rPr>
            </m:ctrlPr>
          </m:fPr>
          <m:num>
            <m:r>
              <w:rPr>
                <w:rFonts w:ascii="Cambria Math" w:hAnsi="Cambria Math" w:cs="Arial"/>
                <w:sz w:val="28"/>
                <w:szCs w:val="28"/>
              </w:rPr>
              <m:t xml:space="preserve">Pv </m:t>
            </m:r>
          </m:num>
          <m:den>
            <m:nary>
              <m:naryPr>
                <m:chr m:val="∑"/>
                <m:subHide m:val="1"/>
                <m:supHide m:val="1"/>
                <m:ctrlPr>
                  <w:rPr>
                    <w:rFonts w:ascii="Cambria Math" w:hAnsi="Cambria Math" w:cs="Arial"/>
                    <w:i/>
                    <w:sz w:val="28"/>
                    <w:szCs w:val="28"/>
                  </w:rPr>
                </m:ctrlPr>
              </m:naryPr>
              <m:sub/>
              <m:sup/>
              <m:e>
                <m:r>
                  <w:rPr>
                    <w:rFonts w:ascii="Cambria Math" w:hAnsi="Cambria Math" w:cs="Arial"/>
                    <w:sz w:val="28"/>
                    <w:szCs w:val="28"/>
                  </w:rPr>
                  <m:t>bg</m:t>
                </m:r>
              </m:e>
            </m:nary>
          </m:den>
        </m:f>
      </m:oMath>
      <w:r w:rsidR="00280F88">
        <w:rPr>
          <w:rFonts w:cs="Arial"/>
          <w:sz w:val="28"/>
          <w:szCs w:val="28"/>
        </w:rPr>
        <w:t xml:space="preserve">          </w:t>
      </w:r>
      <w:r w:rsidR="00280F88">
        <w:rPr>
          <w:rFonts w:cs="Arial"/>
          <w:sz w:val="24"/>
          <w:szCs w:val="24"/>
        </w:rPr>
        <w:t xml:space="preserve">       </w:t>
      </w:r>
      <w:r w:rsidR="00280F88" w:rsidRPr="00323A3F">
        <w:rPr>
          <w:rFonts w:cs="Arial"/>
          <w:sz w:val="24"/>
          <w:szCs w:val="24"/>
        </w:rPr>
        <w:t xml:space="preserve"> </w:t>
      </w:r>
      <w:r>
        <w:rPr>
          <w:rFonts w:cs="Arial"/>
          <w:sz w:val="24"/>
          <w:szCs w:val="24"/>
        </w:rPr>
        <w:tab/>
      </w:r>
      <w:r>
        <w:rPr>
          <w:rFonts w:cs="Arial"/>
          <w:sz w:val="24"/>
          <w:szCs w:val="24"/>
        </w:rPr>
        <w:tab/>
      </w:r>
      <w:r>
        <w:rPr>
          <w:rFonts w:cs="Arial"/>
          <w:sz w:val="24"/>
          <w:szCs w:val="24"/>
        </w:rPr>
        <w:tab/>
      </w:r>
      <w:r>
        <w:rPr>
          <w:rFonts w:cs="Arial"/>
          <w:sz w:val="24"/>
          <w:szCs w:val="24"/>
        </w:rPr>
        <w:tab/>
      </w:r>
      <w:r w:rsidR="00280F88" w:rsidRPr="00323A3F">
        <w:rPr>
          <w:rFonts w:cs="Arial"/>
          <w:sz w:val="22"/>
          <w:szCs w:val="22"/>
        </w:rPr>
        <w:t>(</w:t>
      </w:r>
      <w:r>
        <w:rPr>
          <w:rFonts w:cs="Arial"/>
          <w:sz w:val="22"/>
          <w:szCs w:val="22"/>
        </w:rPr>
        <w:t>2</w:t>
      </w:r>
      <w:r w:rsidR="00280F88" w:rsidRPr="00323A3F">
        <w:rPr>
          <w:rFonts w:cs="Arial"/>
          <w:sz w:val="22"/>
          <w:szCs w:val="22"/>
        </w:rPr>
        <w:t>)</w:t>
      </w:r>
    </w:p>
    <w:p w14:paraId="086D10B7" w14:textId="71CFA1B3" w:rsidR="00280F88" w:rsidRDefault="00280F88" w:rsidP="00280F88">
      <w:pPr>
        <w:pStyle w:val="Textoindependiente"/>
        <w:spacing w:after="0" w:line="240" w:lineRule="auto"/>
        <w:rPr>
          <w:rFonts w:cs="Arial"/>
          <w:sz w:val="22"/>
          <w:szCs w:val="22"/>
        </w:rPr>
      </w:pPr>
    </w:p>
    <w:p w14:paraId="4181C016" w14:textId="77777777" w:rsidR="005C7A0A" w:rsidRPr="0099440C" w:rsidRDefault="005C7A0A" w:rsidP="005C7A0A">
      <w:pPr>
        <w:pStyle w:val="Textoindependiente"/>
        <w:spacing w:after="0" w:line="240" w:lineRule="auto"/>
        <w:rPr>
          <w:rFonts w:cs="Arial"/>
          <w:i/>
          <w:iCs/>
          <w:sz w:val="22"/>
          <w:szCs w:val="22"/>
        </w:rPr>
      </w:pPr>
      <w:r>
        <w:rPr>
          <w:rFonts w:cs="Arial"/>
          <w:i/>
          <w:iCs/>
          <w:sz w:val="22"/>
          <w:szCs w:val="22"/>
        </w:rPr>
        <w:t>Donde:</w:t>
      </w:r>
    </w:p>
    <w:p w14:paraId="29B2DEF1" w14:textId="77777777" w:rsidR="005C7A0A" w:rsidRPr="0099440C" w:rsidRDefault="005C7A0A" w:rsidP="005C7A0A">
      <w:pPr>
        <w:pStyle w:val="Textoindependiente"/>
        <w:spacing w:after="0" w:line="240" w:lineRule="auto"/>
        <w:rPr>
          <w:rFonts w:cs="Arial"/>
          <w:sz w:val="10"/>
          <w:szCs w:val="10"/>
        </w:rPr>
      </w:pPr>
    </w:p>
    <w:p w14:paraId="4E1F79F3" w14:textId="77777777" w:rsidR="005C7A0A" w:rsidRPr="0099440C" w:rsidRDefault="005C7A0A" w:rsidP="005C7A0A">
      <w:pPr>
        <w:pStyle w:val="Textoindependiente"/>
        <w:spacing w:after="0" w:line="240" w:lineRule="auto"/>
        <w:rPr>
          <w:rFonts w:cs="Arial"/>
          <w:i/>
          <w:iCs/>
          <w:sz w:val="22"/>
          <w:szCs w:val="22"/>
        </w:rPr>
      </w:pPr>
      <w:r w:rsidRPr="0099440C">
        <w:rPr>
          <w:rFonts w:cs="Arial"/>
          <w:i/>
          <w:iCs/>
          <w:sz w:val="22"/>
          <w:szCs w:val="22"/>
        </w:rPr>
        <w:t>Tce: tarifa de la contribución especial.</w:t>
      </w:r>
    </w:p>
    <w:p w14:paraId="2896342C" w14:textId="77777777" w:rsidR="005C7A0A" w:rsidRPr="0099440C" w:rsidRDefault="005C7A0A" w:rsidP="005C7A0A">
      <w:pPr>
        <w:pStyle w:val="Textoindependiente"/>
        <w:spacing w:after="0" w:line="240" w:lineRule="auto"/>
        <w:rPr>
          <w:rFonts w:cs="Arial"/>
          <w:i/>
          <w:iCs/>
          <w:sz w:val="22"/>
          <w:szCs w:val="22"/>
        </w:rPr>
      </w:pPr>
      <w:r w:rsidRPr="0099440C">
        <w:rPr>
          <w:rFonts w:cs="Arial"/>
          <w:i/>
          <w:iCs/>
          <w:sz w:val="22"/>
          <w:szCs w:val="22"/>
        </w:rPr>
        <w:t>Pv: presupuesto vigente.</w:t>
      </w:r>
    </w:p>
    <w:p w14:paraId="255C4E1C" w14:textId="77777777" w:rsidR="005C7A0A" w:rsidRPr="0099440C" w:rsidRDefault="00FF1E0C" w:rsidP="005C7A0A">
      <w:pPr>
        <w:pStyle w:val="Textoindependiente"/>
        <w:spacing w:after="0" w:line="240" w:lineRule="auto"/>
        <w:rPr>
          <w:rFonts w:cs="Arial"/>
          <w:i/>
          <w:iCs/>
          <w:sz w:val="22"/>
          <w:szCs w:val="22"/>
        </w:rPr>
      </w:pPr>
      <m:oMath>
        <m:nary>
          <m:naryPr>
            <m:chr m:val="∑"/>
            <m:subHide m:val="1"/>
            <m:supHide m:val="1"/>
            <m:ctrlPr>
              <w:rPr>
                <w:rFonts w:ascii="Cambria Math" w:hAnsi="Cambria Math" w:cs="Arial"/>
                <w:i/>
                <w:iCs/>
                <w:sz w:val="22"/>
                <w:szCs w:val="22"/>
              </w:rPr>
            </m:ctrlPr>
          </m:naryPr>
          <m:sub/>
          <m:sup/>
          <m:e>
            <m:r>
              <w:rPr>
                <w:rFonts w:ascii="Cambria Math" w:hAnsi="Cambria Math" w:cs="Arial"/>
                <w:sz w:val="22"/>
                <w:szCs w:val="22"/>
              </w:rPr>
              <m:t>bg</m:t>
            </m:r>
          </m:e>
        </m:nary>
        <m:r>
          <w:rPr>
            <w:rFonts w:ascii="Cambria Math" w:hAnsi="Cambria Math" w:cs="Arial"/>
            <w:sz w:val="22"/>
            <w:szCs w:val="22"/>
          </w:rPr>
          <m:t xml:space="preserve">: </m:t>
        </m:r>
      </m:oMath>
      <w:r w:rsidR="005C7A0A" w:rsidRPr="0099440C">
        <w:rPr>
          <w:rFonts w:cs="Arial"/>
          <w:i/>
          <w:iCs/>
          <w:sz w:val="22"/>
          <w:szCs w:val="22"/>
        </w:rPr>
        <w:t xml:space="preserve">Sumatoria de las bases gravables de los sujetos pasivos. </w:t>
      </w:r>
    </w:p>
    <w:p w14:paraId="5B26EB4F" w14:textId="77777777" w:rsidR="00280F88" w:rsidRDefault="00280F88" w:rsidP="00280F88">
      <w:pPr>
        <w:pStyle w:val="Ttulo10"/>
        <w:numPr>
          <w:ilvl w:val="0"/>
          <w:numId w:val="37"/>
        </w:numPr>
        <w:spacing w:before="0" w:after="0"/>
        <w:rPr>
          <w:sz w:val="22"/>
          <w:szCs w:val="22"/>
        </w:rPr>
      </w:pPr>
      <w:bookmarkStart w:id="16" w:name="_Toc54170175"/>
      <w:bookmarkStart w:id="17" w:name="_Toc88126832"/>
      <w:bookmarkEnd w:id="15"/>
      <w:r>
        <w:rPr>
          <w:sz w:val="22"/>
          <w:szCs w:val="22"/>
        </w:rPr>
        <w:lastRenderedPageBreak/>
        <w:t>PRESUPUESTO Y COSTOS ASOCIADOS DE LA ACTIVIDAD REGULATORIA</w:t>
      </w:r>
      <w:bookmarkEnd w:id="16"/>
      <w:bookmarkEnd w:id="17"/>
      <w:r>
        <w:rPr>
          <w:sz w:val="22"/>
          <w:szCs w:val="22"/>
        </w:rPr>
        <w:t xml:space="preserve"> </w:t>
      </w:r>
    </w:p>
    <w:p w14:paraId="5A62222A" w14:textId="06470F6F" w:rsidR="00641B75" w:rsidRDefault="00641B75" w:rsidP="00280F88">
      <w:pPr>
        <w:pStyle w:val="Ttulo10"/>
        <w:spacing w:before="0" w:after="0"/>
        <w:ind w:left="720"/>
        <w:jc w:val="both"/>
        <w:rPr>
          <w:sz w:val="22"/>
          <w:szCs w:val="22"/>
        </w:rPr>
      </w:pPr>
    </w:p>
    <w:p w14:paraId="424C3004" w14:textId="6F23AE49" w:rsidR="00280F88" w:rsidRDefault="00280F88" w:rsidP="00280F88">
      <w:pPr>
        <w:pStyle w:val="Subttulo"/>
        <w:numPr>
          <w:ilvl w:val="1"/>
          <w:numId w:val="37"/>
        </w:numPr>
        <w:spacing w:after="0"/>
        <w:ind w:left="357" w:hanging="357"/>
        <w:jc w:val="left"/>
        <w:rPr>
          <w:b/>
          <w:bCs/>
          <w:sz w:val="22"/>
          <w:szCs w:val="22"/>
        </w:rPr>
      </w:pPr>
      <w:bookmarkStart w:id="18" w:name="_Toc54170176"/>
      <w:bookmarkStart w:id="19" w:name="_Toc88126833"/>
      <w:r>
        <w:rPr>
          <w:b/>
          <w:bCs/>
          <w:sz w:val="22"/>
          <w:szCs w:val="22"/>
        </w:rPr>
        <w:t>PRESUPUESTO DE LA CREG PARA LA VIGENCIA 202</w:t>
      </w:r>
      <w:bookmarkEnd w:id="18"/>
      <w:r w:rsidR="00641B75">
        <w:rPr>
          <w:b/>
          <w:bCs/>
          <w:sz w:val="22"/>
          <w:szCs w:val="22"/>
        </w:rPr>
        <w:t>1</w:t>
      </w:r>
      <w:bookmarkEnd w:id="19"/>
    </w:p>
    <w:p w14:paraId="7FDAE6E3" w14:textId="77777777" w:rsidR="00280F88" w:rsidRPr="001835AA" w:rsidRDefault="00280F88" w:rsidP="00280F88"/>
    <w:p w14:paraId="2F45E9AE" w14:textId="2E12A212" w:rsidR="00280F88" w:rsidRDefault="00280F88" w:rsidP="00280F88">
      <w:pPr>
        <w:rPr>
          <w:sz w:val="22"/>
          <w:szCs w:val="22"/>
        </w:rPr>
      </w:pPr>
      <w:r w:rsidRPr="00F7256E">
        <w:rPr>
          <w:sz w:val="22"/>
          <w:szCs w:val="22"/>
        </w:rPr>
        <w:t>A través de la liquidación, cobro y recaudo de la contribución especial se financia el presupuesto de gastos de funcionamiento e inversión de la CREG, con el fin de recuperar los costos del servicio de la actividad regulatoria</w:t>
      </w:r>
      <w:r w:rsidR="00897A2C">
        <w:rPr>
          <w:sz w:val="22"/>
          <w:szCs w:val="22"/>
        </w:rPr>
        <w:t xml:space="preserve"> de los servicios de energía y gas combustible</w:t>
      </w:r>
      <w:r w:rsidR="005C7A0A">
        <w:rPr>
          <w:sz w:val="22"/>
          <w:szCs w:val="22"/>
        </w:rPr>
        <w:t>, en la proporción correspondiente a los recursos sin situación de fondos (SSF)</w:t>
      </w:r>
      <w:r w:rsidR="008A1DBF">
        <w:rPr>
          <w:sz w:val="22"/>
          <w:szCs w:val="22"/>
        </w:rPr>
        <w:t xml:space="preserve"> aprobados para la vigencia 2021</w:t>
      </w:r>
      <w:r w:rsidR="00897A2C">
        <w:rPr>
          <w:sz w:val="22"/>
          <w:szCs w:val="22"/>
        </w:rPr>
        <w:t>.</w:t>
      </w:r>
      <w:r w:rsidR="008A1DBF">
        <w:rPr>
          <w:sz w:val="22"/>
          <w:szCs w:val="22"/>
        </w:rPr>
        <w:t xml:space="preserve"> Es decir, del presupuesto total de la CREG para 2021, la Comisión descontará del presupuesto objetivo de recaudo a través de la contribución especial, los recursos nación (10) con situación de fondos (CSF) asignados por el Tesoro Nacional</w:t>
      </w:r>
      <w:r w:rsidR="00D51347">
        <w:rPr>
          <w:sz w:val="22"/>
          <w:szCs w:val="22"/>
        </w:rPr>
        <w:t xml:space="preserve"> y la </w:t>
      </w:r>
      <w:r w:rsidR="005D1565">
        <w:rPr>
          <w:sz w:val="22"/>
          <w:szCs w:val="22"/>
        </w:rPr>
        <w:t>transferencia para el Fondo Empresarial administrado por la SSPD.</w:t>
      </w:r>
    </w:p>
    <w:p w14:paraId="0498BAA1" w14:textId="723C63F0" w:rsidR="005D1565" w:rsidRDefault="005D1565" w:rsidP="00280F88">
      <w:pPr>
        <w:rPr>
          <w:sz w:val="22"/>
          <w:szCs w:val="22"/>
        </w:rPr>
      </w:pPr>
    </w:p>
    <w:p w14:paraId="11D2E9E6" w14:textId="164AEE61" w:rsidR="005D1565" w:rsidRDefault="005D1565" w:rsidP="00280F88">
      <w:pPr>
        <w:rPr>
          <w:sz w:val="22"/>
          <w:szCs w:val="22"/>
        </w:rPr>
      </w:pPr>
      <w:r>
        <w:rPr>
          <w:sz w:val="22"/>
          <w:szCs w:val="22"/>
        </w:rPr>
        <w:t xml:space="preserve">Como resultado de la depuración, el valor a recuperar mediante la liquidación y cobro de la contribución especial a favor de la CREG para el 2021 </w:t>
      </w:r>
      <w:r w:rsidR="00D51347">
        <w:rPr>
          <w:sz w:val="22"/>
          <w:szCs w:val="22"/>
        </w:rPr>
        <w:t>es de</w:t>
      </w:r>
      <w:r>
        <w:rPr>
          <w:sz w:val="22"/>
          <w:szCs w:val="22"/>
        </w:rPr>
        <w:t xml:space="preserve"> </w:t>
      </w:r>
      <w:r w:rsidR="00D51347">
        <w:rPr>
          <w:sz w:val="22"/>
          <w:szCs w:val="22"/>
        </w:rPr>
        <w:t>TREINTA Y DOS MIL QUINIENTOS CINCO MILLONES SETECIENTOS CUARENTA Y DOS MIL NOVECIENTOS TREINTA Y DOS PESOS M/CTE (</w:t>
      </w:r>
      <w:r>
        <w:rPr>
          <w:sz w:val="22"/>
          <w:szCs w:val="22"/>
        </w:rPr>
        <w:t>$32</w:t>
      </w:r>
      <w:r w:rsidR="00D51347">
        <w:rPr>
          <w:sz w:val="22"/>
          <w:szCs w:val="22"/>
        </w:rPr>
        <w:t>.</w:t>
      </w:r>
      <w:r>
        <w:rPr>
          <w:sz w:val="22"/>
          <w:szCs w:val="22"/>
        </w:rPr>
        <w:t>505</w:t>
      </w:r>
      <w:r w:rsidR="00D51347">
        <w:rPr>
          <w:sz w:val="22"/>
          <w:szCs w:val="22"/>
        </w:rPr>
        <w:t>.</w:t>
      </w:r>
      <w:r>
        <w:rPr>
          <w:sz w:val="22"/>
          <w:szCs w:val="22"/>
        </w:rPr>
        <w:t>742</w:t>
      </w:r>
      <w:r w:rsidR="00D51347">
        <w:rPr>
          <w:sz w:val="22"/>
          <w:szCs w:val="22"/>
        </w:rPr>
        <w:t>.</w:t>
      </w:r>
      <w:r>
        <w:rPr>
          <w:sz w:val="22"/>
          <w:szCs w:val="22"/>
        </w:rPr>
        <w:t>932</w:t>
      </w:r>
      <w:r w:rsidR="00D51347">
        <w:rPr>
          <w:sz w:val="22"/>
          <w:szCs w:val="22"/>
        </w:rPr>
        <w:t>)</w:t>
      </w:r>
      <w:r>
        <w:rPr>
          <w:sz w:val="22"/>
          <w:szCs w:val="22"/>
        </w:rPr>
        <w:t>.</w:t>
      </w:r>
    </w:p>
    <w:p w14:paraId="147C34E8" w14:textId="068A53C2" w:rsidR="00F7256E" w:rsidRDefault="00F7256E" w:rsidP="00280F88">
      <w:pPr>
        <w:rPr>
          <w:sz w:val="22"/>
          <w:szCs w:val="22"/>
        </w:rPr>
      </w:pPr>
    </w:p>
    <w:p w14:paraId="0B7A71F7" w14:textId="6A812665" w:rsidR="005D1565" w:rsidRDefault="005D1565" w:rsidP="00280F88">
      <w:pPr>
        <w:rPr>
          <w:sz w:val="22"/>
          <w:szCs w:val="22"/>
        </w:rPr>
      </w:pPr>
      <w:r w:rsidRPr="00F7256E">
        <w:rPr>
          <w:sz w:val="22"/>
          <w:szCs w:val="22"/>
        </w:rPr>
        <w:t>A continuación, se presenta detallad</w:t>
      </w:r>
      <w:r>
        <w:rPr>
          <w:sz w:val="22"/>
          <w:szCs w:val="22"/>
        </w:rPr>
        <w:t>a la depuración</w:t>
      </w:r>
      <w:r w:rsidRPr="00F7256E">
        <w:rPr>
          <w:sz w:val="22"/>
          <w:szCs w:val="22"/>
        </w:rPr>
        <w:t xml:space="preserve"> a nivel de anexo de decreto</w:t>
      </w:r>
      <w:r>
        <w:rPr>
          <w:sz w:val="22"/>
          <w:szCs w:val="22"/>
        </w:rPr>
        <w:t>:</w:t>
      </w:r>
    </w:p>
    <w:p w14:paraId="07FF5F93" w14:textId="77777777" w:rsidR="005D1565" w:rsidRDefault="005D1565" w:rsidP="00280F88">
      <w:pPr>
        <w:rPr>
          <w:sz w:val="22"/>
          <w:szCs w:val="22"/>
        </w:rPr>
      </w:pPr>
    </w:p>
    <w:tbl>
      <w:tblPr>
        <w:tblW w:w="8765" w:type="dxa"/>
        <w:jc w:val="right"/>
        <w:tblCellMar>
          <w:left w:w="70" w:type="dxa"/>
          <w:right w:w="70" w:type="dxa"/>
        </w:tblCellMar>
        <w:tblLook w:val="04A0" w:firstRow="1" w:lastRow="0" w:firstColumn="1" w:lastColumn="0" w:noHBand="0" w:noVBand="1"/>
      </w:tblPr>
      <w:tblGrid>
        <w:gridCol w:w="1060"/>
        <w:gridCol w:w="1001"/>
        <w:gridCol w:w="5286"/>
        <w:gridCol w:w="1398"/>
        <w:gridCol w:w="20"/>
      </w:tblGrid>
      <w:tr w:rsidR="00801382" w:rsidRPr="00CF18E2" w14:paraId="6230ABAC" w14:textId="77777777" w:rsidTr="00CF18E2">
        <w:trPr>
          <w:gridAfter w:val="1"/>
          <w:wAfter w:w="20" w:type="dxa"/>
          <w:trHeight w:val="300"/>
          <w:tblHeader/>
          <w:jc w:val="right"/>
        </w:trPr>
        <w:tc>
          <w:tcPr>
            <w:tcW w:w="1060" w:type="dxa"/>
            <w:tcBorders>
              <w:top w:val="nil"/>
              <w:left w:val="single" w:sz="8" w:space="0" w:color="0070C0"/>
              <w:bottom w:val="single" w:sz="8" w:space="0" w:color="0070C0"/>
              <w:right w:val="single" w:sz="8" w:space="0" w:color="0070C0"/>
            </w:tcBorders>
            <w:shd w:val="clear" w:color="000000" w:fill="002060"/>
            <w:noWrap/>
            <w:vAlign w:val="center"/>
            <w:hideMark/>
          </w:tcPr>
          <w:p w14:paraId="38C58FE5" w14:textId="77777777" w:rsidR="00801382" w:rsidRPr="00CF18E2" w:rsidRDefault="00801382" w:rsidP="00F85A54">
            <w:pPr>
              <w:jc w:val="center"/>
              <w:rPr>
                <w:rFonts w:ascii="Arial Narrow" w:hAnsi="Arial Narrow" w:cs="Calibri"/>
                <w:b/>
                <w:bCs/>
                <w:color w:val="FFFFFF"/>
                <w:spacing w:val="0"/>
                <w:sz w:val="18"/>
                <w:szCs w:val="18"/>
                <w:lang w:eastAsia="es-CO"/>
              </w:rPr>
            </w:pPr>
            <w:r w:rsidRPr="00CF18E2">
              <w:rPr>
                <w:rFonts w:ascii="Arial Narrow" w:hAnsi="Arial Narrow" w:cs="Calibri"/>
                <w:b/>
                <w:bCs/>
                <w:color w:val="FFFFFF"/>
                <w:spacing w:val="0"/>
                <w:sz w:val="18"/>
                <w:szCs w:val="18"/>
                <w:lang w:eastAsia="es-CO"/>
              </w:rPr>
              <w:t xml:space="preserve">RUBRO </w:t>
            </w:r>
          </w:p>
        </w:tc>
        <w:tc>
          <w:tcPr>
            <w:tcW w:w="1001" w:type="dxa"/>
            <w:tcBorders>
              <w:top w:val="nil"/>
              <w:left w:val="nil"/>
              <w:bottom w:val="single" w:sz="8" w:space="0" w:color="0070C0"/>
              <w:right w:val="single" w:sz="8" w:space="0" w:color="0070C0"/>
            </w:tcBorders>
            <w:shd w:val="clear" w:color="000000" w:fill="002060"/>
            <w:noWrap/>
            <w:vAlign w:val="center"/>
            <w:hideMark/>
          </w:tcPr>
          <w:p w14:paraId="0E2E1BC9" w14:textId="77777777" w:rsidR="00801382" w:rsidRPr="00CF18E2" w:rsidRDefault="00801382" w:rsidP="00F85A54">
            <w:pPr>
              <w:jc w:val="center"/>
              <w:rPr>
                <w:rFonts w:ascii="Arial Narrow" w:hAnsi="Arial Narrow" w:cs="Calibri"/>
                <w:b/>
                <w:bCs/>
                <w:color w:val="FFFFFF"/>
                <w:spacing w:val="0"/>
                <w:sz w:val="18"/>
                <w:szCs w:val="18"/>
                <w:lang w:eastAsia="es-CO"/>
              </w:rPr>
            </w:pPr>
            <w:r w:rsidRPr="00CF18E2">
              <w:rPr>
                <w:rFonts w:ascii="Arial Narrow" w:hAnsi="Arial Narrow" w:cs="Calibri"/>
                <w:b/>
                <w:bCs/>
                <w:color w:val="FFFFFF"/>
                <w:spacing w:val="0"/>
                <w:sz w:val="18"/>
                <w:szCs w:val="18"/>
                <w:lang w:eastAsia="es-CO"/>
              </w:rPr>
              <w:t xml:space="preserve">RECURSO </w:t>
            </w:r>
          </w:p>
        </w:tc>
        <w:tc>
          <w:tcPr>
            <w:tcW w:w="5286" w:type="dxa"/>
            <w:tcBorders>
              <w:top w:val="nil"/>
              <w:left w:val="nil"/>
              <w:bottom w:val="single" w:sz="8" w:space="0" w:color="0070C0"/>
              <w:right w:val="single" w:sz="8" w:space="0" w:color="0070C0"/>
            </w:tcBorders>
            <w:shd w:val="clear" w:color="000000" w:fill="002060"/>
            <w:noWrap/>
            <w:vAlign w:val="center"/>
            <w:hideMark/>
          </w:tcPr>
          <w:p w14:paraId="19ECAE76" w14:textId="77777777" w:rsidR="00801382" w:rsidRPr="00CF18E2" w:rsidRDefault="00801382" w:rsidP="00F85A54">
            <w:pPr>
              <w:jc w:val="center"/>
              <w:rPr>
                <w:rFonts w:ascii="Arial Narrow" w:hAnsi="Arial Narrow" w:cs="Calibri"/>
                <w:b/>
                <w:bCs/>
                <w:color w:val="FFFFFF"/>
                <w:spacing w:val="0"/>
                <w:sz w:val="18"/>
                <w:szCs w:val="18"/>
                <w:lang w:eastAsia="es-CO"/>
              </w:rPr>
            </w:pPr>
            <w:r w:rsidRPr="00CF18E2">
              <w:rPr>
                <w:rFonts w:ascii="Arial Narrow" w:hAnsi="Arial Narrow" w:cs="Calibri"/>
                <w:b/>
                <w:bCs/>
                <w:color w:val="FFFFFF"/>
                <w:spacing w:val="0"/>
                <w:sz w:val="18"/>
                <w:szCs w:val="18"/>
                <w:lang w:eastAsia="es-CO"/>
              </w:rPr>
              <w:t xml:space="preserve">CONCEPTO </w:t>
            </w:r>
          </w:p>
        </w:tc>
        <w:tc>
          <w:tcPr>
            <w:tcW w:w="1398" w:type="dxa"/>
            <w:tcBorders>
              <w:top w:val="nil"/>
              <w:left w:val="nil"/>
              <w:bottom w:val="single" w:sz="8" w:space="0" w:color="0070C0"/>
              <w:right w:val="single" w:sz="8" w:space="0" w:color="0070C0"/>
            </w:tcBorders>
            <w:shd w:val="clear" w:color="000000" w:fill="002060"/>
            <w:noWrap/>
            <w:vAlign w:val="center"/>
            <w:hideMark/>
          </w:tcPr>
          <w:p w14:paraId="27EDA070" w14:textId="77777777" w:rsidR="00801382" w:rsidRPr="00CF18E2" w:rsidRDefault="00801382" w:rsidP="00F85A54">
            <w:pPr>
              <w:jc w:val="center"/>
              <w:rPr>
                <w:rFonts w:ascii="Arial Narrow" w:hAnsi="Arial Narrow" w:cs="Calibri"/>
                <w:b/>
                <w:bCs/>
                <w:color w:val="FFFFFF"/>
                <w:spacing w:val="0"/>
                <w:sz w:val="18"/>
                <w:szCs w:val="18"/>
                <w:lang w:eastAsia="es-CO"/>
              </w:rPr>
            </w:pPr>
            <w:r w:rsidRPr="00CF18E2">
              <w:rPr>
                <w:rFonts w:ascii="Arial Narrow" w:hAnsi="Arial Narrow" w:cs="Calibri"/>
                <w:b/>
                <w:bCs/>
                <w:color w:val="FFFFFF"/>
                <w:spacing w:val="0"/>
                <w:sz w:val="18"/>
                <w:szCs w:val="18"/>
                <w:lang w:eastAsia="es-CO"/>
              </w:rPr>
              <w:t>VALOR</w:t>
            </w:r>
          </w:p>
        </w:tc>
      </w:tr>
      <w:tr w:rsidR="00801382" w:rsidRPr="00CF18E2" w14:paraId="526F60B0" w14:textId="77777777" w:rsidTr="00CF18E2">
        <w:trPr>
          <w:gridAfter w:val="1"/>
          <w:wAfter w:w="20" w:type="dxa"/>
          <w:trHeight w:val="300"/>
          <w:jc w:val="right"/>
        </w:trPr>
        <w:tc>
          <w:tcPr>
            <w:tcW w:w="1060" w:type="dxa"/>
            <w:tcBorders>
              <w:top w:val="nil"/>
              <w:left w:val="single" w:sz="8" w:space="0" w:color="0070C0"/>
              <w:bottom w:val="single" w:sz="8" w:space="0" w:color="0070C0"/>
              <w:right w:val="single" w:sz="8" w:space="0" w:color="0070C0"/>
            </w:tcBorders>
            <w:shd w:val="clear" w:color="000000" w:fill="8497B0"/>
            <w:noWrap/>
            <w:vAlign w:val="center"/>
            <w:hideMark/>
          </w:tcPr>
          <w:p w14:paraId="0036CE2A" w14:textId="77777777" w:rsidR="00801382" w:rsidRPr="00CF18E2" w:rsidRDefault="00801382" w:rsidP="00F85A54">
            <w:pPr>
              <w:jc w:val="center"/>
              <w:rPr>
                <w:rFonts w:ascii="Arial Narrow" w:hAnsi="Arial Narrow" w:cs="Calibri"/>
                <w:b/>
                <w:bCs/>
                <w:color w:val="FFFFFF"/>
                <w:spacing w:val="0"/>
                <w:sz w:val="18"/>
                <w:szCs w:val="18"/>
                <w:lang w:eastAsia="es-CO"/>
              </w:rPr>
            </w:pPr>
            <w:r w:rsidRPr="00CF18E2">
              <w:rPr>
                <w:rFonts w:ascii="Arial Narrow" w:hAnsi="Arial Narrow" w:cs="Calibri"/>
                <w:b/>
                <w:bCs/>
                <w:color w:val="FFFFFF"/>
                <w:spacing w:val="0"/>
                <w:sz w:val="18"/>
                <w:szCs w:val="18"/>
                <w:lang w:eastAsia="es-CO"/>
              </w:rPr>
              <w:t>A</w:t>
            </w:r>
          </w:p>
        </w:tc>
        <w:tc>
          <w:tcPr>
            <w:tcW w:w="1001" w:type="dxa"/>
            <w:tcBorders>
              <w:top w:val="nil"/>
              <w:left w:val="nil"/>
              <w:bottom w:val="single" w:sz="8" w:space="0" w:color="0070C0"/>
              <w:right w:val="single" w:sz="8" w:space="0" w:color="0070C0"/>
            </w:tcBorders>
            <w:shd w:val="clear" w:color="000000" w:fill="8497B0"/>
            <w:noWrap/>
            <w:vAlign w:val="center"/>
            <w:hideMark/>
          </w:tcPr>
          <w:p w14:paraId="518FCB38" w14:textId="77777777" w:rsidR="00801382" w:rsidRPr="00CF18E2" w:rsidRDefault="00801382" w:rsidP="00F85A54">
            <w:pPr>
              <w:jc w:val="center"/>
              <w:rPr>
                <w:rFonts w:ascii="Arial Narrow" w:hAnsi="Arial Narrow" w:cs="Calibri"/>
                <w:b/>
                <w:bCs/>
                <w:color w:val="FFFFFF"/>
                <w:spacing w:val="0"/>
                <w:sz w:val="18"/>
                <w:szCs w:val="18"/>
                <w:lang w:eastAsia="es-CO"/>
              </w:rPr>
            </w:pPr>
            <w:r w:rsidRPr="00CF18E2">
              <w:rPr>
                <w:rFonts w:ascii="Arial Narrow" w:hAnsi="Arial Narrow" w:cs="Calibri"/>
                <w:b/>
                <w:bCs/>
                <w:color w:val="FFFFFF"/>
                <w:spacing w:val="0"/>
                <w:sz w:val="18"/>
                <w:szCs w:val="18"/>
                <w:lang w:eastAsia="es-CO"/>
              </w:rPr>
              <w:t> </w:t>
            </w:r>
          </w:p>
        </w:tc>
        <w:tc>
          <w:tcPr>
            <w:tcW w:w="5286" w:type="dxa"/>
            <w:tcBorders>
              <w:top w:val="nil"/>
              <w:left w:val="nil"/>
              <w:bottom w:val="single" w:sz="8" w:space="0" w:color="0070C0"/>
              <w:right w:val="single" w:sz="8" w:space="0" w:color="0070C0"/>
            </w:tcBorders>
            <w:shd w:val="clear" w:color="000000" w:fill="8497B0"/>
            <w:noWrap/>
            <w:vAlign w:val="center"/>
            <w:hideMark/>
          </w:tcPr>
          <w:p w14:paraId="1473F266" w14:textId="77777777" w:rsidR="00801382" w:rsidRPr="00CF18E2" w:rsidRDefault="00801382" w:rsidP="00F85A54">
            <w:pPr>
              <w:jc w:val="center"/>
              <w:rPr>
                <w:rFonts w:ascii="Arial Narrow" w:hAnsi="Arial Narrow" w:cs="Calibri"/>
                <w:b/>
                <w:bCs/>
                <w:color w:val="FFFFFF"/>
                <w:spacing w:val="0"/>
                <w:sz w:val="18"/>
                <w:szCs w:val="18"/>
                <w:lang w:eastAsia="es-CO"/>
              </w:rPr>
            </w:pPr>
            <w:r w:rsidRPr="00CF18E2">
              <w:rPr>
                <w:rFonts w:ascii="Arial Narrow" w:hAnsi="Arial Narrow" w:cs="Calibri"/>
                <w:b/>
                <w:bCs/>
                <w:color w:val="FFFFFF"/>
                <w:spacing w:val="0"/>
                <w:sz w:val="18"/>
                <w:szCs w:val="18"/>
                <w:lang w:eastAsia="es-CO"/>
              </w:rPr>
              <w:t xml:space="preserve">GASTOS DE FUNCIONAMIENTO </w:t>
            </w:r>
          </w:p>
        </w:tc>
        <w:tc>
          <w:tcPr>
            <w:tcW w:w="1398" w:type="dxa"/>
            <w:tcBorders>
              <w:top w:val="nil"/>
              <w:left w:val="nil"/>
              <w:bottom w:val="single" w:sz="8" w:space="0" w:color="0070C0"/>
              <w:right w:val="single" w:sz="8" w:space="0" w:color="0070C0"/>
            </w:tcBorders>
            <w:shd w:val="clear" w:color="000000" w:fill="8497B0"/>
            <w:noWrap/>
            <w:vAlign w:val="center"/>
            <w:hideMark/>
          </w:tcPr>
          <w:p w14:paraId="3F26E6C1" w14:textId="77777777" w:rsidR="00801382" w:rsidRPr="00CF18E2" w:rsidRDefault="00801382" w:rsidP="00F85A54">
            <w:pPr>
              <w:jc w:val="right"/>
              <w:rPr>
                <w:rFonts w:ascii="Arial Narrow" w:hAnsi="Arial Narrow" w:cs="Calibri"/>
                <w:b/>
                <w:bCs/>
                <w:color w:val="FFFFFF"/>
                <w:spacing w:val="0"/>
                <w:sz w:val="18"/>
                <w:szCs w:val="18"/>
                <w:lang w:eastAsia="es-CO"/>
              </w:rPr>
            </w:pPr>
            <w:r w:rsidRPr="00CF18E2">
              <w:rPr>
                <w:rFonts w:ascii="Arial Narrow" w:hAnsi="Arial Narrow" w:cs="Calibri"/>
                <w:b/>
                <w:bCs/>
                <w:color w:val="FFFFFF"/>
                <w:spacing w:val="0"/>
                <w:sz w:val="18"/>
                <w:szCs w:val="18"/>
                <w:lang w:eastAsia="es-CO"/>
              </w:rPr>
              <w:t>$ 24.500.938.000</w:t>
            </w:r>
          </w:p>
        </w:tc>
      </w:tr>
      <w:tr w:rsidR="00801382" w:rsidRPr="00CF18E2" w14:paraId="07D44BFE" w14:textId="77777777" w:rsidTr="00CF18E2">
        <w:trPr>
          <w:gridAfter w:val="1"/>
          <w:wAfter w:w="20" w:type="dxa"/>
          <w:trHeight w:val="300"/>
          <w:jc w:val="right"/>
        </w:trPr>
        <w:tc>
          <w:tcPr>
            <w:tcW w:w="1060" w:type="dxa"/>
            <w:tcBorders>
              <w:top w:val="nil"/>
              <w:left w:val="single" w:sz="8" w:space="0" w:color="0070C0"/>
              <w:bottom w:val="single" w:sz="8" w:space="0" w:color="0070C0"/>
              <w:right w:val="single" w:sz="8" w:space="0" w:color="0070C0"/>
            </w:tcBorders>
            <w:shd w:val="clear" w:color="auto" w:fill="auto"/>
            <w:noWrap/>
            <w:vAlign w:val="center"/>
            <w:hideMark/>
          </w:tcPr>
          <w:p w14:paraId="15DD3354" w14:textId="77777777" w:rsidR="00801382" w:rsidRPr="00CF18E2" w:rsidRDefault="00801382" w:rsidP="00F85A54">
            <w:pPr>
              <w:jc w:val="center"/>
              <w:rPr>
                <w:rFonts w:ascii="Arial Narrow" w:hAnsi="Arial Narrow" w:cs="Calibri"/>
                <w:color w:val="000000"/>
                <w:spacing w:val="0"/>
                <w:sz w:val="18"/>
                <w:szCs w:val="18"/>
                <w:lang w:eastAsia="es-CO"/>
              </w:rPr>
            </w:pPr>
            <w:r w:rsidRPr="00CF18E2">
              <w:rPr>
                <w:rFonts w:ascii="Arial Narrow" w:hAnsi="Arial Narrow" w:cs="Calibri"/>
                <w:color w:val="000000"/>
                <w:spacing w:val="0"/>
                <w:sz w:val="18"/>
                <w:szCs w:val="18"/>
                <w:lang w:eastAsia="es-CO"/>
              </w:rPr>
              <w:t>A-01</w:t>
            </w:r>
          </w:p>
        </w:tc>
        <w:tc>
          <w:tcPr>
            <w:tcW w:w="1001" w:type="dxa"/>
            <w:tcBorders>
              <w:top w:val="nil"/>
              <w:left w:val="nil"/>
              <w:bottom w:val="single" w:sz="8" w:space="0" w:color="0070C0"/>
              <w:right w:val="single" w:sz="8" w:space="0" w:color="0070C0"/>
            </w:tcBorders>
            <w:shd w:val="clear" w:color="auto" w:fill="auto"/>
            <w:noWrap/>
            <w:vAlign w:val="center"/>
            <w:hideMark/>
          </w:tcPr>
          <w:p w14:paraId="6206ECDD" w14:textId="77777777" w:rsidR="00801382" w:rsidRPr="00CF18E2" w:rsidRDefault="00801382" w:rsidP="00F85A54">
            <w:pPr>
              <w:jc w:val="center"/>
              <w:rPr>
                <w:rFonts w:ascii="Arial Narrow" w:hAnsi="Arial Narrow" w:cs="Calibri"/>
                <w:color w:val="000000"/>
                <w:spacing w:val="0"/>
                <w:sz w:val="18"/>
                <w:szCs w:val="18"/>
                <w:lang w:eastAsia="es-CO"/>
              </w:rPr>
            </w:pPr>
            <w:r w:rsidRPr="00CF18E2">
              <w:rPr>
                <w:rFonts w:ascii="Arial Narrow" w:hAnsi="Arial Narrow" w:cs="Calibri"/>
                <w:color w:val="000000"/>
                <w:spacing w:val="0"/>
                <w:sz w:val="18"/>
                <w:szCs w:val="18"/>
                <w:lang w:eastAsia="es-CO"/>
              </w:rPr>
              <w:t>16</w:t>
            </w:r>
          </w:p>
        </w:tc>
        <w:tc>
          <w:tcPr>
            <w:tcW w:w="5286" w:type="dxa"/>
            <w:tcBorders>
              <w:top w:val="nil"/>
              <w:left w:val="nil"/>
              <w:bottom w:val="single" w:sz="8" w:space="0" w:color="0070C0"/>
              <w:right w:val="single" w:sz="8" w:space="0" w:color="0070C0"/>
            </w:tcBorders>
            <w:shd w:val="clear" w:color="auto" w:fill="auto"/>
            <w:noWrap/>
            <w:vAlign w:val="center"/>
            <w:hideMark/>
          </w:tcPr>
          <w:p w14:paraId="3EB9C1D6" w14:textId="77777777" w:rsidR="00801382" w:rsidRPr="00CF18E2" w:rsidRDefault="00801382" w:rsidP="00F85A54">
            <w:pPr>
              <w:jc w:val="left"/>
              <w:rPr>
                <w:rFonts w:ascii="Arial Narrow" w:hAnsi="Arial Narrow" w:cs="Calibri"/>
                <w:color w:val="000000"/>
                <w:spacing w:val="0"/>
                <w:sz w:val="18"/>
                <w:szCs w:val="18"/>
                <w:lang w:eastAsia="es-CO"/>
              </w:rPr>
            </w:pPr>
            <w:r w:rsidRPr="00CF18E2">
              <w:rPr>
                <w:rFonts w:ascii="Arial Narrow" w:hAnsi="Arial Narrow" w:cs="Calibri"/>
                <w:color w:val="000000"/>
                <w:spacing w:val="0"/>
                <w:sz w:val="18"/>
                <w:szCs w:val="18"/>
                <w:lang w:eastAsia="es-CO"/>
              </w:rPr>
              <w:t xml:space="preserve">GASTOS DE PERSONAL </w:t>
            </w:r>
          </w:p>
        </w:tc>
        <w:tc>
          <w:tcPr>
            <w:tcW w:w="1398" w:type="dxa"/>
            <w:tcBorders>
              <w:top w:val="nil"/>
              <w:left w:val="nil"/>
              <w:bottom w:val="single" w:sz="8" w:space="0" w:color="0070C0"/>
              <w:right w:val="single" w:sz="8" w:space="0" w:color="0070C0"/>
            </w:tcBorders>
            <w:shd w:val="clear" w:color="auto" w:fill="auto"/>
            <w:noWrap/>
            <w:vAlign w:val="center"/>
            <w:hideMark/>
          </w:tcPr>
          <w:p w14:paraId="774E09A1" w14:textId="77777777" w:rsidR="00801382" w:rsidRPr="00CF18E2" w:rsidRDefault="00801382" w:rsidP="00F85A54">
            <w:pPr>
              <w:jc w:val="right"/>
              <w:rPr>
                <w:rFonts w:ascii="Arial Narrow" w:hAnsi="Arial Narrow" w:cs="Calibri"/>
                <w:color w:val="000000"/>
                <w:spacing w:val="0"/>
                <w:sz w:val="18"/>
                <w:szCs w:val="18"/>
                <w:lang w:eastAsia="es-CO"/>
              </w:rPr>
            </w:pPr>
            <w:r w:rsidRPr="00CF18E2">
              <w:rPr>
                <w:rFonts w:ascii="Arial Narrow" w:hAnsi="Arial Narrow" w:cs="Calibri"/>
                <w:color w:val="000000"/>
                <w:spacing w:val="0"/>
                <w:sz w:val="18"/>
                <w:szCs w:val="18"/>
                <w:lang w:eastAsia="es-CO"/>
              </w:rPr>
              <w:t>$ 17.564.711.000</w:t>
            </w:r>
          </w:p>
        </w:tc>
      </w:tr>
      <w:tr w:rsidR="00801382" w:rsidRPr="00CF18E2" w14:paraId="028344BF" w14:textId="77777777" w:rsidTr="00CF18E2">
        <w:trPr>
          <w:gridAfter w:val="1"/>
          <w:wAfter w:w="20" w:type="dxa"/>
          <w:trHeight w:val="300"/>
          <w:jc w:val="right"/>
        </w:trPr>
        <w:tc>
          <w:tcPr>
            <w:tcW w:w="1060" w:type="dxa"/>
            <w:tcBorders>
              <w:top w:val="nil"/>
              <w:left w:val="single" w:sz="8" w:space="0" w:color="0070C0"/>
              <w:bottom w:val="single" w:sz="8" w:space="0" w:color="0070C0"/>
              <w:right w:val="single" w:sz="8" w:space="0" w:color="0070C0"/>
            </w:tcBorders>
            <w:shd w:val="clear" w:color="auto" w:fill="auto"/>
            <w:noWrap/>
            <w:vAlign w:val="center"/>
            <w:hideMark/>
          </w:tcPr>
          <w:p w14:paraId="76741554" w14:textId="77777777" w:rsidR="00801382" w:rsidRPr="00CF18E2" w:rsidRDefault="00801382" w:rsidP="00F85A54">
            <w:pPr>
              <w:jc w:val="center"/>
              <w:rPr>
                <w:rFonts w:ascii="Arial Narrow" w:hAnsi="Arial Narrow" w:cs="Calibri"/>
                <w:color w:val="000000"/>
                <w:spacing w:val="0"/>
                <w:sz w:val="18"/>
                <w:szCs w:val="18"/>
                <w:lang w:eastAsia="es-CO"/>
              </w:rPr>
            </w:pPr>
            <w:r w:rsidRPr="00CF18E2">
              <w:rPr>
                <w:rFonts w:ascii="Arial Narrow" w:hAnsi="Arial Narrow" w:cs="Calibri"/>
                <w:color w:val="000000"/>
                <w:spacing w:val="0"/>
                <w:sz w:val="18"/>
                <w:szCs w:val="18"/>
                <w:lang w:eastAsia="es-CO"/>
              </w:rPr>
              <w:t>A-02</w:t>
            </w:r>
          </w:p>
        </w:tc>
        <w:tc>
          <w:tcPr>
            <w:tcW w:w="1001" w:type="dxa"/>
            <w:tcBorders>
              <w:top w:val="nil"/>
              <w:left w:val="nil"/>
              <w:bottom w:val="single" w:sz="8" w:space="0" w:color="0070C0"/>
              <w:right w:val="single" w:sz="8" w:space="0" w:color="0070C0"/>
            </w:tcBorders>
            <w:shd w:val="clear" w:color="auto" w:fill="auto"/>
            <w:noWrap/>
            <w:vAlign w:val="center"/>
            <w:hideMark/>
          </w:tcPr>
          <w:p w14:paraId="5E633159" w14:textId="77777777" w:rsidR="00801382" w:rsidRPr="00CF18E2" w:rsidRDefault="00801382" w:rsidP="00F85A54">
            <w:pPr>
              <w:jc w:val="center"/>
              <w:rPr>
                <w:rFonts w:ascii="Arial Narrow" w:hAnsi="Arial Narrow" w:cs="Calibri"/>
                <w:color w:val="000000"/>
                <w:spacing w:val="0"/>
                <w:sz w:val="18"/>
                <w:szCs w:val="18"/>
                <w:lang w:eastAsia="es-CO"/>
              </w:rPr>
            </w:pPr>
            <w:r w:rsidRPr="00CF18E2">
              <w:rPr>
                <w:rFonts w:ascii="Arial Narrow" w:hAnsi="Arial Narrow" w:cs="Calibri"/>
                <w:color w:val="000000"/>
                <w:spacing w:val="0"/>
                <w:sz w:val="18"/>
                <w:szCs w:val="18"/>
                <w:lang w:eastAsia="es-CO"/>
              </w:rPr>
              <w:t>16</w:t>
            </w:r>
          </w:p>
        </w:tc>
        <w:tc>
          <w:tcPr>
            <w:tcW w:w="5286" w:type="dxa"/>
            <w:tcBorders>
              <w:top w:val="nil"/>
              <w:left w:val="nil"/>
              <w:bottom w:val="single" w:sz="8" w:space="0" w:color="0070C0"/>
              <w:right w:val="single" w:sz="8" w:space="0" w:color="0070C0"/>
            </w:tcBorders>
            <w:shd w:val="clear" w:color="auto" w:fill="auto"/>
            <w:noWrap/>
            <w:vAlign w:val="center"/>
            <w:hideMark/>
          </w:tcPr>
          <w:p w14:paraId="1E690AA9" w14:textId="77777777" w:rsidR="00801382" w:rsidRPr="00CF18E2" w:rsidRDefault="00801382" w:rsidP="00F85A54">
            <w:pPr>
              <w:jc w:val="left"/>
              <w:rPr>
                <w:rFonts w:ascii="Arial Narrow" w:hAnsi="Arial Narrow" w:cs="Calibri"/>
                <w:color w:val="000000"/>
                <w:spacing w:val="0"/>
                <w:sz w:val="18"/>
                <w:szCs w:val="18"/>
                <w:lang w:eastAsia="es-CO"/>
              </w:rPr>
            </w:pPr>
            <w:r w:rsidRPr="00CF18E2">
              <w:rPr>
                <w:rFonts w:ascii="Arial Narrow" w:hAnsi="Arial Narrow" w:cs="Calibri"/>
                <w:color w:val="000000"/>
                <w:spacing w:val="0"/>
                <w:sz w:val="18"/>
                <w:szCs w:val="18"/>
                <w:lang w:eastAsia="es-CO"/>
              </w:rPr>
              <w:t>ADQUISICION DE BIENES Y SERVICIOS</w:t>
            </w:r>
          </w:p>
        </w:tc>
        <w:tc>
          <w:tcPr>
            <w:tcW w:w="1398" w:type="dxa"/>
            <w:tcBorders>
              <w:top w:val="nil"/>
              <w:left w:val="nil"/>
              <w:bottom w:val="single" w:sz="8" w:space="0" w:color="0070C0"/>
              <w:right w:val="single" w:sz="8" w:space="0" w:color="0070C0"/>
            </w:tcBorders>
            <w:shd w:val="clear" w:color="auto" w:fill="auto"/>
            <w:noWrap/>
            <w:vAlign w:val="center"/>
            <w:hideMark/>
          </w:tcPr>
          <w:p w14:paraId="3ECABB61" w14:textId="77777777" w:rsidR="00801382" w:rsidRPr="00CF18E2" w:rsidRDefault="00801382" w:rsidP="00F85A54">
            <w:pPr>
              <w:jc w:val="right"/>
              <w:rPr>
                <w:rFonts w:ascii="Arial Narrow" w:hAnsi="Arial Narrow" w:cs="Calibri"/>
                <w:color w:val="000000"/>
                <w:spacing w:val="0"/>
                <w:sz w:val="18"/>
                <w:szCs w:val="18"/>
                <w:lang w:eastAsia="es-CO"/>
              </w:rPr>
            </w:pPr>
            <w:r w:rsidRPr="00CF18E2">
              <w:rPr>
                <w:rFonts w:ascii="Arial Narrow" w:hAnsi="Arial Narrow" w:cs="Calibri"/>
                <w:color w:val="000000"/>
                <w:spacing w:val="0"/>
                <w:sz w:val="18"/>
                <w:szCs w:val="18"/>
                <w:lang w:eastAsia="es-CO"/>
              </w:rPr>
              <w:t>$ 3.516.910.000</w:t>
            </w:r>
          </w:p>
        </w:tc>
      </w:tr>
      <w:tr w:rsidR="00801382" w:rsidRPr="00CF18E2" w14:paraId="5D875BCD" w14:textId="77777777" w:rsidTr="00CF18E2">
        <w:trPr>
          <w:gridAfter w:val="1"/>
          <w:wAfter w:w="20" w:type="dxa"/>
          <w:trHeight w:val="300"/>
          <w:jc w:val="right"/>
        </w:trPr>
        <w:tc>
          <w:tcPr>
            <w:tcW w:w="1060" w:type="dxa"/>
            <w:tcBorders>
              <w:top w:val="nil"/>
              <w:left w:val="single" w:sz="8" w:space="0" w:color="0070C0"/>
              <w:bottom w:val="single" w:sz="8" w:space="0" w:color="0070C0"/>
              <w:right w:val="single" w:sz="8" w:space="0" w:color="0070C0"/>
            </w:tcBorders>
            <w:shd w:val="clear" w:color="auto" w:fill="auto"/>
            <w:noWrap/>
            <w:vAlign w:val="center"/>
            <w:hideMark/>
          </w:tcPr>
          <w:p w14:paraId="00F0F1F6" w14:textId="77777777" w:rsidR="00801382" w:rsidRPr="00CF18E2" w:rsidRDefault="00801382" w:rsidP="00F85A54">
            <w:pPr>
              <w:jc w:val="center"/>
              <w:rPr>
                <w:rFonts w:ascii="Arial Narrow" w:hAnsi="Arial Narrow" w:cs="Calibri"/>
                <w:color w:val="000000"/>
                <w:spacing w:val="0"/>
                <w:sz w:val="18"/>
                <w:szCs w:val="18"/>
                <w:lang w:eastAsia="es-CO"/>
              </w:rPr>
            </w:pPr>
            <w:r w:rsidRPr="00CF18E2">
              <w:rPr>
                <w:rFonts w:ascii="Arial Narrow" w:hAnsi="Arial Narrow" w:cs="Calibri"/>
                <w:color w:val="000000"/>
                <w:spacing w:val="0"/>
                <w:sz w:val="18"/>
                <w:szCs w:val="18"/>
                <w:lang w:eastAsia="es-CO"/>
              </w:rPr>
              <w:t>A-03</w:t>
            </w:r>
          </w:p>
        </w:tc>
        <w:tc>
          <w:tcPr>
            <w:tcW w:w="1001" w:type="dxa"/>
            <w:tcBorders>
              <w:top w:val="nil"/>
              <w:left w:val="nil"/>
              <w:bottom w:val="single" w:sz="8" w:space="0" w:color="0070C0"/>
              <w:right w:val="single" w:sz="8" w:space="0" w:color="0070C0"/>
            </w:tcBorders>
            <w:shd w:val="clear" w:color="auto" w:fill="auto"/>
            <w:noWrap/>
            <w:vAlign w:val="center"/>
            <w:hideMark/>
          </w:tcPr>
          <w:p w14:paraId="367F220B" w14:textId="77777777" w:rsidR="00801382" w:rsidRPr="00CF18E2" w:rsidRDefault="00801382" w:rsidP="00F85A54">
            <w:pPr>
              <w:jc w:val="center"/>
              <w:rPr>
                <w:rFonts w:ascii="Arial Narrow" w:hAnsi="Arial Narrow" w:cs="Calibri"/>
                <w:color w:val="000000"/>
                <w:spacing w:val="0"/>
                <w:sz w:val="18"/>
                <w:szCs w:val="18"/>
                <w:lang w:eastAsia="es-CO"/>
              </w:rPr>
            </w:pPr>
            <w:r w:rsidRPr="00CF18E2">
              <w:rPr>
                <w:rFonts w:ascii="Arial Narrow" w:hAnsi="Arial Narrow" w:cs="Calibri"/>
                <w:color w:val="000000"/>
                <w:spacing w:val="0"/>
                <w:sz w:val="18"/>
                <w:szCs w:val="18"/>
                <w:lang w:eastAsia="es-CO"/>
              </w:rPr>
              <w:t>16</w:t>
            </w:r>
          </w:p>
        </w:tc>
        <w:tc>
          <w:tcPr>
            <w:tcW w:w="5286" w:type="dxa"/>
            <w:tcBorders>
              <w:top w:val="nil"/>
              <w:left w:val="nil"/>
              <w:bottom w:val="single" w:sz="8" w:space="0" w:color="0070C0"/>
              <w:right w:val="single" w:sz="8" w:space="0" w:color="0070C0"/>
            </w:tcBorders>
            <w:shd w:val="clear" w:color="auto" w:fill="auto"/>
            <w:noWrap/>
            <w:vAlign w:val="center"/>
            <w:hideMark/>
          </w:tcPr>
          <w:p w14:paraId="4649C8E5" w14:textId="77777777" w:rsidR="00801382" w:rsidRPr="00CF18E2" w:rsidRDefault="00801382" w:rsidP="00F85A54">
            <w:pPr>
              <w:jc w:val="left"/>
              <w:rPr>
                <w:rFonts w:ascii="Arial Narrow" w:hAnsi="Arial Narrow" w:cs="Calibri"/>
                <w:color w:val="000000"/>
                <w:spacing w:val="0"/>
                <w:sz w:val="18"/>
                <w:szCs w:val="18"/>
                <w:lang w:eastAsia="es-CO"/>
              </w:rPr>
            </w:pPr>
            <w:r w:rsidRPr="00CF18E2">
              <w:rPr>
                <w:rFonts w:ascii="Arial Narrow" w:hAnsi="Arial Narrow" w:cs="Calibri"/>
                <w:color w:val="000000"/>
                <w:spacing w:val="0"/>
                <w:sz w:val="18"/>
                <w:szCs w:val="18"/>
                <w:lang w:eastAsia="es-CO"/>
              </w:rPr>
              <w:t xml:space="preserve">TRANSFERENCIAS CORRIENTES </w:t>
            </w:r>
          </w:p>
        </w:tc>
        <w:tc>
          <w:tcPr>
            <w:tcW w:w="1398" w:type="dxa"/>
            <w:tcBorders>
              <w:top w:val="nil"/>
              <w:left w:val="nil"/>
              <w:bottom w:val="single" w:sz="8" w:space="0" w:color="0070C0"/>
              <w:right w:val="single" w:sz="8" w:space="0" w:color="0070C0"/>
            </w:tcBorders>
            <w:shd w:val="clear" w:color="auto" w:fill="auto"/>
            <w:noWrap/>
            <w:vAlign w:val="center"/>
            <w:hideMark/>
          </w:tcPr>
          <w:p w14:paraId="17ACDC2D" w14:textId="77777777" w:rsidR="00801382" w:rsidRPr="00CF18E2" w:rsidRDefault="00801382" w:rsidP="00F85A54">
            <w:pPr>
              <w:jc w:val="right"/>
              <w:rPr>
                <w:rFonts w:ascii="Arial Narrow" w:hAnsi="Arial Narrow" w:cs="Calibri"/>
                <w:color w:val="000000"/>
                <w:spacing w:val="0"/>
                <w:sz w:val="18"/>
                <w:szCs w:val="18"/>
                <w:lang w:eastAsia="es-CO"/>
              </w:rPr>
            </w:pPr>
            <w:r w:rsidRPr="00CF18E2">
              <w:rPr>
                <w:rFonts w:ascii="Arial Narrow" w:hAnsi="Arial Narrow" w:cs="Calibri"/>
                <w:color w:val="000000"/>
                <w:spacing w:val="0"/>
                <w:sz w:val="18"/>
                <w:szCs w:val="18"/>
                <w:lang w:eastAsia="es-CO"/>
              </w:rPr>
              <w:t>$ 3.252.736.000</w:t>
            </w:r>
          </w:p>
        </w:tc>
      </w:tr>
      <w:tr w:rsidR="00801382" w:rsidRPr="00CF18E2" w14:paraId="1235B6E0" w14:textId="77777777" w:rsidTr="00CF18E2">
        <w:trPr>
          <w:gridAfter w:val="1"/>
          <w:wAfter w:w="20" w:type="dxa"/>
          <w:trHeight w:val="300"/>
          <w:jc w:val="right"/>
        </w:trPr>
        <w:tc>
          <w:tcPr>
            <w:tcW w:w="1060" w:type="dxa"/>
            <w:tcBorders>
              <w:top w:val="nil"/>
              <w:left w:val="single" w:sz="8" w:space="0" w:color="0070C0"/>
              <w:bottom w:val="single" w:sz="8" w:space="0" w:color="0070C0"/>
              <w:right w:val="single" w:sz="8" w:space="0" w:color="0070C0"/>
            </w:tcBorders>
            <w:shd w:val="clear" w:color="auto" w:fill="auto"/>
            <w:noWrap/>
            <w:vAlign w:val="center"/>
            <w:hideMark/>
          </w:tcPr>
          <w:p w14:paraId="2CD99CD1" w14:textId="77777777" w:rsidR="00801382" w:rsidRPr="00CF18E2" w:rsidRDefault="00801382" w:rsidP="00F85A54">
            <w:pPr>
              <w:jc w:val="center"/>
              <w:rPr>
                <w:rFonts w:ascii="Arial Narrow" w:hAnsi="Arial Narrow" w:cs="Calibri"/>
                <w:color w:val="000000"/>
                <w:spacing w:val="0"/>
                <w:sz w:val="18"/>
                <w:szCs w:val="18"/>
                <w:lang w:eastAsia="es-CO"/>
              </w:rPr>
            </w:pPr>
            <w:r w:rsidRPr="00CF18E2">
              <w:rPr>
                <w:rFonts w:ascii="Arial Narrow" w:hAnsi="Arial Narrow" w:cs="Calibri"/>
                <w:color w:val="000000"/>
                <w:spacing w:val="0"/>
                <w:sz w:val="18"/>
                <w:szCs w:val="18"/>
                <w:lang w:eastAsia="es-CO"/>
              </w:rPr>
              <w:t>A-08</w:t>
            </w:r>
          </w:p>
        </w:tc>
        <w:tc>
          <w:tcPr>
            <w:tcW w:w="1001" w:type="dxa"/>
            <w:tcBorders>
              <w:top w:val="nil"/>
              <w:left w:val="nil"/>
              <w:bottom w:val="single" w:sz="8" w:space="0" w:color="0070C0"/>
              <w:right w:val="single" w:sz="8" w:space="0" w:color="0070C0"/>
            </w:tcBorders>
            <w:shd w:val="clear" w:color="auto" w:fill="auto"/>
            <w:noWrap/>
            <w:vAlign w:val="center"/>
            <w:hideMark/>
          </w:tcPr>
          <w:p w14:paraId="3361D37F" w14:textId="77777777" w:rsidR="00801382" w:rsidRPr="00CF18E2" w:rsidRDefault="00801382" w:rsidP="00F85A54">
            <w:pPr>
              <w:jc w:val="center"/>
              <w:rPr>
                <w:rFonts w:ascii="Arial Narrow" w:hAnsi="Arial Narrow" w:cs="Calibri"/>
                <w:color w:val="000000"/>
                <w:spacing w:val="0"/>
                <w:sz w:val="18"/>
                <w:szCs w:val="18"/>
                <w:lang w:eastAsia="es-CO"/>
              </w:rPr>
            </w:pPr>
            <w:r w:rsidRPr="00CF18E2">
              <w:rPr>
                <w:rFonts w:ascii="Arial Narrow" w:hAnsi="Arial Narrow" w:cs="Calibri"/>
                <w:color w:val="000000"/>
                <w:spacing w:val="0"/>
                <w:sz w:val="18"/>
                <w:szCs w:val="18"/>
                <w:lang w:eastAsia="es-CO"/>
              </w:rPr>
              <w:t>16</w:t>
            </w:r>
          </w:p>
        </w:tc>
        <w:tc>
          <w:tcPr>
            <w:tcW w:w="5286" w:type="dxa"/>
            <w:tcBorders>
              <w:top w:val="nil"/>
              <w:left w:val="nil"/>
              <w:bottom w:val="single" w:sz="8" w:space="0" w:color="0070C0"/>
              <w:right w:val="single" w:sz="8" w:space="0" w:color="0070C0"/>
            </w:tcBorders>
            <w:shd w:val="clear" w:color="auto" w:fill="auto"/>
            <w:vAlign w:val="center"/>
            <w:hideMark/>
          </w:tcPr>
          <w:p w14:paraId="4AFB733F" w14:textId="77777777" w:rsidR="00801382" w:rsidRPr="00CF18E2" w:rsidRDefault="00801382" w:rsidP="00F85A54">
            <w:pPr>
              <w:jc w:val="left"/>
              <w:rPr>
                <w:rFonts w:ascii="Arial Narrow" w:hAnsi="Arial Narrow" w:cs="Calibri"/>
                <w:color w:val="000000"/>
                <w:spacing w:val="0"/>
                <w:sz w:val="18"/>
                <w:szCs w:val="18"/>
                <w:lang w:eastAsia="es-CO"/>
              </w:rPr>
            </w:pPr>
            <w:r w:rsidRPr="00CF18E2">
              <w:rPr>
                <w:rFonts w:ascii="Arial Narrow" w:hAnsi="Arial Narrow" w:cs="Calibri"/>
                <w:color w:val="000000"/>
                <w:spacing w:val="0"/>
                <w:sz w:val="18"/>
                <w:szCs w:val="18"/>
                <w:lang w:eastAsia="es-CO"/>
              </w:rPr>
              <w:t xml:space="preserve">GASTOS POR TRIBUTOS, MULTAS, SANCIONES E INTERESES DE MORA </w:t>
            </w:r>
          </w:p>
        </w:tc>
        <w:tc>
          <w:tcPr>
            <w:tcW w:w="1398" w:type="dxa"/>
            <w:tcBorders>
              <w:top w:val="nil"/>
              <w:left w:val="nil"/>
              <w:bottom w:val="single" w:sz="8" w:space="0" w:color="0070C0"/>
              <w:right w:val="single" w:sz="8" w:space="0" w:color="0070C0"/>
            </w:tcBorders>
            <w:shd w:val="clear" w:color="auto" w:fill="auto"/>
            <w:noWrap/>
            <w:vAlign w:val="center"/>
            <w:hideMark/>
          </w:tcPr>
          <w:p w14:paraId="2B811600" w14:textId="77777777" w:rsidR="00801382" w:rsidRPr="00CF18E2" w:rsidRDefault="00801382" w:rsidP="00F85A54">
            <w:pPr>
              <w:jc w:val="right"/>
              <w:rPr>
                <w:rFonts w:ascii="Arial Narrow" w:hAnsi="Arial Narrow" w:cs="Calibri"/>
                <w:color w:val="000000"/>
                <w:spacing w:val="0"/>
                <w:sz w:val="18"/>
                <w:szCs w:val="18"/>
                <w:lang w:eastAsia="es-CO"/>
              </w:rPr>
            </w:pPr>
            <w:r w:rsidRPr="00CF18E2">
              <w:rPr>
                <w:rFonts w:ascii="Arial Narrow" w:hAnsi="Arial Narrow" w:cs="Calibri"/>
                <w:color w:val="000000"/>
                <w:spacing w:val="0"/>
                <w:sz w:val="18"/>
                <w:szCs w:val="18"/>
                <w:lang w:eastAsia="es-CO"/>
              </w:rPr>
              <w:t>$ 166.581.000</w:t>
            </w:r>
          </w:p>
        </w:tc>
      </w:tr>
      <w:tr w:rsidR="00801382" w:rsidRPr="00CF18E2" w14:paraId="1F15AC37" w14:textId="77777777" w:rsidTr="00CF18E2">
        <w:trPr>
          <w:gridAfter w:val="1"/>
          <w:wAfter w:w="20" w:type="dxa"/>
          <w:trHeight w:val="300"/>
          <w:jc w:val="right"/>
        </w:trPr>
        <w:tc>
          <w:tcPr>
            <w:tcW w:w="1060" w:type="dxa"/>
            <w:tcBorders>
              <w:top w:val="nil"/>
              <w:left w:val="single" w:sz="8" w:space="0" w:color="0070C0"/>
              <w:bottom w:val="single" w:sz="8" w:space="0" w:color="0070C0"/>
              <w:right w:val="single" w:sz="8" w:space="0" w:color="0070C0"/>
            </w:tcBorders>
            <w:shd w:val="clear" w:color="000000" w:fill="8497B0"/>
            <w:noWrap/>
            <w:vAlign w:val="center"/>
            <w:hideMark/>
          </w:tcPr>
          <w:p w14:paraId="31B55DAF" w14:textId="77777777" w:rsidR="00801382" w:rsidRPr="00CF18E2" w:rsidRDefault="00801382" w:rsidP="00F85A54">
            <w:pPr>
              <w:jc w:val="center"/>
              <w:rPr>
                <w:rFonts w:ascii="Arial Narrow" w:hAnsi="Arial Narrow" w:cs="Calibri"/>
                <w:b/>
                <w:bCs/>
                <w:color w:val="FFFFFF"/>
                <w:spacing w:val="0"/>
                <w:sz w:val="18"/>
                <w:szCs w:val="18"/>
                <w:lang w:eastAsia="es-CO"/>
              </w:rPr>
            </w:pPr>
            <w:r w:rsidRPr="00CF18E2">
              <w:rPr>
                <w:rFonts w:ascii="Arial Narrow" w:hAnsi="Arial Narrow" w:cs="Calibri"/>
                <w:b/>
                <w:bCs/>
                <w:color w:val="FFFFFF"/>
                <w:spacing w:val="0"/>
                <w:sz w:val="18"/>
                <w:szCs w:val="18"/>
                <w:lang w:eastAsia="es-CO"/>
              </w:rPr>
              <w:t>C</w:t>
            </w:r>
          </w:p>
        </w:tc>
        <w:tc>
          <w:tcPr>
            <w:tcW w:w="1001" w:type="dxa"/>
            <w:tcBorders>
              <w:top w:val="nil"/>
              <w:left w:val="nil"/>
              <w:bottom w:val="single" w:sz="8" w:space="0" w:color="0070C0"/>
              <w:right w:val="single" w:sz="8" w:space="0" w:color="0070C0"/>
            </w:tcBorders>
            <w:shd w:val="clear" w:color="000000" w:fill="8497B0"/>
            <w:noWrap/>
            <w:vAlign w:val="center"/>
            <w:hideMark/>
          </w:tcPr>
          <w:p w14:paraId="15D7BFCB" w14:textId="77777777" w:rsidR="00801382" w:rsidRPr="00CF18E2" w:rsidRDefault="00801382" w:rsidP="00F85A54">
            <w:pPr>
              <w:jc w:val="center"/>
              <w:rPr>
                <w:rFonts w:ascii="Arial Narrow" w:hAnsi="Arial Narrow" w:cs="Calibri"/>
                <w:b/>
                <w:bCs/>
                <w:color w:val="FFFFFF"/>
                <w:spacing w:val="0"/>
                <w:sz w:val="18"/>
                <w:szCs w:val="18"/>
                <w:lang w:eastAsia="es-CO"/>
              </w:rPr>
            </w:pPr>
            <w:r w:rsidRPr="00CF18E2">
              <w:rPr>
                <w:rFonts w:ascii="Arial Narrow" w:hAnsi="Arial Narrow" w:cs="Calibri"/>
                <w:b/>
                <w:bCs/>
                <w:color w:val="FFFFFF"/>
                <w:spacing w:val="0"/>
                <w:sz w:val="18"/>
                <w:szCs w:val="18"/>
                <w:lang w:eastAsia="es-CO"/>
              </w:rPr>
              <w:t> </w:t>
            </w:r>
          </w:p>
        </w:tc>
        <w:tc>
          <w:tcPr>
            <w:tcW w:w="5286" w:type="dxa"/>
            <w:tcBorders>
              <w:top w:val="nil"/>
              <w:left w:val="nil"/>
              <w:bottom w:val="single" w:sz="8" w:space="0" w:color="0070C0"/>
              <w:right w:val="single" w:sz="8" w:space="0" w:color="0070C0"/>
            </w:tcBorders>
            <w:shd w:val="clear" w:color="000000" w:fill="8497B0"/>
            <w:noWrap/>
            <w:vAlign w:val="center"/>
            <w:hideMark/>
          </w:tcPr>
          <w:p w14:paraId="10E59196" w14:textId="77777777" w:rsidR="00801382" w:rsidRPr="00CF18E2" w:rsidRDefault="00801382" w:rsidP="00F85A54">
            <w:pPr>
              <w:jc w:val="center"/>
              <w:rPr>
                <w:rFonts w:ascii="Arial Narrow" w:hAnsi="Arial Narrow" w:cs="Calibri"/>
                <w:b/>
                <w:bCs/>
                <w:color w:val="FFFFFF"/>
                <w:spacing w:val="0"/>
                <w:sz w:val="18"/>
                <w:szCs w:val="18"/>
                <w:lang w:eastAsia="es-CO"/>
              </w:rPr>
            </w:pPr>
            <w:r w:rsidRPr="00CF18E2">
              <w:rPr>
                <w:rFonts w:ascii="Arial Narrow" w:hAnsi="Arial Narrow" w:cs="Calibri"/>
                <w:b/>
                <w:bCs/>
                <w:color w:val="FFFFFF"/>
                <w:spacing w:val="0"/>
                <w:sz w:val="18"/>
                <w:szCs w:val="18"/>
                <w:lang w:eastAsia="es-CO"/>
              </w:rPr>
              <w:t xml:space="preserve">INVERSION </w:t>
            </w:r>
          </w:p>
        </w:tc>
        <w:tc>
          <w:tcPr>
            <w:tcW w:w="1398" w:type="dxa"/>
            <w:tcBorders>
              <w:top w:val="nil"/>
              <w:left w:val="nil"/>
              <w:bottom w:val="single" w:sz="8" w:space="0" w:color="0070C0"/>
              <w:right w:val="single" w:sz="8" w:space="0" w:color="0070C0"/>
            </w:tcBorders>
            <w:shd w:val="clear" w:color="000000" w:fill="8497B0"/>
            <w:noWrap/>
            <w:vAlign w:val="center"/>
            <w:hideMark/>
          </w:tcPr>
          <w:p w14:paraId="520EDBDE" w14:textId="77777777" w:rsidR="00801382" w:rsidRPr="00CF18E2" w:rsidRDefault="00801382" w:rsidP="00F85A54">
            <w:pPr>
              <w:jc w:val="right"/>
              <w:rPr>
                <w:rFonts w:ascii="Arial Narrow" w:hAnsi="Arial Narrow" w:cs="Calibri"/>
                <w:b/>
                <w:bCs/>
                <w:color w:val="FFFFFF"/>
                <w:spacing w:val="0"/>
                <w:sz w:val="18"/>
                <w:szCs w:val="18"/>
                <w:lang w:eastAsia="es-CO"/>
              </w:rPr>
            </w:pPr>
            <w:r w:rsidRPr="00CF18E2">
              <w:rPr>
                <w:rFonts w:ascii="Arial Narrow" w:hAnsi="Arial Narrow" w:cs="Calibri"/>
                <w:b/>
                <w:bCs/>
                <w:color w:val="FFFFFF"/>
                <w:spacing w:val="0"/>
                <w:sz w:val="18"/>
                <w:szCs w:val="18"/>
                <w:lang w:eastAsia="es-CO"/>
              </w:rPr>
              <w:t>$ 13.200.000.000</w:t>
            </w:r>
          </w:p>
        </w:tc>
      </w:tr>
      <w:tr w:rsidR="00801382" w:rsidRPr="00CF18E2" w14:paraId="6900EC51" w14:textId="77777777" w:rsidTr="00CF18E2">
        <w:trPr>
          <w:gridAfter w:val="1"/>
          <w:wAfter w:w="20" w:type="dxa"/>
          <w:trHeight w:val="360"/>
          <w:jc w:val="right"/>
        </w:trPr>
        <w:tc>
          <w:tcPr>
            <w:tcW w:w="1060" w:type="dxa"/>
            <w:tcBorders>
              <w:top w:val="nil"/>
              <w:left w:val="single" w:sz="8" w:space="0" w:color="0070C0"/>
              <w:bottom w:val="single" w:sz="8" w:space="0" w:color="0070C0"/>
              <w:right w:val="single" w:sz="8" w:space="0" w:color="0070C0"/>
            </w:tcBorders>
            <w:shd w:val="clear" w:color="auto" w:fill="auto"/>
            <w:noWrap/>
            <w:vAlign w:val="center"/>
            <w:hideMark/>
          </w:tcPr>
          <w:p w14:paraId="1D7C8848" w14:textId="77777777" w:rsidR="00801382" w:rsidRPr="00CF18E2" w:rsidRDefault="00801382" w:rsidP="00F85A54">
            <w:pPr>
              <w:jc w:val="center"/>
              <w:rPr>
                <w:rFonts w:ascii="Arial Narrow" w:hAnsi="Arial Narrow" w:cs="Calibri"/>
                <w:color w:val="000000"/>
                <w:spacing w:val="0"/>
                <w:sz w:val="18"/>
                <w:szCs w:val="18"/>
                <w:lang w:eastAsia="es-CO"/>
              </w:rPr>
            </w:pPr>
            <w:r w:rsidRPr="00CF18E2">
              <w:rPr>
                <w:rFonts w:ascii="Arial Narrow" w:hAnsi="Arial Narrow" w:cs="Calibri"/>
                <w:color w:val="000000"/>
                <w:spacing w:val="0"/>
                <w:sz w:val="18"/>
                <w:szCs w:val="18"/>
                <w:lang w:eastAsia="es-CO"/>
              </w:rPr>
              <w:t>2199-1900-4</w:t>
            </w:r>
          </w:p>
        </w:tc>
        <w:tc>
          <w:tcPr>
            <w:tcW w:w="1001" w:type="dxa"/>
            <w:tcBorders>
              <w:top w:val="nil"/>
              <w:left w:val="nil"/>
              <w:bottom w:val="single" w:sz="8" w:space="0" w:color="0070C0"/>
              <w:right w:val="single" w:sz="8" w:space="0" w:color="0070C0"/>
            </w:tcBorders>
            <w:shd w:val="clear" w:color="auto" w:fill="auto"/>
            <w:noWrap/>
            <w:vAlign w:val="center"/>
            <w:hideMark/>
          </w:tcPr>
          <w:p w14:paraId="4D8504E0" w14:textId="77777777" w:rsidR="00801382" w:rsidRPr="00CF18E2" w:rsidRDefault="00801382" w:rsidP="00F85A54">
            <w:pPr>
              <w:jc w:val="center"/>
              <w:rPr>
                <w:rFonts w:ascii="Arial Narrow" w:hAnsi="Arial Narrow" w:cs="Calibri"/>
                <w:color w:val="000000"/>
                <w:spacing w:val="0"/>
                <w:sz w:val="18"/>
                <w:szCs w:val="18"/>
                <w:lang w:eastAsia="es-CO"/>
              </w:rPr>
            </w:pPr>
            <w:r w:rsidRPr="00CF18E2">
              <w:rPr>
                <w:rFonts w:ascii="Arial Narrow" w:hAnsi="Arial Narrow" w:cs="Calibri"/>
                <w:color w:val="000000"/>
                <w:spacing w:val="0"/>
                <w:sz w:val="18"/>
                <w:szCs w:val="18"/>
                <w:lang w:eastAsia="es-CO"/>
              </w:rPr>
              <w:t>16</w:t>
            </w:r>
          </w:p>
        </w:tc>
        <w:tc>
          <w:tcPr>
            <w:tcW w:w="5286" w:type="dxa"/>
            <w:tcBorders>
              <w:top w:val="nil"/>
              <w:left w:val="nil"/>
              <w:bottom w:val="single" w:sz="8" w:space="0" w:color="0070C0"/>
              <w:right w:val="single" w:sz="8" w:space="0" w:color="0070C0"/>
            </w:tcBorders>
            <w:shd w:val="clear" w:color="auto" w:fill="auto"/>
            <w:vAlign w:val="center"/>
            <w:hideMark/>
          </w:tcPr>
          <w:p w14:paraId="0318F399" w14:textId="77777777" w:rsidR="00801382" w:rsidRPr="00CF18E2" w:rsidRDefault="00801382" w:rsidP="00F85A54">
            <w:pPr>
              <w:jc w:val="left"/>
              <w:rPr>
                <w:rFonts w:ascii="Arial Narrow" w:hAnsi="Arial Narrow" w:cs="Calibri"/>
                <w:color w:val="000000"/>
                <w:spacing w:val="0"/>
                <w:sz w:val="18"/>
                <w:szCs w:val="18"/>
                <w:lang w:eastAsia="es-CO"/>
              </w:rPr>
            </w:pPr>
            <w:r w:rsidRPr="00CF18E2">
              <w:rPr>
                <w:rFonts w:ascii="Arial Narrow" w:hAnsi="Arial Narrow" w:cs="Calibri"/>
                <w:color w:val="000000"/>
                <w:spacing w:val="0"/>
                <w:sz w:val="18"/>
                <w:szCs w:val="18"/>
                <w:lang w:eastAsia="es-CO"/>
              </w:rPr>
              <w:t>MEJORAMIENTO Y MODERNIZACION DE LAS TIC´S DE LA CREG A NIVEL NACIONAL.</w:t>
            </w:r>
          </w:p>
        </w:tc>
        <w:tc>
          <w:tcPr>
            <w:tcW w:w="1398" w:type="dxa"/>
            <w:tcBorders>
              <w:top w:val="nil"/>
              <w:left w:val="nil"/>
              <w:bottom w:val="single" w:sz="8" w:space="0" w:color="0070C0"/>
              <w:right w:val="single" w:sz="8" w:space="0" w:color="0070C0"/>
            </w:tcBorders>
            <w:shd w:val="clear" w:color="auto" w:fill="auto"/>
            <w:noWrap/>
            <w:vAlign w:val="center"/>
            <w:hideMark/>
          </w:tcPr>
          <w:p w14:paraId="6F45EF79" w14:textId="77777777" w:rsidR="00801382" w:rsidRPr="00CF18E2" w:rsidRDefault="00801382" w:rsidP="00F85A54">
            <w:pPr>
              <w:jc w:val="right"/>
              <w:rPr>
                <w:rFonts w:ascii="Arial Narrow" w:hAnsi="Arial Narrow" w:cs="Calibri"/>
                <w:color w:val="000000"/>
                <w:spacing w:val="0"/>
                <w:sz w:val="18"/>
                <w:szCs w:val="18"/>
                <w:lang w:eastAsia="es-CO"/>
              </w:rPr>
            </w:pPr>
            <w:r w:rsidRPr="00CF18E2">
              <w:rPr>
                <w:rFonts w:ascii="Arial Narrow" w:hAnsi="Arial Narrow" w:cs="Calibri"/>
                <w:color w:val="000000"/>
                <w:spacing w:val="0"/>
                <w:sz w:val="18"/>
                <w:szCs w:val="18"/>
                <w:lang w:eastAsia="es-CO"/>
              </w:rPr>
              <w:t>$ 2.732.266.667</w:t>
            </w:r>
          </w:p>
        </w:tc>
      </w:tr>
      <w:tr w:rsidR="00801382" w:rsidRPr="00CF18E2" w14:paraId="65E67748" w14:textId="77777777" w:rsidTr="00CF18E2">
        <w:trPr>
          <w:gridAfter w:val="1"/>
          <w:wAfter w:w="20" w:type="dxa"/>
          <w:trHeight w:val="530"/>
          <w:jc w:val="right"/>
        </w:trPr>
        <w:tc>
          <w:tcPr>
            <w:tcW w:w="1060" w:type="dxa"/>
            <w:tcBorders>
              <w:top w:val="nil"/>
              <w:left w:val="single" w:sz="8" w:space="0" w:color="0070C0"/>
              <w:bottom w:val="single" w:sz="8" w:space="0" w:color="0070C0"/>
              <w:right w:val="single" w:sz="8" w:space="0" w:color="0070C0"/>
            </w:tcBorders>
            <w:shd w:val="clear" w:color="auto" w:fill="auto"/>
            <w:noWrap/>
            <w:vAlign w:val="center"/>
            <w:hideMark/>
          </w:tcPr>
          <w:p w14:paraId="6376DDD4" w14:textId="77777777" w:rsidR="00801382" w:rsidRPr="00CF18E2" w:rsidRDefault="00801382" w:rsidP="00F85A54">
            <w:pPr>
              <w:jc w:val="center"/>
              <w:rPr>
                <w:rFonts w:ascii="Arial Narrow" w:hAnsi="Arial Narrow" w:cs="Calibri"/>
                <w:color w:val="000000"/>
                <w:spacing w:val="0"/>
                <w:sz w:val="18"/>
                <w:szCs w:val="18"/>
                <w:lang w:eastAsia="es-CO"/>
              </w:rPr>
            </w:pPr>
            <w:r w:rsidRPr="00CF18E2">
              <w:rPr>
                <w:rFonts w:ascii="Arial Narrow" w:hAnsi="Arial Narrow" w:cs="Calibri"/>
                <w:color w:val="000000"/>
                <w:spacing w:val="0"/>
                <w:sz w:val="18"/>
                <w:szCs w:val="18"/>
                <w:lang w:eastAsia="es-CO"/>
              </w:rPr>
              <w:t>2199-1900-3</w:t>
            </w:r>
          </w:p>
        </w:tc>
        <w:tc>
          <w:tcPr>
            <w:tcW w:w="1001" w:type="dxa"/>
            <w:tcBorders>
              <w:top w:val="nil"/>
              <w:left w:val="nil"/>
              <w:bottom w:val="single" w:sz="8" w:space="0" w:color="0070C0"/>
              <w:right w:val="single" w:sz="8" w:space="0" w:color="0070C0"/>
            </w:tcBorders>
            <w:shd w:val="clear" w:color="auto" w:fill="auto"/>
            <w:noWrap/>
            <w:vAlign w:val="center"/>
            <w:hideMark/>
          </w:tcPr>
          <w:p w14:paraId="6228F843" w14:textId="77777777" w:rsidR="00801382" w:rsidRPr="00CF18E2" w:rsidRDefault="00801382" w:rsidP="00F85A54">
            <w:pPr>
              <w:jc w:val="center"/>
              <w:rPr>
                <w:rFonts w:ascii="Arial Narrow" w:hAnsi="Arial Narrow" w:cs="Calibri"/>
                <w:color w:val="000000"/>
                <w:spacing w:val="0"/>
                <w:sz w:val="18"/>
                <w:szCs w:val="18"/>
                <w:lang w:eastAsia="es-CO"/>
              </w:rPr>
            </w:pPr>
            <w:r w:rsidRPr="00CF18E2">
              <w:rPr>
                <w:rFonts w:ascii="Arial Narrow" w:hAnsi="Arial Narrow" w:cs="Calibri"/>
                <w:color w:val="000000"/>
                <w:spacing w:val="0"/>
                <w:sz w:val="18"/>
                <w:szCs w:val="18"/>
                <w:lang w:eastAsia="es-CO"/>
              </w:rPr>
              <w:t>16</w:t>
            </w:r>
          </w:p>
        </w:tc>
        <w:tc>
          <w:tcPr>
            <w:tcW w:w="5286" w:type="dxa"/>
            <w:tcBorders>
              <w:top w:val="nil"/>
              <w:left w:val="nil"/>
              <w:bottom w:val="single" w:sz="8" w:space="0" w:color="0070C0"/>
              <w:right w:val="single" w:sz="8" w:space="0" w:color="0070C0"/>
            </w:tcBorders>
            <w:shd w:val="clear" w:color="auto" w:fill="auto"/>
            <w:vAlign w:val="center"/>
            <w:hideMark/>
          </w:tcPr>
          <w:p w14:paraId="58C911E8" w14:textId="77777777" w:rsidR="00801382" w:rsidRPr="00CF18E2" w:rsidRDefault="00801382" w:rsidP="00F85A54">
            <w:pPr>
              <w:jc w:val="left"/>
              <w:rPr>
                <w:rFonts w:ascii="Arial Narrow" w:hAnsi="Arial Narrow" w:cs="Calibri"/>
                <w:color w:val="000000"/>
                <w:spacing w:val="0"/>
                <w:sz w:val="18"/>
                <w:szCs w:val="18"/>
                <w:lang w:eastAsia="es-CO"/>
              </w:rPr>
            </w:pPr>
            <w:r w:rsidRPr="00CF18E2">
              <w:rPr>
                <w:rFonts w:ascii="Arial Narrow" w:hAnsi="Arial Narrow" w:cs="Calibri"/>
                <w:color w:val="000000"/>
                <w:spacing w:val="0"/>
                <w:sz w:val="18"/>
                <w:szCs w:val="18"/>
                <w:lang w:eastAsia="es-CO"/>
              </w:rPr>
              <w:t xml:space="preserve">FORTALECIMIENTO INSTITUCIONAL A PARTIR DEL APRENDIZAJE ORGANIZACIONAL A NIVEL NACIONAL. </w:t>
            </w:r>
          </w:p>
        </w:tc>
        <w:tc>
          <w:tcPr>
            <w:tcW w:w="1398" w:type="dxa"/>
            <w:tcBorders>
              <w:top w:val="nil"/>
              <w:left w:val="nil"/>
              <w:bottom w:val="single" w:sz="8" w:space="0" w:color="0070C0"/>
              <w:right w:val="single" w:sz="8" w:space="0" w:color="0070C0"/>
            </w:tcBorders>
            <w:shd w:val="clear" w:color="auto" w:fill="auto"/>
            <w:noWrap/>
            <w:vAlign w:val="center"/>
            <w:hideMark/>
          </w:tcPr>
          <w:p w14:paraId="34C0DCE1" w14:textId="77777777" w:rsidR="00801382" w:rsidRPr="00CF18E2" w:rsidRDefault="00801382" w:rsidP="00F85A54">
            <w:pPr>
              <w:jc w:val="right"/>
              <w:rPr>
                <w:rFonts w:ascii="Arial Narrow" w:hAnsi="Arial Narrow" w:cs="Calibri"/>
                <w:color w:val="000000"/>
                <w:spacing w:val="0"/>
                <w:sz w:val="18"/>
                <w:szCs w:val="18"/>
                <w:lang w:eastAsia="es-CO"/>
              </w:rPr>
            </w:pPr>
            <w:r w:rsidRPr="00CF18E2">
              <w:rPr>
                <w:rFonts w:ascii="Arial Narrow" w:hAnsi="Arial Narrow" w:cs="Calibri"/>
                <w:color w:val="000000"/>
                <w:spacing w:val="0"/>
                <w:sz w:val="18"/>
                <w:szCs w:val="18"/>
                <w:lang w:eastAsia="es-CO"/>
              </w:rPr>
              <w:t>$ 240.366.667</w:t>
            </w:r>
          </w:p>
        </w:tc>
      </w:tr>
      <w:tr w:rsidR="00801382" w:rsidRPr="00CF18E2" w14:paraId="2500F2E2" w14:textId="77777777" w:rsidTr="00CF18E2">
        <w:trPr>
          <w:gridAfter w:val="1"/>
          <w:wAfter w:w="20" w:type="dxa"/>
          <w:trHeight w:val="790"/>
          <w:jc w:val="right"/>
        </w:trPr>
        <w:tc>
          <w:tcPr>
            <w:tcW w:w="1060" w:type="dxa"/>
            <w:tcBorders>
              <w:top w:val="nil"/>
              <w:left w:val="single" w:sz="8" w:space="0" w:color="0070C0"/>
              <w:bottom w:val="single" w:sz="8" w:space="0" w:color="0070C0"/>
              <w:right w:val="single" w:sz="8" w:space="0" w:color="0070C0"/>
            </w:tcBorders>
            <w:shd w:val="clear" w:color="auto" w:fill="auto"/>
            <w:noWrap/>
            <w:vAlign w:val="center"/>
            <w:hideMark/>
          </w:tcPr>
          <w:p w14:paraId="557AF34D" w14:textId="77777777" w:rsidR="00801382" w:rsidRPr="00CF18E2" w:rsidRDefault="00801382" w:rsidP="00F85A54">
            <w:pPr>
              <w:jc w:val="center"/>
              <w:rPr>
                <w:rFonts w:ascii="Arial Narrow" w:hAnsi="Arial Narrow" w:cs="Calibri"/>
                <w:color w:val="000000"/>
                <w:spacing w:val="0"/>
                <w:sz w:val="18"/>
                <w:szCs w:val="18"/>
                <w:lang w:eastAsia="es-CO"/>
              </w:rPr>
            </w:pPr>
            <w:r w:rsidRPr="00CF18E2">
              <w:rPr>
                <w:rFonts w:ascii="Arial Narrow" w:hAnsi="Arial Narrow" w:cs="Calibri"/>
                <w:color w:val="000000"/>
                <w:spacing w:val="0"/>
                <w:sz w:val="18"/>
                <w:szCs w:val="18"/>
                <w:lang w:eastAsia="es-CO"/>
              </w:rPr>
              <w:t>2106-1900-6</w:t>
            </w:r>
          </w:p>
        </w:tc>
        <w:tc>
          <w:tcPr>
            <w:tcW w:w="1001" w:type="dxa"/>
            <w:tcBorders>
              <w:top w:val="nil"/>
              <w:left w:val="nil"/>
              <w:bottom w:val="single" w:sz="8" w:space="0" w:color="0070C0"/>
              <w:right w:val="single" w:sz="8" w:space="0" w:color="0070C0"/>
            </w:tcBorders>
            <w:shd w:val="clear" w:color="auto" w:fill="auto"/>
            <w:noWrap/>
            <w:vAlign w:val="center"/>
            <w:hideMark/>
          </w:tcPr>
          <w:p w14:paraId="68D4AB42" w14:textId="77777777" w:rsidR="00801382" w:rsidRPr="00CF18E2" w:rsidRDefault="00801382" w:rsidP="00F85A54">
            <w:pPr>
              <w:jc w:val="center"/>
              <w:rPr>
                <w:rFonts w:ascii="Arial Narrow" w:hAnsi="Arial Narrow" w:cs="Calibri"/>
                <w:color w:val="000000"/>
                <w:spacing w:val="0"/>
                <w:sz w:val="18"/>
                <w:szCs w:val="18"/>
                <w:lang w:eastAsia="es-CO"/>
              </w:rPr>
            </w:pPr>
            <w:r w:rsidRPr="00CF18E2">
              <w:rPr>
                <w:rFonts w:ascii="Arial Narrow" w:hAnsi="Arial Narrow" w:cs="Calibri"/>
                <w:color w:val="000000"/>
                <w:spacing w:val="0"/>
                <w:sz w:val="18"/>
                <w:szCs w:val="18"/>
                <w:lang w:eastAsia="es-CO"/>
              </w:rPr>
              <w:t>16</w:t>
            </w:r>
          </w:p>
        </w:tc>
        <w:tc>
          <w:tcPr>
            <w:tcW w:w="5286" w:type="dxa"/>
            <w:tcBorders>
              <w:top w:val="nil"/>
              <w:left w:val="nil"/>
              <w:bottom w:val="single" w:sz="8" w:space="0" w:color="0070C0"/>
              <w:right w:val="single" w:sz="8" w:space="0" w:color="0070C0"/>
            </w:tcBorders>
            <w:shd w:val="clear" w:color="auto" w:fill="auto"/>
            <w:vAlign w:val="center"/>
            <w:hideMark/>
          </w:tcPr>
          <w:p w14:paraId="41BAFE75" w14:textId="77777777" w:rsidR="00801382" w:rsidRPr="00CF18E2" w:rsidRDefault="00801382" w:rsidP="00F85A54">
            <w:pPr>
              <w:jc w:val="left"/>
              <w:rPr>
                <w:rFonts w:ascii="Arial Narrow" w:hAnsi="Arial Narrow" w:cs="Calibri"/>
                <w:color w:val="000000"/>
                <w:spacing w:val="0"/>
                <w:sz w:val="18"/>
                <w:szCs w:val="18"/>
                <w:lang w:eastAsia="es-CO"/>
              </w:rPr>
            </w:pPr>
            <w:r w:rsidRPr="00CF18E2">
              <w:rPr>
                <w:rFonts w:ascii="Arial Narrow" w:hAnsi="Arial Narrow" w:cs="Calibri"/>
                <w:color w:val="000000"/>
                <w:spacing w:val="0"/>
                <w:sz w:val="18"/>
                <w:szCs w:val="18"/>
                <w:lang w:eastAsia="es-CO"/>
              </w:rPr>
              <w:t>ESTUDIOS Y ANÁLISIS PARA LA ADOPCIÓN DE MEDIDAS REGULATORIAS REQUERIDAS POR LOS SECTORES DE ENERGÍA ELÉCTRICA, GAS COMBUSTIBLE Y COMBUSTIBLES LÍQUIDOS A NIVEL NACIONAL.</w:t>
            </w:r>
          </w:p>
        </w:tc>
        <w:tc>
          <w:tcPr>
            <w:tcW w:w="1398" w:type="dxa"/>
            <w:tcBorders>
              <w:top w:val="nil"/>
              <w:left w:val="nil"/>
              <w:bottom w:val="single" w:sz="8" w:space="0" w:color="0070C0"/>
              <w:right w:val="single" w:sz="8" w:space="0" w:color="0070C0"/>
            </w:tcBorders>
            <w:shd w:val="clear" w:color="auto" w:fill="auto"/>
            <w:noWrap/>
            <w:vAlign w:val="center"/>
            <w:hideMark/>
          </w:tcPr>
          <w:p w14:paraId="3DC0B588" w14:textId="77777777" w:rsidR="00801382" w:rsidRPr="00CF18E2" w:rsidRDefault="00801382" w:rsidP="00F85A54">
            <w:pPr>
              <w:jc w:val="right"/>
              <w:rPr>
                <w:rFonts w:ascii="Arial Narrow" w:hAnsi="Arial Narrow" w:cs="Calibri"/>
                <w:color w:val="000000"/>
                <w:spacing w:val="0"/>
                <w:sz w:val="18"/>
                <w:szCs w:val="18"/>
                <w:lang w:eastAsia="es-CO"/>
              </w:rPr>
            </w:pPr>
            <w:r w:rsidRPr="00CF18E2">
              <w:rPr>
                <w:rFonts w:ascii="Arial Narrow" w:hAnsi="Arial Narrow" w:cs="Calibri"/>
                <w:color w:val="000000"/>
                <w:spacing w:val="0"/>
                <w:sz w:val="18"/>
                <w:szCs w:val="18"/>
                <w:lang w:eastAsia="es-CO"/>
              </w:rPr>
              <w:t>$ 9.867.000.000</w:t>
            </w:r>
          </w:p>
        </w:tc>
      </w:tr>
      <w:tr w:rsidR="00801382" w:rsidRPr="00CF18E2" w14:paraId="70671405" w14:textId="77777777" w:rsidTr="00CF18E2">
        <w:trPr>
          <w:gridAfter w:val="1"/>
          <w:wAfter w:w="20" w:type="dxa"/>
          <w:trHeight w:val="300"/>
          <w:jc w:val="right"/>
        </w:trPr>
        <w:tc>
          <w:tcPr>
            <w:tcW w:w="1060" w:type="dxa"/>
            <w:tcBorders>
              <w:top w:val="nil"/>
              <w:left w:val="single" w:sz="8" w:space="0" w:color="0070C0"/>
              <w:bottom w:val="single" w:sz="8" w:space="0" w:color="0070C0"/>
              <w:right w:val="single" w:sz="8" w:space="0" w:color="0070C0"/>
            </w:tcBorders>
            <w:shd w:val="clear" w:color="auto" w:fill="auto"/>
            <w:noWrap/>
            <w:vAlign w:val="center"/>
            <w:hideMark/>
          </w:tcPr>
          <w:p w14:paraId="30727EBA" w14:textId="77777777" w:rsidR="00801382" w:rsidRPr="00CF18E2" w:rsidRDefault="00801382" w:rsidP="00F85A54">
            <w:pPr>
              <w:jc w:val="center"/>
              <w:rPr>
                <w:rFonts w:ascii="Arial Narrow" w:hAnsi="Arial Narrow" w:cs="Calibri"/>
                <w:color w:val="000000"/>
                <w:spacing w:val="0"/>
                <w:sz w:val="18"/>
                <w:szCs w:val="18"/>
                <w:lang w:eastAsia="es-CO"/>
              </w:rPr>
            </w:pPr>
            <w:r w:rsidRPr="00CF18E2">
              <w:rPr>
                <w:rFonts w:ascii="Arial Narrow" w:hAnsi="Arial Narrow" w:cs="Calibri"/>
                <w:color w:val="000000"/>
                <w:spacing w:val="0"/>
                <w:sz w:val="18"/>
                <w:szCs w:val="18"/>
                <w:lang w:eastAsia="es-CO"/>
              </w:rPr>
              <w:t>2106-1900-4</w:t>
            </w:r>
          </w:p>
        </w:tc>
        <w:tc>
          <w:tcPr>
            <w:tcW w:w="1001" w:type="dxa"/>
            <w:tcBorders>
              <w:top w:val="nil"/>
              <w:left w:val="nil"/>
              <w:bottom w:val="single" w:sz="8" w:space="0" w:color="0070C0"/>
              <w:right w:val="single" w:sz="8" w:space="0" w:color="0070C0"/>
            </w:tcBorders>
            <w:shd w:val="clear" w:color="auto" w:fill="auto"/>
            <w:noWrap/>
            <w:vAlign w:val="center"/>
            <w:hideMark/>
          </w:tcPr>
          <w:p w14:paraId="33746902" w14:textId="77777777" w:rsidR="00801382" w:rsidRPr="00CF18E2" w:rsidRDefault="00801382" w:rsidP="00F85A54">
            <w:pPr>
              <w:jc w:val="center"/>
              <w:rPr>
                <w:rFonts w:ascii="Arial Narrow" w:hAnsi="Arial Narrow" w:cs="Calibri"/>
                <w:color w:val="000000"/>
                <w:spacing w:val="0"/>
                <w:sz w:val="18"/>
                <w:szCs w:val="18"/>
                <w:lang w:eastAsia="es-CO"/>
              </w:rPr>
            </w:pPr>
            <w:r w:rsidRPr="00CF18E2">
              <w:rPr>
                <w:rFonts w:ascii="Arial Narrow" w:hAnsi="Arial Narrow" w:cs="Calibri"/>
                <w:color w:val="000000"/>
                <w:spacing w:val="0"/>
                <w:sz w:val="18"/>
                <w:szCs w:val="18"/>
                <w:lang w:eastAsia="es-CO"/>
              </w:rPr>
              <w:t>16</w:t>
            </w:r>
          </w:p>
        </w:tc>
        <w:tc>
          <w:tcPr>
            <w:tcW w:w="5286" w:type="dxa"/>
            <w:tcBorders>
              <w:top w:val="nil"/>
              <w:left w:val="nil"/>
              <w:bottom w:val="single" w:sz="8" w:space="0" w:color="0070C0"/>
              <w:right w:val="single" w:sz="8" w:space="0" w:color="0070C0"/>
            </w:tcBorders>
            <w:shd w:val="clear" w:color="auto" w:fill="auto"/>
            <w:vAlign w:val="center"/>
            <w:hideMark/>
          </w:tcPr>
          <w:p w14:paraId="13ED377D" w14:textId="77777777" w:rsidR="00801382" w:rsidRPr="00CF18E2" w:rsidRDefault="00801382" w:rsidP="00F85A54">
            <w:pPr>
              <w:jc w:val="left"/>
              <w:rPr>
                <w:rFonts w:ascii="Arial Narrow" w:hAnsi="Arial Narrow" w:cs="Calibri"/>
                <w:color w:val="000000"/>
                <w:spacing w:val="0"/>
                <w:sz w:val="18"/>
                <w:szCs w:val="18"/>
                <w:lang w:eastAsia="es-CO"/>
              </w:rPr>
            </w:pPr>
            <w:r w:rsidRPr="00CF18E2">
              <w:rPr>
                <w:rFonts w:ascii="Arial Narrow" w:hAnsi="Arial Narrow" w:cs="Calibri"/>
                <w:color w:val="000000"/>
                <w:spacing w:val="0"/>
                <w:sz w:val="18"/>
                <w:szCs w:val="18"/>
                <w:lang w:eastAsia="es-CO"/>
              </w:rPr>
              <w:t>DIVULGACION DE LA REGULACION A LA CIUDADANIA A NIVEL NACIONAL.</w:t>
            </w:r>
          </w:p>
        </w:tc>
        <w:tc>
          <w:tcPr>
            <w:tcW w:w="1398" w:type="dxa"/>
            <w:tcBorders>
              <w:top w:val="nil"/>
              <w:left w:val="nil"/>
              <w:bottom w:val="single" w:sz="8" w:space="0" w:color="0070C0"/>
              <w:right w:val="single" w:sz="8" w:space="0" w:color="0070C0"/>
            </w:tcBorders>
            <w:shd w:val="clear" w:color="auto" w:fill="auto"/>
            <w:noWrap/>
            <w:vAlign w:val="center"/>
            <w:hideMark/>
          </w:tcPr>
          <w:p w14:paraId="0E766E03" w14:textId="77777777" w:rsidR="00801382" w:rsidRPr="00CF18E2" w:rsidRDefault="00801382" w:rsidP="00F85A54">
            <w:pPr>
              <w:jc w:val="right"/>
              <w:rPr>
                <w:rFonts w:ascii="Arial Narrow" w:hAnsi="Arial Narrow" w:cs="Calibri"/>
                <w:color w:val="000000"/>
                <w:spacing w:val="0"/>
                <w:sz w:val="18"/>
                <w:szCs w:val="18"/>
                <w:lang w:eastAsia="es-CO"/>
              </w:rPr>
            </w:pPr>
            <w:r w:rsidRPr="00CF18E2">
              <w:rPr>
                <w:rFonts w:ascii="Arial Narrow" w:hAnsi="Arial Narrow" w:cs="Calibri"/>
                <w:color w:val="000000"/>
                <w:spacing w:val="0"/>
                <w:sz w:val="18"/>
                <w:szCs w:val="18"/>
                <w:lang w:eastAsia="es-CO"/>
              </w:rPr>
              <w:t>$ 360.366.666</w:t>
            </w:r>
          </w:p>
        </w:tc>
      </w:tr>
      <w:tr w:rsidR="00801382" w:rsidRPr="00CF18E2" w14:paraId="76095B50" w14:textId="77777777" w:rsidTr="00CF18E2">
        <w:trPr>
          <w:trHeight w:val="300"/>
          <w:jc w:val="right"/>
        </w:trPr>
        <w:tc>
          <w:tcPr>
            <w:tcW w:w="7347" w:type="dxa"/>
            <w:gridSpan w:val="3"/>
            <w:tcBorders>
              <w:top w:val="single" w:sz="8" w:space="0" w:color="0070C0"/>
              <w:left w:val="single" w:sz="8" w:space="0" w:color="0070C0"/>
              <w:bottom w:val="single" w:sz="8" w:space="0" w:color="auto"/>
              <w:right w:val="single" w:sz="8" w:space="0" w:color="000000"/>
            </w:tcBorders>
            <w:shd w:val="clear" w:color="000000" w:fill="C5D9F1"/>
            <w:noWrap/>
            <w:vAlign w:val="center"/>
            <w:hideMark/>
          </w:tcPr>
          <w:p w14:paraId="3D780717" w14:textId="77777777" w:rsidR="00801382" w:rsidRPr="00CF18E2" w:rsidRDefault="00801382" w:rsidP="00F85A54">
            <w:pPr>
              <w:jc w:val="right"/>
              <w:rPr>
                <w:rFonts w:ascii="Arial Narrow" w:hAnsi="Arial Narrow" w:cs="Calibri"/>
                <w:b/>
                <w:bCs/>
                <w:color w:val="000000"/>
                <w:spacing w:val="0"/>
                <w:sz w:val="18"/>
                <w:szCs w:val="18"/>
                <w:lang w:eastAsia="es-CO"/>
              </w:rPr>
            </w:pPr>
            <w:r w:rsidRPr="00CF18E2">
              <w:rPr>
                <w:rFonts w:ascii="Arial Narrow" w:hAnsi="Arial Narrow" w:cs="Calibri"/>
                <w:b/>
                <w:bCs/>
                <w:color w:val="000000"/>
                <w:spacing w:val="0"/>
                <w:sz w:val="18"/>
                <w:szCs w:val="18"/>
                <w:lang w:eastAsia="es-CO"/>
              </w:rPr>
              <w:t xml:space="preserve">TOTAL PRESUPUESTO VIGENCIA 2021 </w:t>
            </w:r>
          </w:p>
        </w:tc>
        <w:tc>
          <w:tcPr>
            <w:tcW w:w="1418" w:type="dxa"/>
            <w:gridSpan w:val="2"/>
            <w:tcBorders>
              <w:top w:val="nil"/>
              <w:left w:val="nil"/>
              <w:bottom w:val="single" w:sz="8" w:space="0" w:color="auto"/>
              <w:right w:val="single" w:sz="8" w:space="0" w:color="0070C0"/>
            </w:tcBorders>
            <w:shd w:val="clear" w:color="000000" w:fill="C5D9F1"/>
            <w:noWrap/>
            <w:vAlign w:val="center"/>
            <w:hideMark/>
          </w:tcPr>
          <w:p w14:paraId="40B4E030" w14:textId="77777777" w:rsidR="00801382" w:rsidRPr="00CF18E2" w:rsidRDefault="00801382" w:rsidP="00F85A54">
            <w:pPr>
              <w:jc w:val="right"/>
              <w:rPr>
                <w:rFonts w:ascii="Arial Narrow" w:hAnsi="Arial Narrow" w:cs="Calibri"/>
                <w:b/>
                <w:bCs/>
                <w:color w:val="000000"/>
                <w:spacing w:val="0"/>
                <w:sz w:val="18"/>
                <w:szCs w:val="18"/>
                <w:lang w:eastAsia="es-CO"/>
              </w:rPr>
            </w:pPr>
            <w:r w:rsidRPr="00CF18E2">
              <w:rPr>
                <w:rFonts w:ascii="Arial Narrow" w:hAnsi="Arial Narrow" w:cs="Calibri"/>
                <w:b/>
                <w:bCs/>
                <w:color w:val="000000"/>
                <w:spacing w:val="0"/>
                <w:sz w:val="18"/>
                <w:szCs w:val="18"/>
                <w:lang w:eastAsia="es-CO"/>
              </w:rPr>
              <w:t>$ 37.700.938.000</w:t>
            </w:r>
          </w:p>
        </w:tc>
      </w:tr>
      <w:tr w:rsidR="00801382" w:rsidRPr="00CF18E2" w14:paraId="0134F0AC" w14:textId="77777777" w:rsidTr="00CF18E2">
        <w:trPr>
          <w:trHeight w:val="300"/>
          <w:jc w:val="right"/>
        </w:trPr>
        <w:tc>
          <w:tcPr>
            <w:tcW w:w="7347" w:type="dxa"/>
            <w:gridSpan w:val="3"/>
            <w:tcBorders>
              <w:top w:val="single" w:sz="8" w:space="0" w:color="auto"/>
              <w:left w:val="single" w:sz="8" w:space="0" w:color="0070C0"/>
              <w:bottom w:val="single" w:sz="8" w:space="0" w:color="0070C0"/>
              <w:right w:val="single" w:sz="8" w:space="0" w:color="0070C0"/>
            </w:tcBorders>
            <w:shd w:val="clear" w:color="auto" w:fill="auto"/>
            <w:noWrap/>
            <w:vAlign w:val="center"/>
            <w:hideMark/>
          </w:tcPr>
          <w:p w14:paraId="60011002" w14:textId="77777777" w:rsidR="00801382" w:rsidRPr="00CF18E2" w:rsidRDefault="00801382" w:rsidP="00F85A54">
            <w:pPr>
              <w:jc w:val="right"/>
              <w:rPr>
                <w:rFonts w:ascii="Arial Narrow" w:hAnsi="Arial Narrow" w:cs="Calibri"/>
                <w:color w:val="000000"/>
                <w:spacing w:val="0"/>
                <w:sz w:val="18"/>
                <w:szCs w:val="18"/>
                <w:lang w:eastAsia="es-CO"/>
              </w:rPr>
            </w:pPr>
            <w:r w:rsidRPr="00CF18E2">
              <w:rPr>
                <w:rFonts w:ascii="Arial Narrow" w:hAnsi="Arial Narrow" w:cs="Calibri"/>
                <w:color w:val="000000"/>
                <w:spacing w:val="0"/>
                <w:sz w:val="18"/>
                <w:szCs w:val="18"/>
                <w:lang w:eastAsia="es-CO"/>
              </w:rPr>
              <w:t xml:space="preserve">Menos transferencia al fondo empresarial – SSPD </w:t>
            </w:r>
          </w:p>
        </w:tc>
        <w:tc>
          <w:tcPr>
            <w:tcW w:w="1418" w:type="dxa"/>
            <w:gridSpan w:val="2"/>
            <w:tcBorders>
              <w:top w:val="nil"/>
              <w:left w:val="nil"/>
              <w:bottom w:val="single" w:sz="8" w:space="0" w:color="0070C0"/>
              <w:right w:val="single" w:sz="8" w:space="0" w:color="0070C0"/>
            </w:tcBorders>
            <w:shd w:val="clear" w:color="auto" w:fill="auto"/>
            <w:noWrap/>
            <w:vAlign w:val="center"/>
            <w:hideMark/>
          </w:tcPr>
          <w:p w14:paraId="23D017FC" w14:textId="77777777" w:rsidR="00801382" w:rsidRPr="00CF18E2" w:rsidRDefault="00801382" w:rsidP="00F85A54">
            <w:pPr>
              <w:jc w:val="right"/>
              <w:rPr>
                <w:rFonts w:ascii="Arial Narrow" w:hAnsi="Arial Narrow" w:cs="Calibri"/>
                <w:color w:val="FF0000"/>
                <w:spacing w:val="0"/>
                <w:sz w:val="18"/>
                <w:szCs w:val="18"/>
                <w:lang w:eastAsia="es-CO"/>
              </w:rPr>
            </w:pPr>
            <w:r w:rsidRPr="00CF18E2">
              <w:rPr>
                <w:rFonts w:ascii="Arial Narrow" w:hAnsi="Arial Narrow" w:cs="Calibri"/>
                <w:color w:val="FF0000"/>
                <w:spacing w:val="0"/>
                <w:sz w:val="18"/>
                <w:szCs w:val="18"/>
                <w:lang w:eastAsia="es-CO"/>
              </w:rPr>
              <w:t>($ 589.814.377)</w:t>
            </w:r>
          </w:p>
        </w:tc>
      </w:tr>
      <w:tr w:rsidR="00801382" w:rsidRPr="00CF18E2" w14:paraId="4828341D" w14:textId="77777777" w:rsidTr="00CF18E2">
        <w:trPr>
          <w:trHeight w:val="300"/>
          <w:jc w:val="right"/>
        </w:trPr>
        <w:tc>
          <w:tcPr>
            <w:tcW w:w="7347" w:type="dxa"/>
            <w:gridSpan w:val="3"/>
            <w:tcBorders>
              <w:top w:val="single" w:sz="8" w:space="0" w:color="0070C0"/>
              <w:left w:val="single" w:sz="8" w:space="0" w:color="0070C0"/>
              <w:bottom w:val="single" w:sz="8" w:space="0" w:color="auto"/>
              <w:right w:val="single" w:sz="8" w:space="0" w:color="000000"/>
            </w:tcBorders>
            <w:shd w:val="clear" w:color="000000" w:fill="C5D9F1"/>
            <w:noWrap/>
            <w:vAlign w:val="center"/>
            <w:hideMark/>
          </w:tcPr>
          <w:p w14:paraId="6701ACF5" w14:textId="77777777" w:rsidR="00801382" w:rsidRPr="00CF18E2" w:rsidRDefault="00801382" w:rsidP="00F85A54">
            <w:pPr>
              <w:jc w:val="right"/>
              <w:rPr>
                <w:rFonts w:ascii="Arial Narrow" w:hAnsi="Arial Narrow" w:cs="Calibri"/>
                <w:b/>
                <w:bCs/>
                <w:color w:val="000000"/>
                <w:spacing w:val="0"/>
                <w:sz w:val="18"/>
                <w:szCs w:val="18"/>
                <w:lang w:eastAsia="es-CO"/>
              </w:rPr>
            </w:pPr>
            <w:r w:rsidRPr="00CF18E2">
              <w:rPr>
                <w:rFonts w:ascii="Arial Narrow" w:hAnsi="Arial Narrow" w:cs="Calibri"/>
                <w:b/>
                <w:bCs/>
                <w:color w:val="000000"/>
                <w:spacing w:val="0"/>
                <w:sz w:val="18"/>
                <w:szCs w:val="18"/>
                <w:lang w:eastAsia="es-CO"/>
              </w:rPr>
              <w:t xml:space="preserve">SUBTOTAL PRESUPUESTO 2021 CON EROGACIONES DIRECTAS DE LA VIGENCIA </w:t>
            </w:r>
          </w:p>
        </w:tc>
        <w:tc>
          <w:tcPr>
            <w:tcW w:w="1418" w:type="dxa"/>
            <w:gridSpan w:val="2"/>
            <w:tcBorders>
              <w:top w:val="nil"/>
              <w:left w:val="nil"/>
              <w:bottom w:val="single" w:sz="8" w:space="0" w:color="auto"/>
              <w:right w:val="single" w:sz="8" w:space="0" w:color="0070C0"/>
            </w:tcBorders>
            <w:shd w:val="clear" w:color="000000" w:fill="C5D9F1"/>
            <w:noWrap/>
            <w:vAlign w:val="center"/>
            <w:hideMark/>
          </w:tcPr>
          <w:p w14:paraId="46550EDE" w14:textId="77777777" w:rsidR="00801382" w:rsidRPr="00CF18E2" w:rsidRDefault="00801382" w:rsidP="00F85A54">
            <w:pPr>
              <w:jc w:val="right"/>
              <w:rPr>
                <w:rFonts w:ascii="Arial Narrow" w:hAnsi="Arial Narrow" w:cs="Calibri"/>
                <w:b/>
                <w:bCs/>
                <w:color w:val="000000"/>
                <w:spacing w:val="0"/>
                <w:sz w:val="18"/>
                <w:szCs w:val="18"/>
                <w:lang w:eastAsia="es-CO"/>
              </w:rPr>
            </w:pPr>
            <w:r w:rsidRPr="00CF18E2">
              <w:rPr>
                <w:rFonts w:ascii="Arial Narrow" w:hAnsi="Arial Narrow" w:cs="Calibri"/>
                <w:b/>
                <w:bCs/>
                <w:color w:val="000000"/>
                <w:spacing w:val="0"/>
                <w:sz w:val="18"/>
                <w:szCs w:val="18"/>
                <w:lang w:eastAsia="es-CO"/>
              </w:rPr>
              <w:t>$ 37.111.123.623</w:t>
            </w:r>
          </w:p>
        </w:tc>
      </w:tr>
      <w:tr w:rsidR="00801382" w:rsidRPr="00CF18E2" w14:paraId="36815907" w14:textId="77777777" w:rsidTr="00CF18E2">
        <w:trPr>
          <w:trHeight w:val="300"/>
          <w:jc w:val="right"/>
        </w:trPr>
        <w:tc>
          <w:tcPr>
            <w:tcW w:w="7347" w:type="dxa"/>
            <w:gridSpan w:val="3"/>
            <w:tcBorders>
              <w:top w:val="single" w:sz="8" w:space="0" w:color="0070C0"/>
              <w:left w:val="single" w:sz="8" w:space="0" w:color="0070C0"/>
              <w:bottom w:val="single" w:sz="8" w:space="0" w:color="0070C0"/>
              <w:right w:val="single" w:sz="8" w:space="0" w:color="000000"/>
            </w:tcBorders>
            <w:shd w:val="clear" w:color="000000" w:fill="FFFFFF"/>
            <w:noWrap/>
            <w:vAlign w:val="center"/>
            <w:hideMark/>
          </w:tcPr>
          <w:p w14:paraId="496411BA" w14:textId="77777777" w:rsidR="00801382" w:rsidRPr="00CF18E2" w:rsidRDefault="00801382" w:rsidP="00F85A54">
            <w:pPr>
              <w:jc w:val="right"/>
              <w:rPr>
                <w:rFonts w:ascii="Arial Narrow" w:hAnsi="Arial Narrow" w:cs="Calibri"/>
                <w:color w:val="000000"/>
                <w:spacing w:val="0"/>
                <w:sz w:val="18"/>
                <w:szCs w:val="18"/>
                <w:lang w:eastAsia="es-CO"/>
              </w:rPr>
            </w:pPr>
            <w:r w:rsidRPr="00CF18E2">
              <w:rPr>
                <w:rFonts w:ascii="Arial Narrow" w:hAnsi="Arial Narrow" w:cs="Calibri"/>
                <w:color w:val="000000"/>
                <w:spacing w:val="0"/>
                <w:sz w:val="18"/>
                <w:szCs w:val="18"/>
                <w:lang w:eastAsia="es-CO"/>
              </w:rPr>
              <w:t xml:space="preserve">Menos recursos situados para sufragar la regulación del sector combustibles líquidos – Resolución 1179 de 2021 (MHCP)  </w:t>
            </w:r>
          </w:p>
        </w:tc>
        <w:tc>
          <w:tcPr>
            <w:tcW w:w="1418" w:type="dxa"/>
            <w:gridSpan w:val="2"/>
            <w:tcBorders>
              <w:top w:val="nil"/>
              <w:left w:val="nil"/>
              <w:bottom w:val="single" w:sz="8" w:space="0" w:color="0070C0"/>
              <w:right w:val="single" w:sz="8" w:space="0" w:color="0070C0"/>
            </w:tcBorders>
            <w:shd w:val="clear" w:color="000000" w:fill="FFFFFF"/>
            <w:noWrap/>
            <w:vAlign w:val="center"/>
            <w:hideMark/>
          </w:tcPr>
          <w:p w14:paraId="1F08FA91" w14:textId="77777777" w:rsidR="00801382" w:rsidRPr="00CF18E2" w:rsidRDefault="00801382" w:rsidP="00F85A54">
            <w:pPr>
              <w:jc w:val="right"/>
              <w:rPr>
                <w:rFonts w:ascii="Arial Narrow" w:hAnsi="Arial Narrow" w:cs="Calibri"/>
                <w:color w:val="FF0000"/>
                <w:spacing w:val="0"/>
                <w:sz w:val="18"/>
                <w:szCs w:val="18"/>
                <w:lang w:eastAsia="es-CO"/>
              </w:rPr>
            </w:pPr>
            <w:r w:rsidRPr="00CF18E2">
              <w:rPr>
                <w:rFonts w:ascii="Arial Narrow" w:hAnsi="Arial Narrow" w:cs="Calibri"/>
                <w:color w:val="FF0000"/>
                <w:spacing w:val="0"/>
                <w:sz w:val="18"/>
                <w:szCs w:val="18"/>
                <w:lang w:eastAsia="es-CO"/>
              </w:rPr>
              <w:t>($ 4.605.380.691)</w:t>
            </w:r>
          </w:p>
        </w:tc>
      </w:tr>
      <w:tr w:rsidR="00801382" w:rsidRPr="00CF18E2" w14:paraId="5BEEF7AE" w14:textId="77777777" w:rsidTr="00CF18E2">
        <w:trPr>
          <w:trHeight w:val="300"/>
          <w:jc w:val="right"/>
        </w:trPr>
        <w:tc>
          <w:tcPr>
            <w:tcW w:w="7347" w:type="dxa"/>
            <w:gridSpan w:val="3"/>
            <w:tcBorders>
              <w:top w:val="single" w:sz="8" w:space="0" w:color="0070C0"/>
              <w:left w:val="single" w:sz="8" w:space="0" w:color="0070C0"/>
              <w:bottom w:val="single" w:sz="8" w:space="0" w:color="auto"/>
              <w:right w:val="single" w:sz="8" w:space="0" w:color="000000"/>
            </w:tcBorders>
            <w:shd w:val="clear" w:color="000000" w:fill="C5D9F1"/>
            <w:noWrap/>
            <w:vAlign w:val="center"/>
            <w:hideMark/>
          </w:tcPr>
          <w:p w14:paraId="1B413EE8" w14:textId="77777777" w:rsidR="00801382" w:rsidRPr="00CF18E2" w:rsidRDefault="00801382" w:rsidP="00F85A54">
            <w:pPr>
              <w:jc w:val="right"/>
              <w:rPr>
                <w:rFonts w:ascii="Arial Narrow" w:hAnsi="Arial Narrow" w:cs="Calibri"/>
                <w:b/>
                <w:bCs/>
                <w:color w:val="000000"/>
                <w:spacing w:val="0"/>
                <w:sz w:val="18"/>
                <w:szCs w:val="18"/>
                <w:lang w:eastAsia="es-CO"/>
              </w:rPr>
            </w:pPr>
            <w:r w:rsidRPr="00CF18E2">
              <w:rPr>
                <w:rFonts w:ascii="Arial Narrow" w:hAnsi="Arial Narrow" w:cs="Calibri"/>
                <w:b/>
                <w:bCs/>
                <w:color w:val="000000"/>
                <w:spacing w:val="0"/>
                <w:sz w:val="18"/>
                <w:szCs w:val="18"/>
                <w:lang w:eastAsia="es-CO"/>
              </w:rPr>
              <w:t>NETO PRESUPUESTO BASE PARA LA CONTRIBUCIÓN ESPECIAL 2021</w:t>
            </w:r>
          </w:p>
        </w:tc>
        <w:tc>
          <w:tcPr>
            <w:tcW w:w="1418" w:type="dxa"/>
            <w:gridSpan w:val="2"/>
            <w:tcBorders>
              <w:top w:val="nil"/>
              <w:left w:val="nil"/>
              <w:bottom w:val="single" w:sz="8" w:space="0" w:color="auto"/>
              <w:right w:val="single" w:sz="8" w:space="0" w:color="0070C0"/>
            </w:tcBorders>
            <w:shd w:val="clear" w:color="000000" w:fill="C5D9F1"/>
            <w:noWrap/>
            <w:vAlign w:val="center"/>
            <w:hideMark/>
          </w:tcPr>
          <w:p w14:paraId="31170A32" w14:textId="77777777" w:rsidR="00801382" w:rsidRPr="00CF18E2" w:rsidRDefault="00801382" w:rsidP="00F85A54">
            <w:pPr>
              <w:jc w:val="right"/>
              <w:rPr>
                <w:rFonts w:ascii="Arial Narrow" w:hAnsi="Arial Narrow" w:cs="Calibri"/>
                <w:b/>
                <w:bCs/>
                <w:color w:val="000000"/>
                <w:spacing w:val="0"/>
                <w:sz w:val="18"/>
                <w:szCs w:val="18"/>
                <w:lang w:eastAsia="es-CO"/>
              </w:rPr>
            </w:pPr>
            <w:r w:rsidRPr="00CF18E2">
              <w:rPr>
                <w:rFonts w:ascii="Arial Narrow" w:hAnsi="Arial Narrow" w:cs="Calibri"/>
                <w:b/>
                <w:bCs/>
                <w:color w:val="000000"/>
                <w:spacing w:val="0"/>
                <w:sz w:val="18"/>
                <w:szCs w:val="18"/>
                <w:lang w:eastAsia="es-CO"/>
              </w:rPr>
              <w:t>$ 32.505.742.932</w:t>
            </w:r>
          </w:p>
        </w:tc>
      </w:tr>
    </w:tbl>
    <w:p w14:paraId="3741A538" w14:textId="579571EA" w:rsidR="00E31272" w:rsidRDefault="00897A2C" w:rsidP="00E31272">
      <w:pPr>
        <w:rPr>
          <w:sz w:val="22"/>
          <w:szCs w:val="22"/>
        </w:rPr>
      </w:pPr>
      <w:r>
        <w:rPr>
          <w:sz w:val="22"/>
          <w:szCs w:val="22"/>
        </w:rPr>
        <w:lastRenderedPageBreak/>
        <w:t>L</w:t>
      </w:r>
      <w:r w:rsidRPr="00F7256E">
        <w:rPr>
          <w:sz w:val="22"/>
          <w:szCs w:val="22"/>
        </w:rPr>
        <w:t xml:space="preserve">as apropiaciones presupuestales de la CREG para la vigencia fiscal 2021, fueron establecidas en el anexo del Decreto de N° 1805 del 31 diciembre 2020, </w:t>
      </w:r>
      <w:r w:rsidRPr="00E31272">
        <w:rPr>
          <w:i/>
          <w:iCs/>
          <w:sz w:val="22"/>
          <w:szCs w:val="22"/>
        </w:rPr>
        <w:t>“Por el cual se liquida el Presupuesto General de la Nación para la vigencia fiscal de 2021, se detallan las apropiaciones y se clasifican y definen los gastos”</w:t>
      </w:r>
      <w:r>
        <w:rPr>
          <w:i/>
          <w:iCs/>
          <w:sz w:val="22"/>
          <w:szCs w:val="22"/>
        </w:rPr>
        <w:t xml:space="preserve">, </w:t>
      </w:r>
      <w:r>
        <w:rPr>
          <w:sz w:val="22"/>
          <w:szCs w:val="22"/>
        </w:rPr>
        <w:t xml:space="preserve">en desarrollo del </w:t>
      </w:r>
      <w:r w:rsidR="00E31272" w:rsidRPr="00F7256E">
        <w:rPr>
          <w:sz w:val="22"/>
          <w:szCs w:val="22"/>
        </w:rPr>
        <w:t xml:space="preserve">artículo 19 de la Ley 2063 de 2020 </w:t>
      </w:r>
      <w:r w:rsidR="00E31272" w:rsidRPr="00F7256E">
        <w:rPr>
          <w:i/>
          <w:iCs/>
          <w:sz w:val="22"/>
          <w:szCs w:val="22"/>
        </w:rPr>
        <w:t>“Por la cual se decreta el Presupuesto de Rentas y Recursos de Capital y Ley de Apropiaciones para la vigencia fiscal del 1 de enero al 31 de diciembre de 2021”</w:t>
      </w:r>
      <w:r>
        <w:rPr>
          <w:sz w:val="22"/>
          <w:szCs w:val="22"/>
        </w:rPr>
        <w:t>.</w:t>
      </w:r>
    </w:p>
    <w:p w14:paraId="0B0656DF" w14:textId="77777777" w:rsidR="00990857" w:rsidRDefault="00990857" w:rsidP="00990857">
      <w:pPr>
        <w:rPr>
          <w:rFonts w:cs="Arial"/>
          <w:sz w:val="22"/>
          <w:szCs w:val="22"/>
        </w:rPr>
      </w:pPr>
    </w:p>
    <w:p w14:paraId="0D3F5CB7" w14:textId="1E5EEEF1" w:rsidR="00990857" w:rsidRPr="005F6E0F" w:rsidRDefault="00990857" w:rsidP="00990857">
      <w:pPr>
        <w:pStyle w:val="Subttulo"/>
        <w:numPr>
          <w:ilvl w:val="1"/>
          <w:numId w:val="37"/>
        </w:numPr>
        <w:spacing w:after="0"/>
        <w:ind w:left="357" w:hanging="357"/>
        <w:jc w:val="left"/>
        <w:rPr>
          <w:b/>
          <w:bCs/>
          <w:sz w:val="22"/>
          <w:szCs w:val="22"/>
        </w:rPr>
      </w:pPr>
      <w:bookmarkStart w:id="20" w:name="_Toc54170179"/>
      <w:bookmarkStart w:id="21" w:name="_Toc88126834"/>
      <w:r>
        <w:rPr>
          <w:b/>
          <w:bCs/>
          <w:sz w:val="22"/>
          <w:szCs w:val="22"/>
        </w:rPr>
        <w:t xml:space="preserve">CUANTÍA MÍNIMA 2021 </w:t>
      </w:r>
      <w:r w:rsidR="006251F5">
        <w:rPr>
          <w:b/>
          <w:bCs/>
          <w:sz w:val="22"/>
          <w:szCs w:val="22"/>
        </w:rPr>
        <w:t xml:space="preserve">PARA </w:t>
      </w:r>
      <w:r>
        <w:rPr>
          <w:b/>
          <w:bCs/>
          <w:sz w:val="22"/>
          <w:szCs w:val="22"/>
        </w:rPr>
        <w:t>RECUPERACIÓN DE COSTOS</w:t>
      </w:r>
      <w:bookmarkEnd w:id="20"/>
      <w:bookmarkEnd w:id="21"/>
    </w:p>
    <w:p w14:paraId="52D498B1" w14:textId="0D52390D" w:rsidR="00990857" w:rsidRDefault="00990857" w:rsidP="00990857">
      <w:pPr>
        <w:rPr>
          <w:rFonts w:cs="Arial"/>
          <w:sz w:val="22"/>
          <w:szCs w:val="22"/>
        </w:rPr>
      </w:pPr>
    </w:p>
    <w:p w14:paraId="07E509A1" w14:textId="1C5292A7" w:rsidR="00EC7D6C" w:rsidRDefault="00990857" w:rsidP="00990857">
      <w:pPr>
        <w:rPr>
          <w:rFonts w:cs="Arial"/>
          <w:sz w:val="22"/>
          <w:szCs w:val="22"/>
        </w:rPr>
      </w:pPr>
      <w:r w:rsidRPr="00B629F3">
        <w:rPr>
          <w:rFonts w:cs="Arial"/>
          <w:sz w:val="22"/>
          <w:szCs w:val="22"/>
        </w:rPr>
        <w:t xml:space="preserve">Conforme a lo señalado en el numeral 12 del artículo 3 de la Ley 1437 de 2011, en cuanto las actuaciones administrativas se desarrollarán con arreglo y en virtud al principio de  economía, </w:t>
      </w:r>
      <w:r w:rsidR="00086236">
        <w:rPr>
          <w:rFonts w:cs="Arial"/>
          <w:sz w:val="22"/>
          <w:szCs w:val="22"/>
        </w:rPr>
        <w:t>teniendo en cuenta</w:t>
      </w:r>
      <w:r>
        <w:rPr>
          <w:rFonts w:cs="Arial"/>
          <w:sz w:val="22"/>
          <w:szCs w:val="22"/>
        </w:rPr>
        <w:t xml:space="preserve"> las actividades asociadas a </w:t>
      </w:r>
      <w:r w:rsidR="00086236">
        <w:rPr>
          <w:rFonts w:cs="Arial"/>
          <w:sz w:val="22"/>
          <w:szCs w:val="22"/>
        </w:rPr>
        <w:t xml:space="preserve">contribución especial en las actividades de </w:t>
      </w:r>
      <w:r>
        <w:rPr>
          <w:rFonts w:cs="Arial"/>
          <w:sz w:val="22"/>
          <w:szCs w:val="22"/>
        </w:rPr>
        <w:t>contribución y cartera</w:t>
      </w:r>
      <w:r w:rsidR="00EC7D6C">
        <w:rPr>
          <w:rFonts w:cs="Arial"/>
          <w:sz w:val="22"/>
          <w:szCs w:val="22"/>
        </w:rPr>
        <w:t>,</w:t>
      </w:r>
      <w:r w:rsidR="00086236">
        <w:rPr>
          <w:rFonts w:cs="Arial"/>
          <w:sz w:val="22"/>
          <w:szCs w:val="22"/>
        </w:rPr>
        <w:t xml:space="preserve"> contabilidad, tesorería, gestión documental entre otras, y </w:t>
      </w:r>
      <w:r w:rsidRPr="004C6D8F">
        <w:rPr>
          <w:rFonts w:cs="Arial"/>
          <w:sz w:val="22"/>
          <w:szCs w:val="22"/>
        </w:rPr>
        <w:t xml:space="preserve">con el fin de </w:t>
      </w:r>
      <w:r>
        <w:rPr>
          <w:rFonts w:cs="Arial"/>
          <w:sz w:val="22"/>
          <w:szCs w:val="22"/>
        </w:rPr>
        <w:t>determinar</w:t>
      </w:r>
      <w:r w:rsidRPr="004C6D8F">
        <w:rPr>
          <w:rFonts w:cs="Arial"/>
          <w:sz w:val="22"/>
          <w:szCs w:val="22"/>
        </w:rPr>
        <w:t xml:space="preserve"> la menor</w:t>
      </w:r>
      <w:r>
        <w:rPr>
          <w:rFonts w:cs="Arial"/>
          <w:sz w:val="22"/>
          <w:szCs w:val="22"/>
        </w:rPr>
        <w:t xml:space="preserve"> </w:t>
      </w:r>
      <w:r w:rsidRPr="004C6D8F">
        <w:rPr>
          <w:rFonts w:cs="Arial"/>
          <w:sz w:val="22"/>
          <w:szCs w:val="22"/>
        </w:rPr>
        <w:t>cuantía eficiente</w:t>
      </w:r>
      <w:r>
        <w:rPr>
          <w:rFonts w:cs="Arial"/>
          <w:sz w:val="22"/>
          <w:szCs w:val="22"/>
        </w:rPr>
        <w:t>, la cual fuera rentable en aras del principio de economía de tiempo y recursos, que evite un detrimento de los recursos humanos, técnicos y financieros empleados para la contribución</w:t>
      </w:r>
      <w:r w:rsidR="00EC7D6C">
        <w:rPr>
          <w:rFonts w:cs="Arial"/>
          <w:sz w:val="22"/>
          <w:szCs w:val="22"/>
        </w:rPr>
        <w:t xml:space="preserve"> especial</w:t>
      </w:r>
      <w:r>
        <w:rPr>
          <w:rFonts w:cs="Arial"/>
          <w:sz w:val="22"/>
          <w:szCs w:val="22"/>
        </w:rPr>
        <w:t xml:space="preserve">, respecto del valor a recaudar para los sujetos pasivos, y de esta forma poder recuperar de manera eficiente los costos asociados al procedimiento de cálculo, liquidación, </w:t>
      </w:r>
      <w:r w:rsidR="00EC7D6C">
        <w:rPr>
          <w:rFonts w:cs="Arial"/>
          <w:sz w:val="22"/>
          <w:szCs w:val="22"/>
        </w:rPr>
        <w:t xml:space="preserve">notificación, </w:t>
      </w:r>
      <w:r>
        <w:rPr>
          <w:rFonts w:cs="Arial"/>
          <w:sz w:val="22"/>
          <w:szCs w:val="22"/>
        </w:rPr>
        <w:t>recaudo</w:t>
      </w:r>
      <w:r w:rsidR="00EC7D6C">
        <w:rPr>
          <w:rFonts w:cs="Arial"/>
          <w:sz w:val="22"/>
          <w:szCs w:val="22"/>
        </w:rPr>
        <w:t>, fiscalización, seguimiento</w:t>
      </w:r>
      <w:r>
        <w:rPr>
          <w:rFonts w:cs="Arial"/>
          <w:sz w:val="22"/>
          <w:szCs w:val="22"/>
        </w:rPr>
        <w:t xml:space="preserve"> y gestión de cartera de la contribución especial a favor de la CREG</w:t>
      </w:r>
      <w:r w:rsidR="00EC7D6C">
        <w:rPr>
          <w:rFonts w:cs="Arial"/>
          <w:sz w:val="22"/>
          <w:szCs w:val="22"/>
        </w:rPr>
        <w:t>.</w:t>
      </w:r>
      <w:r w:rsidR="00CF18E2">
        <w:rPr>
          <w:rFonts w:cs="Arial"/>
          <w:sz w:val="22"/>
          <w:szCs w:val="22"/>
        </w:rPr>
        <w:t xml:space="preserve"> </w:t>
      </w:r>
      <w:r w:rsidR="00EC7D6C">
        <w:rPr>
          <w:rFonts w:cs="Arial"/>
          <w:sz w:val="22"/>
          <w:szCs w:val="22"/>
        </w:rPr>
        <w:t xml:space="preserve">Por lo tanto, </w:t>
      </w:r>
      <w:r w:rsidR="00EC7D6C" w:rsidRPr="00EC7D6C">
        <w:rPr>
          <w:rFonts w:cs="Arial"/>
          <w:sz w:val="22"/>
          <w:szCs w:val="22"/>
        </w:rPr>
        <w:t xml:space="preserve">la </w:t>
      </w:r>
      <w:r w:rsidR="00EC7D6C">
        <w:rPr>
          <w:rFonts w:cs="Arial"/>
          <w:sz w:val="22"/>
          <w:szCs w:val="22"/>
        </w:rPr>
        <w:t>CREG</w:t>
      </w:r>
      <w:r w:rsidR="00EC7D6C" w:rsidRPr="00EC7D6C">
        <w:rPr>
          <w:rFonts w:cs="Arial"/>
          <w:sz w:val="22"/>
          <w:szCs w:val="22"/>
        </w:rPr>
        <w:t xml:space="preserve"> determinó una cuantía mínima óptima de</w:t>
      </w:r>
      <w:r w:rsidR="00EC7D6C">
        <w:rPr>
          <w:rFonts w:cs="Arial"/>
          <w:sz w:val="22"/>
          <w:szCs w:val="22"/>
        </w:rPr>
        <w:t xml:space="preserve"> DOSCIENTOS NOVENTA Y SIETE MIL QUINIENTOS CUARENTA Y OCHO PESOS M/CTE (</w:t>
      </w:r>
      <w:r w:rsidR="00EC7D6C" w:rsidRPr="00EC7D6C">
        <w:rPr>
          <w:rFonts w:cs="Arial"/>
          <w:sz w:val="22"/>
          <w:szCs w:val="22"/>
        </w:rPr>
        <w:t>$297</w:t>
      </w:r>
      <w:r w:rsidR="000B26E9">
        <w:rPr>
          <w:rFonts w:cs="Arial"/>
          <w:sz w:val="22"/>
          <w:szCs w:val="22"/>
        </w:rPr>
        <w:t>.</w:t>
      </w:r>
      <w:r w:rsidR="00EC7D6C" w:rsidRPr="00EC7D6C">
        <w:rPr>
          <w:rFonts w:cs="Arial"/>
          <w:sz w:val="22"/>
          <w:szCs w:val="22"/>
        </w:rPr>
        <w:t>548</w:t>
      </w:r>
      <w:r w:rsidR="00EC7D6C">
        <w:rPr>
          <w:rFonts w:cs="Arial"/>
          <w:sz w:val="22"/>
          <w:szCs w:val="22"/>
        </w:rPr>
        <w:t>)</w:t>
      </w:r>
      <w:r w:rsidR="00EC7D6C" w:rsidRPr="00EC7D6C">
        <w:rPr>
          <w:rFonts w:cs="Arial"/>
          <w:sz w:val="22"/>
          <w:szCs w:val="22"/>
        </w:rPr>
        <w:t>, por debajo de la cual no resulta eficiente</w:t>
      </w:r>
      <w:r w:rsidR="000B26E9">
        <w:rPr>
          <w:rFonts w:cs="Arial"/>
          <w:sz w:val="22"/>
          <w:szCs w:val="22"/>
        </w:rPr>
        <w:t>,</w:t>
      </w:r>
      <w:r w:rsidR="00EC7D6C" w:rsidRPr="00EC7D6C">
        <w:rPr>
          <w:rFonts w:cs="Arial"/>
          <w:sz w:val="22"/>
          <w:szCs w:val="22"/>
        </w:rPr>
        <w:t xml:space="preserve"> ni rentable liquidar la contribución especial a los sujetos pasivos.</w:t>
      </w:r>
    </w:p>
    <w:p w14:paraId="11D12487" w14:textId="17F9BD59" w:rsidR="003034FD" w:rsidRDefault="003034FD">
      <w:pPr>
        <w:jc w:val="left"/>
        <w:rPr>
          <w:rFonts w:cs="Arial"/>
          <w:sz w:val="22"/>
          <w:szCs w:val="22"/>
        </w:rPr>
      </w:pPr>
    </w:p>
    <w:p w14:paraId="1F7317E0" w14:textId="405F1103" w:rsidR="003034FD" w:rsidRPr="007226D7" w:rsidRDefault="008953E4" w:rsidP="003034FD">
      <w:pPr>
        <w:pStyle w:val="Ttulo10"/>
        <w:numPr>
          <w:ilvl w:val="0"/>
          <w:numId w:val="37"/>
        </w:numPr>
        <w:spacing w:before="0" w:after="0"/>
        <w:rPr>
          <w:sz w:val="22"/>
          <w:szCs w:val="22"/>
        </w:rPr>
      </w:pPr>
      <w:bookmarkStart w:id="22" w:name="_Toc88126835"/>
      <w:r>
        <w:rPr>
          <w:sz w:val="22"/>
          <w:szCs w:val="22"/>
        </w:rPr>
        <w:t>MARCOS NORMATIVOS CONTABLES Y SISTEMA DE INFORMACIÓN</w:t>
      </w:r>
      <w:bookmarkEnd w:id="22"/>
    </w:p>
    <w:p w14:paraId="1D67B522" w14:textId="5DDBD721" w:rsidR="003034FD" w:rsidRDefault="003034FD" w:rsidP="003034FD">
      <w:pPr>
        <w:rPr>
          <w:rFonts w:cs="Arial"/>
          <w:sz w:val="22"/>
          <w:szCs w:val="22"/>
        </w:rPr>
      </w:pPr>
    </w:p>
    <w:p w14:paraId="693A9D67" w14:textId="77777777" w:rsidR="008953E4" w:rsidRPr="00421866" w:rsidRDefault="008953E4" w:rsidP="008953E4">
      <w:pPr>
        <w:pStyle w:val="Subttulo"/>
        <w:numPr>
          <w:ilvl w:val="1"/>
          <w:numId w:val="37"/>
        </w:numPr>
        <w:spacing w:after="0"/>
        <w:ind w:left="357" w:hanging="357"/>
        <w:jc w:val="left"/>
        <w:rPr>
          <w:b/>
          <w:bCs/>
          <w:sz w:val="22"/>
          <w:szCs w:val="22"/>
        </w:rPr>
      </w:pPr>
      <w:bookmarkStart w:id="23" w:name="_Toc88126836"/>
      <w:r>
        <w:rPr>
          <w:b/>
          <w:bCs/>
          <w:sz w:val="22"/>
          <w:szCs w:val="22"/>
        </w:rPr>
        <w:t>MARCOS NORMATIVOS CONTABLES</w:t>
      </w:r>
      <w:bookmarkEnd w:id="23"/>
    </w:p>
    <w:p w14:paraId="08B55DCD" w14:textId="77777777" w:rsidR="008953E4" w:rsidRPr="00FE2932" w:rsidRDefault="008953E4" w:rsidP="008953E4">
      <w:pPr>
        <w:rPr>
          <w:rFonts w:cs="Arial"/>
          <w:sz w:val="22"/>
          <w:szCs w:val="22"/>
        </w:rPr>
      </w:pPr>
    </w:p>
    <w:p w14:paraId="30DC2BBC" w14:textId="5EA9D606" w:rsidR="008953E4" w:rsidRPr="00FE2932" w:rsidRDefault="008953E4" w:rsidP="008953E4">
      <w:pPr>
        <w:rPr>
          <w:rFonts w:cs="Arial"/>
          <w:sz w:val="22"/>
          <w:szCs w:val="22"/>
        </w:rPr>
      </w:pPr>
      <w:r>
        <w:rPr>
          <w:rFonts w:cs="Arial"/>
          <w:sz w:val="22"/>
          <w:szCs w:val="22"/>
        </w:rPr>
        <w:t>C</w:t>
      </w:r>
      <w:r w:rsidRPr="00FE2932">
        <w:rPr>
          <w:rFonts w:cs="Arial"/>
          <w:sz w:val="22"/>
          <w:szCs w:val="22"/>
        </w:rPr>
        <w:t>on ocasión de la adopción por parte de Colombia de las Normas Internacionales de Información Financiera (NIIF) para el sector privado y las Normas Internacionales de Contabilidad para el sector público (NICSP)</w:t>
      </w:r>
      <w:r w:rsidR="005D0452">
        <w:rPr>
          <w:rFonts w:cs="Arial"/>
          <w:sz w:val="22"/>
          <w:szCs w:val="22"/>
        </w:rPr>
        <w:t xml:space="preserve"> </w:t>
      </w:r>
      <w:r w:rsidRPr="00FE2932">
        <w:rPr>
          <w:rFonts w:cs="Arial"/>
          <w:sz w:val="22"/>
          <w:szCs w:val="22"/>
        </w:rPr>
        <w:t>éstas fueron incorporadas en la legislación colombiana y constituyen por lo tanto el marco normativo contable vigente.</w:t>
      </w:r>
    </w:p>
    <w:p w14:paraId="09868FDC" w14:textId="77777777" w:rsidR="008953E4" w:rsidRPr="00FE2932" w:rsidRDefault="008953E4" w:rsidP="008953E4">
      <w:pPr>
        <w:rPr>
          <w:rFonts w:cs="Arial"/>
          <w:sz w:val="22"/>
          <w:szCs w:val="22"/>
        </w:rPr>
      </w:pPr>
    </w:p>
    <w:p w14:paraId="0A49A61E" w14:textId="77777777" w:rsidR="008953E4" w:rsidRPr="00FE2932" w:rsidRDefault="008953E4" w:rsidP="008953E4">
      <w:pPr>
        <w:rPr>
          <w:rFonts w:cs="Arial"/>
          <w:sz w:val="22"/>
          <w:szCs w:val="22"/>
        </w:rPr>
      </w:pPr>
      <w:r>
        <w:rPr>
          <w:rFonts w:cs="Arial"/>
          <w:sz w:val="22"/>
          <w:szCs w:val="22"/>
        </w:rPr>
        <w:t xml:space="preserve">El </w:t>
      </w:r>
      <w:r w:rsidRPr="00FE2932">
        <w:rPr>
          <w:rFonts w:cs="Arial"/>
          <w:sz w:val="22"/>
          <w:szCs w:val="22"/>
        </w:rPr>
        <w:t>Congreso de la República expidió la Ley 1314 de 2009</w:t>
      </w:r>
      <w:r w:rsidRPr="00FE2932">
        <w:rPr>
          <w:rStyle w:val="Refdenotaalpie"/>
          <w:rFonts w:cs="Arial"/>
          <w:sz w:val="22"/>
          <w:szCs w:val="22"/>
        </w:rPr>
        <w:footnoteReference w:id="1"/>
      </w:r>
      <w:r w:rsidRPr="00FE2932">
        <w:rPr>
          <w:rFonts w:cs="Arial"/>
          <w:sz w:val="22"/>
          <w:szCs w:val="22"/>
        </w:rPr>
        <w:t>, y con fundamento en ella, el Gobierno Nacional mediante el DUR N° 2420 del 14 de diciembre de 2015</w:t>
      </w:r>
      <w:r w:rsidRPr="00FE2932">
        <w:rPr>
          <w:rStyle w:val="Refdenotaalpie"/>
          <w:rFonts w:cs="Arial"/>
          <w:sz w:val="22"/>
          <w:szCs w:val="22"/>
        </w:rPr>
        <w:footnoteReference w:id="2"/>
      </w:r>
      <w:r w:rsidRPr="00FE2932">
        <w:rPr>
          <w:rFonts w:cs="Arial"/>
          <w:sz w:val="22"/>
          <w:szCs w:val="22"/>
        </w:rPr>
        <w:t xml:space="preserve"> y demás normas que los modifiquen, compilado en el Decreto 2483 del 28 de diciembre de 2018</w:t>
      </w:r>
      <w:r w:rsidRPr="00FE2932">
        <w:rPr>
          <w:rStyle w:val="Refdenotaalpie"/>
          <w:rFonts w:cs="Arial"/>
          <w:sz w:val="22"/>
          <w:szCs w:val="22"/>
        </w:rPr>
        <w:footnoteReference w:id="3"/>
      </w:r>
      <w:r w:rsidRPr="00FE2932">
        <w:rPr>
          <w:rFonts w:cs="Arial"/>
          <w:sz w:val="22"/>
          <w:szCs w:val="22"/>
        </w:rPr>
        <w:t xml:space="preserve">, estableció los criterios para que los preparadores de información financiera se clasificaran en diferentes </w:t>
      </w:r>
      <w:r w:rsidRPr="00FE2932">
        <w:rPr>
          <w:rFonts w:cs="Arial"/>
          <w:sz w:val="22"/>
          <w:szCs w:val="22"/>
        </w:rPr>
        <w:lastRenderedPageBreak/>
        <w:t>grupos de acuerdo con sus características e igualmente se adoptaron los marcos técnicos normativos para cada grupo.</w:t>
      </w:r>
    </w:p>
    <w:p w14:paraId="46769368" w14:textId="77777777" w:rsidR="008953E4" w:rsidRPr="00FE2932" w:rsidRDefault="008953E4" w:rsidP="008953E4">
      <w:pPr>
        <w:rPr>
          <w:rFonts w:cs="Arial"/>
          <w:sz w:val="22"/>
          <w:szCs w:val="22"/>
        </w:rPr>
      </w:pPr>
    </w:p>
    <w:p w14:paraId="4E01D3B3" w14:textId="77777777" w:rsidR="008953E4" w:rsidRPr="00FE2932" w:rsidRDefault="008953E4" w:rsidP="008953E4">
      <w:pPr>
        <w:rPr>
          <w:rFonts w:cs="Arial"/>
          <w:sz w:val="22"/>
          <w:szCs w:val="22"/>
        </w:rPr>
      </w:pPr>
      <w:r>
        <w:rPr>
          <w:rFonts w:cs="Arial"/>
          <w:sz w:val="22"/>
          <w:szCs w:val="22"/>
        </w:rPr>
        <w:t>E</w:t>
      </w:r>
      <w:r w:rsidRPr="00FE2932">
        <w:rPr>
          <w:rFonts w:cs="Arial"/>
          <w:sz w:val="22"/>
          <w:szCs w:val="22"/>
        </w:rPr>
        <w:t>l artículo 10 de la Ley 1314 de 2009 señaló que corresponde a las autoridades de supervisión, vigilar que los entes económicos sujetos a su inspección, vigilancia y control, así como sus administradores, funcionarios y profesionales de aseguramiento de información cumplan con las normas en materia de contabilidad, de información financiera y de aseguramiento</w:t>
      </w:r>
      <w:r>
        <w:rPr>
          <w:rFonts w:cs="Arial"/>
          <w:sz w:val="22"/>
          <w:szCs w:val="22"/>
        </w:rPr>
        <w:t xml:space="preserve"> </w:t>
      </w:r>
      <w:r w:rsidRPr="00FE2932">
        <w:rPr>
          <w:rFonts w:cs="Arial"/>
          <w:sz w:val="22"/>
          <w:szCs w:val="22"/>
        </w:rPr>
        <w:t>de</w:t>
      </w:r>
      <w:r>
        <w:rPr>
          <w:rFonts w:cs="Arial"/>
          <w:sz w:val="22"/>
          <w:szCs w:val="22"/>
        </w:rPr>
        <w:t xml:space="preserve"> la</w:t>
      </w:r>
      <w:r w:rsidRPr="00FE2932">
        <w:rPr>
          <w:rFonts w:cs="Arial"/>
          <w:sz w:val="22"/>
          <w:szCs w:val="22"/>
        </w:rPr>
        <w:t xml:space="preserve"> información.</w:t>
      </w:r>
    </w:p>
    <w:p w14:paraId="3723487A" w14:textId="77777777" w:rsidR="008953E4" w:rsidRPr="00FE2932" w:rsidRDefault="008953E4" w:rsidP="008953E4">
      <w:pPr>
        <w:rPr>
          <w:rFonts w:cs="Arial"/>
          <w:sz w:val="22"/>
          <w:szCs w:val="22"/>
        </w:rPr>
      </w:pPr>
    </w:p>
    <w:p w14:paraId="5FA050FA" w14:textId="77777777" w:rsidR="008953E4" w:rsidRPr="00FE2932" w:rsidRDefault="008953E4" w:rsidP="008953E4">
      <w:pPr>
        <w:rPr>
          <w:rFonts w:cs="Arial"/>
          <w:sz w:val="22"/>
          <w:szCs w:val="22"/>
        </w:rPr>
      </w:pPr>
      <w:r>
        <w:rPr>
          <w:rFonts w:cs="Arial"/>
          <w:sz w:val="22"/>
          <w:szCs w:val="22"/>
        </w:rPr>
        <w:t>L</w:t>
      </w:r>
      <w:r w:rsidRPr="00FE2932">
        <w:rPr>
          <w:rFonts w:cs="Arial"/>
          <w:sz w:val="22"/>
          <w:szCs w:val="22"/>
        </w:rPr>
        <w:t>a Contaduría General de la Nación (CGN), expidió las Resoluciones N° 414 de 2014</w:t>
      </w:r>
      <w:r w:rsidRPr="00FE2932">
        <w:rPr>
          <w:rStyle w:val="Refdenotaalpie"/>
          <w:rFonts w:cs="Arial"/>
          <w:sz w:val="22"/>
          <w:szCs w:val="22"/>
        </w:rPr>
        <w:footnoteReference w:id="4"/>
      </w:r>
      <w:r>
        <w:rPr>
          <w:rFonts w:cs="Arial"/>
          <w:sz w:val="22"/>
          <w:szCs w:val="22"/>
        </w:rPr>
        <w:t xml:space="preserve">, </w:t>
      </w:r>
      <w:r w:rsidRPr="00FE2932">
        <w:rPr>
          <w:rFonts w:cs="Arial"/>
          <w:sz w:val="22"/>
          <w:szCs w:val="22"/>
        </w:rPr>
        <w:t xml:space="preserve"> N° 533 de 2015</w:t>
      </w:r>
      <w:r w:rsidRPr="00FE2932">
        <w:rPr>
          <w:rStyle w:val="Refdenotaalpie"/>
          <w:rFonts w:cs="Arial"/>
          <w:sz w:val="22"/>
          <w:szCs w:val="22"/>
        </w:rPr>
        <w:footnoteReference w:id="5"/>
      </w:r>
      <w:r>
        <w:rPr>
          <w:rFonts w:cs="Arial"/>
          <w:sz w:val="22"/>
          <w:szCs w:val="22"/>
        </w:rPr>
        <w:t xml:space="preserve"> y</w:t>
      </w:r>
      <w:r w:rsidRPr="00FE2932">
        <w:rPr>
          <w:rFonts w:cs="Arial"/>
          <w:sz w:val="22"/>
          <w:szCs w:val="22"/>
        </w:rPr>
        <w:t xml:space="preserve"> N° 037 de 2017</w:t>
      </w:r>
      <w:r w:rsidRPr="00FE2932">
        <w:rPr>
          <w:rStyle w:val="Refdenotaalpie"/>
          <w:rFonts w:cs="Arial"/>
          <w:sz w:val="22"/>
          <w:szCs w:val="22"/>
        </w:rPr>
        <w:footnoteReference w:id="6"/>
      </w:r>
      <w:r>
        <w:rPr>
          <w:rFonts w:cs="Arial"/>
          <w:sz w:val="22"/>
          <w:szCs w:val="22"/>
        </w:rPr>
        <w:t xml:space="preserve"> </w:t>
      </w:r>
      <w:r w:rsidRPr="00FE2932">
        <w:rPr>
          <w:rFonts w:cs="Arial"/>
          <w:sz w:val="22"/>
          <w:szCs w:val="22"/>
        </w:rPr>
        <w:t xml:space="preserve">aplicables a las empresas sujetas al ámbito de su competencia y a las entidades del gobierno. </w:t>
      </w:r>
    </w:p>
    <w:p w14:paraId="244F6CCD" w14:textId="77777777" w:rsidR="008953E4" w:rsidRPr="00FE2932" w:rsidRDefault="008953E4" w:rsidP="008953E4">
      <w:pPr>
        <w:rPr>
          <w:rFonts w:cs="Arial"/>
          <w:sz w:val="22"/>
          <w:szCs w:val="22"/>
        </w:rPr>
      </w:pPr>
    </w:p>
    <w:p w14:paraId="160DB01E" w14:textId="77777777" w:rsidR="008953E4" w:rsidRPr="00FE2932" w:rsidRDefault="008953E4" w:rsidP="008953E4">
      <w:pPr>
        <w:rPr>
          <w:rFonts w:cs="Arial"/>
          <w:sz w:val="22"/>
          <w:szCs w:val="22"/>
        </w:rPr>
      </w:pPr>
      <w:r>
        <w:rPr>
          <w:rFonts w:cs="Arial"/>
          <w:sz w:val="22"/>
          <w:szCs w:val="22"/>
        </w:rPr>
        <w:t>En e</w:t>
      </w:r>
      <w:r w:rsidRPr="00FE2932">
        <w:rPr>
          <w:rFonts w:cs="Arial"/>
          <w:sz w:val="22"/>
          <w:szCs w:val="22"/>
        </w:rPr>
        <w:t>l marco de la mencionada ley, se inició el proceso de convergencia a las nuevas normas de forma escalonada, con el propósito de que las empresas de todo el país se clasificaran en cada grupo de acuerdo con sus características, atendiendo para ello todos los requisitos exigidos para el efecto.</w:t>
      </w:r>
    </w:p>
    <w:p w14:paraId="58174552" w14:textId="2F28846A" w:rsidR="008953E4" w:rsidRDefault="008953E4" w:rsidP="003034FD">
      <w:pPr>
        <w:rPr>
          <w:rFonts w:cs="Arial"/>
          <w:sz w:val="22"/>
          <w:szCs w:val="22"/>
        </w:rPr>
      </w:pPr>
    </w:p>
    <w:p w14:paraId="2E9C9B24" w14:textId="49763C20" w:rsidR="003034FD" w:rsidRPr="00421866" w:rsidRDefault="004732E8" w:rsidP="003034FD">
      <w:pPr>
        <w:pStyle w:val="Subttulo"/>
        <w:numPr>
          <w:ilvl w:val="1"/>
          <w:numId w:val="37"/>
        </w:numPr>
        <w:spacing w:after="0"/>
        <w:ind w:left="357" w:hanging="357"/>
        <w:jc w:val="left"/>
        <w:rPr>
          <w:b/>
          <w:bCs/>
          <w:sz w:val="22"/>
          <w:szCs w:val="22"/>
        </w:rPr>
      </w:pPr>
      <w:bookmarkStart w:id="24" w:name="_Toc54170182"/>
      <w:bookmarkStart w:id="25" w:name="_Toc88126837"/>
      <w:r>
        <w:rPr>
          <w:b/>
          <w:bCs/>
          <w:sz w:val="22"/>
          <w:szCs w:val="22"/>
        </w:rPr>
        <w:t xml:space="preserve">EL SUI COMO </w:t>
      </w:r>
      <w:bookmarkEnd w:id="24"/>
      <w:r w:rsidR="00887ECC">
        <w:rPr>
          <w:b/>
          <w:bCs/>
          <w:sz w:val="22"/>
          <w:szCs w:val="22"/>
        </w:rPr>
        <w:t xml:space="preserve">SISTEMA </w:t>
      </w:r>
      <w:r w:rsidR="001E3AFA">
        <w:rPr>
          <w:b/>
          <w:bCs/>
          <w:sz w:val="22"/>
          <w:szCs w:val="22"/>
        </w:rPr>
        <w:t>DE INFORMACIÓN</w:t>
      </w:r>
      <w:bookmarkEnd w:id="25"/>
    </w:p>
    <w:p w14:paraId="48F879FC" w14:textId="77777777" w:rsidR="003034FD" w:rsidRPr="0051774F" w:rsidRDefault="003034FD" w:rsidP="003034FD">
      <w:pPr>
        <w:rPr>
          <w:rFonts w:cs="Arial"/>
          <w:sz w:val="22"/>
          <w:szCs w:val="22"/>
        </w:rPr>
      </w:pPr>
    </w:p>
    <w:p w14:paraId="7F6CA471" w14:textId="69022E55" w:rsidR="003034FD" w:rsidRDefault="004732E8" w:rsidP="003034FD">
      <w:pPr>
        <w:rPr>
          <w:rFonts w:cs="Arial"/>
          <w:sz w:val="22"/>
          <w:szCs w:val="22"/>
        </w:rPr>
      </w:pPr>
      <w:r>
        <w:rPr>
          <w:rFonts w:cs="Arial"/>
          <w:sz w:val="22"/>
          <w:szCs w:val="22"/>
        </w:rPr>
        <w:t>Para efectos de liquidación de la contribución especial, l</w:t>
      </w:r>
      <w:r w:rsidR="003034FD">
        <w:rPr>
          <w:rFonts w:cs="Arial"/>
          <w:sz w:val="22"/>
          <w:szCs w:val="22"/>
        </w:rPr>
        <w:t xml:space="preserve">a </w:t>
      </w:r>
      <w:r w:rsidR="003034FD" w:rsidRPr="005F34D8">
        <w:rPr>
          <w:rFonts w:cs="Arial"/>
          <w:sz w:val="22"/>
          <w:szCs w:val="22"/>
        </w:rPr>
        <w:t xml:space="preserve">fuente de información </w:t>
      </w:r>
      <w:r w:rsidR="003034FD">
        <w:rPr>
          <w:rFonts w:cs="Arial"/>
          <w:sz w:val="22"/>
          <w:szCs w:val="22"/>
        </w:rPr>
        <w:t xml:space="preserve">financiera es tomada de </w:t>
      </w:r>
      <w:r w:rsidR="003034FD" w:rsidRPr="005F34D8">
        <w:rPr>
          <w:rFonts w:cs="Arial"/>
          <w:sz w:val="22"/>
          <w:szCs w:val="22"/>
        </w:rPr>
        <w:t xml:space="preserve">la </w:t>
      </w:r>
      <w:r>
        <w:rPr>
          <w:rFonts w:cs="Arial"/>
          <w:sz w:val="22"/>
          <w:szCs w:val="22"/>
        </w:rPr>
        <w:t>reportada por</w:t>
      </w:r>
      <w:r w:rsidR="003034FD" w:rsidRPr="005F34D8">
        <w:rPr>
          <w:rFonts w:cs="Arial"/>
          <w:sz w:val="22"/>
          <w:szCs w:val="22"/>
        </w:rPr>
        <w:t xml:space="preserve"> las empresas prestadoras de los servicios públicos domiciliarios de los servicios de </w:t>
      </w:r>
      <w:r w:rsidR="003034FD">
        <w:rPr>
          <w:rFonts w:cs="Arial"/>
          <w:sz w:val="22"/>
          <w:szCs w:val="22"/>
        </w:rPr>
        <w:t>energía</w:t>
      </w:r>
      <w:r w:rsidR="003034FD" w:rsidRPr="005F34D8">
        <w:rPr>
          <w:rFonts w:cs="Arial"/>
          <w:sz w:val="22"/>
          <w:szCs w:val="22"/>
        </w:rPr>
        <w:t xml:space="preserve"> eléctrica y gas combustible </w:t>
      </w:r>
      <w:r>
        <w:rPr>
          <w:rFonts w:cs="Arial"/>
          <w:sz w:val="22"/>
          <w:szCs w:val="22"/>
        </w:rPr>
        <w:t>al Sistema Único de Información de servicios públicos domiciliarios (</w:t>
      </w:r>
      <w:r w:rsidRPr="00506119">
        <w:rPr>
          <w:rFonts w:cs="Arial"/>
          <w:sz w:val="22"/>
          <w:szCs w:val="22"/>
        </w:rPr>
        <w:t>SUI</w:t>
      </w:r>
      <w:r>
        <w:rPr>
          <w:rFonts w:cs="Arial"/>
          <w:sz w:val="22"/>
          <w:szCs w:val="22"/>
        </w:rPr>
        <w:t>)</w:t>
      </w:r>
      <w:r w:rsidR="003034FD" w:rsidRPr="005F34D8">
        <w:rPr>
          <w:rFonts w:cs="Arial"/>
          <w:sz w:val="22"/>
          <w:szCs w:val="22"/>
        </w:rPr>
        <w:t xml:space="preserve"> administrado por la SSPD, de conformidad con lo estipulado en la Circular conjunta SSPD-CREG N° 009 de agosto 14 de 2003.</w:t>
      </w:r>
      <w:r w:rsidR="003034FD">
        <w:rPr>
          <w:rFonts w:cs="Arial"/>
          <w:sz w:val="22"/>
          <w:szCs w:val="22"/>
        </w:rPr>
        <w:t xml:space="preserve"> </w:t>
      </w:r>
    </w:p>
    <w:p w14:paraId="05ED7279" w14:textId="77777777" w:rsidR="003034FD" w:rsidRDefault="003034FD" w:rsidP="003034FD">
      <w:pPr>
        <w:rPr>
          <w:rFonts w:cs="Arial"/>
          <w:sz w:val="22"/>
          <w:szCs w:val="22"/>
        </w:rPr>
      </w:pPr>
    </w:p>
    <w:p w14:paraId="014D4355" w14:textId="13B873FC" w:rsidR="003034FD" w:rsidRDefault="003034FD" w:rsidP="003034FD">
      <w:pPr>
        <w:rPr>
          <w:rFonts w:cs="Arial"/>
          <w:sz w:val="22"/>
          <w:szCs w:val="22"/>
        </w:rPr>
      </w:pPr>
      <w:r>
        <w:rPr>
          <w:rFonts w:cs="Arial"/>
          <w:sz w:val="22"/>
          <w:szCs w:val="22"/>
        </w:rPr>
        <w:t>D</w:t>
      </w:r>
      <w:r w:rsidRPr="00506119">
        <w:rPr>
          <w:rFonts w:cs="Arial"/>
          <w:sz w:val="22"/>
          <w:szCs w:val="22"/>
        </w:rPr>
        <w:t xml:space="preserve">e conformidad con lo dispuesto en los artículos 53 y 79.4 de la Ley 142 de 1994 y artículo 14 de la Ley 689 de 2001, corresponde a la SSPD, establecer, administrar, mantener y operar el SUI, como sistema oficial del sector de servicios públicos domiciliarios del país que recoge, </w:t>
      </w:r>
      <w:r w:rsidRPr="00E560A2">
        <w:rPr>
          <w:rFonts w:cs="Arial"/>
          <w:sz w:val="22"/>
          <w:szCs w:val="22"/>
        </w:rPr>
        <w:t>almacena, procesa y publica información reportada por parte de las empresas y entidades territoriales prestadoras de servicios públicos.</w:t>
      </w:r>
    </w:p>
    <w:p w14:paraId="0C1CD046" w14:textId="77777777" w:rsidR="003034FD" w:rsidRDefault="003034FD" w:rsidP="003034FD">
      <w:pPr>
        <w:rPr>
          <w:rFonts w:cs="Arial"/>
          <w:sz w:val="22"/>
          <w:szCs w:val="22"/>
        </w:rPr>
      </w:pPr>
    </w:p>
    <w:p w14:paraId="486ED057" w14:textId="34849147" w:rsidR="003034FD" w:rsidRDefault="003034FD" w:rsidP="003034FD">
      <w:pPr>
        <w:rPr>
          <w:rFonts w:cs="Arial"/>
          <w:sz w:val="22"/>
          <w:szCs w:val="22"/>
        </w:rPr>
      </w:pPr>
      <w:r>
        <w:rPr>
          <w:rFonts w:cs="Arial"/>
          <w:sz w:val="22"/>
          <w:szCs w:val="22"/>
        </w:rPr>
        <w:t>E</w:t>
      </w:r>
      <w:r w:rsidRPr="00C43E7F">
        <w:rPr>
          <w:rFonts w:cs="Arial"/>
          <w:sz w:val="22"/>
          <w:szCs w:val="22"/>
        </w:rPr>
        <w:t>l artículo 14 de la Ley 689 de 2001 adicionó un artículo a la Ley 142 de 1994, en el cual</w:t>
      </w:r>
      <w:r>
        <w:rPr>
          <w:rFonts w:cs="Arial"/>
          <w:sz w:val="22"/>
          <w:szCs w:val="22"/>
        </w:rPr>
        <w:t xml:space="preserve"> </w:t>
      </w:r>
      <w:r w:rsidRPr="00C43E7F">
        <w:rPr>
          <w:rFonts w:cs="Arial"/>
          <w:sz w:val="22"/>
          <w:szCs w:val="22"/>
        </w:rPr>
        <w:t xml:space="preserve">estableció que conforme al artículo 53 </w:t>
      </w:r>
      <w:r>
        <w:rPr>
          <w:rFonts w:cs="Arial"/>
          <w:sz w:val="22"/>
          <w:szCs w:val="22"/>
        </w:rPr>
        <w:t xml:space="preserve">y 79.4 </w:t>
      </w:r>
      <w:r w:rsidRPr="00C43E7F">
        <w:rPr>
          <w:rFonts w:cs="Arial"/>
          <w:sz w:val="22"/>
          <w:szCs w:val="22"/>
        </w:rPr>
        <w:t>de la Ley 142 de 1994 la Superservicios, en desarrollo de</w:t>
      </w:r>
      <w:r>
        <w:rPr>
          <w:rFonts w:cs="Arial"/>
          <w:sz w:val="22"/>
          <w:szCs w:val="22"/>
        </w:rPr>
        <w:t xml:space="preserve"> </w:t>
      </w:r>
      <w:r w:rsidRPr="00C43E7F">
        <w:rPr>
          <w:rFonts w:cs="Arial"/>
          <w:sz w:val="22"/>
          <w:szCs w:val="22"/>
        </w:rPr>
        <w:t>sus funciones de inspección, vigilancia y control, debe establecer, administrar, mantener y</w:t>
      </w:r>
      <w:r>
        <w:rPr>
          <w:rFonts w:cs="Arial"/>
          <w:sz w:val="22"/>
          <w:szCs w:val="22"/>
        </w:rPr>
        <w:t xml:space="preserve"> </w:t>
      </w:r>
      <w:r w:rsidRPr="00C43E7F">
        <w:rPr>
          <w:rFonts w:cs="Arial"/>
          <w:sz w:val="22"/>
          <w:szCs w:val="22"/>
        </w:rPr>
        <w:t>operar un sistema de información</w:t>
      </w:r>
      <w:r>
        <w:rPr>
          <w:rFonts w:cs="Arial"/>
          <w:sz w:val="22"/>
          <w:szCs w:val="22"/>
        </w:rPr>
        <w:t xml:space="preserve"> oficial,</w:t>
      </w:r>
      <w:r w:rsidRPr="00C43E7F">
        <w:rPr>
          <w:rFonts w:cs="Arial"/>
          <w:sz w:val="22"/>
          <w:szCs w:val="22"/>
        </w:rPr>
        <w:t xml:space="preserve"> cuyos datos son suministrados por los prestadores de</w:t>
      </w:r>
      <w:r>
        <w:rPr>
          <w:rFonts w:cs="Arial"/>
          <w:sz w:val="22"/>
          <w:szCs w:val="22"/>
        </w:rPr>
        <w:t xml:space="preserve"> </w:t>
      </w:r>
      <w:r w:rsidRPr="00C43E7F">
        <w:rPr>
          <w:rFonts w:cs="Arial"/>
          <w:sz w:val="22"/>
          <w:szCs w:val="22"/>
        </w:rPr>
        <w:t>servicios públicos domiciliarios sujetos a su control, inspección y vigilancia y/o quienes</w:t>
      </w:r>
      <w:r>
        <w:rPr>
          <w:rFonts w:cs="Arial"/>
          <w:sz w:val="22"/>
          <w:szCs w:val="22"/>
        </w:rPr>
        <w:t xml:space="preserve"> </w:t>
      </w:r>
      <w:r w:rsidRPr="00C43E7F">
        <w:rPr>
          <w:rFonts w:cs="Arial"/>
          <w:sz w:val="22"/>
          <w:szCs w:val="22"/>
        </w:rPr>
        <w:t xml:space="preserve">desarrollen las actividades complementarias definidas en las Leyes 142 y 143 de </w:t>
      </w:r>
      <w:r w:rsidRPr="00C43E7F">
        <w:rPr>
          <w:rFonts w:cs="Arial"/>
          <w:sz w:val="22"/>
          <w:szCs w:val="22"/>
        </w:rPr>
        <w:lastRenderedPageBreak/>
        <w:t>1994,</w:t>
      </w:r>
      <w:r>
        <w:rPr>
          <w:rFonts w:cs="Arial"/>
          <w:sz w:val="22"/>
          <w:szCs w:val="22"/>
        </w:rPr>
        <w:t xml:space="preserve"> </w:t>
      </w:r>
      <w:r w:rsidRPr="00C43E7F">
        <w:rPr>
          <w:rFonts w:cs="Arial"/>
          <w:sz w:val="22"/>
          <w:szCs w:val="22"/>
        </w:rPr>
        <w:t>teniendo como propósito, entre otros, el apoyo a las funciones asignadas a las comisiones de</w:t>
      </w:r>
      <w:r>
        <w:rPr>
          <w:rFonts w:cs="Arial"/>
          <w:sz w:val="22"/>
          <w:szCs w:val="22"/>
        </w:rPr>
        <w:t xml:space="preserve"> </w:t>
      </w:r>
      <w:r w:rsidRPr="00C43E7F">
        <w:rPr>
          <w:rFonts w:cs="Arial"/>
          <w:sz w:val="22"/>
          <w:szCs w:val="22"/>
        </w:rPr>
        <w:t>regulación.</w:t>
      </w:r>
    </w:p>
    <w:p w14:paraId="5CC61640" w14:textId="77777777" w:rsidR="005D0452" w:rsidRDefault="005D0452" w:rsidP="003034FD">
      <w:pPr>
        <w:rPr>
          <w:rFonts w:cs="Arial"/>
          <w:sz w:val="22"/>
          <w:szCs w:val="22"/>
        </w:rPr>
      </w:pPr>
    </w:p>
    <w:p w14:paraId="2CAFBC9F" w14:textId="5092A571" w:rsidR="003034FD" w:rsidRPr="00506119" w:rsidRDefault="003034FD" w:rsidP="003034FD">
      <w:pPr>
        <w:rPr>
          <w:rFonts w:cs="Arial"/>
          <w:sz w:val="22"/>
          <w:szCs w:val="22"/>
        </w:rPr>
      </w:pPr>
      <w:r>
        <w:rPr>
          <w:rFonts w:cs="Arial"/>
          <w:sz w:val="22"/>
          <w:szCs w:val="22"/>
        </w:rPr>
        <w:t>E</w:t>
      </w:r>
      <w:r w:rsidRPr="00506119">
        <w:rPr>
          <w:rFonts w:cs="Arial"/>
          <w:sz w:val="22"/>
          <w:szCs w:val="22"/>
        </w:rPr>
        <w:t>l SUI como plataforma digital almacena</w:t>
      </w:r>
      <w:r>
        <w:rPr>
          <w:rFonts w:cs="Arial"/>
          <w:sz w:val="22"/>
          <w:szCs w:val="22"/>
        </w:rPr>
        <w:t>, procesa y publica</w:t>
      </w:r>
      <w:r w:rsidRPr="00506119">
        <w:rPr>
          <w:rFonts w:cs="Arial"/>
          <w:sz w:val="22"/>
          <w:szCs w:val="22"/>
        </w:rPr>
        <w:t xml:space="preserve"> la información </w:t>
      </w:r>
      <w:r>
        <w:rPr>
          <w:rFonts w:cs="Arial"/>
          <w:sz w:val="22"/>
          <w:szCs w:val="22"/>
        </w:rPr>
        <w:t xml:space="preserve">reportada por parte </w:t>
      </w:r>
      <w:r w:rsidRPr="00506119">
        <w:rPr>
          <w:rFonts w:cs="Arial"/>
          <w:sz w:val="22"/>
          <w:szCs w:val="22"/>
        </w:rPr>
        <w:t>de los prestadores de servicios públicos sujetos a inspección, vigilancia y control</w:t>
      </w:r>
      <w:r>
        <w:rPr>
          <w:rFonts w:cs="Arial"/>
          <w:sz w:val="22"/>
          <w:szCs w:val="22"/>
        </w:rPr>
        <w:t xml:space="preserve"> de la SSPD</w:t>
      </w:r>
      <w:r w:rsidRPr="00506119">
        <w:rPr>
          <w:rFonts w:cs="Arial"/>
          <w:sz w:val="22"/>
          <w:szCs w:val="22"/>
        </w:rPr>
        <w:t>, la cual se debe reportar de forma independiente para cada servicio, actividad inherente y/o complementaria, y cuyos fines son los de evitar la duplicidad de información relativa a estos servicios; servir de base a la SSPD para el cumplimiento de sus funciones; y apoyar las funciones de las Comisiones de Regulación, y demás autoridades y agentes del sector de los servicios públicos domiciliarios que requieran de la misma, entre otros.</w:t>
      </w:r>
    </w:p>
    <w:p w14:paraId="6CE3D82E" w14:textId="77777777" w:rsidR="003034FD" w:rsidRPr="00506119" w:rsidRDefault="003034FD" w:rsidP="003034FD">
      <w:pPr>
        <w:rPr>
          <w:rFonts w:cs="Arial"/>
          <w:sz w:val="22"/>
          <w:szCs w:val="22"/>
        </w:rPr>
      </w:pPr>
    </w:p>
    <w:p w14:paraId="7BE9544B" w14:textId="24E1CE46" w:rsidR="003034FD" w:rsidRPr="00506119" w:rsidRDefault="003034FD" w:rsidP="003034FD">
      <w:pPr>
        <w:rPr>
          <w:rFonts w:cs="Arial"/>
          <w:sz w:val="22"/>
          <w:szCs w:val="22"/>
        </w:rPr>
      </w:pPr>
      <w:r>
        <w:rPr>
          <w:rFonts w:cs="Arial"/>
          <w:sz w:val="22"/>
          <w:szCs w:val="22"/>
        </w:rPr>
        <w:t>E</w:t>
      </w:r>
      <w:r w:rsidRPr="00506119">
        <w:rPr>
          <w:rFonts w:cs="Arial"/>
          <w:sz w:val="22"/>
          <w:szCs w:val="22"/>
        </w:rPr>
        <w:t>l documento CONPES N° 3168 de 2002 estableció las estrategias para el diseño y adopción del SUI, el cual busca estandarizar requerimientos de información y aportar datos que permita a las entidades del Gobierno evaluar la prestación de los servicios públicos, siendo un sistema supra</w:t>
      </w:r>
      <w:r w:rsidR="004732E8">
        <w:rPr>
          <w:rFonts w:cs="Arial"/>
          <w:sz w:val="22"/>
          <w:szCs w:val="22"/>
        </w:rPr>
        <w:t xml:space="preserve"> </w:t>
      </w:r>
      <w:r w:rsidRPr="00506119">
        <w:rPr>
          <w:rFonts w:cs="Arial"/>
          <w:sz w:val="22"/>
          <w:szCs w:val="22"/>
        </w:rPr>
        <w:t>institucional que busca eliminar asimetrías de información, y la duplicidad de esfuerzos, garantizando la consecución de datos completos, confiables y oportunos, permitiendo el cumplimiento de las funciones misionales, en beneficio de la comunidad.</w:t>
      </w:r>
    </w:p>
    <w:p w14:paraId="4153BD8D" w14:textId="77777777" w:rsidR="003034FD" w:rsidRPr="00506119" w:rsidRDefault="003034FD" w:rsidP="003034FD">
      <w:pPr>
        <w:rPr>
          <w:rFonts w:cs="Arial"/>
          <w:sz w:val="22"/>
          <w:szCs w:val="22"/>
        </w:rPr>
      </w:pPr>
    </w:p>
    <w:p w14:paraId="449BB140" w14:textId="77777777" w:rsidR="003034FD" w:rsidRPr="00506119" w:rsidRDefault="003034FD" w:rsidP="003034FD">
      <w:pPr>
        <w:rPr>
          <w:rFonts w:cs="Arial"/>
          <w:sz w:val="22"/>
          <w:szCs w:val="22"/>
        </w:rPr>
      </w:pPr>
      <w:r>
        <w:rPr>
          <w:rFonts w:cs="Arial"/>
          <w:sz w:val="22"/>
          <w:szCs w:val="22"/>
        </w:rPr>
        <w:t>L</w:t>
      </w:r>
      <w:r w:rsidRPr="00506119">
        <w:rPr>
          <w:rFonts w:cs="Arial"/>
          <w:sz w:val="22"/>
          <w:szCs w:val="22"/>
        </w:rPr>
        <w:t xml:space="preserve">a Resolución SSPD N° 013092 de Octubre 30 de 2002, se estableció el Formato Único de Información para las Empresas de Servicios Públicos previo concepto del Ministerio de Ambiente y Desarrollo Sostenible, Ministerio de Vivienda, Ciudad y Territorio de Colombia, Ministerio de Minas y </w:t>
      </w:r>
      <w:r>
        <w:rPr>
          <w:rFonts w:cs="Arial"/>
          <w:sz w:val="22"/>
          <w:szCs w:val="22"/>
        </w:rPr>
        <w:t>ENERGÍA</w:t>
      </w:r>
      <w:r w:rsidRPr="00506119">
        <w:rPr>
          <w:rFonts w:cs="Arial"/>
          <w:sz w:val="22"/>
          <w:szCs w:val="22"/>
        </w:rPr>
        <w:t xml:space="preserve">, Ministerios de Tecnologías de la Información y las Comunicaciones y de las Comisiones de Regulación de Agua Potable y Saneamiento Básico (CRA), Comisión de Regulación de </w:t>
      </w:r>
      <w:r>
        <w:rPr>
          <w:rFonts w:cs="Arial"/>
          <w:sz w:val="22"/>
          <w:szCs w:val="22"/>
        </w:rPr>
        <w:t>ENERGÍA</w:t>
      </w:r>
      <w:r w:rsidRPr="00506119">
        <w:rPr>
          <w:rFonts w:cs="Arial"/>
          <w:sz w:val="22"/>
          <w:szCs w:val="22"/>
        </w:rPr>
        <w:t xml:space="preserve"> y Gas (CREG), Comisión de Regulación de Comunicaciones (CRC) y Departamento Nacional de Planeación (DNP).</w:t>
      </w:r>
    </w:p>
    <w:p w14:paraId="23EBB4BA" w14:textId="77777777" w:rsidR="003034FD" w:rsidRPr="00506119" w:rsidRDefault="003034FD" w:rsidP="003034FD">
      <w:pPr>
        <w:rPr>
          <w:rFonts w:cs="Arial"/>
          <w:sz w:val="22"/>
          <w:szCs w:val="22"/>
        </w:rPr>
      </w:pPr>
    </w:p>
    <w:p w14:paraId="2480FA32" w14:textId="77777777" w:rsidR="003034FD" w:rsidRDefault="003034FD" w:rsidP="003034FD">
      <w:pPr>
        <w:rPr>
          <w:rFonts w:cs="Arial"/>
          <w:sz w:val="22"/>
          <w:szCs w:val="22"/>
        </w:rPr>
      </w:pPr>
      <w:r>
        <w:rPr>
          <w:rFonts w:cs="Arial"/>
          <w:sz w:val="22"/>
          <w:szCs w:val="22"/>
        </w:rPr>
        <w:t>L</w:t>
      </w:r>
      <w:r w:rsidRPr="00506119">
        <w:rPr>
          <w:rFonts w:cs="Arial"/>
          <w:sz w:val="22"/>
          <w:szCs w:val="22"/>
        </w:rPr>
        <w:t>a Circular externa SSPD-CREG N° 000009 del 14 de agosto de 2003 se imparten instrucciones con respecto a la información financiera y el catálogo de cuentas a los prestadores de servicios públicos domiciliarios.</w:t>
      </w:r>
    </w:p>
    <w:p w14:paraId="030B139B" w14:textId="77777777" w:rsidR="003034FD" w:rsidRDefault="003034FD" w:rsidP="003034FD">
      <w:pPr>
        <w:rPr>
          <w:rFonts w:cs="Arial"/>
          <w:sz w:val="22"/>
          <w:szCs w:val="22"/>
        </w:rPr>
      </w:pPr>
    </w:p>
    <w:p w14:paraId="5AFBC0B4" w14:textId="77777777" w:rsidR="003034FD" w:rsidRPr="00186F65" w:rsidRDefault="003034FD" w:rsidP="003034FD">
      <w:pPr>
        <w:rPr>
          <w:rFonts w:cs="Arial"/>
          <w:sz w:val="22"/>
          <w:szCs w:val="22"/>
        </w:rPr>
      </w:pPr>
      <w:bookmarkStart w:id="26" w:name="_Hlk51941853"/>
      <w:r>
        <w:rPr>
          <w:rFonts w:cs="Arial"/>
          <w:sz w:val="22"/>
          <w:szCs w:val="22"/>
        </w:rPr>
        <w:t xml:space="preserve">La </w:t>
      </w:r>
      <w:r w:rsidRPr="00186F65">
        <w:rPr>
          <w:rFonts w:cs="Arial"/>
          <w:sz w:val="22"/>
          <w:szCs w:val="22"/>
        </w:rPr>
        <w:t>Resolución SSPD N° 000321 de 2003, en la que se determinó que la información reportada al SUI por parte de los prestadores de estos servicios, se considera oficial para todos los fines previstos en la ley.</w:t>
      </w:r>
      <w:r w:rsidRPr="00186F65">
        <w:rPr>
          <w:rStyle w:val="Refdenotaalpie"/>
          <w:rFonts w:cs="Arial"/>
          <w:sz w:val="22"/>
          <w:szCs w:val="22"/>
        </w:rPr>
        <w:footnoteReference w:id="7"/>
      </w:r>
    </w:p>
    <w:p w14:paraId="071C975B" w14:textId="77777777" w:rsidR="003034FD" w:rsidRPr="00186F65" w:rsidRDefault="003034FD" w:rsidP="003034FD">
      <w:pPr>
        <w:rPr>
          <w:rFonts w:cs="Arial"/>
          <w:sz w:val="22"/>
          <w:szCs w:val="22"/>
        </w:rPr>
      </w:pPr>
    </w:p>
    <w:p w14:paraId="6EE73FFE" w14:textId="77777777" w:rsidR="003034FD" w:rsidRPr="00186F65" w:rsidRDefault="003034FD" w:rsidP="003034FD">
      <w:pPr>
        <w:rPr>
          <w:rFonts w:cs="Arial"/>
          <w:sz w:val="22"/>
          <w:szCs w:val="22"/>
        </w:rPr>
      </w:pPr>
      <w:r w:rsidRPr="00186F65">
        <w:rPr>
          <w:rFonts w:cs="Arial"/>
          <w:sz w:val="22"/>
          <w:szCs w:val="22"/>
        </w:rPr>
        <w:t>La información que certifiquen los prestadores de servicios públicos a través del SUI, debe cumplir con los requisitos de calidad y oportunidad, señalados por la Superservicios en la Circular Externa SSPD N° 00001 del 25 de enero de 2006, “Vigilancia y control de la consistencia y calidad de Información reportada al Sistema Único de Información – SUI”</w:t>
      </w:r>
    </w:p>
    <w:bookmarkEnd w:id="26"/>
    <w:p w14:paraId="388EED7B" w14:textId="77777777" w:rsidR="003034FD" w:rsidRPr="00506119" w:rsidRDefault="003034FD" w:rsidP="003034FD">
      <w:pPr>
        <w:rPr>
          <w:rFonts w:cs="Arial"/>
          <w:sz w:val="22"/>
          <w:szCs w:val="22"/>
        </w:rPr>
      </w:pPr>
    </w:p>
    <w:p w14:paraId="5E396B69" w14:textId="16B8DB6B" w:rsidR="003034FD" w:rsidRDefault="003034FD" w:rsidP="003034FD">
      <w:pPr>
        <w:rPr>
          <w:rFonts w:cs="Arial"/>
          <w:sz w:val="22"/>
          <w:szCs w:val="22"/>
        </w:rPr>
      </w:pPr>
      <w:r w:rsidRPr="00FE2932">
        <w:rPr>
          <w:rFonts w:cs="Arial"/>
          <w:sz w:val="22"/>
          <w:szCs w:val="22"/>
        </w:rPr>
        <w:t xml:space="preserve">Por lo tanto, al estar los prestadores de servicios públicos domiciliarios obligados a reportar la información financiera a través del SUI o de los medios que para tal fin disponga la SSPD, </w:t>
      </w:r>
      <w:r w:rsidR="004732E8" w:rsidRPr="00FE2932">
        <w:rPr>
          <w:rFonts w:cs="Arial"/>
          <w:sz w:val="22"/>
          <w:szCs w:val="22"/>
        </w:rPr>
        <w:lastRenderedPageBreak/>
        <w:t>esta</w:t>
      </w:r>
      <w:r w:rsidRPr="00FE2932">
        <w:rPr>
          <w:rFonts w:cs="Arial"/>
          <w:sz w:val="22"/>
          <w:szCs w:val="22"/>
        </w:rPr>
        <w:t xml:space="preserve"> plataforma digital es fuente de información financiera de carácter oficial para establecer la contribución especial de la CREG.</w:t>
      </w:r>
    </w:p>
    <w:p w14:paraId="5F556B99" w14:textId="77777777" w:rsidR="003034FD" w:rsidRPr="00FE2932" w:rsidRDefault="003034FD" w:rsidP="003034FD">
      <w:pPr>
        <w:rPr>
          <w:rFonts w:cs="Arial"/>
          <w:color w:val="FF0000"/>
          <w:sz w:val="22"/>
          <w:szCs w:val="22"/>
        </w:rPr>
      </w:pPr>
    </w:p>
    <w:p w14:paraId="6B0DA2D2" w14:textId="77777777" w:rsidR="003034FD" w:rsidRPr="00FE2932" w:rsidRDefault="003034FD" w:rsidP="003034FD">
      <w:pPr>
        <w:rPr>
          <w:rFonts w:cs="Arial"/>
          <w:sz w:val="22"/>
          <w:szCs w:val="22"/>
        </w:rPr>
      </w:pPr>
      <w:r>
        <w:rPr>
          <w:rFonts w:cs="Arial"/>
          <w:sz w:val="22"/>
          <w:szCs w:val="22"/>
        </w:rPr>
        <w:t>E</w:t>
      </w:r>
      <w:r w:rsidRPr="00FE2932">
        <w:rPr>
          <w:rFonts w:cs="Arial"/>
          <w:sz w:val="22"/>
          <w:szCs w:val="22"/>
        </w:rPr>
        <w:t>l lenguaje informático XBRL</w:t>
      </w:r>
      <w:r w:rsidRPr="00FE2932">
        <w:rPr>
          <w:rStyle w:val="Refdenotaalpie"/>
          <w:rFonts w:cs="Arial"/>
          <w:sz w:val="22"/>
          <w:szCs w:val="22"/>
        </w:rPr>
        <w:footnoteReference w:id="8"/>
      </w:r>
      <w:r w:rsidRPr="00FE2932">
        <w:rPr>
          <w:rFonts w:cs="Arial"/>
          <w:sz w:val="22"/>
          <w:szCs w:val="22"/>
        </w:rPr>
        <w:t xml:space="preserve"> permite el reporte de información financiera de forma estandarizada, facilitando la comparabilidad, transparencia y fiabilidad e incorporando las reglas de negocio en su implementación.</w:t>
      </w:r>
    </w:p>
    <w:p w14:paraId="052C551E" w14:textId="77777777" w:rsidR="003034FD" w:rsidRPr="00FE2932" w:rsidRDefault="003034FD" w:rsidP="003034FD">
      <w:pPr>
        <w:rPr>
          <w:rFonts w:cs="Arial"/>
          <w:color w:val="FF0000"/>
          <w:sz w:val="22"/>
          <w:szCs w:val="22"/>
        </w:rPr>
      </w:pPr>
    </w:p>
    <w:p w14:paraId="10CA1912" w14:textId="77777777" w:rsidR="003034FD" w:rsidRPr="00FE2932" w:rsidRDefault="003034FD" w:rsidP="003034FD">
      <w:pPr>
        <w:rPr>
          <w:rFonts w:cs="Arial"/>
          <w:sz w:val="22"/>
          <w:szCs w:val="22"/>
        </w:rPr>
      </w:pPr>
      <w:r w:rsidRPr="00FE2932">
        <w:rPr>
          <w:rFonts w:cs="Arial"/>
          <w:sz w:val="22"/>
          <w:szCs w:val="22"/>
        </w:rPr>
        <w:t xml:space="preserve">Para efectos de lo anterior la SSPD expidió la Resolución N° SSPD -20161300013475 del 19 de mayo de 2016, por la cual se establecen los requerimientos de información financiera para las personas prestadores de servicios públicos domiciliarios, mediante una estructura para reportar la información financiera en el lenguaje informático XBRL, fundamentado en las estructuras de taxonomías XML expedidas por la IASB que emite las Normas Internacionales de Información Financiera. </w:t>
      </w:r>
    </w:p>
    <w:p w14:paraId="343091B8" w14:textId="77777777" w:rsidR="003034FD" w:rsidRDefault="003034FD" w:rsidP="003034FD">
      <w:pPr>
        <w:rPr>
          <w:rFonts w:cs="Arial"/>
          <w:sz w:val="22"/>
          <w:szCs w:val="22"/>
        </w:rPr>
      </w:pPr>
    </w:p>
    <w:p w14:paraId="465312F0" w14:textId="77777777" w:rsidR="003034FD" w:rsidRPr="00FE2932" w:rsidRDefault="003034FD" w:rsidP="003034FD">
      <w:pPr>
        <w:rPr>
          <w:rFonts w:cs="Arial"/>
          <w:sz w:val="22"/>
          <w:szCs w:val="22"/>
        </w:rPr>
      </w:pPr>
      <w:r w:rsidRPr="00FE2932">
        <w:rPr>
          <w:rFonts w:cs="Arial"/>
          <w:sz w:val="22"/>
          <w:szCs w:val="22"/>
        </w:rPr>
        <w:t>La SSPD modificó la estructura, lenguaje de reporte y periodicidad de la certificación de la información financiera a taxonomías en XBRL, con tipo de informe individual o consolidado y periodicidad anual, y que permite el reporte de información financiera de forma estandarizada, lo cual facilita la comparabilidad, transparencia y fiabilidad, e incorpora las reglas de negocio en su implementación. Para el efecto, la SSPD, dispuso de una nueva taxonomía para la recepción de la información financiera en el SUI según resolución N° 20171300042935 de 2017.</w:t>
      </w:r>
    </w:p>
    <w:p w14:paraId="7C0A6BE2" w14:textId="77777777" w:rsidR="003034FD" w:rsidRPr="00FE2932" w:rsidRDefault="003034FD" w:rsidP="003034FD">
      <w:pPr>
        <w:rPr>
          <w:rFonts w:cs="Arial"/>
          <w:color w:val="7030A0"/>
          <w:sz w:val="22"/>
          <w:szCs w:val="22"/>
        </w:rPr>
      </w:pPr>
    </w:p>
    <w:p w14:paraId="36D9B01E" w14:textId="77777777" w:rsidR="003034FD" w:rsidRPr="00A87948" w:rsidRDefault="003034FD" w:rsidP="003034FD">
      <w:pPr>
        <w:rPr>
          <w:rFonts w:cs="Arial"/>
          <w:sz w:val="22"/>
          <w:szCs w:val="22"/>
        </w:rPr>
      </w:pPr>
      <w:r w:rsidRPr="00FE2932">
        <w:rPr>
          <w:rFonts w:cs="Arial"/>
          <w:sz w:val="22"/>
          <w:szCs w:val="22"/>
        </w:rPr>
        <w:t xml:space="preserve">Cada reporte basado en una taxonomía por grupo y tipo de reporte, permite reflejar los requerimientos de reconocimiento, medición (inicial y posterior), presentación y revelación de cada uno de los marcos normativos, es así que cada preparador de información, vigilado por esta superintendencia, podrá utilizar los mecanismos que considere más fiables y pertinentes </w:t>
      </w:r>
      <w:r w:rsidRPr="00A87948">
        <w:rPr>
          <w:rFonts w:cs="Arial"/>
          <w:sz w:val="22"/>
          <w:szCs w:val="22"/>
        </w:rPr>
        <w:t>para el registro de los hechos económicos en cumplimiento de los objetivos de la información contable, sin que estos sufran una modificación en su naturaleza.</w:t>
      </w:r>
    </w:p>
    <w:p w14:paraId="584641D8" w14:textId="77777777" w:rsidR="003034FD" w:rsidRPr="00A87948" w:rsidRDefault="003034FD" w:rsidP="003034FD">
      <w:pPr>
        <w:rPr>
          <w:rFonts w:cs="Arial"/>
          <w:sz w:val="22"/>
          <w:szCs w:val="22"/>
        </w:rPr>
      </w:pPr>
    </w:p>
    <w:p w14:paraId="35FC6320" w14:textId="77777777" w:rsidR="00A87948" w:rsidRPr="00A87948" w:rsidRDefault="00A87948" w:rsidP="00A87948">
      <w:pPr>
        <w:rPr>
          <w:rFonts w:cs="Arial"/>
          <w:sz w:val="22"/>
          <w:szCs w:val="22"/>
        </w:rPr>
      </w:pPr>
      <w:bookmarkStart w:id="27" w:name="_Hlk51769806"/>
      <w:r w:rsidRPr="00A87948">
        <w:rPr>
          <w:rFonts w:cs="Arial"/>
          <w:sz w:val="22"/>
          <w:szCs w:val="22"/>
        </w:rPr>
        <w:t>En la Resolución SSPD N° 20192000034975 del 10 de septiembre de 2019 se complementó la Resolución N° 20192200020155 del 25 de junio de 2019 y se establecen los lineamientos de cargue de información al SUI para los formatos contenidos en la Resolución N° SSPD 20102400008055 del 16 de marzo de 2010, las circulares SSPD-CREG N° 006 del 30 de diciembre de 2003, modificada por la Circular SSPD-CREG N° 003 del 19 de diciembre de 2005, Circular SSPD-CREG N° 002 del 02 de junio de 2005 y la Circular SSPD-CREG N° 001 del 05 de abril de 2005.</w:t>
      </w:r>
    </w:p>
    <w:p w14:paraId="2E738C48" w14:textId="77777777" w:rsidR="00A87948" w:rsidRPr="00A87948" w:rsidRDefault="00A87948" w:rsidP="00A87948">
      <w:pPr>
        <w:rPr>
          <w:rFonts w:cs="Arial"/>
          <w:sz w:val="22"/>
          <w:szCs w:val="22"/>
        </w:rPr>
      </w:pPr>
    </w:p>
    <w:p w14:paraId="21D96ED7" w14:textId="77777777" w:rsidR="00A87948" w:rsidRPr="00A87948" w:rsidRDefault="00A87948" w:rsidP="00A87948">
      <w:pPr>
        <w:rPr>
          <w:rFonts w:cs="Arial"/>
          <w:sz w:val="22"/>
          <w:szCs w:val="22"/>
        </w:rPr>
      </w:pPr>
      <w:r w:rsidRPr="00A87948">
        <w:rPr>
          <w:rFonts w:cs="Arial"/>
          <w:sz w:val="22"/>
          <w:szCs w:val="22"/>
        </w:rPr>
        <w:t xml:space="preserve">La SSPD expidió para las empresas prestadoras de energía eléctrica la Resolución N° 20102400008055 del 16 de marzo de 2010 “Por la cual se unifica en un solo acto administrativo la normatividad expedida en el sector de energía eléctrica para el cargue de información al SUI” y sus resoluciones modificatorias, vigente hasta que una vez se cumpla lo </w:t>
      </w:r>
      <w:r w:rsidRPr="00A87948">
        <w:rPr>
          <w:rFonts w:cs="Arial"/>
          <w:sz w:val="22"/>
          <w:szCs w:val="22"/>
        </w:rPr>
        <w:lastRenderedPageBreak/>
        <w:t>dispuesto en el artículo 15 de la Resolución SSPD N° 20212200012515 del 26 de marzo de 2021.</w:t>
      </w:r>
    </w:p>
    <w:p w14:paraId="2D7DE8ED" w14:textId="77777777" w:rsidR="00A87948" w:rsidRPr="00A87948" w:rsidRDefault="00A87948" w:rsidP="00A87948">
      <w:pPr>
        <w:rPr>
          <w:rFonts w:cs="Arial"/>
          <w:sz w:val="22"/>
          <w:szCs w:val="22"/>
        </w:rPr>
      </w:pPr>
    </w:p>
    <w:p w14:paraId="525D9620" w14:textId="51B0C167" w:rsidR="00A87948" w:rsidRPr="00A87948" w:rsidRDefault="00A87948" w:rsidP="00A87948">
      <w:pPr>
        <w:rPr>
          <w:rFonts w:cs="Arial"/>
          <w:sz w:val="22"/>
          <w:szCs w:val="22"/>
        </w:rPr>
      </w:pPr>
      <w:r w:rsidRPr="00A87948">
        <w:rPr>
          <w:rFonts w:cs="Arial"/>
          <w:sz w:val="22"/>
          <w:szCs w:val="22"/>
        </w:rPr>
        <w:t>La SSPD expidió la Resolución N° 20212200012515 del 26 de marzo de 2021 “</w:t>
      </w:r>
      <w:r w:rsidRPr="00A87948">
        <w:rPr>
          <w:rFonts w:cs="Arial"/>
          <w:i/>
          <w:iCs/>
          <w:sz w:val="22"/>
          <w:szCs w:val="22"/>
        </w:rPr>
        <w:t>Por la cual se expiden los lineamientos para el cargue de información al Sistema Único de Información (SUI) aplicable a los prestadores del servicio público de energía eléctrica del Sistema Interconectado Nacional (SIN</w:t>
      </w:r>
      <w:r w:rsidRPr="00A87948">
        <w:rPr>
          <w:rFonts w:cs="Arial"/>
          <w:sz w:val="22"/>
          <w:szCs w:val="22"/>
        </w:rPr>
        <w:t>)” y deroga el artículo primero de la Resolución SSPD N° 20192000034975 de 2019, la Resolución SSPD N° 20192200020155 de 2019 y la Resolución SSPD N° 20102400008055 de 2010.</w:t>
      </w:r>
    </w:p>
    <w:p w14:paraId="04F860B7" w14:textId="47A30D38" w:rsidR="00A87948" w:rsidRPr="00A87948" w:rsidRDefault="00A87948" w:rsidP="00A87948">
      <w:pPr>
        <w:rPr>
          <w:rFonts w:cs="Arial"/>
          <w:sz w:val="22"/>
          <w:szCs w:val="22"/>
        </w:rPr>
      </w:pPr>
    </w:p>
    <w:p w14:paraId="6B419BE2" w14:textId="77777777" w:rsidR="00A87948" w:rsidRPr="00A87948" w:rsidRDefault="00A87948" w:rsidP="00A87948">
      <w:pPr>
        <w:rPr>
          <w:rFonts w:cs="Arial"/>
          <w:sz w:val="22"/>
          <w:szCs w:val="22"/>
        </w:rPr>
      </w:pPr>
      <w:r w:rsidRPr="00A87948">
        <w:rPr>
          <w:rFonts w:cs="Arial"/>
          <w:sz w:val="22"/>
          <w:szCs w:val="22"/>
        </w:rPr>
        <w:t>La Resolución SSPD N° 20102400008055 de 2010 continuará vigente hasta tanto el último Operador de Red cuente con aprobación de ingresos por parte de la CREG bajo la Resolución CREG 015 de 2018 y sus modificaciones, en cumplimiento de las reglas estipuladas en el artículo 10 de la presente resolución. Una vez se cumpla esta condición para el último OR, dicha resolución quedará derogada para todos los efectos legales.</w:t>
      </w:r>
    </w:p>
    <w:p w14:paraId="4FD489DB" w14:textId="77777777" w:rsidR="003034FD" w:rsidRPr="00A87948" w:rsidRDefault="003034FD" w:rsidP="003034FD">
      <w:pPr>
        <w:rPr>
          <w:rFonts w:cs="Arial"/>
          <w:sz w:val="22"/>
          <w:szCs w:val="22"/>
        </w:rPr>
      </w:pPr>
    </w:p>
    <w:p w14:paraId="27B982E8" w14:textId="3B156B0A" w:rsidR="003034FD" w:rsidRPr="00A87948" w:rsidRDefault="003034FD" w:rsidP="003034FD">
      <w:pPr>
        <w:rPr>
          <w:rFonts w:cs="Arial"/>
          <w:sz w:val="22"/>
          <w:szCs w:val="22"/>
        </w:rPr>
      </w:pPr>
      <w:r w:rsidRPr="00A87948">
        <w:rPr>
          <w:rFonts w:cs="Arial"/>
          <w:sz w:val="22"/>
          <w:szCs w:val="22"/>
        </w:rPr>
        <w:t xml:space="preserve">A su vez, los plazos para el 2021 fueron fijados mediante Resolución SSPD N° 20211000016645 del 09 de abril de 2021, </w:t>
      </w:r>
      <w:r w:rsidRPr="00A87948">
        <w:rPr>
          <w:rFonts w:cs="Arial"/>
          <w:i/>
          <w:iCs/>
          <w:sz w:val="22"/>
          <w:szCs w:val="22"/>
        </w:rPr>
        <w:t>“Por la cual se establecen los plazos para el cargue de la información financiera con corte a 31 de diciembre de 2020 y se dictan otras disposiciones”</w:t>
      </w:r>
      <w:r w:rsidRPr="00A87948">
        <w:rPr>
          <w:rFonts w:cs="Arial"/>
          <w:sz w:val="22"/>
          <w:szCs w:val="22"/>
        </w:rPr>
        <w:t>.</w:t>
      </w:r>
    </w:p>
    <w:p w14:paraId="3FB82CC9" w14:textId="179ADFCE" w:rsidR="00A87948" w:rsidRPr="00A87948" w:rsidRDefault="00A87948" w:rsidP="003034FD">
      <w:pPr>
        <w:rPr>
          <w:rFonts w:cs="Arial"/>
          <w:sz w:val="22"/>
          <w:szCs w:val="22"/>
        </w:rPr>
      </w:pPr>
    </w:p>
    <w:p w14:paraId="214E539F" w14:textId="77777777" w:rsidR="00A87948" w:rsidRPr="00A87948" w:rsidRDefault="00A87948" w:rsidP="00A87948">
      <w:pPr>
        <w:rPr>
          <w:rFonts w:cs="Arial"/>
          <w:sz w:val="22"/>
          <w:szCs w:val="22"/>
        </w:rPr>
      </w:pPr>
      <w:r w:rsidRPr="00A87948">
        <w:rPr>
          <w:rFonts w:cs="Arial"/>
          <w:sz w:val="22"/>
          <w:szCs w:val="22"/>
        </w:rPr>
        <w:t xml:space="preserve">El artículo 18 de la Ley 142 de 1994 señala que </w:t>
      </w:r>
      <w:r w:rsidRPr="00A87948">
        <w:rPr>
          <w:rFonts w:cs="Arial"/>
          <w:i/>
          <w:iCs/>
          <w:sz w:val="22"/>
          <w:szCs w:val="22"/>
        </w:rPr>
        <w:t>“[e]n todo caso, las empresas de servicios públicos que tengan objeto social múltiple deberán llevar contabilidad separada para cada uno de los servicios que presten; y el costo y la modalidad de las operaciones entre cada servicio deben registrarse de manera explícita (...)”.</w:t>
      </w:r>
    </w:p>
    <w:p w14:paraId="7BB4386F" w14:textId="77777777" w:rsidR="003034FD" w:rsidRPr="00A87948" w:rsidRDefault="003034FD" w:rsidP="003034FD">
      <w:pPr>
        <w:rPr>
          <w:rFonts w:cs="Arial"/>
          <w:sz w:val="22"/>
          <w:szCs w:val="22"/>
        </w:rPr>
      </w:pPr>
    </w:p>
    <w:bookmarkEnd w:id="27"/>
    <w:p w14:paraId="1C8E0C96" w14:textId="77777777" w:rsidR="003034FD" w:rsidRPr="00A87948" w:rsidRDefault="003034FD" w:rsidP="003034FD">
      <w:pPr>
        <w:rPr>
          <w:rFonts w:cs="Arial"/>
          <w:sz w:val="22"/>
          <w:szCs w:val="22"/>
        </w:rPr>
      </w:pPr>
      <w:r w:rsidRPr="00A87948">
        <w:rPr>
          <w:rFonts w:cs="Arial"/>
          <w:sz w:val="22"/>
          <w:szCs w:val="22"/>
        </w:rPr>
        <w:t>La información que certifiquen los prestadores de servicios públicos a través del SUI, deberá cumplir con los requisitos de calidad y oportunidad señalados por la Superservicios en la Circular Externa SSPD 00001 del 25 de enero de 2016.</w:t>
      </w:r>
    </w:p>
    <w:p w14:paraId="1085A47F" w14:textId="77777777" w:rsidR="003034FD" w:rsidRDefault="003034FD" w:rsidP="003034FD">
      <w:pPr>
        <w:rPr>
          <w:rFonts w:cs="Arial"/>
          <w:sz w:val="22"/>
          <w:szCs w:val="22"/>
        </w:rPr>
      </w:pPr>
    </w:p>
    <w:p w14:paraId="720452FB" w14:textId="6FE1DC19" w:rsidR="003034FD" w:rsidRDefault="003034FD" w:rsidP="003034FD">
      <w:pPr>
        <w:rPr>
          <w:rFonts w:cs="Arial"/>
          <w:sz w:val="22"/>
          <w:szCs w:val="22"/>
        </w:rPr>
      </w:pPr>
      <w:r>
        <w:rPr>
          <w:rFonts w:cs="Arial"/>
          <w:sz w:val="22"/>
          <w:szCs w:val="22"/>
        </w:rPr>
        <w:t>De esta manera, f</w:t>
      </w:r>
      <w:r w:rsidRPr="00383DF0">
        <w:rPr>
          <w:rFonts w:cs="Arial"/>
          <w:sz w:val="22"/>
          <w:szCs w:val="22"/>
        </w:rPr>
        <w:t>ormarán parte de la base gravable de liquidación de la contribución especial 20</w:t>
      </w:r>
      <w:r>
        <w:rPr>
          <w:rFonts w:cs="Arial"/>
          <w:sz w:val="22"/>
          <w:szCs w:val="22"/>
        </w:rPr>
        <w:t>21</w:t>
      </w:r>
      <w:r w:rsidRPr="00383DF0">
        <w:rPr>
          <w:rFonts w:cs="Arial"/>
          <w:sz w:val="22"/>
          <w:szCs w:val="22"/>
        </w:rPr>
        <w:t xml:space="preserve">, la sumatoria de los valores reportados y certificados al SUI, por los prestadores de servicios públicos domiciliarios, en los formatos establecidos por la SSPD, de las taxonomías XBRL estructuradas por la SSPD </w:t>
      </w:r>
      <w:r>
        <w:rPr>
          <w:rFonts w:cs="Arial"/>
          <w:sz w:val="22"/>
          <w:szCs w:val="22"/>
        </w:rPr>
        <w:t xml:space="preserve">para la información financiera con corte </w:t>
      </w:r>
      <w:r w:rsidRPr="00383DF0">
        <w:rPr>
          <w:rFonts w:cs="Arial"/>
          <w:sz w:val="22"/>
          <w:szCs w:val="22"/>
        </w:rPr>
        <w:t>a 31 de diciembre de 20</w:t>
      </w:r>
      <w:r>
        <w:rPr>
          <w:rFonts w:cs="Arial"/>
          <w:sz w:val="22"/>
          <w:szCs w:val="22"/>
        </w:rPr>
        <w:t>20</w:t>
      </w:r>
      <w:r w:rsidRPr="00383DF0">
        <w:rPr>
          <w:rFonts w:cs="Arial"/>
          <w:sz w:val="22"/>
          <w:szCs w:val="22"/>
        </w:rPr>
        <w:t>, organizada por cada servicio público</w:t>
      </w:r>
      <w:r>
        <w:rPr>
          <w:rFonts w:cs="Arial"/>
          <w:sz w:val="22"/>
          <w:szCs w:val="22"/>
        </w:rPr>
        <w:t>,</w:t>
      </w:r>
      <w:r w:rsidRPr="00383DF0">
        <w:rPr>
          <w:rFonts w:cs="Arial"/>
          <w:sz w:val="22"/>
          <w:szCs w:val="22"/>
        </w:rPr>
        <w:t xml:space="preserve"> objeto de regulación por parte de la CREG</w:t>
      </w:r>
      <w:r>
        <w:rPr>
          <w:rFonts w:cs="Arial"/>
          <w:sz w:val="22"/>
          <w:szCs w:val="22"/>
        </w:rPr>
        <w:t xml:space="preserve">. </w:t>
      </w:r>
    </w:p>
    <w:p w14:paraId="0AAF1A54" w14:textId="6EFDE7BE" w:rsidR="003034FD" w:rsidRDefault="003034FD" w:rsidP="00CB5351">
      <w:pPr>
        <w:pStyle w:val="Textoindependiente"/>
        <w:spacing w:after="0" w:line="240" w:lineRule="auto"/>
        <w:jc w:val="center"/>
        <w:rPr>
          <w:rFonts w:cs="Arial"/>
          <w:color w:val="FF0000"/>
          <w:sz w:val="22"/>
          <w:szCs w:val="22"/>
        </w:rPr>
      </w:pPr>
    </w:p>
    <w:p w14:paraId="465479BD" w14:textId="5BA3FA11" w:rsidR="003034FD" w:rsidRPr="00421866" w:rsidRDefault="003034FD" w:rsidP="003034FD">
      <w:pPr>
        <w:pStyle w:val="Subttulo"/>
        <w:numPr>
          <w:ilvl w:val="1"/>
          <w:numId w:val="37"/>
        </w:numPr>
        <w:spacing w:after="0"/>
        <w:ind w:left="357" w:hanging="357"/>
        <w:jc w:val="left"/>
        <w:rPr>
          <w:b/>
          <w:bCs/>
          <w:sz w:val="22"/>
          <w:szCs w:val="22"/>
        </w:rPr>
      </w:pPr>
      <w:bookmarkStart w:id="28" w:name="_Toc88126838"/>
      <w:r>
        <w:rPr>
          <w:b/>
          <w:bCs/>
          <w:sz w:val="22"/>
          <w:szCs w:val="22"/>
        </w:rPr>
        <w:t>FECHA DE CORTE</w:t>
      </w:r>
      <w:r w:rsidR="00763667">
        <w:rPr>
          <w:b/>
          <w:bCs/>
          <w:sz w:val="22"/>
          <w:szCs w:val="22"/>
        </w:rPr>
        <w:t xml:space="preserve"> DE</w:t>
      </w:r>
      <w:r>
        <w:rPr>
          <w:b/>
          <w:bCs/>
          <w:sz w:val="22"/>
          <w:szCs w:val="22"/>
        </w:rPr>
        <w:t xml:space="preserve"> CONSULTA </w:t>
      </w:r>
      <w:r w:rsidR="00887ECC">
        <w:rPr>
          <w:b/>
          <w:bCs/>
          <w:sz w:val="22"/>
          <w:szCs w:val="22"/>
        </w:rPr>
        <w:t xml:space="preserve">DE </w:t>
      </w:r>
      <w:r>
        <w:rPr>
          <w:b/>
          <w:bCs/>
          <w:sz w:val="22"/>
          <w:szCs w:val="22"/>
        </w:rPr>
        <w:t>INFORMACIÓN AL SUI.</w:t>
      </w:r>
      <w:bookmarkEnd w:id="28"/>
    </w:p>
    <w:p w14:paraId="1DB05C49" w14:textId="0D3BF2E7" w:rsidR="003034FD" w:rsidRDefault="003034FD" w:rsidP="003034FD">
      <w:pPr>
        <w:pStyle w:val="Textoindependiente"/>
        <w:spacing w:after="0" w:line="240" w:lineRule="auto"/>
        <w:jc w:val="left"/>
        <w:rPr>
          <w:rFonts w:cs="Arial"/>
          <w:color w:val="FF0000"/>
          <w:sz w:val="22"/>
          <w:szCs w:val="22"/>
        </w:rPr>
      </w:pPr>
    </w:p>
    <w:p w14:paraId="36BC8FF7" w14:textId="02143D38" w:rsidR="003034FD" w:rsidRDefault="003034FD" w:rsidP="003034FD">
      <w:pPr>
        <w:rPr>
          <w:rFonts w:cs="Arial"/>
          <w:sz w:val="22"/>
          <w:szCs w:val="22"/>
        </w:rPr>
      </w:pPr>
      <w:r>
        <w:rPr>
          <w:rFonts w:cs="Arial"/>
          <w:sz w:val="22"/>
          <w:szCs w:val="22"/>
        </w:rPr>
        <w:t xml:space="preserve">Se tomó </w:t>
      </w:r>
      <w:r w:rsidRPr="00383DF0">
        <w:rPr>
          <w:rFonts w:cs="Arial"/>
          <w:sz w:val="22"/>
          <w:szCs w:val="22"/>
        </w:rPr>
        <w:t xml:space="preserve">como </w:t>
      </w:r>
      <w:r>
        <w:rPr>
          <w:rFonts w:cs="Arial"/>
          <w:sz w:val="22"/>
          <w:szCs w:val="22"/>
        </w:rPr>
        <w:t>fuente de información la enviada por los regulados al SUI de la SSPD</w:t>
      </w:r>
      <w:r w:rsidR="00763667">
        <w:rPr>
          <w:rFonts w:cs="Arial"/>
          <w:sz w:val="22"/>
          <w:szCs w:val="22"/>
        </w:rPr>
        <w:t>,</w:t>
      </w:r>
      <w:r>
        <w:rPr>
          <w:rFonts w:cs="Arial"/>
          <w:sz w:val="22"/>
          <w:szCs w:val="22"/>
        </w:rPr>
        <w:t xml:space="preserve"> con </w:t>
      </w:r>
      <w:r w:rsidR="00763667">
        <w:rPr>
          <w:rFonts w:cs="Arial"/>
          <w:sz w:val="22"/>
          <w:szCs w:val="22"/>
        </w:rPr>
        <w:t xml:space="preserve">fecha de </w:t>
      </w:r>
      <w:r w:rsidRPr="00383DF0">
        <w:rPr>
          <w:rFonts w:cs="Arial"/>
          <w:sz w:val="22"/>
          <w:szCs w:val="22"/>
        </w:rPr>
        <w:t xml:space="preserve">corte </w:t>
      </w:r>
      <w:r w:rsidR="00763667">
        <w:rPr>
          <w:rFonts w:cs="Arial"/>
          <w:sz w:val="22"/>
          <w:szCs w:val="22"/>
        </w:rPr>
        <w:t xml:space="preserve">de consulta suministrada por la SSPD a la CREG </w:t>
      </w:r>
      <w:r w:rsidR="00887ECC">
        <w:rPr>
          <w:rFonts w:cs="Arial"/>
          <w:sz w:val="22"/>
          <w:szCs w:val="22"/>
        </w:rPr>
        <w:t>de</w:t>
      </w:r>
      <w:r w:rsidRPr="00383DF0">
        <w:rPr>
          <w:rFonts w:cs="Arial"/>
          <w:sz w:val="22"/>
          <w:szCs w:val="22"/>
        </w:rPr>
        <w:t xml:space="preserve">l </w:t>
      </w:r>
      <w:r w:rsidRPr="001347A8">
        <w:rPr>
          <w:rFonts w:cs="Arial"/>
          <w:sz w:val="22"/>
          <w:szCs w:val="22"/>
        </w:rPr>
        <w:t>2</w:t>
      </w:r>
      <w:r>
        <w:rPr>
          <w:rFonts w:cs="Arial"/>
          <w:sz w:val="22"/>
          <w:szCs w:val="22"/>
        </w:rPr>
        <w:t>1</w:t>
      </w:r>
      <w:r w:rsidRPr="001347A8">
        <w:rPr>
          <w:rFonts w:cs="Arial"/>
          <w:sz w:val="22"/>
          <w:szCs w:val="22"/>
        </w:rPr>
        <w:t xml:space="preserve"> de septiembre de 202</w:t>
      </w:r>
      <w:r>
        <w:rPr>
          <w:rFonts w:cs="Arial"/>
          <w:sz w:val="22"/>
          <w:szCs w:val="22"/>
        </w:rPr>
        <w:t>1</w:t>
      </w:r>
      <w:r w:rsidRPr="001347A8">
        <w:rPr>
          <w:rFonts w:cs="Arial"/>
          <w:sz w:val="22"/>
          <w:szCs w:val="22"/>
        </w:rPr>
        <w:t>.</w:t>
      </w:r>
    </w:p>
    <w:p w14:paraId="5D7D3EB8" w14:textId="28DC0D96" w:rsidR="00CF18E2" w:rsidRDefault="00CF18E2" w:rsidP="003034FD">
      <w:pPr>
        <w:rPr>
          <w:rFonts w:cs="Arial"/>
          <w:sz w:val="22"/>
          <w:szCs w:val="22"/>
        </w:rPr>
      </w:pPr>
    </w:p>
    <w:p w14:paraId="1D01FDD3" w14:textId="70734252" w:rsidR="00CF18E2" w:rsidRDefault="00CF18E2" w:rsidP="003034FD">
      <w:pPr>
        <w:rPr>
          <w:rFonts w:cs="Arial"/>
          <w:sz w:val="22"/>
          <w:szCs w:val="22"/>
        </w:rPr>
      </w:pPr>
    </w:p>
    <w:p w14:paraId="10C42640" w14:textId="4FFC0C70" w:rsidR="00CF18E2" w:rsidRDefault="00CF18E2" w:rsidP="003034FD">
      <w:pPr>
        <w:rPr>
          <w:rFonts w:cs="Arial"/>
          <w:sz w:val="22"/>
          <w:szCs w:val="22"/>
        </w:rPr>
      </w:pPr>
    </w:p>
    <w:p w14:paraId="171D2F82" w14:textId="77777777" w:rsidR="00BB14CB" w:rsidRDefault="00BB14CB" w:rsidP="003B72DD">
      <w:pPr>
        <w:jc w:val="left"/>
        <w:rPr>
          <w:rFonts w:cs="Arial"/>
          <w:color w:val="FF0000"/>
          <w:sz w:val="22"/>
          <w:szCs w:val="22"/>
        </w:rPr>
      </w:pPr>
    </w:p>
    <w:p w14:paraId="3C7634D9" w14:textId="37432956" w:rsidR="00BB14CB" w:rsidRPr="007226D7" w:rsidRDefault="00BB14CB" w:rsidP="00BB14CB">
      <w:pPr>
        <w:pStyle w:val="Ttulo10"/>
        <w:numPr>
          <w:ilvl w:val="0"/>
          <w:numId w:val="37"/>
        </w:numPr>
        <w:spacing w:before="0" w:after="0"/>
        <w:rPr>
          <w:sz w:val="22"/>
          <w:szCs w:val="22"/>
        </w:rPr>
      </w:pPr>
      <w:bookmarkStart w:id="29" w:name="_Toc54170183"/>
      <w:bookmarkStart w:id="30" w:name="_Toc88126839"/>
      <w:r w:rsidRPr="007226D7">
        <w:rPr>
          <w:sz w:val="22"/>
          <w:szCs w:val="22"/>
        </w:rPr>
        <w:t>CENSO DE CONTRIBUYENTES</w:t>
      </w:r>
      <w:bookmarkEnd w:id="29"/>
      <w:r w:rsidR="00C170A0">
        <w:rPr>
          <w:sz w:val="22"/>
          <w:szCs w:val="22"/>
        </w:rPr>
        <w:t xml:space="preserve"> Y ESTADO DE REPORTE AL SUI</w:t>
      </w:r>
      <w:bookmarkEnd w:id="30"/>
    </w:p>
    <w:p w14:paraId="1DD62B5F" w14:textId="42F03AF9" w:rsidR="00BB14CB" w:rsidRDefault="00BB14CB" w:rsidP="00BB14CB">
      <w:pPr>
        <w:autoSpaceDE w:val="0"/>
        <w:autoSpaceDN w:val="0"/>
        <w:adjustRightInd w:val="0"/>
        <w:rPr>
          <w:rFonts w:cs="Arial"/>
          <w:sz w:val="22"/>
          <w:szCs w:val="22"/>
        </w:rPr>
      </w:pPr>
    </w:p>
    <w:p w14:paraId="15C22D97" w14:textId="3C32201C" w:rsidR="00BB14CB" w:rsidRPr="00BB14CB" w:rsidRDefault="00BB14CB" w:rsidP="00BB14CB">
      <w:pPr>
        <w:pStyle w:val="Subttulo"/>
        <w:numPr>
          <w:ilvl w:val="1"/>
          <w:numId w:val="37"/>
        </w:numPr>
        <w:spacing w:after="0"/>
        <w:ind w:left="357" w:hanging="357"/>
        <w:jc w:val="left"/>
        <w:rPr>
          <w:b/>
          <w:bCs/>
          <w:sz w:val="22"/>
          <w:szCs w:val="22"/>
        </w:rPr>
      </w:pPr>
      <w:bookmarkStart w:id="31" w:name="_Toc88126840"/>
      <w:bookmarkStart w:id="32" w:name="_Hlk51769610"/>
      <w:r w:rsidRPr="00BB14CB">
        <w:rPr>
          <w:b/>
          <w:bCs/>
          <w:sz w:val="22"/>
          <w:szCs w:val="22"/>
        </w:rPr>
        <w:t xml:space="preserve">DETERMINACIÓN </w:t>
      </w:r>
      <w:r>
        <w:rPr>
          <w:b/>
          <w:bCs/>
          <w:sz w:val="22"/>
          <w:szCs w:val="22"/>
        </w:rPr>
        <w:t xml:space="preserve">NÚMERO DE </w:t>
      </w:r>
      <w:r w:rsidRPr="00BB14CB">
        <w:rPr>
          <w:b/>
          <w:bCs/>
          <w:sz w:val="22"/>
          <w:szCs w:val="22"/>
        </w:rPr>
        <w:t xml:space="preserve">PRESTADORES </w:t>
      </w:r>
      <w:r>
        <w:rPr>
          <w:b/>
          <w:bCs/>
          <w:sz w:val="22"/>
          <w:szCs w:val="22"/>
        </w:rPr>
        <w:t>DE SERVICIOS PÚBLICOS</w:t>
      </w:r>
      <w:bookmarkEnd w:id="31"/>
    </w:p>
    <w:p w14:paraId="39AAE0D4" w14:textId="77777777" w:rsidR="00BB14CB" w:rsidRDefault="00BB14CB" w:rsidP="00BB14CB">
      <w:pPr>
        <w:rPr>
          <w:rFonts w:cs="Arial"/>
          <w:sz w:val="22"/>
          <w:szCs w:val="22"/>
        </w:rPr>
      </w:pPr>
    </w:p>
    <w:p w14:paraId="5BC9E694" w14:textId="555BB13A" w:rsidR="00BB14CB" w:rsidRPr="00BB14CB" w:rsidRDefault="00BB14CB" w:rsidP="00BB14CB">
      <w:pPr>
        <w:rPr>
          <w:rFonts w:cs="Arial"/>
          <w:sz w:val="22"/>
          <w:szCs w:val="22"/>
        </w:rPr>
      </w:pPr>
      <w:r w:rsidRPr="00BB14CB">
        <w:rPr>
          <w:rFonts w:cs="Arial"/>
          <w:sz w:val="22"/>
          <w:szCs w:val="22"/>
        </w:rPr>
        <w:t>La SSPD a través de la Resolución N° 20211000206585 del 3 de junio de 2021 “</w:t>
      </w:r>
      <w:r w:rsidRPr="00BB14CB">
        <w:rPr>
          <w:rFonts w:cs="Arial"/>
          <w:i/>
          <w:iCs/>
          <w:sz w:val="22"/>
          <w:szCs w:val="22"/>
        </w:rPr>
        <w:t>Por la cual se establece el número de prestadores que servirá como base para liquidar la contribución especial para el año 2021 y la contribución adicional para el fortalecimiento del Fondo Empresarial</w:t>
      </w:r>
      <w:r w:rsidRPr="00BB14CB">
        <w:rPr>
          <w:rFonts w:cs="Arial"/>
          <w:sz w:val="22"/>
          <w:szCs w:val="22"/>
        </w:rPr>
        <w:t>”, determinó el número de prestadores de servicios públicos domiciliarios, los cuales son del ámbito de regulación de la CREG; censo que servirá de base para la CREG realizar el cálculo de la tarifa de la Contribución Especial 2021.</w:t>
      </w:r>
    </w:p>
    <w:p w14:paraId="79CE4437" w14:textId="77777777" w:rsidR="00BB14CB" w:rsidRPr="00BB14CB" w:rsidRDefault="00BB14CB" w:rsidP="00BB14CB">
      <w:pPr>
        <w:rPr>
          <w:rFonts w:cs="Arial"/>
          <w:sz w:val="22"/>
          <w:szCs w:val="22"/>
          <w:lang w:val="es-MX"/>
        </w:rPr>
      </w:pPr>
    </w:p>
    <w:bookmarkEnd w:id="32"/>
    <w:p w14:paraId="518179E6" w14:textId="43AE03DF" w:rsidR="00BB14CB" w:rsidRDefault="00BB14CB" w:rsidP="00BB14CB">
      <w:pPr>
        <w:rPr>
          <w:rFonts w:cs="Arial"/>
          <w:sz w:val="22"/>
          <w:szCs w:val="22"/>
          <w:lang w:val="es-MX"/>
        </w:rPr>
      </w:pPr>
      <w:r w:rsidRPr="00BB14CB">
        <w:rPr>
          <w:rFonts w:cs="Arial"/>
          <w:sz w:val="22"/>
          <w:szCs w:val="22"/>
          <w:lang w:val="es-MX"/>
        </w:rPr>
        <w:t>La resolución citada y sus</w:t>
      </w:r>
      <w:r>
        <w:rPr>
          <w:rFonts w:cs="Arial"/>
          <w:sz w:val="22"/>
          <w:szCs w:val="22"/>
          <w:lang w:val="es-MX"/>
        </w:rPr>
        <w:t xml:space="preserve"> anexos se encuentran publicados en la siguiente dirección web del SUI de la SSPD: </w:t>
      </w:r>
    </w:p>
    <w:p w14:paraId="1AB79429" w14:textId="0FBBA238" w:rsidR="00BB14CB" w:rsidRDefault="00BB14CB" w:rsidP="00BB14CB">
      <w:pPr>
        <w:rPr>
          <w:rFonts w:cs="Arial"/>
          <w:sz w:val="22"/>
          <w:szCs w:val="22"/>
          <w:lang w:val="es-MX"/>
        </w:rPr>
      </w:pPr>
    </w:p>
    <w:p w14:paraId="2C4AF019" w14:textId="0C919851" w:rsidR="00BB14CB" w:rsidRDefault="00FF1E0C" w:rsidP="00BB14CB">
      <w:pPr>
        <w:rPr>
          <w:rFonts w:cs="Arial"/>
          <w:sz w:val="22"/>
          <w:szCs w:val="22"/>
          <w:lang w:val="es-MX"/>
        </w:rPr>
      </w:pPr>
      <w:hyperlink r:id="rId12" w:history="1">
        <w:r w:rsidR="00BB14CB" w:rsidRPr="00862B5D">
          <w:rPr>
            <w:rStyle w:val="Hipervnculo"/>
            <w:rFonts w:cs="Arial"/>
            <w:sz w:val="22"/>
            <w:szCs w:val="22"/>
            <w:lang w:val="es-MX"/>
          </w:rPr>
          <w:t>http://www.sui.gov.co/web/normatividad/general/resolucion-no.-sspd-20211000206585-del-03-06-2021-expediente-2021534260104975e</w:t>
        </w:r>
      </w:hyperlink>
    </w:p>
    <w:p w14:paraId="2B9BDFA8" w14:textId="05D76A2A" w:rsidR="00BB14CB" w:rsidRDefault="00BB14CB" w:rsidP="00BB14CB">
      <w:pPr>
        <w:rPr>
          <w:rFonts w:cs="Arial"/>
          <w:sz w:val="22"/>
          <w:szCs w:val="22"/>
          <w:lang w:val="es-MX"/>
        </w:rPr>
      </w:pPr>
    </w:p>
    <w:p w14:paraId="07A1BEEB" w14:textId="17937E81" w:rsidR="00BB14CB" w:rsidRPr="00BB14CB" w:rsidRDefault="00BB14CB" w:rsidP="00BB14CB">
      <w:pPr>
        <w:pStyle w:val="Subttulo"/>
        <w:numPr>
          <w:ilvl w:val="1"/>
          <w:numId w:val="37"/>
        </w:numPr>
        <w:spacing w:after="0"/>
        <w:ind w:left="357" w:hanging="357"/>
        <w:jc w:val="left"/>
        <w:rPr>
          <w:b/>
          <w:bCs/>
          <w:sz w:val="22"/>
          <w:szCs w:val="22"/>
        </w:rPr>
      </w:pPr>
      <w:bookmarkStart w:id="33" w:name="_Toc88126841"/>
      <w:r w:rsidRPr="00BB14CB">
        <w:rPr>
          <w:b/>
          <w:bCs/>
          <w:sz w:val="22"/>
          <w:szCs w:val="22"/>
        </w:rPr>
        <w:t xml:space="preserve">PRESTADORES </w:t>
      </w:r>
      <w:r>
        <w:rPr>
          <w:b/>
          <w:bCs/>
          <w:sz w:val="22"/>
          <w:szCs w:val="22"/>
        </w:rPr>
        <w:t>POR TIPO DE SERVICIO PÚBLICO</w:t>
      </w:r>
      <w:bookmarkEnd w:id="33"/>
    </w:p>
    <w:p w14:paraId="00DF0A7B" w14:textId="1442E8A7" w:rsidR="00BB14CB" w:rsidRDefault="00BB14CB" w:rsidP="00BB14CB">
      <w:pPr>
        <w:pStyle w:val="Textoindependiente"/>
        <w:spacing w:after="0" w:line="240" w:lineRule="auto"/>
        <w:jc w:val="left"/>
        <w:rPr>
          <w:rFonts w:cs="Arial"/>
          <w:color w:val="FF0000"/>
          <w:sz w:val="22"/>
          <w:szCs w:val="22"/>
        </w:rPr>
      </w:pPr>
    </w:p>
    <w:p w14:paraId="65E40118" w14:textId="62C36B20" w:rsidR="00BB14CB" w:rsidRPr="00E5749D" w:rsidRDefault="00E5749D" w:rsidP="00E5749D">
      <w:pPr>
        <w:pStyle w:val="Textoindependiente"/>
        <w:spacing w:after="0" w:line="240" w:lineRule="auto"/>
        <w:rPr>
          <w:rFonts w:cs="Arial"/>
          <w:sz w:val="22"/>
          <w:szCs w:val="22"/>
        </w:rPr>
      </w:pPr>
      <w:r>
        <w:rPr>
          <w:rFonts w:cs="Arial"/>
          <w:sz w:val="22"/>
          <w:szCs w:val="22"/>
        </w:rPr>
        <w:t xml:space="preserve">Conforme a la anterior </w:t>
      </w:r>
      <w:r w:rsidRPr="00BB14CB">
        <w:rPr>
          <w:rFonts w:cs="Arial"/>
          <w:sz w:val="22"/>
          <w:szCs w:val="22"/>
        </w:rPr>
        <w:t xml:space="preserve">Resolución </w:t>
      </w:r>
      <w:r>
        <w:rPr>
          <w:rFonts w:cs="Arial"/>
          <w:sz w:val="22"/>
          <w:szCs w:val="22"/>
        </w:rPr>
        <w:t xml:space="preserve">SSPD </w:t>
      </w:r>
      <w:r w:rsidRPr="00BB14CB">
        <w:rPr>
          <w:rFonts w:cs="Arial"/>
          <w:sz w:val="22"/>
          <w:szCs w:val="22"/>
        </w:rPr>
        <w:t>N° 20211000206585</w:t>
      </w:r>
      <w:r>
        <w:rPr>
          <w:rFonts w:cs="Arial"/>
          <w:sz w:val="22"/>
          <w:szCs w:val="22"/>
        </w:rPr>
        <w:t>, arrojó como censo general las siguientes Empresas prestadoras de Servicios Públicos (ESP):</w:t>
      </w:r>
    </w:p>
    <w:p w14:paraId="0D72BC4E" w14:textId="1068C8DF" w:rsidR="003034FD" w:rsidRDefault="003034FD" w:rsidP="00CB5351">
      <w:pPr>
        <w:pStyle w:val="Textoindependiente"/>
        <w:spacing w:after="0" w:line="240" w:lineRule="auto"/>
        <w:jc w:val="center"/>
        <w:rPr>
          <w:rFonts w:cs="Arial"/>
          <w:color w:val="FF0000"/>
          <w:sz w:val="22"/>
          <w:szCs w:val="22"/>
        </w:rPr>
      </w:pP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56"/>
        <w:gridCol w:w="1984"/>
        <w:gridCol w:w="2760"/>
        <w:gridCol w:w="1200"/>
      </w:tblGrid>
      <w:tr w:rsidR="00BB14CB" w:rsidRPr="00F96739" w14:paraId="2A645EA3" w14:textId="77777777" w:rsidTr="00CF18E2">
        <w:trPr>
          <w:trHeight w:val="419"/>
        </w:trPr>
        <w:tc>
          <w:tcPr>
            <w:tcW w:w="3256" w:type="dxa"/>
            <w:shd w:val="clear" w:color="000000" w:fill="D6DCE4"/>
            <w:vAlign w:val="center"/>
            <w:hideMark/>
          </w:tcPr>
          <w:p w14:paraId="3484C793" w14:textId="77777777" w:rsidR="00BB14CB" w:rsidRPr="00F96739" w:rsidRDefault="00BB14CB" w:rsidP="00BB14CB">
            <w:pPr>
              <w:jc w:val="center"/>
              <w:rPr>
                <w:rFonts w:ascii="Arial Narrow" w:hAnsi="Arial Narrow" w:cs="Arial"/>
                <w:b/>
                <w:bCs/>
                <w:color w:val="000000"/>
                <w:spacing w:val="0"/>
                <w:lang w:eastAsia="es-CO"/>
              </w:rPr>
            </w:pPr>
            <w:r w:rsidRPr="00F96739">
              <w:rPr>
                <w:rFonts w:ascii="Arial Narrow" w:hAnsi="Arial Narrow" w:cs="Arial"/>
                <w:b/>
                <w:bCs/>
                <w:color w:val="000000"/>
                <w:spacing w:val="0"/>
                <w:lang w:eastAsia="es-CO"/>
              </w:rPr>
              <w:t>DELEGADA QUE REPORTA</w:t>
            </w:r>
          </w:p>
        </w:tc>
        <w:tc>
          <w:tcPr>
            <w:tcW w:w="1984" w:type="dxa"/>
            <w:shd w:val="clear" w:color="000000" w:fill="D6DCE4"/>
            <w:noWrap/>
            <w:vAlign w:val="center"/>
            <w:hideMark/>
          </w:tcPr>
          <w:p w14:paraId="64E91CA8" w14:textId="77777777" w:rsidR="00BB14CB" w:rsidRPr="00F96739" w:rsidRDefault="00BB14CB" w:rsidP="00BB14CB">
            <w:pPr>
              <w:jc w:val="center"/>
              <w:rPr>
                <w:rFonts w:ascii="Arial Narrow" w:hAnsi="Arial Narrow" w:cs="Arial"/>
                <w:b/>
                <w:bCs/>
                <w:color w:val="000000"/>
                <w:spacing w:val="0"/>
                <w:lang w:eastAsia="es-CO"/>
              </w:rPr>
            </w:pPr>
            <w:r w:rsidRPr="00F96739">
              <w:rPr>
                <w:rFonts w:ascii="Arial Narrow" w:hAnsi="Arial Narrow" w:cs="Arial"/>
                <w:b/>
                <w:bCs/>
                <w:color w:val="000000"/>
                <w:spacing w:val="0"/>
                <w:lang w:eastAsia="es-CO"/>
              </w:rPr>
              <w:t>MEMORANDO</w:t>
            </w:r>
          </w:p>
        </w:tc>
        <w:tc>
          <w:tcPr>
            <w:tcW w:w="2760" w:type="dxa"/>
            <w:shd w:val="clear" w:color="000000" w:fill="D6DCE4"/>
            <w:noWrap/>
            <w:vAlign w:val="center"/>
            <w:hideMark/>
          </w:tcPr>
          <w:p w14:paraId="5DFD3318" w14:textId="77777777" w:rsidR="00BB14CB" w:rsidRPr="00F96739" w:rsidRDefault="00BB14CB" w:rsidP="00BB14CB">
            <w:pPr>
              <w:jc w:val="center"/>
              <w:rPr>
                <w:rFonts w:ascii="Arial Narrow" w:hAnsi="Arial Narrow" w:cs="Arial"/>
                <w:b/>
                <w:bCs/>
                <w:color w:val="000000"/>
                <w:spacing w:val="0"/>
                <w:lang w:eastAsia="es-CO"/>
              </w:rPr>
            </w:pPr>
            <w:r w:rsidRPr="00F96739">
              <w:rPr>
                <w:rFonts w:ascii="Arial Narrow" w:hAnsi="Arial Narrow" w:cs="Arial"/>
                <w:b/>
                <w:bCs/>
                <w:color w:val="000000"/>
                <w:spacing w:val="0"/>
                <w:lang w:eastAsia="es-CO"/>
              </w:rPr>
              <w:t>DEPENDENCIA</w:t>
            </w:r>
          </w:p>
        </w:tc>
        <w:tc>
          <w:tcPr>
            <w:tcW w:w="1200" w:type="dxa"/>
            <w:shd w:val="clear" w:color="000000" w:fill="D6DCE4"/>
            <w:noWrap/>
            <w:vAlign w:val="center"/>
            <w:hideMark/>
          </w:tcPr>
          <w:p w14:paraId="559E064B" w14:textId="77777777" w:rsidR="00BB14CB" w:rsidRPr="00F96739" w:rsidRDefault="00BB14CB" w:rsidP="00BB14CB">
            <w:pPr>
              <w:jc w:val="center"/>
              <w:rPr>
                <w:rFonts w:ascii="Arial Narrow" w:hAnsi="Arial Narrow" w:cs="Arial"/>
                <w:b/>
                <w:bCs/>
                <w:color w:val="000000"/>
                <w:spacing w:val="0"/>
                <w:lang w:eastAsia="es-CO"/>
              </w:rPr>
            </w:pPr>
            <w:r w:rsidRPr="00F96739">
              <w:rPr>
                <w:rFonts w:ascii="Arial Narrow" w:hAnsi="Arial Narrow" w:cs="Arial"/>
                <w:b/>
                <w:bCs/>
                <w:color w:val="000000"/>
                <w:spacing w:val="0"/>
                <w:lang w:eastAsia="es-CO"/>
              </w:rPr>
              <w:t>N° ESP</w:t>
            </w:r>
          </w:p>
        </w:tc>
      </w:tr>
      <w:tr w:rsidR="00BB14CB" w:rsidRPr="00F96739" w14:paraId="366F4E3C" w14:textId="77777777" w:rsidTr="00CF18E2">
        <w:trPr>
          <w:trHeight w:val="412"/>
        </w:trPr>
        <w:tc>
          <w:tcPr>
            <w:tcW w:w="3256" w:type="dxa"/>
            <w:vMerge w:val="restart"/>
            <w:shd w:val="clear" w:color="auto" w:fill="auto"/>
            <w:vAlign w:val="center"/>
            <w:hideMark/>
          </w:tcPr>
          <w:p w14:paraId="2A44145D" w14:textId="77777777" w:rsidR="00BB14CB" w:rsidRPr="00F96739" w:rsidRDefault="00BB14CB" w:rsidP="00BB14CB">
            <w:pPr>
              <w:jc w:val="left"/>
              <w:rPr>
                <w:rFonts w:ascii="Arial Narrow" w:hAnsi="Arial Narrow" w:cs="Arial"/>
                <w:color w:val="000000"/>
                <w:spacing w:val="0"/>
                <w:lang w:eastAsia="es-CO"/>
              </w:rPr>
            </w:pPr>
            <w:r w:rsidRPr="00F96739">
              <w:rPr>
                <w:rFonts w:ascii="Arial Narrow" w:hAnsi="Arial Narrow" w:cs="Arial"/>
                <w:color w:val="000000"/>
                <w:spacing w:val="0"/>
                <w:lang w:eastAsia="es-CO"/>
              </w:rPr>
              <w:t>DELEGADA PARA ACUEDUCTO, ALCANTARILLADO Y ASEO</w:t>
            </w:r>
          </w:p>
        </w:tc>
        <w:tc>
          <w:tcPr>
            <w:tcW w:w="1984" w:type="dxa"/>
            <w:vMerge w:val="restart"/>
            <w:shd w:val="clear" w:color="auto" w:fill="auto"/>
            <w:vAlign w:val="center"/>
            <w:hideMark/>
          </w:tcPr>
          <w:p w14:paraId="10CDF56D" w14:textId="77777777" w:rsidR="00BB14CB" w:rsidRPr="00F96739" w:rsidRDefault="00BB14CB" w:rsidP="00BB14CB">
            <w:pPr>
              <w:jc w:val="left"/>
              <w:rPr>
                <w:rFonts w:ascii="Arial Narrow" w:hAnsi="Arial Narrow" w:cs="Arial"/>
                <w:color w:val="000000"/>
                <w:spacing w:val="0"/>
                <w:lang w:eastAsia="es-CO"/>
              </w:rPr>
            </w:pPr>
            <w:r w:rsidRPr="00F96739">
              <w:rPr>
                <w:rFonts w:ascii="Arial Narrow" w:hAnsi="Arial Narrow" w:cs="Arial"/>
                <w:color w:val="000000"/>
                <w:spacing w:val="0"/>
                <w:lang w:eastAsia="es-CO"/>
              </w:rPr>
              <w:t>20214030030973</w:t>
            </w:r>
          </w:p>
        </w:tc>
        <w:tc>
          <w:tcPr>
            <w:tcW w:w="2760" w:type="dxa"/>
            <w:shd w:val="clear" w:color="auto" w:fill="auto"/>
            <w:noWrap/>
            <w:vAlign w:val="center"/>
            <w:hideMark/>
          </w:tcPr>
          <w:p w14:paraId="484D0E92" w14:textId="77777777" w:rsidR="00BB14CB" w:rsidRPr="00F96739" w:rsidRDefault="00BB14CB" w:rsidP="00BB14CB">
            <w:pPr>
              <w:jc w:val="left"/>
              <w:rPr>
                <w:rFonts w:ascii="Arial Narrow" w:hAnsi="Arial Narrow" w:cs="Arial"/>
                <w:color w:val="000000"/>
                <w:spacing w:val="0"/>
                <w:lang w:eastAsia="es-CO"/>
              </w:rPr>
            </w:pPr>
            <w:r w:rsidRPr="00F96739">
              <w:rPr>
                <w:rFonts w:ascii="Arial Narrow" w:hAnsi="Arial Narrow" w:cs="Arial"/>
                <w:color w:val="000000"/>
                <w:spacing w:val="0"/>
                <w:lang w:eastAsia="es-CO"/>
              </w:rPr>
              <w:t>APROVECHAMIENTO</w:t>
            </w:r>
          </w:p>
        </w:tc>
        <w:tc>
          <w:tcPr>
            <w:tcW w:w="1200" w:type="dxa"/>
            <w:shd w:val="clear" w:color="auto" w:fill="auto"/>
            <w:noWrap/>
            <w:vAlign w:val="center"/>
            <w:hideMark/>
          </w:tcPr>
          <w:p w14:paraId="4F34C4D0" w14:textId="77777777" w:rsidR="00BB14CB" w:rsidRPr="00F96739" w:rsidRDefault="00BB14CB" w:rsidP="00BB14CB">
            <w:pPr>
              <w:jc w:val="center"/>
              <w:rPr>
                <w:rFonts w:ascii="Arial Narrow" w:hAnsi="Arial Narrow" w:cs="Arial"/>
                <w:b/>
                <w:bCs/>
                <w:color w:val="000000"/>
                <w:spacing w:val="0"/>
                <w:lang w:eastAsia="es-CO"/>
              </w:rPr>
            </w:pPr>
            <w:r w:rsidRPr="00F96739">
              <w:rPr>
                <w:rFonts w:ascii="Arial Narrow" w:hAnsi="Arial Narrow" w:cs="Arial"/>
                <w:b/>
                <w:bCs/>
                <w:color w:val="000000"/>
                <w:spacing w:val="0"/>
                <w:lang w:eastAsia="es-CO"/>
              </w:rPr>
              <w:t>16</w:t>
            </w:r>
          </w:p>
        </w:tc>
      </w:tr>
      <w:tr w:rsidR="00BB14CB" w:rsidRPr="00F96739" w14:paraId="3A8A655A" w14:textId="77777777" w:rsidTr="00CF18E2">
        <w:trPr>
          <w:trHeight w:val="417"/>
        </w:trPr>
        <w:tc>
          <w:tcPr>
            <w:tcW w:w="3256" w:type="dxa"/>
            <w:vMerge/>
            <w:vAlign w:val="center"/>
            <w:hideMark/>
          </w:tcPr>
          <w:p w14:paraId="67191223" w14:textId="77777777" w:rsidR="00BB14CB" w:rsidRPr="00F96739" w:rsidRDefault="00BB14CB" w:rsidP="00BB14CB">
            <w:pPr>
              <w:jc w:val="left"/>
              <w:rPr>
                <w:rFonts w:ascii="Arial Narrow" w:hAnsi="Arial Narrow" w:cs="Arial"/>
                <w:color w:val="000000"/>
                <w:spacing w:val="0"/>
                <w:lang w:eastAsia="es-CO"/>
              </w:rPr>
            </w:pPr>
          </w:p>
        </w:tc>
        <w:tc>
          <w:tcPr>
            <w:tcW w:w="1984" w:type="dxa"/>
            <w:vMerge/>
            <w:vAlign w:val="center"/>
            <w:hideMark/>
          </w:tcPr>
          <w:p w14:paraId="47D9A759" w14:textId="77777777" w:rsidR="00BB14CB" w:rsidRPr="00F96739" w:rsidRDefault="00BB14CB" w:rsidP="00BB14CB">
            <w:pPr>
              <w:jc w:val="left"/>
              <w:rPr>
                <w:rFonts w:ascii="Arial Narrow" w:hAnsi="Arial Narrow" w:cs="Arial"/>
                <w:color w:val="000000"/>
                <w:spacing w:val="0"/>
                <w:lang w:eastAsia="es-CO"/>
              </w:rPr>
            </w:pPr>
          </w:p>
        </w:tc>
        <w:tc>
          <w:tcPr>
            <w:tcW w:w="2760" w:type="dxa"/>
            <w:shd w:val="clear" w:color="auto" w:fill="auto"/>
            <w:noWrap/>
            <w:vAlign w:val="center"/>
            <w:hideMark/>
          </w:tcPr>
          <w:p w14:paraId="03F5EAFC" w14:textId="77777777" w:rsidR="00BB14CB" w:rsidRPr="00F96739" w:rsidRDefault="00BB14CB" w:rsidP="00BB14CB">
            <w:pPr>
              <w:jc w:val="left"/>
              <w:rPr>
                <w:rFonts w:ascii="Arial Narrow" w:hAnsi="Arial Narrow" w:cs="Arial"/>
                <w:color w:val="000000"/>
                <w:spacing w:val="0"/>
                <w:lang w:eastAsia="es-CO"/>
              </w:rPr>
            </w:pPr>
            <w:r w:rsidRPr="00F96739">
              <w:rPr>
                <w:rFonts w:ascii="Arial Narrow" w:hAnsi="Arial Narrow" w:cs="Arial"/>
                <w:color w:val="000000"/>
                <w:spacing w:val="0"/>
                <w:lang w:eastAsia="es-CO"/>
              </w:rPr>
              <w:t>GRANDES PRESTADORES</w:t>
            </w:r>
          </w:p>
        </w:tc>
        <w:tc>
          <w:tcPr>
            <w:tcW w:w="1200" w:type="dxa"/>
            <w:shd w:val="clear" w:color="auto" w:fill="auto"/>
            <w:noWrap/>
            <w:vAlign w:val="center"/>
            <w:hideMark/>
          </w:tcPr>
          <w:p w14:paraId="0C447D5F" w14:textId="77777777" w:rsidR="00BB14CB" w:rsidRPr="00F96739" w:rsidRDefault="00BB14CB" w:rsidP="00BB14CB">
            <w:pPr>
              <w:jc w:val="center"/>
              <w:rPr>
                <w:rFonts w:ascii="Arial Narrow" w:hAnsi="Arial Narrow" w:cs="Arial"/>
                <w:b/>
                <w:bCs/>
                <w:color w:val="000000"/>
                <w:spacing w:val="0"/>
                <w:lang w:eastAsia="es-CO"/>
              </w:rPr>
            </w:pPr>
            <w:r w:rsidRPr="00F96739">
              <w:rPr>
                <w:rFonts w:ascii="Arial Narrow" w:hAnsi="Arial Narrow" w:cs="Arial"/>
                <w:b/>
                <w:bCs/>
                <w:color w:val="000000"/>
                <w:spacing w:val="0"/>
                <w:lang w:eastAsia="es-CO"/>
              </w:rPr>
              <w:t>459</w:t>
            </w:r>
          </w:p>
        </w:tc>
      </w:tr>
      <w:tr w:rsidR="00BB14CB" w:rsidRPr="00F96739" w14:paraId="0BA942CB" w14:textId="77777777" w:rsidTr="00CF18E2">
        <w:trPr>
          <w:trHeight w:val="423"/>
        </w:trPr>
        <w:tc>
          <w:tcPr>
            <w:tcW w:w="3256" w:type="dxa"/>
            <w:vMerge/>
            <w:vAlign w:val="center"/>
            <w:hideMark/>
          </w:tcPr>
          <w:p w14:paraId="6A5EFE3E" w14:textId="77777777" w:rsidR="00BB14CB" w:rsidRPr="00F96739" w:rsidRDefault="00BB14CB" w:rsidP="00BB14CB">
            <w:pPr>
              <w:jc w:val="left"/>
              <w:rPr>
                <w:rFonts w:ascii="Arial Narrow" w:hAnsi="Arial Narrow" w:cs="Arial"/>
                <w:color w:val="000000"/>
                <w:spacing w:val="0"/>
                <w:lang w:eastAsia="es-CO"/>
              </w:rPr>
            </w:pPr>
          </w:p>
        </w:tc>
        <w:tc>
          <w:tcPr>
            <w:tcW w:w="1984" w:type="dxa"/>
            <w:vMerge/>
            <w:vAlign w:val="center"/>
            <w:hideMark/>
          </w:tcPr>
          <w:p w14:paraId="594C747A" w14:textId="77777777" w:rsidR="00BB14CB" w:rsidRPr="00F96739" w:rsidRDefault="00BB14CB" w:rsidP="00BB14CB">
            <w:pPr>
              <w:jc w:val="left"/>
              <w:rPr>
                <w:rFonts w:ascii="Arial Narrow" w:hAnsi="Arial Narrow" w:cs="Arial"/>
                <w:color w:val="000000"/>
                <w:spacing w:val="0"/>
                <w:lang w:eastAsia="es-CO"/>
              </w:rPr>
            </w:pPr>
          </w:p>
        </w:tc>
        <w:tc>
          <w:tcPr>
            <w:tcW w:w="2760" w:type="dxa"/>
            <w:shd w:val="clear" w:color="auto" w:fill="auto"/>
            <w:noWrap/>
            <w:vAlign w:val="center"/>
            <w:hideMark/>
          </w:tcPr>
          <w:p w14:paraId="651D51FF" w14:textId="77777777" w:rsidR="00BB14CB" w:rsidRPr="00F96739" w:rsidRDefault="00BB14CB" w:rsidP="00BB14CB">
            <w:pPr>
              <w:jc w:val="left"/>
              <w:rPr>
                <w:rFonts w:ascii="Arial Narrow" w:hAnsi="Arial Narrow" w:cs="Arial"/>
                <w:color w:val="000000"/>
                <w:spacing w:val="0"/>
                <w:lang w:eastAsia="es-CO"/>
              </w:rPr>
            </w:pPr>
            <w:r w:rsidRPr="00F96739">
              <w:rPr>
                <w:rFonts w:ascii="Arial Narrow" w:hAnsi="Arial Narrow" w:cs="Arial"/>
                <w:color w:val="000000"/>
                <w:spacing w:val="0"/>
                <w:lang w:eastAsia="es-CO"/>
              </w:rPr>
              <w:t>PEQ PRESTADORES</w:t>
            </w:r>
          </w:p>
        </w:tc>
        <w:tc>
          <w:tcPr>
            <w:tcW w:w="1200" w:type="dxa"/>
            <w:shd w:val="clear" w:color="auto" w:fill="auto"/>
            <w:noWrap/>
            <w:vAlign w:val="center"/>
            <w:hideMark/>
          </w:tcPr>
          <w:p w14:paraId="30DF9022" w14:textId="5061E1E9" w:rsidR="00BB14CB" w:rsidRPr="00F96739" w:rsidRDefault="00BB14CB" w:rsidP="00BB14CB">
            <w:pPr>
              <w:jc w:val="center"/>
              <w:rPr>
                <w:rFonts w:ascii="Arial Narrow" w:hAnsi="Arial Narrow" w:cs="Arial"/>
                <w:b/>
                <w:bCs/>
                <w:color w:val="000000"/>
                <w:spacing w:val="0"/>
                <w:lang w:eastAsia="es-CO"/>
              </w:rPr>
            </w:pPr>
            <w:r w:rsidRPr="00F96739">
              <w:rPr>
                <w:rFonts w:ascii="Arial Narrow" w:hAnsi="Arial Narrow" w:cs="Arial"/>
                <w:b/>
                <w:bCs/>
                <w:color w:val="000000"/>
                <w:spacing w:val="0"/>
                <w:lang w:eastAsia="es-CO"/>
              </w:rPr>
              <w:t>2</w:t>
            </w:r>
            <w:r w:rsidR="00BD39C7" w:rsidRPr="00F96739">
              <w:rPr>
                <w:rFonts w:ascii="Arial Narrow" w:hAnsi="Arial Narrow" w:cs="Arial"/>
                <w:b/>
                <w:bCs/>
                <w:color w:val="000000"/>
                <w:spacing w:val="0"/>
                <w:lang w:eastAsia="es-CO"/>
              </w:rPr>
              <w:t>.</w:t>
            </w:r>
            <w:r w:rsidRPr="00F96739">
              <w:rPr>
                <w:rFonts w:ascii="Arial Narrow" w:hAnsi="Arial Narrow" w:cs="Arial"/>
                <w:b/>
                <w:bCs/>
                <w:color w:val="000000"/>
                <w:spacing w:val="0"/>
                <w:lang w:eastAsia="es-CO"/>
              </w:rPr>
              <w:t>498</w:t>
            </w:r>
          </w:p>
        </w:tc>
      </w:tr>
      <w:tr w:rsidR="00CF18E2" w:rsidRPr="00F96739" w14:paraId="1570B983" w14:textId="77777777" w:rsidTr="00186954">
        <w:trPr>
          <w:trHeight w:val="401"/>
        </w:trPr>
        <w:tc>
          <w:tcPr>
            <w:tcW w:w="5240" w:type="dxa"/>
            <w:gridSpan w:val="2"/>
            <w:shd w:val="clear" w:color="000000" w:fill="D6DCE4"/>
            <w:vAlign w:val="center"/>
            <w:hideMark/>
          </w:tcPr>
          <w:p w14:paraId="3D5A0179" w14:textId="12D4AC5B" w:rsidR="00CF18E2" w:rsidRPr="00F96739" w:rsidRDefault="00CF18E2" w:rsidP="00CF18E2">
            <w:pPr>
              <w:jc w:val="right"/>
              <w:rPr>
                <w:rFonts w:ascii="Arial Narrow" w:hAnsi="Arial Narrow" w:cs="Arial"/>
                <w:b/>
                <w:bCs/>
                <w:color w:val="000000"/>
                <w:spacing w:val="0"/>
                <w:lang w:eastAsia="es-CO"/>
              </w:rPr>
            </w:pPr>
            <w:r w:rsidRPr="00F96739">
              <w:rPr>
                <w:rFonts w:ascii="Arial Narrow" w:hAnsi="Arial Narrow" w:cs="Arial"/>
                <w:b/>
                <w:bCs/>
                <w:color w:val="000000"/>
                <w:spacing w:val="0"/>
                <w:lang w:eastAsia="es-CO"/>
              </w:rPr>
              <w:t>TOTAL DELEGADA AAA</w:t>
            </w:r>
            <w:r>
              <w:rPr>
                <w:rFonts w:ascii="Arial Narrow" w:hAnsi="Arial Narrow" w:cs="Arial"/>
                <w:b/>
                <w:bCs/>
                <w:color w:val="000000"/>
                <w:spacing w:val="0"/>
                <w:lang w:eastAsia="es-CO"/>
              </w:rPr>
              <w:t xml:space="preserve">    </w:t>
            </w:r>
          </w:p>
        </w:tc>
        <w:tc>
          <w:tcPr>
            <w:tcW w:w="2760" w:type="dxa"/>
            <w:shd w:val="clear" w:color="auto" w:fill="auto"/>
            <w:noWrap/>
            <w:vAlign w:val="center"/>
            <w:hideMark/>
          </w:tcPr>
          <w:p w14:paraId="40F75041" w14:textId="77777777" w:rsidR="00CF18E2" w:rsidRPr="00F96739" w:rsidRDefault="00CF18E2" w:rsidP="00BB14CB">
            <w:pPr>
              <w:jc w:val="left"/>
              <w:rPr>
                <w:rFonts w:ascii="Arial Narrow" w:hAnsi="Arial Narrow" w:cs="Arial"/>
                <w:spacing w:val="0"/>
                <w:lang w:eastAsia="es-CO"/>
              </w:rPr>
            </w:pPr>
          </w:p>
        </w:tc>
        <w:tc>
          <w:tcPr>
            <w:tcW w:w="1200" w:type="dxa"/>
            <w:shd w:val="clear" w:color="000000" w:fill="D6DCE4"/>
            <w:noWrap/>
            <w:vAlign w:val="center"/>
            <w:hideMark/>
          </w:tcPr>
          <w:p w14:paraId="6ACEAA86" w14:textId="52237CBC" w:rsidR="00CF18E2" w:rsidRPr="00F96739" w:rsidRDefault="00CF18E2" w:rsidP="00BB14CB">
            <w:pPr>
              <w:jc w:val="center"/>
              <w:rPr>
                <w:rFonts w:ascii="Arial Narrow" w:hAnsi="Arial Narrow" w:cs="Arial"/>
                <w:b/>
                <w:bCs/>
                <w:color w:val="000000"/>
                <w:spacing w:val="0"/>
                <w:lang w:eastAsia="es-CO"/>
              </w:rPr>
            </w:pPr>
            <w:r w:rsidRPr="00F96739">
              <w:rPr>
                <w:rFonts w:ascii="Arial Narrow" w:hAnsi="Arial Narrow" w:cs="Arial"/>
                <w:b/>
                <w:bCs/>
                <w:color w:val="000000"/>
                <w:spacing w:val="0"/>
                <w:lang w:eastAsia="es-CO"/>
              </w:rPr>
              <w:t>2.973</w:t>
            </w:r>
          </w:p>
        </w:tc>
      </w:tr>
      <w:tr w:rsidR="00BB14CB" w:rsidRPr="00F96739" w14:paraId="7395DF7D" w14:textId="77777777" w:rsidTr="00CF18E2">
        <w:trPr>
          <w:trHeight w:val="436"/>
        </w:trPr>
        <w:tc>
          <w:tcPr>
            <w:tcW w:w="3256" w:type="dxa"/>
            <w:vMerge w:val="restart"/>
            <w:shd w:val="clear" w:color="auto" w:fill="auto"/>
            <w:vAlign w:val="center"/>
            <w:hideMark/>
          </w:tcPr>
          <w:p w14:paraId="7E79AAAC" w14:textId="389D6C82" w:rsidR="00BB14CB" w:rsidRPr="00F96739" w:rsidRDefault="00BB14CB" w:rsidP="00BB14CB">
            <w:pPr>
              <w:jc w:val="left"/>
              <w:rPr>
                <w:rFonts w:ascii="Arial Narrow" w:hAnsi="Arial Narrow" w:cs="Arial"/>
                <w:color w:val="000000"/>
                <w:spacing w:val="0"/>
                <w:lang w:eastAsia="es-CO"/>
              </w:rPr>
            </w:pPr>
            <w:r w:rsidRPr="00F96739">
              <w:rPr>
                <w:rFonts w:ascii="Arial Narrow" w:hAnsi="Arial Narrow" w:cs="Arial"/>
                <w:color w:val="000000"/>
                <w:spacing w:val="0"/>
                <w:lang w:eastAsia="es-CO"/>
              </w:rPr>
              <w:t xml:space="preserve">DELEGADA PARA </w:t>
            </w:r>
            <w:r w:rsidR="008904AD" w:rsidRPr="00F96739">
              <w:rPr>
                <w:rFonts w:ascii="Arial Narrow" w:hAnsi="Arial Narrow" w:cs="Arial"/>
                <w:color w:val="000000"/>
                <w:spacing w:val="0"/>
                <w:lang w:eastAsia="es-CO"/>
              </w:rPr>
              <w:t>ENERGÍA</w:t>
            </w:r>
            <w:r w:rsidRPr="00F96739">
              <w:rPr>
                <w:rFonts w:ascii="Arial Narrow" w:hAnsi="Arial Narrow" w:cs="Arial"/>
                <w:color w:val="000000"/>
                <w:spacing w:val="0"/>
                <w:lang w:eastAsia="es-CO"/>
              </w:rPr>
              <w:t xml:space="preserve"> Y GAS</w:t>
            </w:r>
          </w:p>
        </w:tc>
        <w:tc>
          <w:tcPr>
            <w:tcW w:w="1984" w:type="dxa"/>
            <w:vMerge w:val="restart"/>
            <w:shd w:val="clear" w:color="auto" w:fill="auto"/>
            <w:vAlign w:val="center"/>
            <w:hideMark/>
          </w:tcPr>
          <w:p w14:paraId="1C95823F" w14:textId="77777777" w:rsidR="00BB14CB" w:rsidRPr="00F96739" w:rsidRDefault="00BB14CB" w:rsidP="00BB14CB">
            <w:pPr>
              <w:jc w:val="left"/>
              <w:rPr>
                <w:rFonts w:ascii="Arial Narrow" w:hAnsi="Arial Narrow" w:cs="Arial"/>
                <w:color w:val="000000"/>
                <w:spacing w:val="0"/>
                <w:lang w:eastAsia="es-CO"/>
              </w:rPr>
            </w:pPr>
            <w:r w:rsidRPr="00F96739">
              <w:rPr>
                <w:rFonts w:ascii="Arial Narrow" w:hAnsi="Arial Narrow" w:cs="Arial"/>
                <w:color w:val="000000"/>
                <w:spacing w:val="0"/>
                <w:lang w:eastAsia="es-CO"/>
              </w:rPr>
              <w:t>20212000014993</w:t>
            </w:r>
          </w:p>
        </w:tc>
        <w:tc>
          <w:tcPr>
            <w:tcW w:w="2760" w:type="dxa"/>
            <w:shd w:val="clear" w:color="auto" w:fill="auto"/>
            <w:noWrap/>
            <w:vAlign w:val="center"/>
            <w:hideMark/>
          </w:tcPr>
          <w:p w14:paraId="2EB264CF" w14:textId="77777777" w:rsidR="00BB14CB" w:rsidRPr="00F96739" w:rsidRDefault="00BB14CB" w:rsidP="00BB14CB">
            <w:pPr>
              <w:jc w:val="left"/>
              <w:rPr>
                <w:rFonts w:ascii="Arial Narrow" w:hAnsi="Arial Narrow" w:cs="Arial"/>
                <w:color w:val="000000"/>
                <w:spacing w:val="0"/>
                <w:lang w:eastAsia="es-CO"/>
              </w:rPr>
            </w:pPr>
            <w:r w:rsidRPr="00F96739">
              <w:rPr>
                <w:rFonts w:ascii="Arial Narrow" w:hAnsi="Arial Narrow" w:cs="Arial"/>
                <w:color w:val="000000"/>
                <w:spacing w:val="0"/>
                <w:lang w:eastAsia="es-CO"/>
              </w:rPr>
              <w:t>GN Y GLP</w:t>
            </w:r>
          </w:p>
        </w:tc>
        <w:tc>
          <w:tcPr>
            <w:tcW w:w="1200" w:type="dxa"/>
            <w:shd w:val="clear" w:color="auto" w:fill="auto"/>
            <w:noWrap/>
            <w:vAlign w:val="center"/>
            <w:hideMark/>
          </w:tcPr>
          <w:p w14:paraId="0CD21C57" w14:textId="77777777" w:rsidR="00BB14CB" w:rsidRPr="00F96739" w:rsidRDefault="00BB14CB" w:rsidP="00BB14CB">
            <w:pPr>
              <w:jc w:val="center"/>
              <w:rPr>
                <w:rFonts w:ascii="Arial Narrow" w:hAnsi="Arial Narrow" w:cs="Arial"/>
                <w:color w:val="000000"/>
                <w:spacing w:val="0"/>
                <w:lang w:eastAsia="es-CO"/>
              </w:rPr>
            </w:pPr>
            <w:r w:rsidRPr="00F96739">
              <w:rPr>
                <w:rFonts w:ascii="Arial Narrow" w:hAnsi="Arial Narrow" w:cs="Arial"/>
                <w:color w:val="000000"/>
                <w:spacing w:val="0"/>
                <w:lang w:eastAsia="es-CO"/>
              </w:rPr>
              <w:t>209</w:t>
            </w:r>
          </w:p>
        </w:tc>
      </w:tr>
      <w:tr w:rsidR="00BB14CB" w:rsidRPr="00F96739" w14:paraId="0B131592" w14:textId="77777777" w:rsidTr="00CF18E2">
        <w:trPr>
          <w:trHeight w:val="400"/>
        </w:trPr>
        <w:tc>
          <w:tcPr>
            <w:tcW w:w="3256" w:type="dxa"/>
            <w:vMerge/>
            <w:vAlign w:val="center"/>
            <w:hideMark/>
          </w:tcPr>
          <w:p w14:paraId="57ABACDA" w14:textId="77777777" w:rsidR="00BB14CB" w:rsidRPr="00F96739" w:rsidRDefault="00BB14CB" w:rsidP="00BB14CB">
            <w:pPr>
              <w:jc w:val="left"/>
              <w:rPr>
                <w:rFonts w:ascii="Arial Narrow" w:hAnsi="Arial Narrow" w:cs="Arial"/>
                <w:color w:val="000000"/>
                <w:spacing w:val="0"/>
                <w:lang w:eastAsia="es-CO"/>
              </w:rPr>
            </w:pPr>
          </w:p>
        </w:tc>
        <w:tc>
          <w:tcPr>
            <w:tcW w:w="1984" w:type="dxa"/>
            <w:vMerge/>
            <w:vAlign w:val="center"/>
            <w:hideMark/>
          </w:tcPr>
          <w:p w14:paraId="70131D81" w14:textId="77777777" w:rsidR="00BB14CB" w:rsidRPr="00F96739" w:rsidRDefault="00BB14CB" w:rsidP="00BB14CB">
            <w:pPr>
              <w:jc w:val="left"/>
              <w:rPr>
                <w:rFonts w:ascii="Arial Narrow" w:hAnsi="Arial Narrow" w:cs="Arial"/>
                <w:color w:val="000000"/>
                <w:spacing w:val="0"/>
                <w:lang w:eastAsia="es-CO"/>
              </w:rPr>
            </w:pPr>
          </w:p>
        </w:tc>
        <w:tc>
          <w:tcPr>
            <w:tcW w:w="2760" w:type="dxa"/>
            <w:shd w:val="clear" w:color="auto" w:fill="auto"/>
            <w:noWrap/>
            <w:vAlign w:val="center"/>
            <w:hideMark/>
          </w:tcPr>
          <w:p w14:paraId="285FD6CD" w14:textId="01FE93A5" w:rsidR="00BB14CB" w:rsidRPr="00F96739" w:rsidRDefault="008904AD" w:rsidP="00BB14CB">
            <w:pPr>
              <w:jc w:val="left"/>
              <w:rPr>
                <w:rFonts w:ascii="Arial Narrow" w:hAnsi="Arial Narrow" w:cs="Arial"/>
                <w:color w:val="000000"/>
                <w:spacing w:val="0"/>
                <w:lang w:eastAsia="es-CO"/>
              </w:rPr>
            </w:pPr>
            <w:r w:rsidRPr="00F96739">
              <w:rPr>
                <w:rFonts w:ascii="Arial Narrow" w:hAnsi="Arial Narrow" w:cs="Arial"/>
                <w:color w:val="000000"/>
                <w:spacing w:val="0"/>
                <w:lang w:eastAsia="es-CO"/>
              </w:rPr>
              <w:t>ENERGÍA</w:t>
            </w:r>
          </w:p>
        </w:tc>
        <w:tc>
          <w:tcPr>
            <w:tcW w:w="1200" w:type="dxa"/>
            <w:shd w:val="clear" w:color="auto" w:fill="auto"/>
            <w:noWrap/>
            <w:vAlign w:val="center"/>
            <w:hideMark/>
          </w:tcPr>
          <w:p w14:paraId="7FC0308A" w14:textId="77777777" w:rsidR="00BB14CB" w:rsidRPr="00F96739" w:rsidRDefault="00BB14CB" w:rsidP="00BB14CB">
            <w:pPr>
              <w:jc w:val="center"/>
              <w:rPr>
                <w:rFonts w:ascii="Arial Narrow" w:hAnsi="Arial Narrow" w:cs="Arial"/>
                <w:color w:val="000000"/>
                <w:spacing w:val="0"/>
                <w:lang w:eastAsia="es-CO"/>
              </w:rPr>
            </w:pPr>
            <w:r w:rsidRPr="00F96739">
              <w:rPr>
                <w:rFonts w:ascii="Arial Narrow" w:hAnsi="Arial Narrow" w:cs="Arial"/>
                <w:color w:val="000000"/>
                <w:spacing w:val="0"/>
                <w:lang w:eastAsia="es-CO"/>
              </w:rPr>
              <w:t>207</w:t>
            </w:r>
          </w:p>
        </w:tc>
      </w:tr>
      <w:tr w:rsidR="00CF18E2" w:rsidRPr="00F96739" w14:paraId="6FDC2116" w14:textId="77777777" w:rsidTr="006407E9">
        <w:trPr>
          <w:trHeight w:val="300"/>
        </w:trPr>
        <w:tc>
          <w:tcPr>
            <w:tcW w:w="5240" w:type="dxa"/>
            <w:gridSpan w:val="2"/>
            <w:shd w:val="clear" w:color="000000" w:fill="D6DCE4"/>
            <w:vAlign w:val="center"/>
            <w:hideMark/>
          </w:tcPr>
          <w:p w14:paraId="0F3E36EF" w14:textId="5509E01B" w:rsidR="00CF18E2" w:rsidRPr="00F96739" w:rsidRDefault="00CF18E2" w:rsidP="00CF18E2">
            <w:pPr>
              <w:jc w:val="right"/>
              <w:rPr>
                <w:rFonts w:ascii="Arial Narrow" w:hAnsi="Arial Narrow" w:cs="Arial"/>
                <w:b/>
                <w:bCs/>
                <w:color w:val="000000"/>
                <w:spacing w:val="0"/>
                <w:lang w:eastAsia="es-CO"/>
              </w:rPr>
            </w:pPr>
            <w:r w:rsidRPr="00F96739">
              <w:rPr>
                <w:rFonts w:ascii="Arial Narrow" w:hAnsi="Arial Narrow" w:cs="Arial"/>
                <w:b/>
                <w:bCs/>
                <w:color w:val="000000"/>
                <w:spacing w:val="0"/>
                <w:lang w:eastAsia="es-CO"/>
              </w:rPr>
              <w:t>TOTAL DELEGADA E</w:t>
            </w:r>
            <w:r w:rsidR="009435EE">
              <w:rPr>
                <w:rFonts w:ascii="Arial Narrow" w:hAnsi="Arial Narrow" w:cs="Arial"/>
                <w:b/>
                <w:bCs/>
                <w:color w:val="000000"/>
                <w:spacing w:val="0"/>
                <w:lang w:eastAsia="es-CO"/>
              </w:rPr>
              <w:t>nergía</w:t>
            </w:r>
            <w:r w:rsidRPr="00F96739">
              <w:rPr>
                <w:rFonts w:ascii="Arial Narrow" w:hAnsi="Arial Narrow" w:cs="Arial"/>
                <w:b/>
                <w:bCs/>
                <w:color w:val="000000"/>
                <w:spacing w:val="0"/>
                <w:lang w:eastAsia="es-CO"/>
              </w:rPr>
              <w:t xml:space="preserve"> </w:t>
            </w:r>
            <w:r w:rsidR="009435EE">
              <w:rPr>
                <w:rFonts w:ascii="Arial Narrow" w:hAnsi="Arial Narrow" w:cs="Arial"/>
                <w:b/>
                <w:bCs/>
                <w:color w:val="000000"/>
                <w:spacing w:val="0"/>
                <w:lang w:eastAsia="es-CO"/>
              </w:rPr>
              <w:t>y</w:t>
            </w:r>
            <w:r w:rsidRPr="00F96739">
              <w:rPr>
                <w:rFonts w:ascii="Arial Narrow" w:hAnsi="Arial Narrow" w:cs="Arial"/>
                <w:b/>
                <w:bCs/>
                <w:color w:val="000000"/>
                <w:spacing w:val="0"/>
                <w:lang w:eastAsia="es-CO"/>
              </w:rPr>
              <w:t xml:space="preserve"> G</w:t>
            </w:r>
            <w:r w:rsidR="009435EE">
              <w:rPr>
                <w:rFonts w:ascii="Arial Narrow" w:hAnsi="Arial Narrow" w:cs="Arial"/>
                <w:b/>
                <w:bCs/>
                <w:color w:val="000000"/>
                <w:spacing w:val="0"/>
                <w:lang w:eastAsia="es-CO"/>
              </w:rPr>
              <w:t>as</w:t>
            </w:r>
          </w:p>
        </w:tc>
        <w:tc>
          <w:tcPr>
            <w:tcW w:w="2760" w:type="dxa"/>
            <w:shd w:val="clear" w:color="auto" w:fill="auto"/>
            <w:noWrap/>
            <w:vAlign w:val="center"/>
            <w:hideMark/>
          </w:tcPr>
          <w:p w14:paraId="60CE2F7C" w14:textId="77777777" w:rsidR="00CF18E2" w:rsidRPr="00F96739" w:rsidRDefault="00CF18E2" w:rsidP="00BB14CB">
            <w:pPr>
              <w:jc w:val="left"/>
              <w:rPr>
                <w:rFonts w:ascii="Arial Narrow" w:hAnsi="Arial Narrow" w:cs="Arial"/>
                <w:spacing w:val="0"/>
                <w:lang w:eastAsia="es-CO"/>
              </w:rPr>
            </w:pPr>
          </w:p>
        </w:tc>
        <w:tc>
          <w:tcPr>
            <w:tcW w:w="1200" w:type="dxa"/>
            <w:shd w:val="clear" w:color="000000" w:fill="D6DCE4"/>
            <w:noWrap/>
            <w:vAlign w:val="center"/>
            <w:hideMark/>
          </w:tcPr>
          <w:p w14:paraId="61009EE2" w14:textId="77777777" w:rsidR="00CF18E2" w:rsidRPr="00F96739" w:rsidRDefault="00CF18E2" w:rsidP="00BB14CB">
            <w:pPr>
              <w:jc w:val="center"/>
              <w:rPr>
                <w:rFonts w:ascii="Arial Narrow" w:hAnsi="Arial Narrow" w:cs="Arial"/>
                <w:b/>
                <w:bCs/>
                <w:color w:val="000000"/>
                <w:spacing w:val="0"/>
                <w:lang w:eastAsia="es-CO"/>
              </w:rPr>
            </w:pPr>
            <w:r w:rsidRPr="00F96739">
              <w:rPr>
                <w:rFonts w:ascii="Arial Narrow" w:hAnsi="Arial Narrow" w:cs="Arial"/>
                <w:b/>
                <w:bCs/>
                <w:color w:val="000000"/>
                <w:spacing w:val="0"/>
                <w:lang w:eastAsia="es-CO"/>
              </w:rPr>
              <w:t>416</w:t>
            </w:r>
          </w:p>
        </w:tc>
      </w:tr>
      <w:tr w:rsidR="009435EE" w:rsidRPr="00F96739" w14:paraId="6F58A486" w14:textId="77777777" w:rsidTr="00636737">
        <w:trPr>
          <w:trHeight w:val="349"/>
        </w:trPr>
        <w:tc>
          <w:tcPr>
            <w:tcW w:w="8000" w:type="dxa"/>
            <w:gridSpan w:val="3"/>
            <w:shd w:val="clear" w:color="auto" w:fill="auto"/>
            <w:vAlign w:val="center"/>
            <w:hideMark/>
          </w:tcPr>
          <w:p w14:paraId="4842108C" w14:textId="019CAEE8" w:rsidR="009435EE" w:rsidRPr="00F96739" w:rsidRDefault="009435EE" w:rsidP="009435EE">
            <w:pPr>
              <w:jc w:val="right"/>
              <w:rPr>
                <w:rFonts w:ascii="Arial Narrow" w:hAnsi="Arial Narrow" w:cs="Arial"/>
                <w:spacing w:val="0"/>
                <w:lang w:eastAsia="es-CO"/>
              </w:rPr>
            </w:pPr>
            <w:r w:rsidRPr="00F96739">
              <w:rPr>
                <w:rFonts w:ascii="Arial Narrow" w:hAnsi="Arial Narrow" w:cs="Arial"/>
                <w:b/>
                <w:bCs/>
                <w:color w:val="000000"/>
                <w:spacing w:val="0"/>
                <w:lang w:eastAsia="es-CO"/>
              </w:rPr>
              <w:t>EMPRESAS MULTISERVICIOS</w:t>
            </w:r>
          </w:p>
        </w:tc>
        <w:tc>
          <w:tcPr>
            <w:tcW w:w="1200" w:type="dxa"/>
            <w:shd w:val="clear" w:color="000000" w:fill="D6DCE4"/>
            <w:noWrap/>
            <w:vAlign w:val="center"/>
            <w:hideMark/>
          </w:tcPr>
          <w:p w14:paraId="2981B064" w14:textId="77777777" w:rsidR="009435EE" w:rsidRPr="00F96739" w:rsidRDefault="009435EE" w:rsidP="00BB14CB">
            <w:pPr>
              <w:jc w:val="center"/>
              <w:rPr>
                <w:rFonts w:ascii="Arial Narrow" w:hAnsi="Arial Narrow" w:cs="Arial"/>
                <w:b/>
                <w:bCs/>
                <w:color w:val="000000"/>
                <w:spacing w:val="0"/>
                <w:lang w:eastAsia="es-CO"/>
              </w:rPr>
            </w:pPr>
            <w:r w:rsidRPr="00F96739">
              <w:rPr>
                <w:rFonts w:ascii="Arial Narrow" w:hAnsi="Arial Narrow" w:cs="Arial"/>
                <w:b/>
                <w:bCs/>
                <w:color w:val="000000"/>
                <w:spacing w:val="0"/>
                <w:lang w:eastAsia="es-CO"/>
              </w:rPr>
              <w:t>23</w:t>
            </w:r>
          </w:p>
        </w:tc>
      </w:tr>
      <w:tr w:rsidR="00BB14CB" w:rsidRPr="00F96739" w14:paraId="27BF1C7E" w14:textId="77777777" w:rsidTr="00CF18E2">
        <w:trPr>
          <w:trHeight w:val="501"/>
        </w:trPr>
        <w:tc>
          <w:tcPr>
            <w:tcW w:w="8000" w:type="dxa"/>
            <w:gridSpan w:val="3"/>
            <w:shd w:val="clear" w:color="000000" w:fill="D6DCE4"/>
            <w:vAlign w:val="center"/>
            <w:hideMark/>
          </w:tcPr>
          <w:p w14:paraId="0C170469" w14:textId="77777777" w:rsidR="00BB14CB" w:rsidRPr="00F96739" w:rsidRDefault="00BB14CB" w:rsidP="00BB14CB">
            <w:pPr>
              <w:jc w:val="center"/>
              <w:rPr>
                <w:rFonts w:ascii="Arial Narrow" w:hAnsi="Arial Narrow" w:cs="Arial"/>
                <w:b/>
                <w:bCs/>
                <w:color w:val="000000"/>
                <w:spacing w:val="0"/>
                <w:lang w:eastAsia="es-CO"/>
              </w:rPr>
            </w:pPr>
            <w:r w:rsidRPr="00F96739">
              <w:rPr>
                <w:rFonts w:ascii="Arial Narrow" w:hAnsi="Arial Narrow" w:cs="Arial"/>
                <w:b/>
                <w:bCs/>
                <w:color w:val="000000"/>
                <w:spacing w:val="0"/>
                <w:lang w:eastAsia="es-CO"/>
              </w:rPr>
              <w:t>GRAN TOTAL DE ESP SUJETAS PARA LIQUIDAR CONTRIBUCIÓN 2021</w:t>
            </w:r>
          </w:p>
        </w:tc>
        <w:tc>
          <w:tcPr>
            <w:tcW w:w="1200" w:type="dxa"/>
            <w:shd w:val="clear" w:color="000000" w:fill="D6DCE4"/>
            <w:noWrap/>
            <w:vAlign w:val="center"/>
            <w:hideMark/>
          </w:tcPr>
          <w:p w14:paraId="6A10F620" w14:textId="4261FAC8" w:rsidR="00BB14CB" w:rsidRPr="00F96739" w:rsidRDefault="00BB14CB" w:rsidP="00BB14CB">
            <w:pPr>
              <w:jc w:val="center"/>
              <w:rPr>
                <w:rFonts w:ascii="Arial Narrow" w:hAnsi="Arial Narrow" w:cs="Arial"/>
                <w:b/>
                <w:bCs/>
                <w:color w:val="000000"/>
                <w:spacing w:val="0"/>
                <w:lang w:eastAsia="es-CO"/>
              </w:rPr>
            </w:pPr>
            <w:r w:rsidRPr="00F96739">
              <w:rPr>
                <w:rFonts w:ascii="Arial Narrow" w:hAnsi="Arial Narrow" w:cs="Arial"/>
                <w:b/>
                <w:bCs/>
                <w:color w:val="000000"/>
                <w:spacing w:val="0"/>
                <w:lang w:eastAsia="es-CO"/>
              </w:rPr>
              <w:t>3</w:t>
            </w:r>
            <w:r w:rsidR="00BD39C7" w:rsidRPr="00F96739">
              <w:rPr>
                <w:rFonts w:ascii="Arial Narrow" w:hAnsi="Arial Narrow" w:cs="Arial"/>
                <w:b/>
                <w:bCs/>
                <w:color w:val="000000"/>
                <w:spacing w:val="0"/>
                <w:lang w:eastAsia="es-CO"/>
              </w:rPr>
              <w:t>.</w:t>
            </w:r>
            <w:r w:rsidRPr="00F96739">
              <w:rPr>
                <w:rFonts w:ascii="Arial Narrow" w:hAnsi="Arial Narrow" w:cs="Arial"/>
                <w:b/>
                <w:bCs/>
                <w:color w:val="000000"/>
                <w:spacing w:val="0"/>
                <w:lang w:eastAsia="es-CO"/>
              </w:rPr>
              <w:t>412</w:t>
            </w:r>
          </w:p>
        </w:tc>
      </w:tr>
    </w:tbl>
    <w:p w14:paraId="1EEEDAB8" w14:textId="004D5C0A" w:rsidR="00BB14CB" w:rsidRDefault="00BB14CB" w:rsidP="00CB5351">
      <w:pPr>
        <w:pStyle w:val="Textoindependiente"/>
        <w:spacing w:after="0" w:line="240" w:lineRule="auto"/>
        <w:jc w:val="center"/>
        <w:rPr>
          <w:rFonts w:cs="Arial"/>
          <w:color w:val="FF0000"/>
          <w:sz w:val="22"/>
          <w:szCs w:val="22"/>
        </w:rPr>
      </w:pPr>
    </w:p>
    <w:p w14:paraId="32D0948B" w14:textId="06DF7915" w:rsidR="00CF18E2" w:rsidRDefault="00CF18E2" w:rsidP="00CB5351">
      <w:pPr>
        <w:pStyle w:val="Textoindependiente"/>
        <w:spacing w:after="0" w:line="240" w:lineRule="auto"/>
        <w:jc w:val="center"/>
        <w:rPr>
          <w:rFonts w:cs="Arial"/>
          <w:color w:val="FF0000"/>
          <w:sz w:val="22"/>
          <w:szCs w:val="22"/>
        </w:rPr>
      </w:pPr>
    </w:p>
    <w:p w14:paraId="4634E1A9" w14:textId="77491F32" w:rsidR="00CF18E2" w:rsidRDefault="00CF18E2" w:rsidP="00CB5351">
      <w:pPr>
        <w:pStyle w:val="Textoindependiente"/>
        <w:spacing w:after="0" w:line="240" w:lineRule="auto"/>
        <w:jc w:val="center"/>
        <w:rPr>
          <w:rFonts w:cs="Arial"/>
          <w:color w:val="FF0000"/>
          <w:sz w:val="22"/>
          <w:szCs w:val="22"/>
        </w:rPr>
      </w:pPr>
    </w:p>
    <w:p w14:paraId="4B3EC2CA" w14:textId="39293A12" w:rsidR="00CF18E2" w:rsidRDefault="00CF18E2" w:rsidP="00CB5351">
      <w:pPr>
        <w:pStyle w:val="Textoindependiente"/>
        <w:spacing w:after="0" w:line="240" w:lineRule="auto"/>
        <w:jc w:val="center"/>
        <w:rPr>
          <w:rFonts w:cs="Arial"/>
          <w:color w:val="FF0000"/>
          <w:sz w:val="22"/>
          <w:szCs w:val="22"/>
        </w:rPr>
      </w:pPr>
    </w:p>
    <w:p w14:paraId="7DA59ADA" w14:textId="291841D6" w:rsidR="00CF18E2" w:rsidRDefault="00CF18E2" w:rsidP="00CB5351">
      <w:pPr>
        <w:pStyle w:val="Textoindependiente"/>
        <w:spacing w:after="0" w:line="240" w:lineRule="auto"/>
        <w:jc w:val="center"/>
        <w:rPr>
          <w:rFonts w:cs="Arial"/>
          <w:color w:val="FF0000"/>
          <w:sz w:val="22"/>
          <w:szCs w:val="22"/>
        </w:rPr>
      </w:pPr>
    </w:p>
    <w:p w14:paraId="22A28270" w14:textId="7E6B9DE1" w:rsidR="00CF18E2" w:rsidRDefault="00CF18E2" w:rsidP="00CB5351">
      <w:pPr>
        <w:pStyle w:val="Textoindependiente"/>
        <w:spacing w:after="0" w:line="240" w:lineRule="auto"/>
        <w:jc w:val="center"/>
        <w:rPr>
          <w:rFonts w:cs="Arial"/>
          <w:color w:val="FF0000"/>
          <w:sz w:val="22"/>
          <w:szCs w:val="22"/>
        </w:rPr>
      </w:pPr>
    </w:p>
    <w:p w14:paraId="2E154919" w14:textId="2F319F09" w:rsidR="00C170A0" w:rsidRPr="00BB14CB" w:rsidRDefault="00C170A0" w:rsidP="00C170A0">
      <w:pPr>
        <w:pStyle w:val="Subttulo"/>
        <w:numPr>
          <w:ilvl w:val="1"/>
          <w:numId w:val="37"/>
        </w:numPr>
        <w:spacing w:after="0"/>
        <w:ind w:left="357" w:hanging="357"/>
        <w:jc w:val="left"/>
        <w:rPr>
          <w:b/>
          <w:bCs/>
          <w:sz w:val="22"/>
          <w:szCs w:val="22"/>
        </w:rPr>
      </w:pPr>
      <w:bookmarkStart w:id="34" w:name="_Toc88126842"/>
      <w:r w:rsidRPr="00BB14CB">
        <w:rPr>
          <w:b/>
          <w:bCs/>
          <w:sz w:val="22"/>
          <w:szCs w:val="22"/>
        </w:rPr>
        <w:t xml:space="preserve">PRESTADORES </w:t>
      </w:r>
      <w:r>
        <w:rPr>
          <w:b/>
          <w:bCs/>
          <w:sz w:val="22"/>
          <w:szCs w:val="22"/>
        </w:rPr>
        <w:t>DEL ÁMBITO DE REGULACIÓN DE LA CREG</w:t>
      </w:r>
      <w:bookmarkEnd w:id="34"/>
    </w:p>
    <w:p w14:paraId="01A20E57" w14:textId="77777777" w:rsidR="00C170A0" w:rsidRDefault="00C170A0" w:rsidP="00C170A0">
      <w:pPr>
        <w:pStyle w:val="Textoindependiente"/>
        <w:spacing w:after="0" w:line="240" w:lineRule="auto"/>
        <w:jc w:val="left"/>
        <w:rPr>
          <w:rFonts w:cs="Arial"/>
          <w:color w:val="FF0000"/>
          <w:sz w:val="22"/>
          <w:szCs w:val="22"/>
        </w:rPr>
      </w:pPr>
    </w:p>
    <w:p w14:paraId="410CD34E" w14:textId="6130066E" w:rsidR="00C170A0" w:rsidRDefault="00C170A0" w:rsidP="00C170A0">
      <w:pPr>
        <w:pStyle w:val="Textoindependiente"/>
        <w:spacing w:after="0" w:line="240" w:lineRule="auto"/>
        <w:rPr>
          <w:rFonts w:cs="Arial"/>
          <w:sz w:val="22"/>
          <w:szCs w:val="22"/>
        </w:rPr>
      </w:pPr>
      <w:r>
        <w:rPr>
          <w:rFonts w:cs="Arial"/>
          <w:sz w:val="22"/>
          <w:szCs w:val="22"/>
        </w:rPr>
        <w:t xml:space="preserve">Se estima </w:t>
      </w:r>
      <w:r w:rsidR="007926B3">
        <w:rPr>
          <w:rFonts w:cs="Arial"/>
          <w:sz w:val="22"/>
          <w:szCs w:val="22"/>
        </w:rPr>
        <w:t xml:space="preserve">en </w:t>
      </w:r>
      <w:r>
        <w:rPr>
          <w:rFonts w:cs="Arial"/>
          <w:sz w:val="22"/>
          <w:szCs w:val="22"/>
        </w:rPr>
        <w:t>439 empresas el total de las empresas reguladas por la CREG.</w:t>
      </w:r>
    </w:p>
    <w:p w14:paraId="12545D47" w14:textId="498B1A33" w:rsidR="00C170A0" w:rsidRDefault="00C170A0" w:rsidP="00C906EF">
      <w:pPr>
        <w:pStyle w:val="Textoindependiente"/>
        <w:spacing w:after="0" w:line="240" w:lineRule="auto"/>
        <w:rPr>
          <w:rFonts w:cs="Arial"/>
          <w:color w:val="FF0000"/>
          <w:sz w:val="22"/>
          <w:szCs w:val="22"/>
        </w:rPr>
      </w:pPr>
    </w:p>
    <w:tbl>
      <w:tblPr>
        <w:tblW w:w="8500" w:type="dxa"/>
        <w:tblCellMar>
          <w:left w:w="70" w:type="dxa"/>
          <w:right w:w="70" w:type="dxa"/>
        </w:tblCellMar>
        <w:tblLook w:val="04A0" w:firstRow="1" w:lastRow="0" w:firstColumn="1" w:lastColumn="0" w:noHBand="0" w:noVBand="1"/>
      </w:tblPr>
      <w:tblGrid>
        <w:gridCol w:w="5098"/>
        <w:gridCol w:w="3402"/>
      </w:tblGrid>
      <w:tr w:rsidR="00C170A0" w:rsidRPr="000625A7" w14:paraId="40D9674B" w14:textId="77777777" w:rsidTr="00CF18E2">
        <w:trPr>
          <w:trHeight w:val="440"/>
        </w:trPr>
        <w:tc>
          <w:tcPr>
            <w:tcW w:w="8500" w:type="dxa"/>
            <w:gridSpan w:val="2"/>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32E97279" w14:textId="77777777" w:rsidR="00C170A0" w:rsidRPr="003B72DD" w:rsidRDefault="00C170A0" w:rsidP="007114B5">
            <w:pPr>
              <w:jc w:val="center"/>
              <w:rPr>
                <w:rFonts w:cs="Arial"/>
                <w:b/>
                <w:bCs/>
                <w:color w:val="000000"/>
                <w:spacing w:val="0"/>
                <w:lang w:eastAsia="es-CO"/>
              </w:rPr>
            </w:pPr>
            <w:r w:rsidRPr="003B72DD">
              <w:rPr>
                <w:rFonts w:cs="Arial"/>
                <w:b/>
                <w:bCs/>
                <w:color w:val="000000"/>
                <w:spacing w:val="0"/>
                <w:lang w:eastAsia="es-CO"/>
              </w:rPr>
              <w:t> CENSO SSPD PRESTADORES DE SERVICIOS AÑO 2021</w:t>
            </w:r>
            <w:r w:rsidRPr="003B72DD">
              <w:rPr>
                <w:rFonts w:cs="Arial"/>
                <w:b/>
                <w:bCs/>
                <w:color w:val="000000"/>
                <w:spacing w:val="0"/>
                <w:vertAlign w:val="superscript"/>
                <w:lang w:eastAsia="es-CO"/>
              </w:rPr>
              <w:t>1</w:t>
            </w:r>
          </w:p>
        </w:tc>
      </w:tr>
      <w:tr w:rsidR="00C170A0" w:rsidRPr="000625A7" w14:paraId="2B0DDCB7" w14:textId="77777777" w:rsidTr="00CF18E2">
        <w:trPr>
          <w:trHeight w:val="418"/>
        </w:trPr>
        <w:tc>
          <w:tcPr>
            <w:tcW w:w="5098" w:type="dxa"/>
            <w:tcBorders>
              <w:top w:val="nil"/>
              <w:left w:val="single" w:sz="4" w:space="0" w:color="auto"/>
              <w:bottom w:val="single" w:sz="4" w:space="0" w:color="auto"/>
              <w:right w:val="single" w:sz="4" w:space="0" w:color="auto"/>
            </w:tcBorders>
            <w:shd w:val="clear" w:color="000000" w:fill="D9D9D9"/>
            <w:noWrap/>
            <w:vAlign w:val="center"/>
            <w:hideMark/>
          </w:tcPr>
          <w:p w14:paraId="6F5C9231" w14:textId="77777777" w:rsidR="00C170A0" w:rsidRPr="003B72DD" w:rsidRDefault="00C170A0" w:rsidP="007114B5">
            <w:pPr>
              <w:jc w:val="center"/>
              <w:rPr>
                <w:rFonts w:cs="Arial"/>
                <w:b/>
                <w:bCs/>
                <w:color w:val="000000"/>
                <w:spacing w:val="0"/>
                <w:lang w:eastAsia="es-CO"/>
              </w:rPr>
            </w:pPr>
            <w:r w:rsidRPr="003B72DD">
              <w:rPr>
                <w:rFonts w:cs="Arial"/>
                <w:b/>
                <w:bCs/>
                <w:color w:val="000000"/>
                <w:spacing w:val="0"/>
                <w:lang w:eastAsia="es-CO"/>
              </w:rPr>
              <w:t>SECTOR</w:t>
            </w:r>
          </w:p>
        </w:tc>
        <w:tc>
          <w:tcPr>
            <w:tcW w:w="3402" w:type="dxa"/>
            <w:tcBorders>
              <w:top w:val="nil"/>
              <w:left w:val="nil"/>
              <w:bottom w:val="single" w:sz="4" w:space="0" w:color="auto"/>
              <w:right w:val="single" w:sz="4" w:space="0" w:color="auto"/>
            </w:tcBorders>
            <w:shd w:val="clear" w:color="000000" w:fill="D9D9D9"/>
            <w:noWrap/>
            <w:vAlign w:val="center"/>
            <w:hideMark/>
          </w:tcPr>
          <w:p w14:paraId="4D615BDC" w14:textId="77777777" w:rsidR="00C170A0" w:rsidRPr="003B72DD" w:rsidRDefault="00C170A0" w:rsidP="007114B5">
            <w:pPr>
              <w:jc w:val="center"/>
              <w:rPr>
                <w:rFonts w:cs="Arial"/>
                <w:b/>
                <w:bCs/>
                <w:color w:val="000000"/>
                <w:spacing w:val="0"/>
                <w:lang w:eastAsia="es-CO"/>
              </w:rPr>
            </w:pPr>
            <w:r w:rsidRPr="003B72DD">
              <w:rPr>
                <w:rFonts w:cs="Arial"/>
                <w:b/>
                <w:bCs/>
                <w:color w:val="000000"/>
                <w:spacing w:val="0"/>
                <w:lang w:eastAsia="es-CO"/>
              </w:rPr>
              <w:t>REGULADAS CREG</w:t>
            </w:r>
          </w:p>
        </w:tc>
      </w:tr>
      <w:tr w:rsidR="00C170A0" w:rsidRPr="000625A7" w14:paraId="37AB0C76" w14:textId="77777777" w:rsidTr="00CF18E2">
        <w:trPr>
          <w:trHeight w:val="41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4DD9317F" w14:textId="77777777" w:rsidR="00C170A0" w:rsidRPr="003B72DD" w:rsidRDefault="00C170A0" w:rsidP="007114B5">
            <w:pPr>
              <w:jc w:val="left"/>
              <w:rPr>
                <w:rFonts w:cs="Arial"/>
                <w:color w:val="000000"/>
                <w:spacing w:val="0"/>
                <w:lang w:eastAsia="es-CO"/>
              </w:rPr>
            </w:pPr>
            <w:r w:rsidRPr="003B72DD">
              <w:rPr>
                <w:rFonts w:cs="Arial"/>
                <w:color w:val="000000"/>
                <w:spacing w:val="0"/>
                <w:lang w:eastAsia="es-CO"/>
              </w:rPr>
              <w:t>Gas natural y gas licuado de petróleo</w:t>
            </w:r>
          </w:p>
        </w:tc>
        <w:tc>
          <w:tcPr>
            <w:tcW w:w="3402" w:type="dxa"/>
            <w:tcBorders>
              <w:top w:val="nil"/>
              <w:left w:val="nil"/>
              <w:bottom w:val="single" w:sz="4" w:space="0" w:color="auto"/>
              <w:right w:val="single" w:sz="4" w:space="0" w:color="auto"/>
            </w:tcBorders>
            <w:shd w:val="clear" w:color="auto" w:fill="auto"/>
            <w:noWrap/>
            <w:vAlign w:val="center"/>
            <w:hideMark/>
          </w:tcPr>
          <w:p w14:paraId="204CA6E3" w14:textId="77777777" w:rsidR="00C170A0" w:rsidRPr="003B72DD" w:rsidRDefault="00C170A0" w:rsidP="007114B5">
            <w:pPr>
              <w:jc w:val="right"/>
              <w:rPr>
                <w:rFonts w:cs="Arial"/>
                <w:color w:val="000000"/>
                <w:spacing w:val="0"/>
                <w:lang w:eastAsia="es-CO"/>
              </w:rPr>
            </w:pPr>
            <w:r w:rsidRPr="003B72DD">
              <w:rPr>
                <w:rFonts w:cs="Arial"/>
                <w:color w:val="000000"/>
                <w:spacing w:val="0"/>
                <w:lang w:eastAsia="es-CO"/>
              </w:rPr>
              <w:t>209</w:t>
            </w:r>
          </w:p>
        </w:tc>
      </w:tr>
      <w:tr w:rsidR="00C170A0" w:rsidRPr="000625A7" w14:paraId="59BAE2F2" w14:textId="77777777" w:rsidTr="00CF18E2">
        <w:trPr>
          <w:trHeight w:val="427"/>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3809D4F9" w14:textId="77777777" w:rsidR="00C170A0" w:rsidRPr="003B72DD" w:rsidRDefault="00C170A0" w:rsidP="007114B5">
            <w:pPr>
              <w:jc w:val="left"/>
              <w:rPr>
                <w:rFonts w:cs="Arial"/>
                <w:color w:val="000000"/>
                <w:spacing w:val="0"/>
                <w:lang w:eastAsia="es-CO"/>
              </w:rPr>
            </w:pPr>
            <w:r w:rsidRPr="003B72DD">
              <w:rPr>
                <w:rFonts w:cs="Arial"/>
                <w:color w:val="000000"/>
                <w:spacing w:val="0"/>
                <w:lang w:eastAsia="es-CO"/>
              </w:rPr>
              <w:t>Energía</w:t>
            </w:r>
          </w:p>
        </w:tc>
        <w:tc>
          <w:tcPr>
            <w:tcW w:w="3402" w:type="dxa"/>
            <w:tcBorders>
              <w:top w:val="nil"/>
              <w:left w:val="nil"/>
              <w:bottom w:val="single" w:sz="4" w:space="0" w:color="auto"/>
              <w:right w:val="single" w:sz="4" w:space="0" w:color="auto"/>
            </w:tcBorders>
            <w:shd w:val="clear" w:color="auto" w:fill="auto"/>
            <w:noWrap/>
            <w:vAlign w:val="center"/>
            <w:hideMark/>
          </w:tcPr>
          <w:p w14:paraId="6C3C2095" w14:textId="77777777" w:rsidR="00C170A0" w:rsidRPr="003B72DD" w:rsidRDefault="00C170A0" w:rsidP="007114B5">
            <w:pPr>
              <w:jc w:val="right"/>
              <w:rPr>
                <w:rFonts w:cs="Arial"/>
                <w:color w:val="000000"/>
                <w:spacing w:val="0"/>
                <w:lang w:eastAsia="es-CO"/>
              </w:rPr>
            </w:pPr>
            <w:r w:rsidRPr="003B72DD">
              <w:rPr>
                <w:rFonts w:cs="Arial"/>
                <w:color w:val="000000"/>
                <w:spacing w:val="0"/>
                <w:lang w:eastAsia="es-CO"/>
              </w:rPr>
              <w:t>207</w:t>
            </w:r>
          </w:p>
        </w:tc>
      </w:tr>
      <w:tr w:rsidR="00C170A0" w:rsidRPr="000625A7" w14:paraId="74E32442" w14:textId="77777777" w:rsidTr="00CF18E2">
        <w:trPr>
          <w:trHeight w:val="275"/>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71A150A0" w14:textId="77777777" w:rsidR="00C170A0" w:rsidRPr="003B72DD" w:rsidRDefault="00C170A0" w:rsidP="007114B5">
            <w:pPr>
              <w:jc w:val="left"/>
              <w:rPr>
                <w:rFonts w:cs="Arial"/>
                <w:color w:val="000000"/>
                <w:spacing w:val="0"/>
                <w:lang w:eastAsia="es-CO"/>
              </w:rPr>
            </w:pPr>
            <w:r w:rsidRPr="003B72DD">
              <w:rPr>
                <w:rFonts w:cs="Arial"/>
                <w:color w:val="000000"/>
                <w:spacing w:val="0"/>
                <w:lang w:eastAsia="es-CO"/>
              </w:rPr>
              <w:t>Multiservicios</w:t>
            </w:r>
          </w:p>
        </w:tc>
        <w:tc>
          <w:tcPr>
            <w:tcW w:w="3402" w:type="dxa"/>
            <w:tcBorders>
              <w:top w:val="nil"/>
              <w:left w:val="nil"/>
              <w:bottom w:val="single" w:sz="4" w:space="0" w:color="auto"/>
              <w:right w:val="single" w:sz="4" w:space="0" w:color="auto"/>
            </w:tcBorders>
            <w:shd w:val="clear" w:color="auto" w:fill="auto"/>
            <w:noWrap/>
            <w:vAlign w:val="center"/>
            <w:hideMark/>
          </w:tcPr>
          <w:p w14:paraId="549F0DD9" w14:textId="77777777" w:rsidR="00C170A0" w:rsidRPr="003B72DD" w:rsidRDefault="00C170A0" w:rsidP="007114B5">
            <w:pPr>
              <w:jc w:val="right"/>
              <w:rPr>
                <w:rFonts w:cs="Arial"/>
                <w:color w:val="000000"/>
                <w:spacing w:val="0"/>
                <w:lang w:eastAsia="es-CO"/>
              </w:rPr>
            </w:pPr>
            <w:r w:rsidRPr="003B72DD">
              <w:rPr>
                <w:rFonts w:cs="Arial"/>
                <w:color w:val="000000"/>
                <w:spacing w:val="0"/>
                <w:lang w:eastAsia="es-CO"/>
              </w:rPr>
              <w:t>23</w:t>
            </w:r>
          </w:p>
        </w:tc>
      </w:tr>
      <w:tr w:rsidR="00C170A0" w:rsidRPr="000625A7" w14:paraId="45F973C4" w14:textId="77777777" w:rsidTr="00CF18E2">
        <w:trPr>
          <w:trHeight w:val="463"/>
        </w:trPr>
        <w:tc>
          <w:tcPr>
            <w:tcW w:w="5098" w:type="dxa"/>
            <w:tcBorders>
              <w:top w:val="nil"/>
              <w:left w:val="single" w:sz="4" w:space="0" w:color="auto"/>
              <w:bottom w:val="single" w:sz="4" w:space="0" w:color="auto"/>
              <w:right w:val="single" w:sz="4" w:space="0" w:color="auto"/>
            </w:tcBorders>
            <w:shd w:val="clear" w:color="000000" w:fill="D9D9D9"/>
            <w:noWrap/>
            <w:vAlign w:val="center"/>
            <w:hideMark/>
          </w:tcPr>
          <w:p w14:paraId="48F2DD6E" w14:textId="2042B770" w:rsidR="00C170A0" w:rsidRPr="003B72DD" w:rsidRDefault="00C170A0" w:rsidP="007114B5">
            <w:pPr>
              <w:jc w:val="right"/>
              <w:rPr>
                <w:rFonts w:cs="Arial"/>
                <w:b/>
                <w:bCs/>
                <w:color w:val="000000"/>
                <w:spacing w:val="0"/>
                <w:lang w:eastAsia="es-CO"/>
              </w:rPr>
            </w:pPr>
            <w:r w:rsidRPr="003B72DD">
              <w:rPr>
                <w:rFonts w:cs="Arial"/>
                <w:b/>
                <w:bCs/>
                <w:color w:val="000000"/>
                <w:spacing w:val="0"/>
                <w:sz w:val="18"/>
                <w:szCs w:val="18"/>
                <w:lang w:eastAsia="es-CO"/>
              </w:rPr>
              <w:t xml:space="preserve">TOTAL PRESTADORES REGULADOS POR LA CREG </w:t>
            </w:r>
          </w:p>
        </w:tc>
        <w:tc>
          <w:tcPr>
            <w:tcW w:w="3402" w:type="dxa"/>
            <w:tcBorders>
              <w:top w:val="nil"/>
              <w:left w:val="nil"/>
              <w:bottom w:val="single" w:sz="4" w:space="0" w:color="auto"/>
              <w:right w:val="single" w:sz="4" w:space="0" w:color="auto"/>
            </w:tcBorders>
            <w:shd w:val="clear" w:color="000000" w:fill="D9D9D9"/>
            <w:noWrap/>
            <w:vAlign w:val="center"/>
            <w:hideMark/>
          </w:tcPr>
          <w:p w14:paraId="28259CB4" w14:textId="77777777" w:rsidR="00C170A0" w:rsidRPr="003B72DD" w:rsidRDefault="00C170A0" w:rsidP="007114B5">
            <w:pPr>
              <w:jc w:val="right"/>
              <w:rPr>
                <w:rFonts w:cs="Arial"/>
                <w:b/>
                <w:bCs/>
                <w:color w:val="000000"/>
                <w:spacing w:val="0"/>
                <w:lang w:eastAsia="es-CO"/>
              </w:rPr>
            </w:pPr>
            <w:r w:rsidRPr="003B72DD">
              <w:rPr>
                <w:rFonts w:cs="Arial"/>
                <w:b/>
                <w:bCs/>
                <w:color w:val="000000"/>
                <w:spacing w:val="0"/>
                <w:lang w:eastAsia="es-CO"/>
              </w:rPr>
              <w:t>439</w:t>
            </w:r>
          </w:p>
        </w:tc>
      </w:tr>
      <w:tr w:rsidR="00C170A0" w:rsidRPr="000625A7" w14:paraId="39F53369" w14:textId="77777777" w:rsidTr="007926B3">
        <w:trPr>
          <w:trHeight w:val="330"/>
        </w:trPr>
        <w:tc>
          <w:tcPr>
            <w:tcW w:w="8500" w:type="dxa"/>
            <w:gridSpan w:val="2"/>
            <w:tcBorders>
              <w:top w:val="nil"/>
              <w:left w:val="single" w:sz="4" w:space="0" w:color="auto"/>
              <w:bottom w:val="single" w:sz="4" w:space="0" w:color="auto"/>
              <w:right w:val="single" w:sz="4" w:space="0" w:color="auto"/>
            </w:tcBorders>
            <w:shd w:val="clear" w:color="auto" w:fill="FFFFFF" w:themeFill="background1"/>
            <w:noWrap/>
            <w:vAlign w:val="center"/>
          </w:tcPr>
          <w:p w14:paraId="0DDAFFE5" w14:textId="77777777" w:rsidR="00C170A0" w:rsidRPr="003B72DD" w:rsidRDefault="00C170A0" w:rsidP="007114B5">
            <w:pPr>
              <w:pStyle w:val="Textoindependiente"/>
              <w:spacing w:after="0" w:line="240" w:lineRule="auto"/>
              <w:rPr>
                <w:rFonts w:cs="Arial"/>
                <w:sz w:val="18"/>
                <w:szCs w:val="18"/>
                <w:vertAlign w:val="superscript"/>
              </w:rPr>
            </w:pPr>
          </w:p>
          <w:p w14:paraId="2597B7EE" w14:textId="77777777" w:rsidR="00C170A0" w:rsidRPr="003B72DD" w:rsidRDefault="00C170A0" w:rsidP="007114B5">
            <w:pPr>
              <w:pStyle w:val="Textoindependiente"/>
              <w:spacing w:after="0" w:line="240" w:lineRule="auto"/>
              <w:rPr>
                <w:rFonts w:cs="Arial"/>
                <w:i/>
                <w:iCs/>
                <w:sz w:val="18"/>
                <w:szCs w:val="18"/>
              </w:rPr>
            </w:pPr>
            <w:r w:rsidRPr="000625A7">
              <w:rPr>
                <w:rFonts w:cs="Arial"/>
                <w:sz w:val="18"/>
                <w:szCs w:val="18"/>
                <w:vertAlign w:val="superscript"/>
              </w:rPr>
              <w:t>1</w:t>
            </w:r>
            <w:r w:rsidRPr="000625A7">
              <w:rPr>
                <w:rFonts w:cs="Arial"/>
                <w:sz w:val="18"/>
                <w:szCs w:val="18"/>
              </w:rPr>
              <w:t xml:space="preserve"> </w:t>
            </w:r>
            <w:r w:rsidRPr="003B72DD">
              <w:rPr>
                <w:rFonts w:cs="Arial"/>
                <w:sz w:val="18"/>
                <w:szCs w:val="18"/>
              </w:rPr>
              <w:t xml:space="preserve">Extracto de las empresas reguladas de la CREG de la Resolución N° SSPD – 20211000206585 del 03-jun-2021. </w:t>
            </w:r>
            <w:r w:rsidRPr="003B72DD">
              <w:rPr>
                <w:rFonts w:cs="Arial"/>
                <w:i/>
                <w:iCs/>
                <w:sz w:val="18"/>
                <w:szCs w:val="18"/>
              </w:rPr>
              <w:t>“Por la cual se establece el número de prestadores que servirán como base para liquidar la contribución especial para el año 2021 y la contribución adicional para el fortalecimiento del Fondo Empresarial”.</w:t>
            </w:r>
          </w:p>
          <w:p w14:paraId="4877E0BB" w14:textId="77777777" w:rsidR="00C170A0" w:rsidRPr="003B72DD" w:rsidRDefault="00C170A0" w:rsidP="007114B5">
            <w:pPr>
              <w:pStyle w:val="Textoindependiente"/>
              <w:spacing w:after="0" w:line="240" w:lineRule="auto"/>
              <w:rPr>
                <w:rFonts w:cs="Arial"/>
                <w:sz w:val="18"/>
                <w:szCs w:val="18"/>
              </w:rPr>
            </w:pPr>
          </w:p>
        </w:tc>
      </w:tr>
    </w:tbl>
    <w:p w14:paraId="7878F336" w14:textId="531752E8" w:rsidR="00C170A0" w:rsidRDefault="00C170A0" w:rsidP="00C906EF">
      <w:pPr>
        <w:pStyle w:val="Textoindependiente"/>
        <w:spacing w:after="0" w:line="240" w:lineRule="auto"/>
        <w:rPr>
          <w:rFonts w:cs="Arial"/>
          <w:color w:val="FF0000"/>
          <w:sz w:val="22"/>
          <w:szCs w:val="22"/>
        </w:rPr>
      </w:pPr>
    </w:p>
    <w:p w14:paraId="74A54EBF" w14:textId="53FFEB45" w:rsidR="007926B3" w:rsidRPr="00BB14CB" w:rsidRDefault="007926B3" w:rsidP="007926B3">
      <w:pPr>
        <w:pStyle w:val="Subttulo"/>
        <w:numPr>
          <w:ilvl w:val="1"/>
          <w:numId w:val="37"/>
        </w:numPr>
        <w:spacing w:after="0"/>
        <w:ind w:left="357" w:hanging="357"/>
        <w:jc w:val="left"/>
        <w:rPr>
          <w:b/>
          <w:bCs/>
          <w:sz w:val="22"/>
          <w:szCs w:val="22"/>
        </w:rPr>
      </w:pPr>
      <w:bookmarkStart w:id="35" w:name="_Toc88126843"/>
      <w:r>
        <w:rPr>
          <w:b/>
          <w:bCs/>
          <w:sz w:val="22"/>
          <w:szCs w:val="22"/>
        </w:rPr>
        <w:t>ESTADO DE REPORTE DE INFORMACIÓN AL SUI</w:t>
      </w:r>
      <w:bookmarkEnd w:id="35"/>
    </w:p>
    <w:p w14:paraId="438C33A0" w14:textId="77777777" w:rsidR="007926B3" w:rsidRDefault="007926B3" w:rsidP="00C906EF">
      <w:pPr>
        <w:pStyle w:val="Textoindependiente"/>
        <w:spacing w:after="0" w:line="240" w:lineRule="auto"/>
        <w:rPr>
          <w:rFonts w:cs="Arial"/>
          <w:color w:val="FF0000"/>
          <w:sz w:val="22"/>
          <w:szCs w:val="22"/>
        </w:rPr>
      </w:pPr>
    </w:p>
    <w:p w14:paraId="6286405C" w14:textId="65DFA1F8" w:rsidR="00211CBF" w:rsidRDefault="007926B3" w:rsidP="00211CBF">
      <w:pPr>
        <w:rPr>
          <w:sz w:val="22"/>
          <w:szCs w:val="22"/>
        </w:rPr>
      </w:pPr>
      <w:r>
        <w:rPr>
          <w:sz w:val="22"/>
          <w:szCs w:val="22"/>
        </w:rPr>
        <w:t>El estado de reporte de información al SUI de parte de los prestadores de servicios del ámbito de regulación de la CREG es el siguiente:</w:t>
      </w:r>
    </w:p>
    <w:p w14:paraId="7CC6668C" w14:textId="62590743" w:rsidR="007926B3" w:rsidRDefault="007926B3" w:rsidP="00211CBF">
      <w:pPr>
        <w:rPr>
          <w:sz w:val="22"/>
          <w:szCs w:val="22"/>
        </w:rPr>
      </w:pPr>
    </w:p>
    <w:tbl>
      <w:tblPr>
        <w:tblW w:w="8648" w:type="dxa"/>
        <w:jc w:val="right"/>
        <w:tblCellMar>
          <w:left w:w="70" w:type="dxa"/>
          <w:right w:w="70" w:type="dxa"/>
        </w:tblCellMar>
        <w:tblLook w:val="04A0" w:firstRow="1" w:lastRow="0" w:firstColumn="1" w:lastColumn="0" w:noHBand="0" w:noVBand="1"/>
      </w:tblPr>
      <w:tblGrid>
        <w:gridCol w:w="7372"/>
        <w:gridCol w:w="1276"/>
      </w:tblGrid>
      <w:tr w:rsidR="007926B3" w:rsidRPr="007F340C" w14:paraId="75DAA3BC" w14:textId="77777777" w:rsidTr="007926B3">
        <w:trPr>
          <w:trHeight w:val="340"/>
          <w:jc w:val="right"/>
        </w:trPr>
        <w:tc>
          <w:tcPr>
            <w:tcW w:w="8648" w:type="dxa"/>
            <w:gridSpan w:val="2"/>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4D0FE540" w14:textId="77777777" w:rsidR="007926B3" w:rsidRPr="003B72DD" w:rsidRDefault="007926B3" w:rsidP="007114B5">
            <w:pPr>
              <w:jc w:val="center"/>
              <w:rPr>
                <w:rFonts w:cs="Arial"/>
                <w:b/>
                <w:bCs/>
                <w:color w:val="000000"/>
                <w:spacing w:val="0"/>
                <w:lang w:eastAsia="es-CO"/>
              </w:rPr>
            </w:pPr>
            <w:r w:rsidRPr="003B72DD">
              <w:rPr>
                <w:rFonts w:cs="Arial"/>
                <w:b/>
                <w:bCs/>
                <w:color w:val="000000"/>
                <w:spacing w:val="0"/>
                <w:lang w:eastAsia="es-CO"/>
              </w:rPr>
              <w:t xml:space="preserve"> ESTADO DE REPORTE DE INFORMACIÓN AL SUI DE LOS EEFF 2020 </w:t>
            </w:r>
            <w:r w:rsidRPr="003B72DD">
              <w:rPr>
                <w:rFonts w:cs="Arial"/>
                <w:b/>
                <w:bCs/>
                <w:color w:val="000000"/>
                <w:spacing w:val="0"/>
                <w:vertAlign w:val="superscript"/>
                <w:lang w:eastAsia="es-CO"/>
              </w:rPr>
              <w:t>1</w:t>
            </w:r>
          </w:p>
        </w:tc>
      </w:tr>
      <w:tr w:rsidR="007926B3" w:rsidRPr="007F340C" w14:paraId="67984282" w14:textId="77777777" w:rsidTr="007926B3">
        <w:trPr>
          <w:trHeight w:val="300"/>
          <w:jc w:val="right"/>
        </w:trPr>
        <w:tc>
          <w:tcPr>
            <w:tcW w:w="7372" w:type="dxa"/>
            <w:tcBorders>
              <w:top w:val="nil"/>
              <w:left w:val="single" w:sz="8" w:space="0" w:color="auto"/>
              <w:bottom w:val="single" w:sz="8" w:space="0" w:color="auto"/>
              <w:right w:val="single" w:sz="8" w:space="0" w:color="auto"/>
            </w:tcBorders>
            <w:shd w:val="clear" w:color="000000" w:fill="FFFFFF"/>
            <w:noWrap/>
            <w:vAlign w:val="center"/>
            <w:hideMark/>
          </w:tcPr>
          <w:p w14:paraId="5FC85B2E" w14:textId="77777777" w:rsidR="007926B3" w:rsidRPr="003B72DD" w:rsidRDefault="007926B3" w:rsidP="007114B5">
            <w:pPr>
              <w:jc w:val="center"/>
              <w:rPr>
                <w:rFonts w:cs="Arial"/>
                <w:b/>
                <w:bCs/>
                <w:color w:val="000000"/>
                <w:spacing w:val="0"/>
                <w:lang w:eastAsia="es-CO"/>
              </w:rPr>
            </w:pPr>
            <w:r w:rsidRPr="003B72DD">
              <w:rPr>
                <w:rFonts w:cs="Arial"/>
                <w:b/>
                <w:bCs/>
                <w:color w:val="000000"/>
                <w:spacing w:val="0"/>
                <w:lang w:eastAsia="es-CO"/>
              </w:rPr>
              <w:t>Concepto</w:t>
            </w:r>
          </w:p>
        </w:tc>
        <w:tc>
          <w:tcPr>
            <w:tcW w:w="1276" w:type="dxa"/>
            <w:tcBorders>
              <w:top w:val="nil"/>
              <w:left w:val="nil"/>
              <w:bottom w:val="single" w:sz="8" w:space="0" w:color="auto"/>
              <w:right w:val="single" w:sz="8" w:space="0" w:color="auto"/>
            </w:tcBorders>
            <w:shd w:val="clear" w:color="000000" w:fill="D9D9D9"/>
            <w:noWrap/>
            <w:vAlign w:val="center"/>
            <w:hideMark/>
          </w:tcPr>
          <w:p w14:paraId="245EE587" w14:textId="77777777" w:rsidR="007926B3" w:rsidRPr="003B72DD" w:rsidRDefault="007926B3" w:rsidP="007114B5">
            <w:pPr>
              <w:jc w:val="center"/>
              <w:rPr>
                <w:rFonts w:cs="Arial"/>
                <w:b/>
                <w:bCs/>
                <w:color w:val="000000"/>
                <w:spacing w:val="0"/>
                <w:lang w:eastAsia="es-CO"/>
              </w:rPr>
            </w:pPr>
            <w:r w:rsidRPr="003B72DD">
              <w:rPr>
                <w:rFonts w:cs="Arial"/>
                <w:b/>
                <w:bCs/>
                <w:color w:val="000000"/>
                <w:spacing w:val="0"/>
                <w:lang w:eastAsia="es-CO"/>
              </w:rPr>
              <w:t>Cantidad</w:t>
            </w:r>
          </w:p>
        </w:tc>
      </w:tr>
      <w:tr w:rsidR="007926B3" w:rsidRPr="007F340C" w14:paraId="6F9B0FE3" w14:textId="77777777" w:rsidTr="007926B3">
        <w:trPr>
          <w:trHeight w:val="300"/>
          <w:jc w:val="right"/>
        </w:trPr>
        <w:tc>
          <w:tcPr>
            <w:tcW w:w="7372" w:type="dxa"/>
            <w:tcBorders>
              <w:top w:val="nil"/>
              <w:left w:val="single" w:sz="8" w:space="0" w:color="auto"/>
              <w:bottom w:val="single" w:sz="8" w:space="0" w:color="auto"/>
              <w:right w:val="single" w:sz="8" w:space="0" w:color="auto"/>
            </w:tcBorders>
            <w:shd w:val="clear" w:color="auto" w:fill="auto"/>
            <w:noWrap/>
            <w:vAlign w:val="center"/>
            <w:hideMark/>
          </w:tcPr>
          <w:p w14:paraId="573C6698" w14:textId="77777777" w:rsidR="007926B3" w:rsidRPr="003B72DD" w:rsidRDefault="007926B3" w:rsidP="007114B5">
            <w:pPr>
              <w:jc w:val="left"/>
              <w:rPr>
                <w:rFonts w:cs="Arial"/>
                <w:color w:val="000000"/>
                <w:spacing w:val="0"/>
                <w:lang w:eastAsia="es-CO"/>
              </w:rPr>
            </w:pPr>
            <w:r w:rsidRPr="003B72DD">
              <w:rPr>
                <w:rFonts w:cs="Arial"/>
                <w:color w:val="000000"/>
                <w:spacing w:val="0"/>
                <w:lang w:eastAsia="es-CO"/>
              </w:rPr>
              <w:t>Regulados reportantes de EEFF 2020</w:t>
            </w:r>
          </w:p>
        </w:tc>
        <w:tc>
          <w:tcPr>
            <w:tcW w:w="1276" w:type="dxa"/>
            <w:tcBorders>
              <w:top w:val="nil"/>
              <w:left w:val="nil"/>
              <w:bottom w:val="single" w:sz="8" w:space="0" w:color="auto"/>
              <w:right w:val="single" w:sz="8" w:space="0" w:color="auto"/>
            </w:tcBorders>
            <w:shd w:val="clear" w:color="auto" w:fill="auto"/>
            <w:noWrap/>
            <w:vAlign w:val="center"/>
            <w:hideMark/>
          </w:tcPr>
          <w:p w14:paraId="4338A83D" w14:textId="77777777" w:rsidR="007926B3" w:rsidRPr="003B72DD" w:rsidRDefault="007926B3" w:rsidP="007114B5">
            <w:pPr>
              <w:jc w:val="right"/>
              <w:rPr>
                <w:rFonts w:cs="Arial"/>
                <w:color w:val="000000"/>
                <w:spacing w:val="0"/>
                <w:lang w:eastAsia="es-CO"/>
              </w:rPr>
            </w:pPr>
            <w:r w:rsidRPr="003B72DD">
              <w:rPr>
                <w:rFonts w:cs="Arial"/>
                <w:color w:val="000000"/>
                <w:spacing w:val="0"/>
                <w:lang w:eastAsia="es-CO"/>
              </w:rPr>
              <w:t>328</w:t>
            </w:r>
          </w:p>
        </w:tc>
      </w:tr>
      <w:tr w:rsidR="007926B3" w:rsidRPr="007F340C" w14:paraId="4643741B" w14:textId="77777777" w:rsidTr="007926B3">
        <w:trPr>
          <w:trHeight w:val="340"/>
          <w:jc w:val="right"/>
        </w:trPr>
        <w:tc>
          <w:tcPr>
            <w:tcW w:w="7372" w:type="dxa"/>
            <w:tcBorders>
              <w:top w:val="nil"/>
              <w:left w:val="single" w:sz="8" w:space="0" w:color="auto"/>
              <w:bottom w:val="single" w:sz="8" w:space="0" w:color="auto"/>
              <w:right w:val="single" w:sz="8" w:space="0" w:color="auto"/>
            </w:tcBorders>
            <w:shd w:val="clear" w:color="auto" w:fill="auto"/>
            <w:noWrap/>
            <w:vAlign w:val="center"/>
            <w:hideMark/>
          </w:tcPr>
          <w:p w14:paraId="2ABD6E9A" w14:textId="77777777" w:rsidR="007926B3" w:rsidRPr="003B72DD" w:rsidRDefault="007926B3" w:rsidP="007114B5">
            <w:pPr>
              <w:jc w:val="left"/>
              <w:rPr>
                <w:rFonts w:cs="Arial"/>
                <w:color w:val="000000"/>
                <w:spacing w:val="0"/>
                <w:lang w:eastAsia="es-CO"/>
              </w:rPr>
            </w:pPr>
            <w:r w:rsidRPr="003B72DD">
              <w:rPr>
                <w:rFonts w:cs="Arial"/>
                <w:color w:val="000000"/>
                <w:spacing w:val="0"/>
                <w:lang w:eastAsia="es-CO"/>
              </w:rPr>
              <w:t xml:space="preserve">+ regulados con reporte EEFF 2019 indexado </w:t>
            </w:r>
            <w:r w:rsidRPr="003B72DD">
              <w:rPr>
                <w:rFonts w:cs="Arial"/>
                <w:color w:val="000000"/>
                <w:spacing w:val="0"/>
                <w:vertAlign w:val="superscript"/>
                <w:lang w:eastAsia="es-CO"/>
              </w:rPr>
              <w:t>3</w:t>
            </w:r>
          </w:p>
        </w:tc>
        <w:tc>
          <w:tcPr>
            <w:tcW w:w="1276" w:type="dxa"/>
            <w:tcBorders>
              <w:top w:val="nil"/>
              <w:left w:val="nil"/>
              <w:bottom w:val="single" w:sz="8" w:space="0" w:color="auto"/>
              <w:right w:val="single" w:sz="8" w:space="0" w:color="auto"/>
            </w:tcBorders>
            <w:shd w:val="clear" w:color="auto" w:fill="auto"/>
            <w:noWrap/>
            <w:vAlign w:val="center"/>
            <w:hideMark/>
          </w:tcPr>
          <w:p w14:paraId="4048DC97" w14:textId="77777777" w:rsidR="007926B3" w:rsidRPr="003B72DD" w:rsidRDefault="007926B3" w:rsidP="007114B5">
            <w:pPr>
              <w:jc w:val="right"/>
              <w:rPr>
                <w:rFonts w:cs="Arial"/>
                <w:color w:val="000000"/>
                <w:spacing w:val="0"/>
                <w:lang w:eastAsia="es-CO"/>
              </w:rPr>
            </w:pPr>
            <w:r w:rsidRPr="003B72DD">
              <w:rPr>
                <w:rFonts w:cs="Arial"/>
                <w:color w:val="000000"/>
                <w:spacing w:val="0"/>
                <w:lang w:eastAsia="es-CO"/>
              </w:rPr>
              <w:t>42</w:t>
            </w:r>
          </w:p>
        </w:tc>
      </w:tr>
      <w:tr w:rsidR="007926B3" w:rsidRPr="007F340C" w14:paraId="28CB6160" w14:textId="77777777" w:rsidTr="007926B3">
        <w:trPr>
          <w:trHeight w:val="340"/>
          <w:jc w:val="right"/>
        </w:trPr>
        <w:tc>
          <w:tcPr>
            <w:tcW w:w="7372" w:type="dxa"/>
            <w:tcBorders>
              <w:top w:val="nil"/>
              <w:left w:val="single" w:sz="8" w:space="0" w:color="auto"/>
              <w:bottom w:val="single" w:sz="8" w:space="0" w:color="auto"/>
              <w:right w:val="single" w:sz="8" w:space="0" w:color="auto"/>
            </w:tcBorders>
            <w:shd w:val="clear" w:color="auto" w:fill="auto"/>
            <w:noWrap/>
            <w:vAlign w:val="center"/>
            <w:hideMark/>
          </w:tcPr>
          <w:p w14:paraId="24CA1530" w14:textId="77777777" w:rsidR="007926B3" w:rsidRPr="003B72DD" w:rsidRDefault="007926B3" w:rsidP="007114B5">
            <w:pPr>
              <w:jc w:val="left"/>
              <w:rPr>
                <w:rFonts w:cs="Arial"/>
                <w:color w:val="000000"/>
                <w:spacing w:val="0"/>
                <w:lang w:eastAsia="es-CO"/>
              </w:rPr>
            </w:pPr>
            <w:r w:rsidRPr="003B72DD">
              <w:rPr>
                <w:rFonts w:cs="Arial"/>
                <w:color w:val="000000"/>
                <w:spacing w:val="0"/>
                <w:lang w:eastAsia="es-CO"/>
              </w:rPr>
              <w:t xml:space="preserve">+ regulados con reporte EEFF 2018 indexado </w:t>
            </w:r>
            <w:r w:rsidRPr="003B72DD">
              <w:rPr>
                <w:rFonts w:cs="Arial"/>
                <w:color w:val="000000"/>
                <w:spacing w:val="0"/>
                <w:vertAlign w:val="superscript"/>
                <w:lang w:eastAsia="es-CO"/>
              </w:rPr>
              <w:t>3</w:t>
            </w:r>
          </w:p>
        </w:tc>
        <w:tc>
          <w:tcPr>
            <w:tcW w:w="1276" w:type="dxa"/>
            <w:tcBorders>
              <w:top w:val="nil"/>
              <w:left w:val="nil"/>
              <w:bottom w:val="single" w:sz="8" w:space="0" w:color="auto"/>
              <w:right w:val="single" w:sz="8" w:space="0" w:color="auto"/>
            </w:tcBorders>
            <w:shd w:val="clear" w:color="auto" w:fill="auto"/>
            <w:noWrap/>
            <w:vAlign w:val="center"/>
            <w:hideMark/>
          </w:tcPr>
          <w:p w14:paraId="779BA30F" w14:textId="40A20801" w:rsidR="007926B3" w:rsidRPr="003B72DD" w:rsidRDefault="00EF50A4" w:rsidP="007114B5">
            <w:pPr>
              <w:jc w:val="right"/>
              <w:rPr>
                <w:rFonts w:cs="Arial"/>
                <w:color w:val="000000"/>
                <w:spacing w:val="0"/>
                <w:lang w:eastAsia="es-CO"/>
              </w:rPr>
            </w:pPr>
            <w:r>
              <w:rPr>
                <w:rFonts w:cs="Arial"/>
                <w:color w:val="000000"/>
                <w:spacing w:val="0"/>
                <w:lang w:eastAsia="es-CO"/>
              </w:rPr>
              <w:t>9</w:t>
            </w:r>
          </w:p>
        </w:tc>
      </w:tr>
      <w:tr w:rsidR="007926B3" w:rsidRPr="00EF50A4" w14:paraId="7C1B752A" w14:textId="77777777" w:rsidTr="007926B3">
        <w:trPr>
          <w:trHeight w:val="300"/>
          <w:jc w:val="right"/>
        </w:trPr>
        <w:tc>
          <w:tcPr>
            <w:tcW w:w="7372" w:type="dxa"/>
            <w:tcBorders>
              <w:top w:val="nil"/>
              <w:left w:val="single" w:sz="8" w:space="0" w:color="auto"/>
              <w:bottom w:val="single" w:sz="8" w:space="0" w:color="auto"/>
              <w:right w:val="single" w:sz="8" w:space="0" w:color="auto"/>
            </w:tcBorders>
            <w:shd w:val="clear" w:color="000000" w:fill="E7E6E6"/>
            <w:noWrap/>
            <w:vAlign w:val="center"/>
            <w:hideMark/>
          </w:tcPr>
          <w:p w14:paraId="1D635B25" w14:textId="77777777" w:rsidR="007926B3" w:rsidRPr="00EF50A4" w:rsidRDefault="007926B3" w:rsidP="007114B5">
            <w:pPr>
              <w:jc w:val="left"/>
              <w:rPr>
                <w:rFonts w:cs="Arial"/>
                <w:b/>
                <w:bCs/>
                <w:color w:val="000000"/>
                <w:spacing w:val="0"/>
                <w:lang w:eastAsia="es-CO"/>
              </w:rPr>
            </w:pPr>
            <w:r w:rsidRPr="00EF50A4">
              <w:rPr>
                <w:rFonts w:cs="Arial"/>
                <w:b/>
                <w:bCs/>
                <w:color w:val="000000"/>
                <w:spacing w:val="0"/>
                <w:lang w:eastAsia="es-CO"/>
              </w:rPr>
              <w:t>= regulados liquidación contribución 2021</w:t>
            </w:r>
          </w:p>
        </w:tc>
        <w:tc>
          <w:tcPr>
            <w:tcW w:w="1276" w:type="dxa"/>
            <w:tcBorders>
              <w:top w:val="nil"/>
              <w:left w:val="nil"/>
              <w:bottom w:val="single" w:sz="8" w:space="0" w:color="auto"/>
              <w:right w:val="single" w:sz="8" w:space="0" w:color="auto"/>
            </w:tcBorders>
            <w:shd w:val="clear" w:color="000000" w:fill="E7E6E6"/>
            <w:noWrap/>
            <w:vAlign w:val="center"/>
            <w:hideMark/>
          </w:tcPr>
          <w:p w14:paraId="07AC67EC" w14:textId="327DF51E" w:rsidR="007926B3" w:rsidRPr="00EF50A4" w:rsidRDefault="007926B3" w:rsidP="007114B5">
            <w:pPr>
              <w:jc w:val="right"/>
              <w:rPr>
                <w:rFonts w:cs="Arial"/>
                <w:b/>
                <w:bCs/>
                <w:color w:val="000000"/>
                <w:spacing w:val="0"/>
                <w:lang w:eastAsia="es-CO"/>
              </w:rPr>
            </w:pPr>
            <w:r w:rsidRPr="00EF50A4">
              <w:rPr>
                <w:rFonts w:cs="Arial"/>
                <w:b/>
                <w:bCs/>
                <w:color w:val="000000"/>
                <w:spacing w:val="0"/>
                <w:lang w:eastAsia="es-CO"/>
              </w:rPr>
              <w:t>37</w:t>
            </w:r>
            <w:r w:rsidR="00EF50A4" w:rsidRPr="00EF50A4">
              <w:rPr>
                <w:rFonts w:cs="Arial"/>
                <w:b/>
                <w:bCs/>
                <w:color w:val="000000"/>
                <w:spacing w:val="0"/>
                <w:lang w:eastAsia="es-CO"/>
              </w:rPr>
              <w:t>9</w:t>
            </w:r>
          </w:p>
        </w:tc>
      </w:tr>
      <w:tr w:rsidR="007926B3" w:rsidRPr="007F340C" w14:paraId="6E3D6598" w14:textId="77777777" w:rsidTr="007926B3">
        <w:trPr>
          <w:trHeight w:val="340"/>
          <w:jc w:val="right"/>
        </w:trPr>
        <w:tc>
          <w:tcPr>
            <w:tcW w:w="7372" w:type="dxa"/>
            <w:tcBorders>
              <w:top w:val="nil"/>
              <w:left w:val="single" w:sz="8" w:space="0" w:color="auto"/>
              <w:bottom w:val="single" w:sz="8" w:space="0" w:color="auto"/>
              <w:right w:val="single" w:sz="8" w:space="0" w:color="auto"/>
            </w:tcBorders>
            <w:shd w:val="clear" w:color="auto" w:fill="auto"/>
            <w:noWrap/>
            <w:vAlign w:val="center"/>
            <w:hideMark/>
          </w:tcPr>
          <w:p w14:paraId="446AC172" w14:textId="77777777" w:rsidR="007926B3" w:rsidRPr="003B72DD" w:rsidRDefault="007926B3" w:rsidP="007114B5">
            <w:pPr>
              <w:jc w:val="left"/>
              <w:rPr>
                <w:rFonts w:cs="Arial"/>
                <w:color w:val="000000"/>
                <w:spacing w:val="0"/>
                <w:lang w:eastAsia="es-CO"/>
              </w:rPr>
            </w:pPr>
            <w:r w:rsidRPr="003B72DD">
              <w:rPr>
                <w:rFonts w:cs="Arial"/>
                <w:color w:val="000000"/>
                <w:spacing w:val="0"/>
                <w:lang w:eastAsia="es-CO"/>
              </w:rPr>
              <w:t xml:space="preserve">+ regulados sin reporte SUI en los últimos 5 años </w:t>
            </w:r>
            <w:r w:rsidRPr="003B72DD">
              <w:rPr>
                <w:rFonts w:cs="Arial"/>
                <w:color w:val="000000"/>
                <w:spacing w:val="0"/>
                <w:vertAlign w:val="superscript"/>
                <w:lang w:eastAsia="es-CO"/>
              </w:rPr>
              <w:t>3</w:t>
            </w:r>
          </w:p>
        </w:tc>
        <w:tc>
          <w:tcPr>
            <w:tcW w:w="1276" w:type="dxa"/>
            <w:tcBorders>
              <w:top w:val="nil"/>
              <w:left w:val="nil"/>
              <w:bottom w:val="single" w:sz="8" w:space="0" w:color="auto"/>
              <w:right w:val="single" w:sz="8" w:space="0" w:color="auto"/>
            </w:tcBorders>
            <w:shd w:val="clear" w:color="auto" w:fill="auto"/>
            <w:noWrap/>
            <w:vAlign w:val="center"/>
            <w:hideMark/>
          </w:tcPr>
          <w:p w14:paraId="4E8C0F8D" w14:textId="6FCB4AA9" w:rsidR="007926B3" w:rsidRPr="003B72DD" w:rsidRDefault="007926B3" w:rsidP="007114B5">
            <w:pPr>
              <w:jc w:val="right"/>
              <w:rPr>
                <w:rFonts w:cs="Arial"/>
                <w:color w:val="000000"/>
                <w:spacing w:val="0"/>
                <w:lang w:eastAsia="es-CO"/>
              </w:rPr>
            </w:pPr>
            <w:r w:rsidRPr="003B72DD">
              <w:rPr>
                <w:rFonts w:cs="Arial"/>
                <w:color w:val="000000"/>
                <w:spacing w:val="0"/>
                <w:lang w:eastAsia="es-CO"/>
              </w:rPr>
              <w:t>5</w:t>
            </w:r>
            <w:r w:rsidR="00EF50A4">
              <w:rPr>
                <w:rFonts w:cs="Arial"/>
                <w:color w:val="000000"/>
                <w:spacing w:val="0"/>
                <w:lang w:eastAsia="es-CO"/>
              </w:rPr>
              <w:t>4</w:t>
            </w:r>
          </w:p>
        </w:tc>
      </w:tr>
      <w:tr w:rsidR="007926B3" w:rsidRPr="007F340C" w14:paraId="7DE05ADE" w14:textId="77777777" w:rsidTr="007926B3">
        <w:trPr>
          <w:trHeight w:val="340"/>
          <w:jc w:val="right"/>
        </w:trPr>
        <w:tc>
          <w:tcPr>
            <w:tcW w:w="7372" w:type="dxa"/>
            <w:tcBorders>
              <w:top w:val="nil"/>
              <w:left w:val="single" w:sz="8" w:space="0" w:color="auto"/>
              <w:bottom w:val="single" w:sz="8" w:space="0" w:color="auto"/>
              <w:right w:val="single" w:sz="8" w:space="0" w:color="auto"/>
            </w:tcBorders>
            <w:shd w:val="clear" w:color="auto" w:fill="auto"/>
            <w:noWrap/>
            <w:vAlign w:val="center"/>
            <w:hideMark/>
          </w:tcPr>
          <w:p w14:paraId="446F5C19" w14:textId="77777777" w:rsidR="007926B3" w:rsidRPr="003B72DD" w:rsidRDefault="007926B3" w:rsidP="007114B5">
            <w:pPr>
              <w:jc w:val="left"/>
              <w:rPr>
                <w:rFonts w:cs="Arial"/>
                <w:color w:val="000000"/>
                <w:spacing w:val="0"/>
                <w:lang w:eastAsia="es-CO"/>
              </w:rPr>
            </w:pPr>
            <w:r w:rsidRPr="003B72DD">
              <w:rPr>
                <w:rFonts w:cs="Arial"/>
                <w:color w:val="000000"/>
                <w:spacing w:val="0"/>
                <w:lang w:eastAsia="es-CO"/>
              </w:rPr>
              <w:t xml:space="preserve">+ empresas en liquidación e inactivas </w:t>
            </w:r>
            <w:r w:rsidRPr="003B72DD">
              <w:rPr>
                <w:rFonts w:cs="Arial"/>
                <w:color w:val="000000"/>
                <w:spacing w:val="0"/>
                <w:vertAlign w:val="superscript"/>
                <w:lang w:eastAsia="es-CO"/>
              </w:rPr>
              <w:t>3</w:t>
            </w:r>
          </w:p>
        </w:tc>
        <w:tc>
          <w:tcPr>
            <w:tcW w:w="1276" w:type="dxa"/>
            <w:tcBorders>
              <w:top w:val="nil"/>
              <w:left w:val="nil"/>
              <w:bottom w:val="single" w:sz="8" w:space="0" w:color="auto"/>
              <w:right w:val="single" w:sz="8" w:space="0" w:color="auto"/>
            </w:tcBorders>
            <w:shd w:val="clear" w:color="auto" w:fill="auto"/>
            <w:noWrap/>
            <w:vAlign w:val="center"/>
            <w:hideMark/>
          </w:tcPr>
          <w:p w14:paraId="7F2D09DD" w14:textId="77777777" w:rsidR="007926B3" w:rsidRPr="003B72DD" w:rsidRDefault="007926B3" w:rsidP="007114B5">
            <w:pPr>
              <w:jc w:val="right"/>
              <w:rPr>
                <w:rFonts w:cs="Arial"/>
                <w:color w:val="000000"/>
                <w:spacing w:val="0"/>
                <w:lang w:eastAsia="es-CO"/>
              </w:rPr>
            </w:pPr>
            <w:r w:rsidRPr="003B72DD">
              <w:rPr>
                <w:rFonts w:cs="Arial"/>
                <w:color w:val="000000"/>
                <w:spacing w:val="0"/>
                <w:lang w:eastAsia="es-CO"/>
              </w:rPr>
              <w:t>6</w:t>
            </w:r>
          </w:p>
        </w:tc>
      </w:tr>
      <w:tr w:rsidR="007926B3" w:rsidRPr="00EF50A4" w14:paraId="7A0AAD97" w14:textId="77777777" w:rsidTr="007926B3">
        <w:trPr>
          <w:trHeight w:val="340"/>
          <w:jc w:val="right"/>
        </w:trPr>
        <w:tc>
          <w:tcPr>
            <w:tcW w:w="7372" w:type="dxa"/>
            <w:tcBorders>
              <w:top w:val="nil"/>
              <w:left w:val="single" w:sz="8" w:space="0" w:color="auto"/>
              <w:bottom w:val="single" w:sz="8" w:space="0" w:color="auto"/>
              <w:right w:val="single" w:sz="8" w:space="0" w:color="auto"/>
            </w:tcBorders>
            <w:shd w:val="clear" w:color="000000" w:fill="E7E6E6"/>
            <w:noWrap/>
            <w:vAlign w:val="center"/>
            <w:hideMark/>
          </w:tcPr>
          <w:p w14:paraId="230AF2F5" w14:textId="77777777" w:rsidR="007926B3" w:rsidRPr="00EF50A4" w:rsidRDefault="007926B3" w:rsidP="007114B5">
            <w:pPr>
              <w:jc w:val="left"/>
              <w:rPr>
                <w:rFonts w:cs="Arial"/>
                <w:b/>
                <w:bCs/>
                <w:color w:val="000000"/>
                <w:spacing w:val="0"/>
                <w:lang w:eastAsia="es-CO"/>
              </w:rPr>
            </w:pPr>
            <w:r w:rsidRPr="00EF50A4">
              <w:rPr>
                <w:rFonts w:cs="Arial"/>
                <w:b/>
                <w:bCs/>
                <w:color w:val="000000"/>
                <w:spacing w:val="0"/>
                <w:lang w:eastAsia="es-CO"/>
              </w:rPr>
              <w:t xml:space="preserve">= total censo SSPD de regulados de la CREG </w:t>
            </w:r>
            <w:r w:rsidRPr="00EF50A4">
              <w:rPr>
                <w:rFonts w:cs="Arial"/>
                <w:b/>
                <w:bCs/>
                <w:color w:val="000000"/>
                <w:spacing w:val="0"/>
                <w:vertAlign w:val="superscript"/>
                <w:lang w:eastAsia="es-CO"/>
              </w:rPr>
              <w:t>2</w:t>
            </w:r>
          </w:p>
        </w:tc>
        <w:tc>
          <w:tcPr>
            <w:tcW w:w="1276" w:type="dxa"/>
            <w:tcBorders>
              <w:top w:val="nil"/>
              <w:left w:val="nil"/>
              <w:bottom w:val="single" w:sz="8" w:space="0" w:color="auto"/>
              <w:right w:val="single" w:sz="8" w:space="0" w:color="auto"/>
            </w:tcBorders>
            <w:shd w:val="clear" w:color="000000" w:fill="E7E6E6"/>
            <w:noWrap/>
            <w:vAlign w:val="center"/>
            <w:hideMark/>
          </w:tcPr>
          <w:p w14:paraId="761761AA" w14:textId="77777777" w:rsidR="007926B3" w:rsidRPr="00EF50A4" w:rsidRDefault="007926B3" w:rsidP="007114B5">
            <w:pPr>
              <w:jc w:val="right"/>
              <w:rPr>
                <w:rFonts w:cs="Arial"/>
                <w:b/>
                <w:bCs/>
                <w:color w:val="000000"/>
                <w:spacing w:val="0"/>
                <w:lang w:eastAsia="es-CO"/>
              </w:rPr>
            </w:pPr>
            <w:r w:rsidRPr="00EF50A4">
              <w:rPr>
                <w:rFonts w:cs="Arial"/>
                <w:b/>
                <w:bCs/>
                <w:color w:val="000000"/>
                <w:spacing w:val="0"/>
                <w:lang w:eastAsia="es-CO"/>
              </w:rPr>
              <w:t>439</w:t>
            </w:r>
          </w:p>
        </w:tc>
      </w:tr>
      <w:tr w:rsidR="007926B3" w:rsidRPr="007F340C" w14:paraId="087FDD82" w14:textId="77777777" w:rsidTr="007926B3">
        <w:trPr>
          <w:trHeight w:val="270"/>
          <w:jc w:val="right"/>
        </w:trPr>
        <w:tc>
          <w:tcPr>
            <w:tcW w:w="8648" w:type="dxa"/>
            <w:gridSpan w:val="2"/>
            <w:tcBorders>
              <w:top w:val="single" w:sz="8" w:space="0" w:color="auto"/>
              <w:left w:val="single" w:sz="8" w:space="0" w:color="auto"/>
              <w:bottom w:val="nil"/>
              <w:right w:val="single" w:sz="8" w:space="0" w:color="000000"/>
            </w:tcBorders>
            <w:shd w:val="clear" w:color="auto" w:fill="auto"/>
            <w:noWrap/>
            <w:vAlign w:val="center"/>
            <w:hideMark/>
          </w:tcPr>
          <w:p w14:paraId="06B27D5C" w14:textId="77777777" w:rsidR="007926B3" w:rsidRPr="007F340C" w:rsidRDefault="007926B3" w:rsidP="007114B5">
            <w:pPr>
              <w:rPr>
                <w:rFonts w:cs="Arial"/>
                <w:spacing w:val="0"/>
                <w:sz w:val="18"/>
                <w:szCs w:val="18"/>
                <w:lang w:eastAsia="es-CO"/>
              </w:rPr>
            </w:pPr>
            <w:r w:rsidRPr="007F340C">
              <w:rPr>
                <w:rFonts w:cs="Arial"/>
                <w:spacing w:val="0"/>
                <w:sz w:val="18"/>
                <w:szCs w:val="18"/>
                <w:vertAlign w:val="superscript"/>
                <w:lang w:eastAsia="es-CO"/>
              </w:rPr>
              <w:t xml:space="preserve">1 </w:t>
            </w:r>
            <w:r w:rsidRPr="007F340C">
              <w:rPr>
                <w:rFonts w:cs="Arial"/>
                <w:spacing w:val="0"/>
                <w:sz w:val="16"/>
                <w:szCs w:val="16"/>
                <w:lang w:eastAsia="es-CO"/>
              </w:rPr>
              <w:t>Para el cálculo de la contribución especial de la vigencia actual, se toma como fuente de información los estados financieros (EEFF) del año anterior reportados al SUI de las empresas reguladas.</w:t>
            </w:r>
          </w:p>
        </w:tc>
      </w:tr>
      <w:tr w:rsidR="007926B3" w:rsidRPr="007F340C" w14:paraId="34C688B5" w14:textId="77777777" w:rsidTr="007926B3">
        <w:trPr>
          <w:trHeight w:val="520"/>
          <w:jc w:val="right"/>
        </w:trPr>
        <w:tc>
          <w:tcPr>
            <w:tcW w:w="8648" w:type="dxa"/>
            <w:gridSpan w:val="2"/>
            <w:tcBorders>
              <w:top w:val="nil"/>
              <w:left w:val="single" w:sz="8" w:space="0" w:color="auto"/>
              <w:bottom w:val="nil"/>
              <w:right w:val="single" w:sz="8" w:space="0" w:color="000000"/>
            </w:tcBorders>
            <w:shd w:val="clear" w:color="auto" w:fill="auto"/>
            <w:noWrap/>
            <w:vAlign w:val="center"/>
            <w:hideMark/>
          </w:tcPr>
          <w:p w14:paraId="2C6188B6" w14:textId="77777777" w:rsidR="007926B3" w:rsidRPr="007F340C" w:rsidRDefault="007926B3" w:rsidP="007114B5">
            <w:pPr>
              <w:rPr>
                <w:rFonts w:cs="Arial"/>
                <w:spacing w:val="0"/>
                <w:sz w:val="16"/>
                <w:szCs w:val="16"/>
                <w:lang w:eastAsia="es-CO"/>
              </w:rPr>
            </w:pPr>
            <w:r w:rsidRPr="007F340C">
              <w:rPr>
                <w:rFonts w:cs="Arial"/>
                <w:spacing w:val="0"/>
                <w:sz w:val="16"/>
                <w:szCs w:val="16"/>
                <w:vertAlign w:val="superscript"/>
                <w:lang w:eastAsia="es-CO"/>
              </w:rPr>
              <w:t>2</w:t>
            </w:r>
            <w:r w:rsidRPr="007F340C">
              <w:rPr>
                <w:rFonts w:cs="Arial"/>
                <w:spacing w:val="0"/>
                <w:sz w:val="16"/>
                <w:szCs w:val="16"/>
                <w:lang w:eastAsia="es-CO"/>
              </w:rPr>
              <w:t xml:space="preserve"> censo determinado según Resolución N° SSPD - 20211000206585 DEL 03-06-2021 </w:t>
            </w:r>
            <w:r w:rsidRPr="007F340C">
              <w:rPr>
                <w:rFonts w:cs="Arial"/>
                <w:i/>
                <w:iCs/>
                <w:spacing w:val="0"/>
                <w:sz w:val="16"/>
                <w:szCs w:val="16"/>
                <w:lang w:eastAsia="es-CO"/>
              </w:rPr>
              <w:t>“Por la cual se establece el número de prestadores que servirá como base para liquidar la contribución especial para el año 2021 y la contribución adicional para el fortalecimiento del Fondo Empresarial”.</w:t>
            </w:r>
          </w:p>
        </w:tc>
      </w:tr>
      <w:tr w:rsidR="007926B3" w:rsidRPr="007F340C" w14:paraId="5FA05024" w14:textId="77777777" w:rsidTr="007926B3">
        <w:trPr>
          <w:trHeight w:val="260"/>
          <w:jc w:val="right"/>
        </w:trPr>
        <w:tc>
          <w:tcPr>
            <w:tcW w:w="8648" w:type="dxa"/>
            <w:gridSpan w:val="2"/>
            <w:tcBorders>
              <w:top w:val="nil"/>
              <w:left w:val="single" w:sz="8" w:space="0" w:color="auto"/>
              <w:bottom w:val="single" w:sz="8" w:space="0" w:color="auto"/>
              <w:right w:val="single" w:sz="8" w:space="0" w:color="000000"/>
            </w:tcBorders>
            <w:shd w:val="clear" w:color="auto" w:fill="auto"/>
            <w:noWrap/>
            <w:vAlign w:val="center"/>
            <w:hideMark/>
          </w:tcPr>
          <w:p w14:paraId="3F775262" w14:textId="382F1735" w:rsidR="007926B3" w:rsidRPr="007F340C" w:rsidRDefault="007926B3" w:rsidP="007114B5">
            <w:pPr>
              <w:rPr>
                <w:rFonts w:cs="Arial"/>
                <w:spacing w:val="0"/>
                <w:sz w:val="16"/>
                <w:szCs w:val="16"/>
                <w:lang w:eastAsia="es-CO"/>
              </w:rPr>
            </w:pPr>
            <w:r w:rsidRPr="007F340C">
              <w:rPr>
                <w:rFonts w:cs="Arial"/>
                <w:spacing w:val="0"/>
                <w:sz w:val="16"/>
                <w:szCs w:val="16"/>
                <w:vertAlign w:val="superscript"/>
                <w:lang w:eastAsia="es-CO"/>
              </w:rPr>
              <w:t>3</w:t>
            </w:r>
            <w:r w:rsidRPr="007F340C">
              <w:rPr>
                <w:rFonts w:cs="Arial"/>
                <w:spacing w:val="0"/>
                <w:sz w:val="16"/>
                <w:szCs w:val="16"/>
                <w:lang w:eastAsia="es-CO"/>
              </w:rPr>
              <w:t xml:space="preserve"> el total de los omisos (no reportantes EEFF2020 al SUI</w:t>
            </w:r>
            <w:r w:rsidR="00EF50A4">
              <w:rPr>
                <w:rFonts w:cs="Arial"/>
                <w:spacing w:val="0"/>
                <w:sz w:val="16"/>
                <w:szCs w:val="16"/>
                <w:lang w:eastAsia="es-CO"/>
              </w:rPr>
              <w:t>)</w:t>
            </w:r>
            <w:r w:rsidRPr="007F340C">
              <w:rPr>
                <w:rFonts w:cs="Arial"/>
                <w:spacing w:val="0"/>
                <w:sz w:val="16"/>
                <w:szCs w:val="16"/>
                <w:lang w:eastAsia="es-CO"/>
              </w:rPr>
              <w:t xml:space="preserve"> ascienden a 1</w:t>
            </w:r>
            <w:r>
              <w:rPr>
                <w:rFonts w:cs="Arial"/>
                <w:spacing w:val="0"/>
                <w:sz w:val="16"/>
                <w:szCs w:val="16"/>
                <w:lang w:eastAsia="es-CO"/>
              </w:rPr>
              <w:t>11</w:t>
            </w:r>
            <w:r w:rsidRPr="007F340C">
              <w:rPr>
                <w:rFonts w:cs="Arial"/>
                <w:spacing w:val="0"/>
                <w:sz w:val="16"/>
                <w:szCs w:val="16"/>
                <w:lang w:eastAsia="es-CO"/>
              </w:rPr>
              <w:t xml:space="preserve"> (</w:t>
            </w:r>
            <w:r>
              <w:rPr>
                <w:rFonts w:cs="Arial"/>
                <w:spacing w:val="0"/>
                <w:sz w:val="16"/>
                <w:szCs w:val="16"/>
                <w:lang w:eastAsia="es-CO"/>
              </w:rPr>
              <w:t>=42</w:t>
            </w:r>
            <w:r w:rsidRPr="007F340C">
              <w:rPr>
                <w:rFonts w:cs="Arial"/>
                <w:spacing w:val="0"/>
                <w:sz w:val="16"/>
                <w:szCs w:val="16"/>
                <w:lang w:eastAsia="es-CO"/>
              </w:rPr>
              <w:t>+</w:t>
            </w:r>
            <w:r w:rsidR="00EF50A4">
              <w:rPr>
                <w:rFonts w:cs="Arial"/>
                <w:spacing w:val="0"/>
                <w:sz w:val="16"/>
                <w:szCs w:val="16"/>
                <w:lang w:eastAsia="es-CO"/>
              </w:rPr>
              <w:t>9</w:t>
            </w:r>
            <w:r w:rsidRPr="007F340C">
              <w:rPr>
                <w:rFonts w:cs="Arial"/>
                <w:spacing w:val="0"/>
                <w:sz w:val="16"/>
                <w:szCs w:val="16"/>
                <w:lang w:eastAsia="es-CO"/>
              </w:rPr>
              <w:t>+5</w:t>
            </w:r>
            <w:r w:rsidR="00EF50A4">
              <w:rPr>
                <w:rFonts w:cs="Arial"/>
                <w:spacing w:val="0"/>
                <w:sz w:val="16"/>
                <w:szCs w:val="16"/>
                <w:lang w:eastAsia="es-CO"/>
              </w:rPr>
              <w:t>4</w:t>
            </w:r>
            <w:r w:rsidRPr="007F340C">
              <w:rPr>
                <w:rFonts w:cs="Arial"/>
                <w:spacing w:val="0"/>
                <w:sz w:val="16"/>
                <w:szCs w:val="16"/>
                <w:lang w:eastAsia="es-CO"/>
              </w:rPr>
              <w:t>+6).</w:t>
            </w:r>
          </w:p>
        </w:tc>
      </w:tr>
    </w:tbl>
    <w:p w14:paraId="0C787FAB" w14:textId="686CC67A" w:rsidR="007926B3" w:rsidRDefault="007926B3" w:rsidP="00211CBF">
      <w:pPr>
        <w:rPr>
          <w:sz w:val="22"/>
          <w:szCs w:val="22"/>
        </w:rPr>
      </w:pPr>
    </w:p>
    <w:p w14:paraId="300737CC" w14:textId="1FF46228" w:rsidR="007D414A" w:rsidRDefault="007D414A" w:rsidP="00211CBF">
      <w:pPr>
        <w:rPr>
          <w:sz w:val="22"/>
          <w:szCs w:val="22"/>
        </w:rPr>
      </w:pPr>
    </w:p>
    <w:p w14:paraId="79447201" w14:textId="77777777" w:rsidR="0085721C" w:rsidRPr="0085721C" w:rsidRDefault="0085721C" w:rsidP="00CF18E2">
      <w:pPr>
        <w:pStyle w:val="Subttulo"/>
        <w:numPr>
          <w:ilvl w:val="1"/>
          <w:numId w:val="37"/>
        </w:numPr>
        <w:spacing w:after="0"/>
        <w:ind w:left="357" w:hanging="357"/>
        <w:jc w:val="left"/>
        <w:rPr>
          <w:b/>
          <w:bCs/>
          <w:sz w:val="22"/>
          <w:szCs w:val="22"/>
        </w:rPr>
      </w:pPr>
      <w:bookmarkStart w:id="36" w:name="_Toc88126844"/>
      <w:r w:rsidRPr="0085721C">
        <w:rPr>
          <w:b/>
          <w:bCs/>
          <w:sz w:val="22"/>
          <w:szCs w:val="22"/>
        </w:rPr>
        <w:lastRenderedPageBreak/>
        <w:t>EMPRESAS QUE DESARROLLAN ACTIVIDADES EN MÁS DE UN SECTOR:</w:t>
      </w:r>
      <w:bookmarkEnd w:id="36"/>
    </w:p>
    <w:p w14:paraId="51D68C85" w14:textId="77777777" w:rsidR="0085721C" w:rsidRPr="004875FC" w:rsidRDefault="0085721C" w:rsidP="0085721C">
      <w:pPr>
        <w:pStyle w:val="Textoindependiente"/>
        <w:spacing w:after="0" w:line="240" w:lineRule="auto"/>
        <w:rPr>
          <w:rFonts w:cs="Arial"/>
          <w:color w:val="FF0000"/>
          <w:sz w:val="22"/>
          <w:szCs w:val="22"/>
        </w:rPr>
      </w:pPr>
    </w:p>
    <w:p w14:paraId="2ED9A368" w14:textId="5178A773" w:rsidR="0085721C" w:rsidRPr="00BE7DAF" w:rsidRDefault="0085721C" w:rsidP="0085721C">
      <w:pPr>
        <w:pStyle w:val="Textoindependiente"/>
        <w:spacing w:after="0" w:line="240" w:lineRule="auto"/>
        <w:ind w:right="142"/>
        <w:rPr>
          <w:rFonts w:cs="Arial"/>
          <w:sz w:val="22"/>
          <w:szCs w:val="22"/>
        </w:rPr>
      </w:pPr>
      <w:r w:rsidRPr="00BE7DAF">
        <w:rPr>
          <w:rFonts w:cs="Arial"/>
          <w:sz w:val="22"/>
          <w:szCs w:val="22"/>
        </w:rPr>
        <w:t>De la base para el cálculo de la contribución de la vigencia 20</w:t>
      </w:r>
      <w:r>
        <w:rPr>
          <w:rFonts w:cs="Arial"/>
          <w:sz w:val="22"/>
          <w:szCs w:val="22"/>
        </w:rPr>
        <w:t>21</w:t>
      </w:r>
      <w:r w:rsidR="00D24DA3">
        <w:rPr>
          <w:rFonts w:cs="Arial"/>
          <w:sz w:val="22"/>
          <w:szCs w:val="22"/>
        </w:rPr>
        <w:t>,</w:t>
      </w:r>
      <w:r w:rsidR="007576B1">
        <w:rPr>
          <w:rFonts w:cs="Arial"/>
          <w:sz w:val="22"/>
          <w:szCs w:val="22"/>
        </w:rPr>
        <w:t xml:space="preserve"> diecinueve (19) </w:t>
      </w:r>
      <w:r w:rsidRPr="00BE7DAF">
        <w:rPr>
          <w:rFonts w:cs="Arial"/>
          <w:sz w:val="22"/>
          <w:szCs w:val="22"/>
        </w:rPr>
        <w:t xml:space="preserve">empresas prestan dos </w:t>
      </w:r>
      <w:r>
        <w:rPr>
          <w:rFonts w:cs="Arial"/>
          <w:sz w:val="22"/>
          <w:szCs w:val="22"/>
        </w:rPr>
        <w:t xml:space="preserve">o más </w:t>
      </w:r>
      <w:r w:rsidRPr="00BE7DAF">
        <w:rPr>
          <w:rFonts w:cs="Arial"/>
          <w:sz w:val="22"/>
          <w:szCs w:val="22"/>
        </w:rPr>
        <w:t xml:space="preserve">servicios públicos domiciliarios de sectores </w:t>
      </w:r>
      <w:r>
        <w:rPr>
          <w:rFonts w:cs="Arial"/>
          <w:sz w:val="22"/>
          <w:szCs w:val="22"/>
        </w:rPr>
        <w:t>del ámbito de regulación de la CREG</w:t>
      </w:r>
      <w:r w:rsidRPr="00BE7DAF">
        <w:rPr>
          <w:rFonts w:cs="Arial"/>
          <w:sz w:val="22"/>
          <w:szCs w:val="22"/>
        </w:rPr>
        <w:t xml:space="preserve">, </w:t>
      </w:r>
      <w:r>
        <w:rPr>
          <w:rFonts w:cs="Arial"/>
          <w:sz w:val="22"/>
          <w:szCs w:val="22"/>
        </w:rPr>
        <w:t>relacionadas a continuación:</w:t>
      </w:r>
    </w:p>
    <w:p w14:paraId="6E5EA57E" w14:textId="77777777" w:rsidR="0085721C" w:rsidRPr="0085721C" w:rsidRDefault="0085721C" w:rsidP="0085721C">
      <w:pPr>
        <w:pStyle w:val="Textoindependiente"/>
        <w:spacing w:after="0" w:line="240" w:lineRule="auto"/>
        <w:rPr>
          <w:rFonts w:cs="Arial"/>
          <w:color w:val="FF0000"/>
          <w:sz w:val="22"/>
          <w:szCs w:val="22"/>
        </w:rPr>
      </w:pPr>
    </w:p>
    <w:tbl>
      <w:tblPr>
        <w:tblW w:w="8339" w:type="dxa"/>
        <w:tblCellMar>
          <w:left w:w="70" w:type="dxa"/>
          <w:right w:w="70" w:type="dxa"/>
        </w:tblCellMar>
        <w:tblLook w:val="04A0" w:firstRow="1" w:lastRow="0" w:firstColumn="1" w:lastColumn="0" w:noHBand="0" w:noVBand="1"/>
      </w:tblPr>
      <w:tblGrid>
        <w:gridCol w:w="560"/>
        <w:gridCol w:w="1092"/>
        <w:gridCol w:w="879"/>
        <w:gridCol w:w="3977"/>
        <w:gridCol w:w="1831"/>
      </w:tblGrid>
      <w:tr w:rsidR="00506F39" w:rsidRPr="00957922" w14:paraId="0F22CAB6" w14:textId="77777777" w:rsidTr="003B72DD">
        <w:trPr>
          <w:trHeight w:val="362"/>
          <w:tblHeader/>
        </w:trPr>
        <w:tc>
          <w:tcPr>
            <w:tcW w:w="56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199C431" w14:textId="77777777" w:rsidR="00957922" w:rsidRPr="00957922" w:rsidRDefault="00957922" w:rsidP="00957922">
            <w:pPr>
              <w:jc w:val="center"/>
              <w:rPr>
                <w:rFonts w:ascii="Arial Narrow" w:hAnsi="Arial Narrow" w:cs="Calibri"/>
                <w:b/>
                <w:bCs/>
                <w:color w:val="000000"/>
                <w:spacing w:val="0"/>
                <w:sz w:val="18"/>
                <w:szCs w:val="18"/>
                <w:lang w:eastAsia="es-CO"/>
              </w:rPr>
            </w:pPr>
            <w:r w:rsidRPr="00957922">
              <w:rPr>
                <w:rFonts w:ascii="Arial Narrow" w:hAnsi="Arial Narrow" w:cs="Calibri"/>
                <w:b/>
                <w:bCs/>
                <w:color w:val="000000"/>
                <w:spacing w:val="0"/>
                <w:sz w:val="18"/>
                <w:szCs w:val="18"/>
                <w:lang w:eastAsia="es-CO"/>
              </w:rPr>
              <w:t>N°</w:t>
            </w:r>
          </w:p>
        </w:tc>
        <w:tc>
          <w:tcPr>
            <w:tcW w:w="1092" w:type="dxa"/>
            <w:tcBorders>
              <w:top w:val="single" w:sz="4" w:space="0" w:color="auto"/>
              <w:left w:val="nil"/>
              <w:bottom w:val="single" w:sz="4" w:space="0" w:color="auto"/>
              <w:right w:val="single" w:sz="4" w:space="0" w:color="auto"/>
            </w:tcBorders>
            <w:shd w:val="clear" w:color="000000" w:fill="D9D9D9"/>
            <w:vAlign w:val="center"/>
            <w:hideMark/>
          </w:tcPr>
          <w:p w14:paraId="230852FC" w14:textId="77777777" w:rsidR="00957922" w:rsidRPr="00957922" w:rsidRDefault="00957922" w:rsidP="00957922">
            <w:pPr>
              <w:jc w:val="center"/>
              <w:rPr>
                <w:rFonts w:ascii="Arial Narrow" w:hAnsi="Arial Narrow" w:cs="Calibri"/>
                <w:b/>
                <w:bCs/>
                <w:color w:val="000000"/>
                <w:spacing w:val="0"/>
                <w:sz w:val="18"/>
                <w:szCs w:val="18"/>
                <w:lang w:eastAsia="es-CO"/>
              </w:rPr>
            </w:pPr>
            <w:r w:rsidRPr="00957922">
              <w:rPr>
                <w:rFonts w:ascii="Arial Narrow" w:hAnsi="Arial Narrow" w:cs="Calibri"/>
                <w:b/>
                <w:bCs/>
                <w:color w:val="000000"/>
                <w:spacing w:val="0"/>
                <w:sz w:val="18"/>
                <w:szCs w:val="18"/>
                <w:lang w:eastAsia="es-CO"/>
              </w:rPr>
              <w:t>ID RUPs SUI</w:t>
            </w:r>
          </w:p>
        </w:tc>
        <w:tc>
          <w:tcPr>
            <w:tcW w:w="879" w:type="dxa"/>
            <w:tcBorders>
              <w:top w:val="single" w:sz="4" w:space="0" w:color="auto"/>
              <w:left w:val="nil"/>
              <w:bottom w:val="single" w:sz="4" w:space="0" w:color="auto"/>
              <w:right w:val="single" w:sz="4" w:space="0" w:color="auto"/>
            </w:tcBorders>
            <w:shd w:val="clear" w:color="000000" w:fill="D9D9D9"/>
            <w:noWrap/>
            <w:vAlign w:val="center"/>
            <w:hideMark/>
          </w:tcPr>
          <w:p w14:paraId="11645675" w14:textId="77777777" w:rsidR="00957922" w:rsidRPr="00957922" w:rsidRDefault="00957922" w:rsidP="00957922">
            <w:pPr>
              <w:jc w:val="center"/>
              <w:rPr>
                <w:rFonts w:ascii="Arial Narrow" w:hAnsi="Arial Narrow" w:cs="Calibri"/>
                <w:b/>
                <w:bCs/>
                <w:color w:val="000000"/>
                <w:spacing w:val="0"/>
                <w:sz w:val="18"/>
                <w:szCs w:val="18"/>
                <w:lang w:eastAsia="es-CO"/>
              </w:rPr>
            </w:pPr>
            <w:r w:rsidRPr="00957922">
              <w:rPr>
                <w:rFonts w:ascii="Arial Narrow" w:hAnsi="Arial Narrow" w:cs="Calibri"/>
                <w:b/>
                <w:bCs/>
                <w:color w:val="000000"/>
                <w:spacing w:val="0"/>
                <w:sz w:val="18"/>
                <w:szCs w:val="18"/>
                <w:lang w:eastAsia="es-CO"/>
              </w:rPr>
              <w:t>NIT</w:t>
            </w:r>
          </w:p>
        </w:tc>
        <w:tc>
          <w:tcPr>
            <w:tcW w:w="3977" w:type="dxa"/>
            <w:tcBorders>
              <w:top w:val="single" w:sz="4" w:space="0" w:color="auto"/>
              <w:left w:val="nil"/>
              <w:bottom w:val="single" w:sz="4" w:space="0" w:color="auto"/>
              <w:right w:val="single" w:sz="4" w:space="0" w:color="auto"/>
            </w:tcBorders>
            <w:shd w:val="clear" w:color="000000" w:fill="D9D9D9"/>
            <w:vAlign w:val="center"/>
            <w:hideMark/>
          </w:tcPr>
          <w:p w14:paraId="51556FDD" w14:textId="77777777" w:rsidR="00957922" w:rsidRPr="00957922" w:rsidRDefault="00957922" w:rsidP="00957922">
            <w:pPr>
              <w:jc w:val="center"/>
              <w:rPr>
                <w:rFonts w:ascii="Arial Narrow" w:hAnsi="Arial Narrow" w:cs="Calibri"/>
                <w:b/>
                <w:bCs/>
                <w:color w:val="000000"/>
                <w:spacing w:val="0"/>
                <w:sz w:val="18"/>
                <w:szCs w:val="18"/>
                <w:lang w:eastAsia="es-CO"/>
              </w:rPr>
            </w:pPr>
            <w:r w:rsidRPr="00957922">
              <w:rPr>
                <w:rFonts w:ascii="Arial Narrow" w:hAnsi="Arial Narrow" w:cs="Calibri"/>
                <w:b/>
                <w:bCs/>
                <w:color w:val="000000"/>
                <w:spacing w:val="0"/>
                <w:sz w:val="18"/>
                <w:szCs w:val="18"/>
                <w:lang w:eastAsia="es-CO"/>
              </w:rPr>
              <w:t>RAZÓN SOCIAL DEL REGULADO</w:t>
            </w:r>
          </w:p>
        </w:tc>
        <w:tc>
          <w:tcPr>
            <w:tcW w:w="1831" w:type="dxa"/>
            <w:tcBorders>
              <w:top w:val="single" w:sz="4" w:space="0" w:color="auto"/>
              <w:left w:val="nil"/>
              <w:bottom w:val="single" w:sz="4" w:space="0" w:color="auto"/>
              <w:right w:val="single" w:sz="4" w:space="0" w:color="auto"/>
            </w:tcBorders>
            <w:shd w:val="clear" w:color="000000" w:fill="D9D9D9"/>
            <w:vAlign w:val="center"/>
            <w:hideMark/>
          </w:tcPr>
          <w:p w14:paraId="55B15550" w14:textId="77777777" w:rsidR="00957922" w:rsidRPr="00957922" w:rsidRDefault="00957922" w:rsidP="00957922">
            <w:pPr>
              <w:jc w:val="center"/>
              <w:rPr>
                <w:rFonts w:ascii="Arial Narrow" w:hAnsi="Arial Narrow" w:cs="Calibri"/>
                <w:b/>
                <w:bCs/>
                <w:color w:val="000000"/>
                <w:spacing w:val="0"/>
                <w:sz w:val="18"/>
                <w:szCs w:val="18"/>
                <w:lang w:eastAsia="es-CO"/>
              </w:rPr>
            </w:pPr>
            <w:r w:rsidRPr="00957922">
              <w:rPr>
                <w:rFonts w:ascii="Arial Narrow" w:hAnsi="Arial Narrow" w:cs="Calibri"/>
                <w:b/>
                <w:bCs/>
                <w:color w:val="000000"/>
                <w:spacing w:val="0"/>
                <w:sz w:val="18"/>
                <w:szCs w:val="18"/>
                <w:lang w:eastAsia="es-CO"/>
              </w:rPr>
              <w:t>SERVICIO</w:t>
            </w:r>
          </w:p>
        </w:tc>
      </w:tr>
      <w:tr w:rsidR="00957922" w:rsidRPr="00957922" w14:paraId="27FE1493" w14:textId="77777777" w:rsidTr="00A561A0">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4C76A21" w14:textId="77777777" w:rsidR="00957922" w:rsidRPr="00957922" w:rsidRDefault="00957922" w:rsidP="00957922">
            <w:pPr>
              <w:jc w:val="center"/>
              <w:rPr>
                <w:rFonts w:ascii="Arial Narrow" w:hAnsi="Arial Narrow" w:cs="Calibri"/>
                <w:color w:val="000000"/>
                <w:spacing w:val="0"/>
                <w:sz w:val="18"/>
                <w:szCs w:val="18"/>
                <w:lang w:eastAsia="es-CO"/>
              </w:rPr>
            </w:pPr>
            <w:r w:rsidRPr="00957922">
              <w:rPr>
                <w:rFonts w:ascii="Arial Narrow" w:hAnsi="Arial Narrow" w:cs="Calibri"/>
                <w:color w:val="000000"/>
                <w:spacing w:val="0"/>
                <w:sz w:val="18"/>
                <w:szCs w:val="18"/>
                <w:lang w:eastAsia="es-CO"/>
              </w:rPr>
              <w:t>1</w:t>
            </w:r>
          </w:p>
        </w:tc>
        <w:tc>
          <w:tcPr>
            <w:tcW w:w="1092" w:type="dxa"/>
            <w:tcBorders>
              <w:top w:val="nil"/>
              <w:left w:val="nil"/>
              <w:bottom w:val="single" w:sz="4" w:space="0" w:color="auto"/>
              <w:right w:val="single" w:sz="4" w:space="0" w:color="auto"/>
            </w:tcBorders>
            <w:shd w:val="clear" w:color="auto" w:fill="auto"/>
            <w:noWrap/>
            <w:vAlign w:val="center"/>
            <w:hideMark/>
          </w:tcPr>
          <w:p w14:paraId="313F4ECD" w14:textId="77777777" w:rsidR="00957922" w:rsidRPr="00957922" w:rsidRDefault="00957922" w:rsidP="00957922">
            <w:pPr>
              <w:jc w:val="right"/>
              <w:rPr>
                <w:rFonts w:ascii="Arial Narrow" w:hAnsi="Arial Narrow" w:cs="Calibri"/>
                <w:color w:val="000000"/>
                <w:spacing w:val="0"/>
                <w:sz w:val="18"/>
                <w:szCs w:val="18"/>
                <w:lang w:eastAsia="es-CO"/>
              </w:rPr>
            </w:pPr>
            <w:r w:rsidRPr="00957922">
              <w:rPr>
                <w:rFonts w:ascii="Arial Narrow" w:hAnsi="Arial Narrow" w:cs="Calibri"/>
                <w:color w:val="000000"/>
                <w:spacing w:val="0"/>
                <w:sz w:val="18"/>
                <w:szCs w:val="18"/>
                <w:lang w:eastAsia="es-CO"/>
              </w:rPr>
              <w:t>24975</w:t>
            </w:r>
          </w:p>
        </w:tc>
        <w:tc>
          <w:tcPr>
            <w:tcW w:w="879" w:type="dxa"/>
            <w:tcBorders>
              <w:top w:val="nil"/>
              <w:left w:val="nil"/>
              <w:bottom w:val="single" w:sz="4" w:space="0" w:color="auto"/>
              <w:right w:val="single" w:sz="4" w:space="0" w:color="auto"/>
            </w:tcBorders>
            <w:shd w:val="clear" w:color="auto" w:fill="auto"/>
            <w:noWrap/>
            <w:vAlign w:val="center"/>
            <w:hideMark/>
          </w:tcPr>
          <w:p w14:paraId="64BEEE01" w14:textId="77777777" w:rsidR="00957922" w:rsidRPr="00957922" w:rsidRDefault="00957922" w:rsidP="00957922">
            <w:pPr>
              <w:jc w:val="right"/>
              <w:rPr>
                <w:rFonts w:ascii="Arial Narrow" w:hAnsi="Arial Narrow" w:cs="Calibri"/>
                <w:color w:val="000000"/>
                <w:spacing w:val="0"/>
                <w:sz w:val="18"/>
                <w:szCs w:val="18"/>
                <w:lang w:eastAsia="es-CO"/>
              </w:rPr>
            </w:pPr>
            <w:r w:rsidRPr="00957922">
              <w:rPr>
                <w:rFonts w:ascii="Arial Narrow" w:hAnsi="Arial Narrow" w:cs="Calibri"/>
                <w:color w:val="000000"/>
                <w:spacing w:val="0"/>
                <w:sz w:val="18"/>
                <w:szCs w:val="18"/>
                <w:lang w:eastAsia="es-CO"/>
              </w:rPr>
              <w:t>900038232</w:t>
            </w:r>
          </w:p>
        </w:tc>
        <w:tc>
          <w:tcPr>
            <w:tcW w:w="3977" w:type="dxa"/>
            <w:tcBorders>
              <w:top w:val="nil"/>
              <w:left w:val="nil"/>
              <w:bottom w:val="single" w:sz="4" w:space="0" w:color="auto"/>
              <w:right w:val="single" w:sz="4" w:space="0" w:color="auto"/>
            </w:tcBorders>
            <w:shd w:val="clear" w:color="auto" w:fill="auto"/>
            <w:vAlign w:val="center"/>
            <w:hideMark/>
          </w:tcPr>
          <w:p w14:paraId="0BBD8CE9" w14:textId="77777777" w:rsidR="00957922" w:rsidRPr="00957922" w:rsidRDefault="00957922" w:rsidP="00957922">
            <w:pPr>
              <w:jc w:val="left"/>
              <w:rPr>
                <w:rFonts w:ascii="Arial Narrow" w:hAnsi="Arial Narrow" w:cs="Calibri"/>
                <w:color w:val="000000"/>
                <w:spacing w:val="0"/>
                <w:sz w:val="18"/>
                <w:szCs w:val="18"/>
                <w:lang w:eastAsia="es-CO"/>
              </w:rPr>
            </w:pPr>
            <w:r w:rsidRPr="00957922">
              <w:rPr>
                <w:rFonts w:ascii="Arial Narrow" w:hAnsi="Arial Narrow" w:cs="Calibri"/>
                <w:color w:val="000000"/>
                <w:spacing w:val="0"/>
                <w:sz w:val="18"/>
                <w:szCs w:val="18"/>
                <w:lang w:eastAsia="es-CO"/>
              </w:rPr>
              <w:t>CENTRAL TERMOELECTRICA EL MORRO 2 SAS ESP</w:t>
            </w:r>
          </w:p>
        </w:tc>
        <w:tc>
          <w:tcPr>
            <w:tcW w:w="1831" w:type="dxa"/>
            <w:tcBorders>
              <w:top w:val="nil"/>
              <w:left w:val="nil"/>
              <w:bottom w:val="single" w:sz="4" w:space="0" w:color="auto"/>
              <w:right w:val="single" w:sz="4" w:space="0" w:color="auto"/>
            </w:tcBorders>
            <w:shd w:val="clear" w:color="auto" w:fill="auto"/>
            <w:vAlign w:val="center"/>
            <w:hideMark/>
          </w:tcPr>
          <w:p w14:paraId="01D37361" w14:textId="77777777" w:rsidR="00957922" w:rsidRPr="00957922" w:rsidRDefault="00957922" w:rsidP="00957922">
            <w:pPr>
              <w:jc w:val="left"/>
              <w:rPr>
                <w:rFonts w:ascii="Arial Narrow" w:hAnsi="Arial Narrow" w:cs="Calibri"/>
                <w:color w:val="000000"/>
                <w:spacing w:val="0"/>
                <w:sz w:val="18"/>
                <w:szCs w:val="18"/>
                <w:lang w:eastAsia="es-CO"/>
              </w:rPr>
            </w:pPr>
            <w:r w:rsidRPr="00957922">
              <w:rPr>
                <w:rFonts w:ascii="Arial Narrow" w:hAnsi="Arial Narrow" w:cs="Calibri"/>
                <w:color w:val="000000"/>
                <w:spacing w:val="0"/>
                <w:sz w:val="18"/>
                <w:szCs w:val="18"/>
                <w:lang w:eastAsia="es-CO"/>
              </w:rPr>
              <w:t>ENERGÍA-GN-GLP</w:t>
            </w:r>
          </w:p>
        </w:tc>
      </w:tr>
      <w:tr w:rsidR="00957922" w:rsidRPr="00957922" w14:paraId="58D83E26" w14:textId="77777777" w:rsidTr="00A561A0">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968180E" w14:textId="77777777" w:rsidR="00957922" w:rsidRPr="00957922" w:rsidRDefault="00957922" w:rsidP="00957922">
            <w:pPr>
              <w:jc w:val="center"/>
              <w:rPr>
                <w:rFonts w:ascii="Arial Narrow" w:hAnsi="Arial Narrow" w:cs="Calibri"/>
                <w:color w:val="000000"/>
                <w:spacing w:val="0"/>
                <w:sz w:val="18"/>
                <w:szCs w:val="18"/>
                <w:lang w:eastAsia="es-CO"/>
              </w:rPr>
            </w:pPr>
            <w:r w:rsidRPr="00957922">
              <w:rPr>
                <w:rFonts w:ascii="Arial Narrow" w:hAnsi="Arial Narrow" w:cs="Calibri"/>
                <w:color w:val="000000"/>
                <w:spacing w:val="0"/>
                <w:sz w:val="18"/>
                <w:szCs w:val="18"/>
                <w:lang w:eastAsia="es-CO"/>
              </w:rPr>
              <w:t>2</w:t>
            </w:r>
          </w:p>
        </w:tc>
        <w:tc>
          <w:tcPr>
            <w:tcW w:w="1092" w:type="dxa"/>
            <w:tcBorders>
              <w:top w:val="nil"/>
              <w:left w:val="nil"/>
              <w:bottom w:val="single" w:sz="4" w:space="0" w:color="auto"/>
              <w:right w:val="single" w:sz="4" w:space="0" w:color="auto"/>
            </w:tcBorders>
            <w:shd w:val="clear" w:color="auto" w:fill="auto"/>
            <w:noWrap/>
            <w:vAlign w:val="center"/>
            <w:hideMark/>
          </w:tcPr>
          <w:p w14:paraId="096FBAF7" w14:textId="77777777" w:rsidR="00957922" w:rsidRPr="00957922" w:rsidRDefault="00957922" w:rsidP="00957922">
            <w:pPr>
              <w:jc w:val="right"/>
              <w:rPr>
                <w:rFonts w:ascii="Arial Narrow" w:hAnsi="Arial Narrow" w:cs="Calibri"/>
                <w:color w:val="000000"/>
                <w:spacing w:val="0"/>
                <w:sz w:val="18"/>
                <w:szCs w:val="18"/>
                <w:lang w:eastAsia="es-CO"/>
              </w:rPr>
            </w:pPr>
            <w:r w:rsidRPr="00957922">
              <w:rPr>
                <w:rFonts w:ascii="Arial Narrow" w:hAnsi="Arial Narrow" w:cs="Calibri"/>
                <w:color w:val="000000"/>
                <w:spacing w:val="0"/>
                <w:sz w:val="18"/>
                <w:szCs w:val="18"/>
                <w:lang w:eastAsia="es-CO"/>
              </w:rPr>
              <w:t>480</w:t>
            </w:r>
          </w:p>
        </w:tc>
        <w:tc>
          <w:tcPr>
            <w:tcW w:w="879" w:type="dxa"/>
            <w:tcBorders>
              <w:top w:val="nil"/>
              <w:left w:val="nil"/>
              <w:bottom w:val="single" w:sz="4" w:space="0" w:color="auto"/>
              <w:right w:val="single" w:sz="4" w:space="0" w:color="auto"/>
            </w:tcBorders>
            <w:shd w:val="clear" w:color="auto" w:fill="auto"/>
            <w:noWrap/>
            <w:vAlign w:val="center"/>
            <w:hideMark/>
          </w:tcPr>
          <w:p w14:paraId="1E643C19" w14:textId="77777777" w:rsidR="00957922" w:rsidRPr="00957922" w:rsidRDefault="00957922" w:rsidP="00957922">
            <w:pPr>
              <w:jc w:val="right"/>
              <w:rPr>
                <w:rFonts w:ascii="Arial Narrow" w:hAnsi="Arial Narrow" w:cs="Calibri"/>
                <w:color w:val="000000"/>
                <w:spacing w:val="0"/>
                <w:sz w:val="18"/>
                <w:szCs w:val="18"/>
                <w:lang w:eastAsia="es-CO"/>
              </w:rPr>
            </w:pPr>
            <w:r w:rsidRPr="00957922">
              <w:rPr>
                <w:rFonts w:ascii="Arial Narrow" w:hAnsi="Arial Narrow" w:cs="Calibri"/>
                <w:color w:val="000000"/>
                <w:spacing w:val="0"/>
                <w:sz w:val="18"/>
                <w:szCs w:val="18"/>
                <w:lang w:eastAsia="es-CO"/>
              </w:rPr>
              <w:t>811000740</w:t>
            </w:r>
          </w:p>
        </w:tc>
        <w:tc>
          <w:tcPr>
            <w:tcW w:w="3977" w:type="dxa"/>
            <w:tcBorders>
              <w:top w:val="nil"/>
              <w:left w:val="nil"/>
              <w:bottom w:val="single" w:sz="4" w:space="0" w:color="auto"/>
              <w:right w:val="single" w:sz="4" w:space="0" w:color="auto"/>
            </w:tcBorders>
            <w:shd w:val="clear" w:color="auto" w:fill="auto"/>
            <w:vAlign w:val="center"/>
            <w:hideMark/>
          </w:tcPr>
          <w:p w14:paraId="06623E90" w14:textId="77777777" w:rsidR="00957922" w:rsidRPr="00411CEC" w:rsidRDefault="00957922" w:rsidP="00957922">
            <w:pPr>
              <w:jc w:val="left"/>
              <w:rPr>
                <w:rFonts w:ascii="Arial Narrow" w:hAnsi="Arial Narrow" w:cs="Calibri"/>
                <w:color w:val="000000"/>
                <w:spacing w:val="0"/>
                <w:sz w:val="18"/>
                <w:szCs w:val="18"/>
                <w:lang w:val="en-US" w:eastAsia="es-CO"/>
              </w:rPr>
            </w:pPr>
            <w:r w:rsidRPr="00411CEC">
              <w:rPr>
                <w:rFonts w:ascii="Arial Narrow" w:hAnsi="Arial Narrow" w:cs="Calibri"/>
                <w:color w:val="000000"/>
                <w:spacing w:val="0"/>
                <w:sz w:val="18"/>
                <w:szCs w:val="18"/>
                <w:lang w:val="en-US" w:eastAsia="es-CO"/>
              </w:rPr>
              <w:t>ISAGEN S.A. E.S.P.</w:t>
            </w:r>
          </w:p>
        </w:tc>
        <w:tc>
          <w:tcPr>
            <w:tcW w:w="1831" w:type="dxa"/>
            <w:tcBorders>
              <w:top w:val="nil"/>
              <w:left w:val="nil"/>
              <w:bottom w:val="single" w:sz="4" w:space="0" w:color="auto"/>
              <w:right w:val="single" w:sz="4" w:space="0" w:color="auto"/>
            </w:tcBorders>
            <w:shd w:val="clear" w:color="auto" w:fill="auto"/>
            <w:vAlign w:val="center"/>
            <w:hideMark/>
          </w:tcPr>
          <w:p w14:paraId="0206C5A0" w14:textId="77777777" w:rsidR="00957922" w:rsidRPr="00957922" w:rsidRDefault="00957922" w:rsidP="00957922">
            <w:pPr>
              <w:jc w:val="left"/>
              <w:rPr>
                <w:rFonts w:ascii="Arial Narrow" w:hAnsi="Arial Narrow" w:cs="Calibri"/>
                <w:color w:val="000000"/>
                <w:spacing w:val="0"/>
                <w:sz w:val="18"/>
                <w:szCs w:val="18"/>
                <w:lang w:eastAsia="es-CO"/>
              </w:rPr>
            </w:pPr>
            <w:r w:rsidRPr="00957922">
              <w:rPr>
                <w:rFonts w:ascii="Arial Narrow" w:hAnsi="Arial Narrow" w:cs="Calibri"/>
                <w:color w:val="000000"/>
                <w:spacing w:val="0"/>
                <w:sz w:val="18"/>
                <w:szCs w:val="18"/>
                <w:lang w:eastAsia="es-CO"/>
              </w:rPr>
              <w:t>ENERGÍA-GN</w:t>
            </w:r>
          </w:p>
        </w:tc>
      </w:tr>
      <w:tr w:rsidR="00957922" w:rsidRPr="00957922" w14:paraId="60CEAB0B" w14:textId="77777777" w:rsidTr="00A561A0">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AD52C64" w14:textId="77777777" w:rsidR="00957922" w:rsidRPr="00957922" w:rsidRDefault="00957922" w:rsidP="00957922">
            <w:pPr>
              <w:jc w:val="center"/>
              <w:rPr>
                <w:rFonts w:ascii="Arial Narrow" w:hAnsi="Arial Narrow" w:cs="Calibri"/>
                <w:color w:val="000000"/>
                <w:spacing w:val="0"/>
                <w:sz w:val="18"/>
                <w:szCs w:val="18"/>
                <w:lang w:eastAsia="es-CO"/>
              </w:rPr>
            </w:pPr>
            <w:r w:rsidRPr="00957922">
              <w:rPr>
                <w:rFonts w:ascii="Arial Narrow" w:hAnsi="Arial Narrow" w:cs="Calibri"/>
                <w:color w:val="000000"/>
                <w:spacing w:val="0"/>
                <w:sz w:val="18"/>
                <w:szCs w:val="18"/>
                <w:lang w:eastAsia="es-CO"/>
              </w:rPr>
              <w:t>3</w:t>
            </w:r>
          </w:p>
        </w:tc>
        <w:tc>
          <w:tcPr>
            <w:tcW w:w="1092" w:type="dxa"/>
            <w:tcBorders>
              <w:top w:val="nil"/>
              <w:left w:val="nil"/>
              <w:bottom w:val="single" w:sz="4" w:space="0" w:color="auto"/>
              <w:right w:val="single" w:sz="4" w:space="0" w:color="auto"/>
            </w:tcBorders>
            <w:shd w:val="clear" w:color="auto" w:fill="auto"/>
            <w:noWrap/>
            <w:vAlign w:val="center"/>
            <w:hideMark/>
          </w:tcPr>
          <w:p w14:paraId="5F150172" w14:textId="77777777" w:rsidR="00957922" w:rsidRPr="00957922" w:rsidRDefault="00957922" w:rsidP="00957922">
            <w:pPr>
              <w:jc w:val="right"/>
              <w:rPr>
                <w:rFonts w:ascii="Arial Narrow" w:hAnsi="Arial Narrow" w:cs="Calibri"/>
                <w:color w:val="000000"/>
                <w:spacing w:val="0"/>
                <w:sz w:val="18"/>
                <w:szCs w:val="18"/>
                <w:lang w:eastAsia="es-CO"/>
              </w:rPr>
            </w:pPr>
            <w:r w:rsidRPr="00957922">
              <w:rPr>
                <w:rFonts w:ascii="Arial Narrow" w:hAnsi="Arial Narrow" w:cs="Calibri"/>
                <w:color w:val="000000"/>
                <w:spacing w:val="0"/>
                <w:sz w:val="18"/>
                <w:szCs w:val="18"/>
                <w:lang w:eastAsia="es-CO"/>
              </w:rPr>
              <w:t>485</w:t>
            </w:r>
          </w:p>
        </w:tc>
        <w:tc>
          <w:tcPr>
            <w:tcW w:w="879" w:type="dxa"/>
            <w:tcBorders>
              <w:top w:val="nil"/>
              <w:left w:val="nil"/>
              <w:bottom w:val="single" w:sz="4" w:space="0" w:color="auto"/>
              <w:right w:val="single" w:sz="4" w:space="0" w:color="auto"/>
            </w:tcBorders>
            <w:shd w:val="clear" w:color="auto" w:fill="auto"/>
            <w:noWrap/>
            <w:vAlign w:val="center"/>
            <w:hideMark/>
          </w:tcPr>
          <w:p w14:paraId="43E55BD7" w14:textId="77777777" w:rsidR="00957922" w:rsidRPr="00957922" w:rsidRDefault="00957922" w:rsidP="00957922">
            <w:pPr>
              <w:jc w:val="right"/>
              <w:rPr>
                <w:rFonts w:ascii="Arial Narrow" w:hAnsi="Arial Narrow" w:cs="Calibri"/>
                <w:color w:val="000000"/>
                <w:spacing w:val="0"/>
                <w:sz w:val="18"/>
                <w:szCs w:val="18"/>
                <w:lang w:eastAsia="es-CO"/>
              </w:rPr>
            </w:pPr>
            <w:r w:rsidRPr="00957922">
              <w:rPr>
                <w:rFonts w:ascii="Arial Narrow" w:hAnsi="Arial Narrow" w:cs="Calibri"/>
                <w:color w:val="000000"/>
                <w:spacing w:val="0"/>
                <w:sz w:val="18"/>
                <w:szCs w:val="18"/>
                <w:lang w:eastAsia="es-CO"/>
              </w:rPr>
              <w:t>800245746</w:t>
            </w:r>
          </w:p>
        </w:tc>
        <w:tc>
          <w:tcPr>
            <w:tcW w:w="3977" w:type="dxa"/>
            <w:tcBorders>
              <w:top w:val="nil"/>
              <w:left w:val="nil"/>
              <w:bottom w:val="single" w:sz="4" w:space="0" w:color="auto"/>
              <w:right w:val="single" w:sz="4" w:space="0" w:color="auto"/>
            </w:tcBorders>
            <w:shd w:val="clear" w:color="auto" w:fill="auto"/>
            <w:vAlign w:val="center"/>
            <w:hideMark/>
          </w:tcPr>
          <w:p w14:paraId="51011062" w14:textId="77777777" w:rsidR="00957922" w:rsidRPr="00957922" w:rsidRDefault="00957922" w:rsidP="00957922">
            <w:pPr>
              <w:jc w:val="left"/>
              <w:rPr>
                <w:rFonts w:ascii="Arial Narrow" w:hAnsi="Arial Narrow" w:cs="Calibri"/>
                <w:color w:val="000000"/>
                <w:spacing w:val="0"/>
                <w:sz w:val="18"/>
                <w:szCs w:val="18"/>
                <w:lang w:eastAsia="es-CO"/>
              </w:rPr>
            </w:pPr>
            <w:r w:rsidRPr="00957922">
              <w:rPr>
                <w:rFonts w:ascii="Arial Narrow" w:hAnsi="Arial Narrow" w:cs="Calibri"/>
                <w:color w:val="000000"/>
                <w:spacing w:val="0"/>
                <w:sz w:val="18"/>
                <w:szCs w:val="18"/>
                <w:lang w:eastAsia="es-CO"/>
              </w:rPr>
              <w:t>TERMOBARRANQUILLA S.A. E.S.P.</w:t>
            </w:r>
          </w:p>
        </w:tc>
        <w:tc>
          <w:tcPr>
            <w:tcW w:w="1831" w:type="dxa"/>
            <w:tcBorders>
              <w:top w:val="nil"/>
              <w:left w:val="nil"/>
              <w:bottom w:val="single" w:sz="4" w:space="0" w:color="auto"/>
              <w:right w:val="single" w:sz="4" w:space="0" w:color="auto"/>
            </w:tcBorders>
            <w:shd w:val="clear" w:color="auto" w:fill="auto"/>
            <w:vAlign w:val="center"/>
            <w:hideMark/>
          </w:tcPr>
          <w:p w14:paraId="30DE722B" w14:textId="77777777" w:rsidR="00957922" w:rsidRPr="00957922" w:rsidRDefault="00957922" w:rsidP="00957922">
            <w:pPr>
              <w:jc w:val="left"/>
              <w:rPr>
                <w:rFonts w:ascii="Arial Narrow" w:hAnsi="Arial Narrow" w:cs="Calibri"/>
                <w:color w:val="000000"/>
                <w:spacing w:val="0"/>
                <w:sz w:val="18"/>
                <w:szCs w:val="18"/>
                <w:lang w:eastAsia="es-CO"/>
              </w:rPr>
            </w:pPr>
            <w:r w:rsidRPr="00957922">
              <w:rPr>
                <w:rFonts w:ascii="Arial Narrow" w:hAnsi="Arial Narrow" w:cs="Calibri"/>
                <w:color w:val="000000"/>
                <w:spacing w:val="0"/>
                <w:sz w:val="18"/>
                <w:szCs w:val="18"/>
                <w:lang w:eastAsia="es-CO"/>
              </w:rPr>
              <w:t>ENERGÍA-GN</w:t>
            </w:r>
          </w:p>
        </w:tc>
      </w:tr>
      <w:tr w:rsidR="00957922" w:rsidRPr="00957922" w14:paraId="1414EBB5" w14:textId="77777777" w:rsidTr="00A561A0">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384B383" w14:textId="77777777" w:rsidR="00957922" w:rsidRPr="00957922" w:rsidRDefault="00957922" w:rsidP="00957922">
            <w:pPr>
              <w:jc w:val="center"/>
              <w:rPr>
                <w:rFonts w:ascii="Arial Narrow" w:hAnsi="Arial Narrow" w:cs="Calibri"/>
                <w:color w:val="000000"/>
                <w:spacing w:val="0"/>
                <w:sz w:val="18"/>
                <w:szCs w:val="18"/>
                <w:lang w:eastAsia="es-CO"/>
              </w:rPr>
            </w:pPr>
            <w:r w:rsidRPr="00957922">
              <w:rPr>
                <w:rFonts w:ascii="Arial Narrow" w:hAnsi="Arial Narrow" w:cs="Calibri"/>
                <w:color w:val="000000"/>
                <w:spacing w:val="0"/>
                <w:sz w:val="18"/>
                <w:szCs w:val="18"/>
                <w:lang w:eastAsia="es-CO"/>
              </w:rPr>
              <w:t>4</w:t>
            </w:r>
          </w:p>
        </w:tc>
        <w:tc>
          <w:tcPr>
            <w:tcW w:w="1092" w:type="dxa"/>
            <w:tcBorders>
              <w:top w:val="nil"/>
              <w:left w:val="nil"/>
              <w:bottom w:val="single" w:sz="4" w:space="0" w:color="auto"/>
              <w:right w:val="single" w:sz="4" w:space="0" w:color="auto"/>
            </w:tcBorders>
            <w:shd w:val="clear" w:color="auto" w:fill="auto"/>
            <w:noWrap/>
            <w:vAlign w:val="center"/>
            <w:hideMark/>
          </w:tcPr>
          <w:p w14:paraId="44E7A5B8" w14:textId="77777777" w:rsidR="00957922" w:rsidRPr="00957922" w:rsidRDefault="00957922" w:rsidP="00957922">
            <w:pPr>
              <w:jc w:val="right"/>
              <w:rPr>
                <w:rFonts w:ascii="Arial Narrow" w:hAnsi="Arial Narrow" w:cs="Calibri"/>
                <w:color w:val="000000"/>
                <w:spacing w:val="0"/>
                <w:sz w:val="18"/>
                <w:szCs w:val="18"/>
                <w:lang w:eastAsia="es-CO"/>
              </w:rPr>
            </w:pPr>
            <w:r w:rsidRPr="00957922">
              <w:rPr>
                <w:rFonts w:ascii="Arial Narrow" w:hAnsi="Arial Narrow" w:cs="Calibri"/>
                <w:color w:val="000000"/>
                <w:spacing w:val="0"/>
                <w:sz w:val="18"/>
                <w:szCs w:val="18"/>
                <w:lang w:eastAsia="es-CO"/>
              </w:rPr>
              <w:t>536</w:t>
            </w:r>
          </w:p>
        </w:tc>
        <w:tc>
          <w:tcPr>
            <w:tcW w:w="879" w:type="dxa"/>
            <w:tcBorders>
              <w:top w:val="nil"/>
              <w:left w:val="nil"/>
              <w:bottom w:val="single" w:sz="4" w:space="0" w:color="auto"/>
              <w:right w:val="single" w:sz="4" w:space="0" w:color="auto"/>
            </w:tcBorders>
            <w:shd w:val="clear" w:color="auto" w:fill="auto"/>
            <w:noWrap/>
            <w:vAlign w:val="center"/>
            <w:hideMark/>
          </w:tcPr>
          <w:p w14:paraId="05CD6AE0" w14:textId="77777777" w:rsidR="00957922" w:rsidRPr="00957922" w:rsidRDefault="00957922" w:rsidP="00957922">
            <w:pPr>
              <w:jc w:val="right"/>
              <w:rPr>
                <w:rFonts w:ascii="Arial Narrow" w:hAnsi="Arial Narrow" w:cs="Calibri"/>
                <w:color w:val="000000"/>
                <w:spacing w:val="0"/>
                <w:sz w:val="18"/>
                <w:szCs w:val="18"/>
                <w:lang w:eastAsia="es-CO"/>
              </w:rPr>
            </w:pPr>
            <w:r w:rsidRPr="00957922">
              <w:rPr>
                <w:rFonts w:ascii="Arial Narrow" w:hAnsi="Arial Narrow" w:cs="Calibri"/>
                <w:color w:val="000000"/>
                <w:spacing w:val="0"/>
                <w:sz w:val="18"/>
                <w:szCs w:val="18"/>
                <w:lang w:eastAsia="es-CO"/>
              </w:rPr>
              <w:t>800249860</w:t>
            </w:r>
          </w:p>
        </w:tc>
        <w:tc>
          <w:tcPr>
            <w:tcW w:w="3977" w:type="dxa"/>
            <w:tcBorders>
              <w:top w:val="nil"/>
              <w:left w:val="nil"/>
              <w:bottom w:val="single" w:sz="4" w:space="0" w:color="auto"/>
              <w:right w:val="single" w:sz="4" w:space="0" w:color="auto"/>
            </w:tcBorders>
            <w:shd w:val="clear" w:color="auto" w:fill="auto"/>
            <w:vAlign w:val="center"/>
            <w:hideMark/>
          </w:tcPr>
          <w:p w14:paraId="3489BD7C" w14:textId="77777777" w:rsidR="00957922" w:rsidRPr="00957922" w:rsidRDefault="00957922" w:rsidP="00957922">
            <w:pPr>
              <w:jc w:val="left"/>
              <w:rPr>
                <w:rFonts w:ascii="Arial Narrow" w:hAnsi="Arial Narrow" w:cs="Calibri"/>
                <w:color w:val="000000"/>
                <w:spacing w:val="0"/>
                <w:sz w:val="18"/>
                <w:szCs w:val="18"/>
                <w:lang w:eastAsia="es-CO"/>
              </w:rPr>
            </w:pPr>
            <w:r w:rsidRPr="00957922">
              <w:rPr>
                <w:rFonts w:ascii="Arial Narrow" w:hAnsi="Arial Narrow" w:cs="Calibri"/>
                <w:color w:val="000000"/>
                <w:spacing w:val="0"/>
                <w:sz w:val="18"/>
                <w:szCs w:val="18"/>
                <w:lang w:eastAsia="es-CO"/>
              </w:rPr>
              <w:t>EMPRESA DE ENERGÍA DEL PACÍFICO S.A. E.S.P.</w:t>
            </w:r>
          </w:p>
        </w:tc>
        <w:tc>
          <w:tcPr>
            <w:tcW w:w="1831" w:type="dxa"/>
            <w:tcBorders>
              <w:top w:val="nil"/>
              <w:left w:val="nil"/>
              <w:bottom w:val="single" w:sz="4" w:space="0" w:color="auto"/>
              <w:right w:val="single" w:sz="4" w:space="0" w:color="auto"/>
            </w:tcBorders>
            <w:shd w:val="clear" w:color="auto" w:fill="auto"/>
            <w:vAlign w:val="center"/>
            <w:hideMark/>
          </w:tcPr>
          <w:p w14:paraId="23371B09" w14:textId="77777777" w:rsidR="00957922" w:rsidRPr="00957922" w:rsidRDefault="00957922" w:rsidP="00957922">
            <w:pPr>
              <w:jc w:val="left"/>
              <w:rPr>
                <w:rFonts w:ascii="Arial Narrow" w:hAnsi="Arial Narrow" w:cs="Calibri"/>
                <w:color w:val="000000"/>
                <w:spacing w:val="0"/>
                <w:sz w:val="18"/>
                <w:szCs w:val="18"/>
                <w:lang w:eastAsia="es-CO"/>
              </w:rPr>
            </w:pPr>
            <w:r w:rsidRPr="00957922">
              <w:rPr>
                <w:rFonts w:ascii="Arial Narrow" w:hAnsi="Arial Narrow" w:cs="Calibri"/>
                <w:color w:val="000000"/>
                <w:spacing w:val="0"/>
                <w:sz w:val="18"/>
                <w:szCs w:val="18"/>
                <w:lang w:eastAsia="es-CO"/>
              </w:rPr>
              <w:t>ENERGÍA-GN</w:t>
            </w:r>
          </w:p>
        </w:tc>
      </w:tr>
      <w:tr w:rsidR="00957922" w:rsidRPr="00957922" w14:paraId="1F88ABDA" w14:textId="77777777" w:rsidTr="00A561A0">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1A34484" w14:textId="77777777" w:rsidR="00957922" w:rsidRPr="00957922" w:rsidRDefault="00957922" w:rsidP="00957922">
            <w:pPr>
              <w:jc w:val="center"/>
              <w:rPr>
                <w:rFonts w:ascii="Arial Narrow" w:hAnsi="Arial Narrow" w:cs="Calibri"/>
                <w:color w:val="000000"/>
                <w:spacing w:val="0"/>
                <w:sz w:val="18"/>
                <w:szCs w:val="18"/>
                <w:lang w:eastAsia="es-CO"/>
              </w:rPr>
            </w:pPr>
            <w:r w:rsidRPr="00957922">
              <w:rPr>
                <w:rFonts w:ascii="Arial Narrow" w:hAnsi="Arial Narrow" w:cs="Calibri"/>
                <w:color w:val="000000"/>
                <w:spacing w:val="0"/>
                <w:sz w:val="18"/>
                <w:szCs w:val="18"/>
                <w:lang w:eastAsia="es-CO"/>
              </w:rPr>
              <w:t>5</w:t>
            </w:r>
          </w:p>
        </w:tc>
        <w:tc>
          <w:tcPr>
            <w:tcW w:w="1092" w:type="dxa"/>
            <w:tcBorders>
              <w:top w:val="nil"/>
              <w:left w:val="nil"/>
              <w:bottom w:val="single" w:sz="4" w:space="0" w:color="auto"/>
              <w:right w:val="single" w:sz="4" w:space="0" w:color="auto"/>
            </w:tcBorders>
            <w:shd w:val="clear" w:color="auto" w:fill="auto"/>
            <w:noWrap/>
            <w:vAlign w:val="center"/>
            <w:hideMark/>
          </w:tcPr>
          <w:p w14:paraId="6F88338C" w14:textId="77777777" w:rsidR="00957922" w:rsidRPr="00957922" w:rsidRDefault="00957922" w:rsidP="00957922">
            <w:pPr>
              <w:jc w:val="right"/>
              <w:rPr>
                <w:rFonts w:ascii="Arial Narrow" w:hAnsi="Arial Narrow" w:cs="Calibri"/>
                <w:color w:val="000000"/>
                <w:spacing w:val="0"/>
                <w:sz w:val="18"/>
                <w:szCs w:val="18"/>
                <w:lang w:eastAsia="es-CO"/>
              </w:rPr>
            </w:pPr>
            <w:r w:rsidRPr="00957922">
              <w:rPr>
                <w:rFonts w:ascii="Arial Narrow" w:hAnsi="Arial Narrow" w:cs="Calibri"/>
                <w:color w:val="000000"/>
                <w:spacing w:val="0"/>
                <w:sz w:val="18"/>
                <w:szCs w:val="18"/>
                <w:lang w:eastAsia="es-CO"/>
              </w:rPr>
              <w:t>564</w:t>
            </w:r>
          </w:p>
        </w:tc>
        <w:tc>
          <w:tcPr>
            <w:tcW w:w="879" w:type="dxa"/>
            <w:tcBorders>
              <w:top w:val="nil"/>
              <w:left w:val="nil"/>
              <w:bottom w:val="single" w:sz="4" w:space="0" w:color="auto"/>
              <w:right w:val="single" w:sz="4" w:space="0" w:color="auto"/>
            </w:tcBorders>
            <w:shd w:val="clear" w:color="auto" w:fill="auto"/>
            <w:noWrap/>
            <w:vAlign w:val="center"/>
            <w:hideMark/>
          </w:tcPr>
          <w:p w14:paraId="572E7985" w14:textId="77777777" w:rsidR="00957922" w:rsidRPr="00957922" w:rsidRDefault="00957922" w:rsidP="00957922">
            <w:pPr>
              <w:jc w:val="right"/>
              <w:rPr>
                <w:rFonts w:ascii="Arial Narrow" w:hAnsi="Arial Narrow" w:cs="Calibri"/>
                <w:color w:val="000000"/>
                <w:spacing w:val="0"/>
                <w:sz w:val="18"/>
                <w:szCs w:val="18"/>
                <w:lang w:eastAsia="es-CO"/>
              </w:rPr>
            </w:pPr>
            <w:r w:rsidRPr="00957922">
              <w:rPr>
                <w:rFonts w:ascii="Arial Narrow" w:hAnsi="Arial Narrow" w:cs="Calibri"/>
                <w:color w:val="000000"/>
                <w:spacing w:val="0"/>
                <w:sz w:val="18"/>
                <w:szCs w:val="18"/>
                <w:lang w:eastAsia="es-CO"/>
              </w:rPr>
              <w:t>890904996</w:t>
            </w:r>
          </w:p>
        </w:tc>
        <w:tc>
          <w:tcPr>
            <w:tcW w:w="3977" w:type="dxa"/>
            <w:tcBorders>
              <w:top w:val="nil"/>
              <w:left w:val="nil"/>
              <w:bottom w:val="single" w:sz="4" w:space="0" w:color="auto"/>
              <w:right w:val="single" w:sz="4" w:space="0" w:color="auto"/>
            </w:tcBorders>
            <w:shd w:val="clear" w:color="auto" w:fill="auto"/>
            <w:vAlign w:val="center"/>
            <w:hideMark/>
          </w:tcPr>
          <w:p w14:paraId="2CF8CBD8" w14:textId="77777777" w:rsidR="00957922" w:rsidRPr="00957922" w:rsidRDefault="00957922" w:rsidP="00957922">
            <w:pPr>
              <w:jc w:val="left"/>
              <w:rPr>
                <w:rFonts w:ascii="Arial Narrow" w:hAnsi="Arial Narrow" w:cs="Calibri"/>
                <w:color w:val="000000"/>
                <w:spacing w:val="0"/>
                <w:sz w:val="18"/>
                <w:szCs w:val="18"/>
                <w:lang w:eastAsia="es-CO"/>
              </w:rPr>
            </w:pPr>
            <w:r w:rsidRPr="00957922">
              <w:rPr>
                <w:rFonts w:ascii="Arial Narrow" w:hAnsi="Arial Narrow" w:cs="Calibri"/>
                <w:color w:val="000000"/>
                <w:spacing w:val="0"/>
                <w:sz w:val="18"/>
                <w:szCs w:val="18"/>
                <w:lang w:eastAsia="es-CO"/>
              </w:rPr>
              <w:t>EMPRESAS PÚBLICAS DE MEDELLIN E.S.P.</w:t>
            </w:r>
          </w:p>
        </w:tc>
        <w:tc>
          <w:tcPr>
            <w:tcW w:w="1831" w:type="dxa"/>
            <w:tcBorders>
              <w:top w:val="nil"/>
              <w:left w:val="nil"/>
              <w:bottom w:val="single" w:sz="4" w:space="0" w:color="auto"/>
              <w:right w:val="single" w:sz="4" w:space="0" w:color="auto"/>
            </w:tcBorders>
            <w:shd w:val="clear" w:color="auto" w:fill="auto"/>
            <w:vAlign w:val="center"/>
            <w:hideMark/>
          </w:tcPr>
          <w:p w14:paraId="5FB0DFDB" w14:textId="77777777" w:rsidR="00957922" w:rsidRPr="00957922" w:rsidRDefault="00957922" w:rsidP="00957922">
            <w:pPr>
              <w:jc w:val="left"/>
              <w:rPr>
                <w:rFonts w:ascii="Arial Narrow" w:hAnsi="Arial Narrow" w:cs="Calibri"/>
                <w:color w:val="000000"/>
                <w:spacing w:val="0"/>
                <w:sz w:val="18"/>
                <w:szCs w:val="18"/>
                <w:lang w:eastAsia="es-CO"/>
              </w:rPr>
            </w:pPr>
            <w:r w:rsidRPr="00957922">
              <w:rPr>
                <w:rFonts w:ascii="Arial Narrow" w:hAnsi="Arial Narrow" w:cs="Calibri"/>
                <w:color w:val="000000"/>
                <w:spacing w:val="0"/>
                <w:sz w:val="18"/>
                <w:szCs w:val="18"/>
                <w:lang w:eastAsia="es-CO"/>
              </w:rPr>
              <w:t>ENERGÍA-GN</w:t>
            </w:r>
          </w:p>
        </w:tc>
      </w:tr>
      <w:tr w:rsidR="00957922" w:rsidRPr="00957922" w14:paraId="34A83EBD" w14:textId="77777777" w:rsidTr="00A561A0">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935951F" w14:textId="77777777" w:rsidR="00957922" w:rsidRPr="00957922" w:rsidRDefault="00957922" w:rsidP="00957922">
            <w:pPr>
              <w:jc w:val="center"/>
              <w:rPr>
                <w:rFonts w:ascii="Arial Narrow" w:hAnsi="Arial Narrow" w:cs="Calibri"/>
                <w:color w:val="000000"/>
                <w:spacing w:val="0"/>
                <w:sz w:val="18"/>
                <w:szCs w:val="18"/>
                <w:lang w:eastAsia="es-CO"/>
              </w:rPr>
            </w:pPr>
            <w:r w:rsidRPr="00957922">
              <w:rPr>
                <w:rFonts w:ascii="Arial Narrow" w:hAnsi="Arial Narrow" w:cs="Calibri"/>
                <w:color w:val="000000"/>
                <w:spacing w:val="0"/>
                <w:sz w:val="18"/>
                <w:szCs w:val="18"/>
                <w:lang w:eastAsia="es-CO"/>
              </w:rPr>
              <w:t>6</w:t>
            </w:r>
          </w:p>
        </w:tc>
        <w:tc>
          <w:tcPr>
            <w:tcW w:w="1092" w:type="dxa"/>
            <w:tcBorders>
              <w:top w:val="nil"/>
              <w:left w:val="nil"/>
              <w:bottom w:val="single" w:sz="4" w:space="0" w:color="auto"/>
              <w:right w:val="single" w:sz="4" w:space="0" w:color="auto"/>
            </w:tcBorders>
            <w:shd w:val="clear" w:color="auto" w:fill="auto"/>
            <w:noWrap/>
            <w:vAlign w:val="center"/>
            <w:hideMark/>
          </w:tcPr>
          <w:p w14:paraId="77A6B8AD" w14:textId="77777777" w:rsidR="00957922" w:rsidRPr="00957922" w:rsidRDefault="00957922" w:rsidP="00957922">
            <w:pPr>
              <w:jc w:val="right"/>
              <w:rPr>
                <w:rFonts w:ascii="Arial Narrow" w:hAnsi="Arial Narrow" w:cs="Calibri"/>
                <w:color w:val="000000"/>
                <w:spacing w:val="0"/>
                <w:sz w:val="18"/>
                <w:szCs w:val="18"/>
                <w:lang w:eastAsia="es-CO"/>
              </w:rPr>
            </w:pPr>
            <w:r w:rsidRPr="00957922">
              <w:rPr>
                <w:rFonts w:ascii="Arial Narrow" w:hAnsi="Arial Narrow" w:cs="Calibri"/>
                <w:color w:val="000000"/>
                <w:spacing w:val="0"/>
                <w:sz w:val="18"/>
                <w:szCs w:val="18"/>
                <w:lang w:eastAsia="es-CO"/>
              </w:rPr>
              <w:t>597</w:t>
            </w:r>
          </w:p>
        </w:tc>
        <w:tc>
          <w:tcPr>
            <w:tcW w:w="879" w:type="dxa"/>
            <w:tcBorders>
              <w:top w:val="nil"/>
              <w:left w:val="nil"/>
              <w:bottom w:val="single" w:sz="4" w:space="0" w:color="auto"/>
              <w:right w:val="single" w:sz="4" w:space="0" w:color="auto"/>
            </w:tcBorders>
            <w:shd w:val="clear" w:color="auto" w:fill="auto"/>
            <w:noWrap/>
            <w:vAlign w:val="center"/>
            <w:hideMark/>
          </w:tcPr>
          <w:p w14:paraId="5207ACB3" w14:textId="77777777" w:rsidR="00957922" w:rsidRPr="00957922" w:rsidRDefault="00957922" w:rsidP="00957922">
            <w:pPr>
              <w:jc w:val="right"/>
              <w:rPr>
                <w:rFonts w:ascii="Arial Narrow" w:hAnsi="Arial Narrow" w:cs="Calibri"/>
                <w:color w:val="000000"/>
                <w:spacing w:val="0"/>
                <w:sz w:val="18"/>
                <w:szCs w:val="18"/>
                <w:lang w:eastAsia="es-CO"/>
              </w:rPr>
            </w:pPr>
            <w:r w:rsidRPr="00957922">
              <w:rPr>
                <w:rFonts w:ascii="Arial Narrow" w:hAnsi="Arial Narrow" w:cs="Calibri"/>
                <w:color w:val="000000"/>
                <w:spacing w:val="0"/>
                <w:sz w:val="18"/>
                <w:szCs w:val="18"/>
                <w:lang w:eastAsia="es-CO"/>
              </w:rPr>
              <w:t>860063875</w:t>
            </w:r>
          </w:p>
        </w:tc>
        <w:tc>
          <w:tcPr>
            <w:tcW w:w="3977" w:type="dxa"/>
            <w:tcBorders>
              <w:top w:val="nil"/>
              <w:left w:val="nil"/>
              <w:bottom w:val="single" w:sz="4" w:space="0" w:color="auto"/>
              <w:right w:val="single" w:sz="4" w:space="0" w:color="auto"/>
            </w:tcBorders>
            <w:shd w:val="clear" w:color="auto" w:fill="auto"/>
            <w:vAlign w:val="center"/>
            <w:hideMark/>
          </w:tcPr>
          <w:p w14:paraId="0B791F94" w14:textId="77777777" w:rsidR="00957922" w:rsidRPr="00957922" w:rsidRDefault="00957922" w:rsidP="00957922">
            <w:pPr>
              <w:jc w:val="left"/>
              <w:rPr>
                <w:rFonts w:ascii="Arial Narrow" w:hAnsi="Arial Narrow" w:cs="Calibri"/>
                <w:color w:val="000000"/>
                <w:spacing w:val="0"/>
                <w:sz w:val="18"/>
                <w:szCs w:val="18"/>
                <w:lang w:eastAsia="es-CO"/>
              </w:rPr>
            </w:pPr>
            <w:r w:rsidRPr="00957922">
              <w:rPr>
                <w:rFonts w:ascii="Arial Narrow" w:hAnsi="Arial Narrow" w:cs="Calibri"/>
                <w:color w:val="000000"/>
                <w:spacing w:val="0"/>
                <w:sz w:val="18"/>
                <w:szCs w:val="18"/>
                <w:lang w:eastAsia="es-CO"/>
              </w:rPr>
              <w:t>EMGESA S.A. E.S.P.</w:t>
            </w:r>
          </w:p>
        </w:tc>
        <w:tc>
          <w:tcPr>
            <w:tcW w:w="1831" w:type="dxa"/>
            <w:tcBorders>
              <w:top w:val="nil"/>
              <w:left w:val="nil"/>
              <w:bottom w:val="single" w:sz="4" w:space="0" w:color="auto"/>
              <w:right w:val="single" w:sz="4" w:space="0" w:color="auto"/>
            </w:tcBorders>
            <w:shd w:val="clear" w:color="auto" w:fill="auto"/>
            <w:vAlign w:val="center"/>
            <w:hideMark/>
          </w:tcPr>
          <w:p w14:paraId="40BD2E5B" w14:textId="77777777" w:rsidR="00957922" w:rsidRPr="00957922" w:rsidRDefault="00957922" w:rsidP="00957922">
            <w:pPr>
              <w:jc w:val="left"/>
              <w:rPr>
                <w:rFonts w:ascii="Arial Narrow" w:hAnsi="Arial Narrow" w:cs="Calibri"/>
                <w:color w:val="000000"/>
                <w:spacing w:val="0"/>
                <w:sz w:val="18"/>
                <w:szCs w:val="18"/>
                <w:lang w:eastAsia="es-CO"/>
              </w:rPr>
            </w:pPr>
            <w:r w:rsidRPr="00957922">
              <w:rPr>
                <w:rFonts w:ascii="Arial Narrow" w:hAnsi="Arial Narrow" w:cs="Calibri"/>
                <w:color w:val="000000"/>
                <w:spacing w:val="0"/>
                <w:sz w:val="18"/>
                <w:szCs w:val="18"/>
                <w:lang w:eastAsia="es-CO"/>
              </w:rPr>
              <w:t>ENERGÍA-GN</w:t>
            </w:r>
          </w:p>
        </w:tc>
      </w:tr>
      <w:tr w:rsidR="00957922" w:rsidRPr="00957922" w14:paraId="29E7791D" w14:textId="77777777" w:rsidTr="00A561A0">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57B9ECB" w14:textId="77777777" w:rsidR="00957922" w:rsidRPr="00957922" w:rsidRDefault="00957922" w:rsidP="00957922">
            <w:pPr>
              <w:jc w:val="center"/>
              <w:rPr>
                <w:rFonts w:ascii="Arial Narrow" w:hAnsi="Arial Narrow" w:cs="Calibri"/>
                <w:color w:val="000000"/>
                <w:spacing w:val="0"/>
                <w:sz w:val="18"/>
                <w:szCs w:val="18"/>
                <w:lang w:eastAsia="es-CO"/>
              </w:rPr>
            </w:pPr>
            <w:r w:rsidRPr="00957922">
              <w:rPr>
                <w:rFonts w:ascii="Arial Narrow" w:hAnsi="Arial Narrow" w:cs="Calibri"/>
                <w:color w:val="000000"/>
                <w:spacing w:val="0"/>
                <w:sz w:val="18"/>
                <w:szCs w:val="18"/>
                <w:lang w:eastAsia="es-CO"/>
              </w:rPr>
              <w:t>7</w:t>
            </w:r>
          </w:p>
        </w:tc>
        <w:tc>
          <w:tcPr>
            <w:tcW w:w="1092" w:type="dxa"/>
            <w:tcBorders>
              <w:top w:val="nil"/>
              <w:left w:val="nil"/>
              <w:bottom w:val="single" w:sz="4" w:space="0" w:color="auto"/>
              <w:right w:val="single" w:sz="4" w:space="0" w:color="auto"/>
            </w:tcBorders>
            <w:shd w:val="clear" w:color="auto" w:fill="auto"/>
            <w:noWrap/>
            <w:vAlign w:val="center"/>
            <w:hideMark/>
          </w:tcPr>
          <w:p w14:paraId="6287AC2F" w14:textId="77777777" w:rsidR="00957922" w:rsidRPr="00957922" w:rsidRDefault="00957922" w:rsidP="00957922">
            <w:pPr>
              <w:jc w:val="right"/>
              <w:rPr>
                <w:rFonts w:ascii="Arial Narrow" w:hAnsi="Arial Narrow" w:cs="Calibri"/>
                <w:color w:val="000000"/>
                <w:spacing w:val="0"/>
                <w:sz w:val="18"/>
                <w:szCs w:val="18"/>
                <w:lang w:eastAsia="es-CO"/>
              </w:rPr>
            </w:pPr>
            <w:r w:rsidRPr="00957922">
              <w:rPr>
                <w:rFonts w:ascii="Arial Narrow" w:hAnsi="Arial Narrow" w:cs="Calibri"/>
                <w:color w:val="000000"/>
                <w:spacing w:val="0"/>
                <w:sz w:val="18"/>
                <w:szCs w:val="18"/>
                <w:lang w:eastAsia="es-CO"/>
              </w:rPr>
              <w:t>3268</w:t>
            </w:r>
          </w:p>
        </w:tc>
        <w:tc>
          <w:tcPr>
            <w:tcW w:w="879" w:type="dxa"/>
            <w:tcBorders>
              <w:top w:val="nil"/>
              <w:left w:val="nil"/>
              <w:bottom w:val="single" w:sz="4" w:space="0" w:color="auto"/>
              <w:right w:val="single" w:sz="4" w:space="0" w:color="auto"/>
            </w:tcBorders>
            <w:shd w:val="clear" w:color="auto" w:fill="auto"/>
            <w:noWrap/>
            <w:vAlign w:val="center"/>
            <w:hideMark/>
          </w:tcPr>
          <w:p w14:paraId="09E56A22" w14:textId="77777777" w:rsidR="00957922" w:rsidRPr="00957922" w:rsidRDefault="00957922" w:rsidP="00957922">
            <w:pPr>
              <w:jc w:val="right"/>
              <w:rPr>
                <w:rFonts w:ascii="Arial Narrow" w:hAnsi="Arial Narrow" w:cs="Calibri"/>
                <w:color w:val="000000"/>
                <w:spacing w:val="0"/>
                <w:sz w:val="18"/>
                <w:szCs w:val="18"/>
                <w:lang w:eastAsia="es-CO"/>
              </w:rPr>
            </w:pPr>
            <w:r w:rsidRPr="00957922">
              <w:rPr>
                <w:rFonts w:ascii="Arial Narrow" w:hAnsi="Arial Narrow" w:cs="Calibri"/>
                <w:color w:val="000000"/>
                <w:spacing w:val="0"/>
                <w:sz w:val="18"/>
                <w:szCs w:val="18"/>
                <w:lang w:eastAsia="es-CO"/>
              </w:rPr>
              <w:t>830113630</w:t>
            </w:r>
          </w:p>
        </w:tc>
        <w:tc>
          <w:tcPr>
            <w:tcW w:w="3977" w:type="dxa"/>
            <w:tcBorders>
              <w:top w:val="nil"/>
              <w:left w:val="nil"/>
              <w:bottom w:val="single" w:sz="4" w:space="0" w:color="auto"/>
              <w:right w:val="single" w:sz="4" w:space="0" w:color="auto"/>
            </w:tcBorders>
            <w:shd w:val="clear" w:color="auto" w:fill="auto"/>
            <w:vAlign w:val="center"/>
            <w:hideMark/>
          </w:tcPr>
          <w:p w14:paraId="412552C6" w14:textId="77777777" w:rsidR="00957922" w:rsidRPr="00957922" w:rsidRDefault="00957922" w:rsidP="00957922">
            <w:pPr>
              <w:jc w:val="left"/>
              <w:rPr>
                <w:rFonts w:ascii="Arial Narrow" w:hAnsi="Arial Narrow" w:cs="Calibri"/>
                <w:color w:val="000000"/>
                <w:spacing w:val="0"/>
                <w:sz w:val="18"/>
                <w:szCs w:val="18"/>
                <w:lang w:eastAsia="es-CO"/>
              </w:rPr>
            </w:pPr>
            <w:r w:rsidRPr="00957922">
              <w:rPr>
                <w:rFonts w:ascii="Arial Narrow" w:hAnsi="Arial Narrow" w:cs="Calibri"/>
                <w:color w:val="000000"/>
                <w:spacing w:val="0"/>
                <w:sz w:val="18"/>
                <w:szCs w:val="18"/>
                <w:lang w:eastAsia="es-CO"/>
              </w:rPr>
              <w:t>ZONA FRANCA CELSIA S.A. E.S.P.</w:t>
            </w:r>
          </w:p>
        </w:tc>
        <w:tc>
          <w:tcPr>
            <w:tcW w:w="1831" w:type="dxa"/>
            <w:tcBorders>
              <w:top w:val="nil"/>
              <w:left w:val="nil"/>
              <w:bottom w:val="single" w:sz="4" w:space="0" w:color="auto"/>
              <w:right w:val="single" w:sz="4" w:space="0" w:color="auto"/>
            </w:tcBorders>
            <w:shd w:val="clear" w:color="auto" w:fill="auto"/>
            <w:vAlign w:val="center"/>
            <w:hideMark/>
          </w:tcPr>
          <w:p w14:paraId="4FE54727" w14:textId="77777777" w:rsidR="00957922" w:rsidRPr="00957922" w:rsidRDefault="00957922" w:rsidP="00957922">
            <w:pPr>
              <w:jc w:val="left"/>
              <w:rPr>
                <w:rFonts w:ascii="Arial Narrow" w:hAnsi="Arial Narrow" w:cs="Calibri"/>
                <w:color w:val="000000"/>
                <w:spacing w:val="0"/>
                <w:sz w:val="18"/>
                <w:szCs w:val="18"/>
                <w:lang w:eastAsia="es-CO"/>
              </w:rPr>
            </w:pPr>
            <w:r w:rsidRPr="00957922">
              <w:rPr>
                <w:rFonts w:ascii="Arial Narrow" w:hAnsi="Arial Narrow" w:cs="Calibri"/>
                <w:color w:val="000000"/>
                <w:spacing w:val="0"/>
                <w:sz w:val="18"/>
                <w:szCs w:val="18"/>
                <w:lang w:eastAsia="es-CO"/>
              </w:rPr>
              <w:t>ENERGÍA-GN</w:t>
            </w:r>
          </w:p>
        </w:tc>
      </w:tr>
      <w:tr w:rsidR="00957922" w:rsidRPr="00957922" w14:paraId="62D5B55A" w14:textId="77777777" w:rsidTr="00A561A0">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01E0E20" w14:textId="77777777" w:rsidR="00957922" w:rsidRPr="00957922" w:rsidRDefault="00957922" w:rsidP="00957922">
            <w:pPr>
              <w:jc w:val="center"/>
              <w:rPr>
                <w:rFonts w:ascii="Arial Narrow" w:hAnsi="Arial Narrow" w:cs="Calibri"/>
                <w:color w:val="000000"/>
                <w:spacing w:val="0"/>
                <w:sz w:val="18"/>
                <w:szCs w:val="18"/>
                <w:lang w:eastAsia="es-CO"/>
              </w:rPr>
            </w:pPr>
            <w:r w:rsidRPr="00957922">
              <w:rPr>
                <w:rFonts w:ascii="Arial Narrow" w:hAnsi="Arial Narrow" w:cs="Calibri"/>
                <w:color w:val="000000"/>
                <w:spacing w:val="0"/>
                <w:sz w:val="18"/>
                <w:szCs w:val="18"/>
                <w:lang w:eastAsia="es-CO"/>
              </w:rPr>
              <w:t>8</w:t>
            </w:r>
          </w:p>
        </w:tc>
        <w:tc>
          <w:tcPr>
            <w:tcW w:w="1092" w:type="dxa"/>
            <w:tcBorders>
              <w:top w:val="nil"/>
              <w:left w:val="nil"/>
              <w:bottom w:val="single" w:sz="4" w:space="0" w:color="auto"/>
              <w:right w:val="single" w:sz="4" w:space="0" w:color="auto"/>
            </w:tcBorders>
            <w:shd w:val="clear" w:color="auto" w:fill="auto"/>
            <w:noWrap/>
            <w:vAlign w:val="center"/>
            <w:hideMark/>
          </w:tcPr>
          <w:p w14:paraId="0C10AB22" w14:textId="77777777" w:rsidR="00957922" w:rsidRPr="00957922" w:rsidRDefault="00957922" w:rsidP="00957922">
            <w:pPr>
              <w:jc w:val="right"/>
              <w:rPr>
                <w:rFonts w:ascii="Arial Narrow" w:hAnsi="Arial Narrow" w:cs="Calibri"/>
                <w:color w:val="000000"/>
                <w:spacing w:val="0"/>
                <w:sz w:val="18"/>
                <w:szCs w:val="18"/>
                <w:lang w:eastAsia="es-CO"/>
              </w:rPr>
            </w:pPr>
            <w:r w:rsidRPr="00957922">
              <w:rPr>
                <w:rFonts w:ascii="Arial Narrow" w:hAnsi="Arial Narrow" w:cs="Calibri"/>
                <w:color w:val="000000"/>
                <w:spacing w:val="0"/>
                <w:sz w:val="18"/>
                <w:szCs w:val="18"/>
                <w:lang w:eastAsia="es-CO"/>
              </w:rPr>
              <w:t>3370</w:t>
            </w:r>
          </w:p>
        </w:tc>
        <w:tc>
          <w:tcPr>
            <w:tcW w:w="879" w:type="dxa"/>
            <w:tcBorders>
              <w:top w:val="nil"/>
              <w:left w:val="nil"/>
              <w:bottom w:val="single" w:sz="4" w:space="0" w:color="auto"/>
              <w:right w:val="single" w:sz="4" w:space="0" w:color="auto"/>
            </w:tcBorders>
            <w:shd w:val="clear" w:color="auto" w:fill="auto"/>
            <w:noWrap/>
            <w:vAlign w:val="center"/>
            <w:hideMark/>
          </w:tcPr>
          <w:p w14:paraId="7681F218" w14:textId="77777777" w:rsidR="00957922" w:rsidRPr="00957922" w:rsidRDefault="00957922" w:rsidP="00957922">
            <w:pPr>
              <w:jc w:val="right"/>
              <w:rPr>
                <w:rFonts w:ascii="Arial Narrow" w:hAnsi="Arial Narrow" w:cs="Calibri"/>
                <w:color w:val="000000"/>
                <w:spacing w:val="0"/>
                <w:sz w:val="18"/>
                <w:szCs w:val="18"/>
                <w:lang w:eastAsia="es-CO"/>
              </w:rPr>
            </w:pPr>
            <w:r w:rsidRPr="00957922">
              <w:rPr>
                <w:rFonts w:ascii="Arial Narrow" w:hAnsi="Arial Narrow" w:cs="Calibri"/>
                <w:color w:val="000000"/>
                <w:spacing w:val="0"/>
                <w:sz w:val="18"/>
                <w:szCs w:val="18"/>
                <w:lang w:eastAsia="es-CO"/>
              </w:rPr>
              <w:t>844004576</w:t>
            </w:r>
          </w:p>
        </w:tc>
        <w:tc>
          <w:tcPr>
            <w:tcW w:w="3977" w:type="dxa"/>
            <w:tcBorders>
              <w:top w:val="nil"/>
              <w:left w:val="nil"/>
              <w:bottom w:val="single" w:sz="4" w:space="0" w:color="auto"/>
              <w:right w:val="single" w:sz="4" w:space="0" w:color="auto"/>
            </w:tcBorders>
            <w:shd w:val="clear" w:color="auto" w:fill="auto"/>
            <w:vAlign w:val="center"/>
            <w:hideMark/>
          </w:tcPr>
          <w:p w14:paraId="72316C24" w14:textId="77777777" w:rsidR="00957922" w:rsidRPr="00957922" w:rsidRDefault="00957922" w:rsidP="00957922">
            <w:pPr>
              <w:jc w:val="left"/>
              <w:rPr>
                <w:rFonts w:ascii="Arial Narrow" w:hAnsi="Arial Narrow" w:cs="Calibri"/>
                <w:color w:val="000000"/>
                <w:spacing w:val="0"/>
                <w:sz w:val="18"/>
                <w:szCs w:val="18"/>
                <w:lang w:eastAsia="es-CO"/>
              </w:rPr>
            </w:pPr>
            <w:r w:rsidRPr="00957922">
              <w:rPr>
                <w:rFonts w:ascii="Arial Narrow" w:hAnsi="Arial Narrow" w:cs="Calibri"/>
                <w:color w:val="000000"/>
                <w:spacing w:val="0"/>
                <w:sz w:val="18"/>
                <w:szCs w:val="18"/>
                <w:lang w:eastAsia="es-CO"/>
              </w:rPr>
              <w:t>EMPRESA DE ENERGIA DE CASANARE SA ESP</w:t>
            </w:r>
          </w:p>
        </w:tc>
        <w:tc>
          <w:tcPr>
            <w:tcW w:w="1831" w:type="dxa"/>
            <w:tcBorders>
              <w:top w:val="nil"/>
              <w:left w:val="nil"/>
              <w:bottom w:val="single" w:sz="4" w:space="0" w:color="auto"/>
              <w:right w:val="single" w:sz="4" w:space="0" w:color="auto"/>
            </w:tcBorders>
            <w:shd w:val="clear" w:color="auto" w:fill="auto"/>
            <w:vAlign w:val="center"/>
            <w:hideMark/>
          </w:tcPr>
          <w:p w14:paraId="6D0E90CB" w14:textId="77777777" w:rsidR="00957922" w:rsidRPr="00957922" w:rsidRDefault="00957922" w:rsidP="00957922">
            <w:pPr>
              <w:jc w:val="left"/>
              <w:rPr>
                <w:rFonts w:ascii="Arial Narrow" w:hAnsi="Arial Narrow" w:cs="Calibri"/>
                <w:color w:val="000000"/>
                <w:spacing w:val="0"/>
                <w:sz w:val="18"/>
                <w:szCs w:val="18"/>
                <w:lang w:eastAsia="es-CO"/>
              </w:rPr>
            </w:pPr>
            <w:r w:rsidRPr="00957922">
              <w:rPr>
                <w:rFonts w:ascii="Arial Narrow" w:hAnsi="Arial Narrow" w:cs="Calibri"/>
                <w:color w:val="000000"/>
                <w:spacing w:val="0"/>
                <w:sz w:val="18"/>
                <w:szCs w:val="18"/>
                <w:lang w:eastAsia="es-CO"/>
              </w:rPr>
              <w:t>ENERGÍA-GN</w:t>
            </w:r>
          </w:p>
        </w:tc>
      </w:tr>
      <w:tr w:rsidR="00957922" w:rsidRPr="00957922" w14:paraId="3DEB084A" w14:textId="77777777" w:rsidTr="00A561A0">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B9B3668" w14:textId="77777777" w:rsidR="00957922" w:rsidRPr="00957922" w:rsidRDefault="00957922" w:rsidP="00957922">
            <w:pPr>
              <w:jc w:val="center"/>
              <w:rPr>
                <w:rFonts w:ascii="Arial Narrow" w:hAnsi="Arial Narrow" w:cs="Calibri"/>
                <w:color w:val="000000"/>
                <w:spacing w:val="0"/>
                <w:sz w:val="18"/>
                <w:szCs w:val="18"/>
                <w:lang w:eastAsia="es-CO"/>
              </w:rPr>
            </w:pPr>
            <w:r w:rsidRPr="00957922">
              <w:rPr>
                <w:rFonts w:ascii="Arial Narrow" w:hAnsi="Arial Narrow" w:cs="Calibri"/>
                <w:color w:val="000000"/>
                <w:spacing w:val="0"/>
                <w:sz w:val="18"/>
                <w:szCs w:val="18"/>
                <w:lang w:eastAsia="es-CO"/>
              </w:rPr>
              <w:t>9</w:t>
            </w:r>
          </w:p>
        </w:tc>
        <w:tc>
          <w:tcPr>
            <w:tcW w:w="1092" w:type="dxa"/>
            <w:tcBorders>
              <w:top w:val="nil"/>
              <w:left w:val="nil"/>
              <w:bottom w:val="single" w:sz="4" w:space="0" w:color="auto"/>
              <w:right w:val="single" w:sz="4" w:space="0" w:color="auto"/>
            </w:tcBorders>
            <w:shd w:val="clear" w:color="auto" w:fill="auto"/>
            <w:noWrap/>
            <w:vAlign w:val="center"/>
            <w:hideMark/>
          </w:tcPr>
          <w:p w14:paraId="4C82FF29" w14:textId="77777777" w:rsidR="00957922" w:rsidRPr="00957922" w:rsidRDefault="00957922" w:rsidP="00957922">
            <w:pPr>
              <w:jc w:val="right"/>
              <w:rPr>
                <w:rFonts w:ascii="Arial Narrow" w:hAnsi="Arial Narrow" w:cs="Calibri"/>
                <w:color w:val="000000"/>
                <w:spacing w:val="0"/>
                <w:sz w:val="18"/>
                <w:szCs w:val="18"/>
                <w:lang w:eastAsia="es-CO"/>
              </w:rPr>
            </w:pPr>
            <w:r w:rsidRPr="00957922">
              <w:rPr>
                <w:rFonts w:ascii="Arial Narrow" w:hAnsi="Arial Narrow" w:cs="Calibri"/>
                <w:color w:val="000000"/>
                <w:spacing w:val="0"/>
                <w:sz w:val="18"/>
                <w:szCs w:val="18"/>
                <w:lang w:eastAsia="es-CO"/>
              </w:rPr>
              <w:t>29011</w:t>
            </w:r>
          </w:p>
        </w:tc>
        <w:tc>
          <w:tcPr>
            <w:tcW w:w="879" w:type="dxa"/>
            <w:tcBorders>
              <w:top w:val="nil"/>
              <w:left w:val="nil"/>
              <w:bottom w:val="single" w:sz="4" w:space="0" w:color="auto"/>
              <w:right w:val="single" w:sz="4" w:space="0" w:color="auto"/>
            </w:tcBorders>
            <w:shd w:val="clear" w:color="auto" w:fill="auto"/>
            <w:noWrap/>
            <w:vAlign w:val="center"/>
            <w:hideMark/>
          </w:tcPr>
          <w:p w14:paraId="58839764" w14:textId="77777777" w:rsidR="00957922" w:rsidRPr="00957922" w:rsidRDefault="00957922" w:rsidP="00957922">
            <w:pPr>
              <w:jc w:val="right"/>
              <w:rPr>
                <w:rFonts w:ascii="Arial Narrow" w:hAnsi="Arial Narrow" w:cs="Calibri"/>
                <w:color w:val="000000"/>
                <w:spacing w:val="0"/>
                <w:sz w:val="18"/>
                <w:szCs w:val="18"/>
                <w:lang w:eastAsia="es-CO"/>
              </w:rPr>
            </w:pPr>
            <w:r w:rsidRPr="00957922">
              <w:rPr>
                <w:rFonts w:ascii="Arial Narrow" w:hAnsi="Arial Narrow" w:cs="Calibri"/>
                <w:color w:val="000000"/>
                <w:spacing w:val="0"/>
                <w:sz w:val="18"/>
                <w:szCs w:val="18"/>
                <w:lang w:eastAsia="es-CO"/>
              </w:rPr>
              <w:t>900637368</w:t>
            </w:r>
          </w:p>
        </w:tc>
        <w:tc>
          <w:tcPr>
            <w:tcW w:w="3977" w:type="dxa"/>
            <w:tcBorders>
              <w:top w:val="nil"/>
              <w:left w:val="nil"/>
              <w:bottom w:val="single" w:sz="4" w:space="0" w:color="auto"/>
              <w:right w:val="single" w:sz="4" w:space="0" w:color="auto"/>
            </w:tcBorders>
            <w:shd w:val="clear" w:color="auto" w:fill="auto"/>
            <w:vAlign w:val="center"/>
            <w:hideMark/>
          </w:tcPr>
          <w:p w14:paraId="4B53CCD1" w14:textId="77777777" w:rsidR="00957922" w:rsidRPr="00957922" w:rsidRDefault="00957922" w:rsidP="00957922">
            <w:pPr>
              <w:jc w:val="left"/>
              <w:rPr>
                <w:rFonts w:ascii="Arial Narrow" w:hAnsi="Arial Narrow" w:cs="Calibri"/>
                <w:color w:val="000000"/>
                <w:spacing w:val="0"/>
                <w:sz w:val="18"/>
                <w:szCs w:val="18"/>
                <w:lang w:eastAsia="es-CO"/>
              </w:rPr>
            </w:pPr>
            <w:r w:rsidRPr="00957922">
              <w:rPr>
                <w:rFonts w:ascii="Arial Narrow" w:hAnsi="Arial Narrow" w:cs="Calibri"/>
                <w:color w:val="000000"/>
                <w:spacing w:val="0"/>
                <w:sz w:val="18"/>
                <w:szCs w:val="18"/>
                <w:lang w:eastAsia="es-CO"/>
              </w:rPr>
              <w:t>TERMO MECHERO MORRO SAS ESP</w:t>
            </w:r>
          </w:p>
        </w:tc>
        <w:tc>
          <w:tcPr>
            <w:tcW w:w="1831" w:type="dxa"/>
            <w:tcBorders>
              <w:top w:val="nil"/>
              <w:left w:val="nil"/>
              <w:bottom w:val="single" w:sz="4" w:space="0" w:color="auto"/>
              <w:right w:val="single" w:sz="4" w:space="0" w:color="auto"/>
            </w:tcBorders>
            <w:shd w:val="clear" w:color="auto" w:fill="auto"/>
            <w:vAlign w:val="center"/>
            <w:hideMark/>
          </w:tcPr>
          <w:p w14:paraId="68E54092" w14:textId="77777777" w:rsidR="00957922" w:rsidRPr="00957922" w:rsidRDefault="00957922" w:rsidP="00957922">
            <w:pPr>
              <w:jc w:val="left"/>
              <w:rPr>
                <w:rFonts w:ascii="Arial Narrow" w:hAnsi="Arial Narrow" w:cs="Calibri"/>
                <w:color w:val="000000"/>
                <w:spacing w:val="0"/>
                <w:sz w:val="18"/>
                <w:szCs w:val="18"/>
                <w:lang w:eastAsia="es-CO"/>
              </w:rPr>
            </w:pPr>
            <w:r w:rsidRPr="00957922">
              <w:rPr>
                <w:rFonts w:ascii="Arial Narrow" w:hAnsi="Arial Narrow" w:cs="Calibri"/>
                <w:color w:val="000000"/>
                <w:spacing w:val="0"/>
                <w:sz w:val="18"/>
                <w:szCs w:val="18"/>
                <w:lang w:eastAsia="es-CO"/>
              </w:rPr>
              <w:t>ENERGÍA-GN</w:t>
            </w:r>
          </w:p>
        </w:tc>
      </w:tr>
      <w:tr w:rsidR="00957922" w:rsidRPr="00957922" w14:paraId="5603B3DD" w14:textId="77777777" w:rsidTr="00A561A0">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CA9E442" w14:textId="77777777" w:rsidR="00957922" w:rsidRPr="00957922" w:rsidRDefault="00957922" w:rsidP="00957922">
            <w:pPr>
              <w:jc w:val="center"/>
              <w:rPr>
                <w:rFonts w:ascii="Arial Narrow" w:hAnsi="Arial Narrow" w:cs="Calibri"/>
                <w:color w:val="000000"/>
                <w:spacing w:val="0"/>
                <w:sz w:val="18"/>
                <w:szCs w:val="18"/>
                <w:lang w:eastAsia="es-CO"/>
              </w:rPr>
            </w:pPr>
            <w:r w:rsidRPr="00957922">
              <w:rPr>
                <w:rFonts w:ascii="Arial Narrow" w:hAnsi="Arial Narrow" w:cs="Calibri"/>
                <w:color w:val="000000"/>
                <w:spacing w:val="0"/>
                <w:sz w:val="18"/>
                <w:szCs w:val="18"/>
                <w:lang w:eastAsia="es-CO"/>
              </w:rPr>
              <w:t>10</w:t>
            </w:r>
          </w:p>
        </w:tc>
        <w:tc>
          <w:tcPr>
            <w:tcW w:w="1092" w:type="dxa"/>
            <w:tcBorders>
              <w:top w:val="nil"/>
              <w:left w:val="nil"/>
              <w:bottom w:val="single" w:sz="4" w:space="0" w:color="auto"/>
              <w:right w:val="single" w:sz="4" w:space="0" w:color="auto"/>
            </w:tcBorders>
            <w:shd w:val="clear" w:color="auto" w:fill="auto"/>
            <w:noWrap/>
            <w:vAlign w:val="center"/>
            <w:hideMark/>
          </w:tcPr>
          <w:p w14:paraId="1CA6AEF7" w14:textId="77777777" w:rsidR="00957922" w:rsidRPr="00957922" w:rsidRDefault="00957922" w:rsidP="00957922">
            <w:pPr>
              <w:jc w:val="right"/>
              <w:rPr>
                <w:rFonts w:ascii="Arial Narrow" w:hAnsi="Arial Narrow" w:cs="Calibri"/>
                <w:color w:val="000000"/>
                <w:spacing w:val="0"/>
                <w:sz w:val="18"/>
                <w:szCs w:val="18"/>
                <w:lang w:eastAsia="es-CO"/>
              </w:rPr>
            </w:pPr>
            <w:r w:rsidRPr="00957922">
              <w:rPr>
                <w:rFonts w:ascii="Arial Narrow" w:hAnsi="Arial Narrow" w:cs="Calibri"/>
                <w:color w:val="000000"/>
                <w:spacing w:val="0"/>
                <w:sz w:val="18"/>
                <w:szCs w:val="18"/>
                <w:lang w:eastAsia="es-CO"/>
              </w:rPr>
              <w:t>31191</w:t>
            </w:r>
          </w:p>
        </w:tc>
        <w:tc>
          <w:tcPr>
            <w:tcW w:w="879" w:type="dxa"/>
            <w:tcBorders>
              <w:top w:val="nil"/>
              <w:left w:val="nil"/>
              <w:bottom w:val="single" w:sz="4" w:space="0" w:color="auto"/>
              <w:right w:val="single" w:sz="4" w:space="0" w:color="auto"/>
            </w:tcBorders>
            <w:shd w:val="clear" w:color="auto" w:fill="auto"/>
            <w:noWrap/>
            <w:vAlign w:val="center"/>
            <w:hideMark/>
          </w:tcPr>
          <w:p w14:paraId="4192FE4A" w14:textId="77777777" w:rsidR="00957922" w:rsidRPr="00957922" w:rsidRDefault="00957922" w:rsidP="00957922">
            <w:pPr>
              <w:jc w:val="right"/>
              <w:rPr>
                <w:rFonts w:ascii="Arial Narrow" w:hAnsi="Arial Narrow" w:cs="Calibri"/>
                <w:color w:val="000000"/>
                <w:spacing w:val="0"/>
                <w:sz w:val="18"/>
                <w:szCs w:val="18"/>
                <w:lang w:eastAsia="es-CO"/>
              </w:rPr>
            </w:pPr>
            <w:r w:rsidRPr="00957922">
              <w:rPr>
                <w:rFonts w:ascii="Arial Narrow" w:hAnsi="Arial Narrow" w:cs="Calibri"/>
                <w:color w:val="000000"/>
                <w:spacing w:val="0"/>
                <w:sz w:val="18"/>
                <w:szCs w:val="18"/>
                <w:lang w:eastAsia="es-CO"/>
              </w:rPr>
              <w:t>900433032</w:t>
            </w:r>
          </w:p>
        </w:tc>
        <w:tc>
          <w:tcPr>
            <w:tcW w:w="3977" w:type="dxa"/>
            <w:tcBorders>
              <w:top w:val="nil"/>
              <w:left w:val="nil"/>
              <w:bottom w:val="single" w:sz="4" w:space="0" w:color="auto"/>
              <w:right w:val="single" w:sz="4" w:space="0" w:color="auto"/>
            </w:tcBorders>
            <w:shd w:val="clear" w:color="auto" w:fill="auto"/>
            <w:vAlign w:val="center"/>
            <w:hideMark/>
          </w:tcPr>
          <w:p w14:paraId="3F323E71" w14:textId="77777777" w:rsidR="00957922" w:rsidRPr="00957922" w:rsidRDefault="00957922" w:rsidP="00957922">
            <w:pPr>
              <w:jc w:val="left"/>
              <w:rPr>
                <w:rFonts w:ascii="Arial Narrow" w:hAnsi="Arial Narrow" w:cs="Calibri"/>
                <w:color w:val="000000"/>
                <w:spacing w:val="0"/>
                <w:sz w:val="18"/>
                <w:szCs w:val="18"/>
                <w:lang w:eastAsia="es-CO"/>
              </w:rPr>
            </w:pPr>
            <w:r w:rsidRPr="00957922">
              <w:rPr>
                <w:rFonts w:ascii="Arial Narrow" w:hAnsi="Arial Narrow" w:cs="Calibri"/>
                <w:color w:val="000000"/>
                <w:spacing w:val="0"/>
                <w:sz w:val="18"/>
                <w:szCs w:val="18"/>
                <w:lang w:eastAsia="es-CO"/>
              </w:rPr>
              <w:t>TERPEL ENERGIA S.A.S E.S.P</w:t>
            </w:r>
          </w:p>
        </w:tc>
        <w:tc>
          <w:tcPr>
            <w:tcW w:w="1831" w:type="dxa"/>
            <w:tcBorders>
              <w:top w:val="nil"/>
              <w:left w:val="nil"/>
              <w:bottom w:val="single" w:sz="4" w:space="0" w:color="auto"/>
              <w:right w:val="single" w:sz="4" w:space="0" w:color="auto"/>
            </w:tcBorders>
            <w:shd w:val="clear" w:color="auto" w:fill="auto"/>
            <w:vAlign w:val="center"/>
            <w:hideMark/>
          </w:tcPr>
          <w:p w14:paraId="05923B90" w14:textId="77777777" w:rsidR="00957922" w:rsidRPr="00957922" w:rsidRDefault="00957922" w:rsidP="00957922">
            <w:pPr>
              <w:jc w:val="left"/>
              <w:rPr>
                <w:rFonts w:ascii="Arial Narrow" w:hAnsi="Arial Narrow" w:cs="Calibri"/>
                <w:color w:val="000000"/>
                <w:spacing w:val="0"/>
                <w:sz w:val="18"/>
                <w:szCs w:val="18"/>
                <w:lang w:eastAsia="es-CO"/>
              </w:rPr>
            </w:pPr>
            <w:r w:rsidRPr="00957922">
              <w:rPr>
                <w:rFonts w:ascii="Arial Narrow" w:hAnsi="Arial Narrow" w:cs="Calibri"/>
                <w:color w:val="000000"/>
                <w:spacing w:val="0"/>
                <w:sz w:val="18"/>
                <w:szCs w:val="18"/>
                <w:lang w:eastAsia="es-CO"/>
              </w:rPr>
              <w:t>ENERGÍA-GN</w:t>
            </w:r>
          </w:p>
        </w:tc>
      </w:tr>
      <w:tr w:rsidR="00957922" w:rsidRPr="00957922" w14:paraId="457CBBF3" w14:textId="77777777" w:rsidTr="00A561A0">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7181A19" w14:textId="77777777" w:rsidR="00957922" w:rsidRPr="00957922" w:rsidRDefault="00957922" w:rsidP="00957922">
            <w:pPr>
              <w:jc w:val="center"/>
              <w:rPr>
                <w:rFonts w:ascii="Arial Narrow" w:hAnsi="Arial Narrow" w:cs="Calibri"/>
                <w:color w:val="000000"/>
                <w:spacing w:val="0"/>
                <w:sz w:val="18"/>
                <w:szCs w:val="18"/>
                <w:lang w:eastAsia="es-CO"/>
              </w:rPr>
            </w:pPr>
            <w:r w:rsidRPr="00957922">
              <w:rPr>
                <w:rFonts w:ascii="Arial Narrow" w:hAnsi="Arial Narrow" w:cs="Calibri"/>
                <w:color w:val="000000"/>
                <w:spacing w:val="0"/>
                <w:sz w:val="18"/>
                <w:szCs w:val="18"/>
                <w:lang w:eastAsia="es-CO"/>
              </w:rPr>
              <w:t>11</w:t>
            </w:r>
          </w:p>
        </w:tc>
        <w:tc>
          <w:tcPr>
            <w:tcW w:w="1092" w:type="dxa"/>
            <w:tcBorders>
              <w:top w:val="nil"/>
              <w:left w:val="nil"/>
              <w:bottom w:val="single" w:sz="4" w:space="0" w:color="auto"/>
              <w:right w:val="single" w:sz="4" w:space="0" w:color="auto"/>
            </w:tcBorders>
            <w:shd w:val="clear" w:color="auto" w:fill="auto"/>
            <w:noWrap/>
            <w:vAlign w:val="center"/>
            <w:hideMark/>
          </w:tcPr>
          <w:p w14:paraId="22AE11BE" w14:textId="77777777" w:rsidR="00957922" w:rsidRPr="00957922" w:rsidRDefault="00957922" w:rsidP="00957922">
            <w:pPr>
              <w:jc w:val="right"/>
              <w:rPr>
                <w:rFonts w:ascii="Arial Narrow" w:hAnsi="Arial Narrow" w:cs="Calibri"/>
                <w:color w:val="000000"/>
                <w:spacing w:val="0"/>
                <w:sz w:val="18"/>
                <w:szCs w:val="18"/>
                <w:lang w:eastAsia="es-CO"/>
              </w:rPr>
            </w:pPr>
            <w:r w:rsidRPr="00957922">
              <w:rPr>
                <w:rFonts w:ascii="Arial Narrow" w:hAnsi="Arial Narrow" w:cs="Calibri"/>
                <w:color w:val="000000"/>
                <w:spacing w:val="0"/>
                <w:sz w:val="18"/>
                <w:szCs w:val="18"/>
                <w:lang w:eastAsia="es-CO"/>
              </w:rPr>
              <w:t>38315</w:t>
            </w:r>
          </w:p>
        </w:tc>
        <w:tc>
          <w:tcPr>
            <w:tcW w:w="879" w:type="dxa"/>
            <w:tcBorders>
              <w:top w:val="nil"/>
              <w:left w:val="nil"/>
              <w:bottom w:val="single" w:sz="4" w:space="0" w:color="auto"/>
              <w:right w:val="single" w:sz="4" w:space="0" w:color="auto"/>
            </w:tcBorders>
            <w:shd w:val="clear" w:color="auto" w:fill="auto"/>
            <w:noWrap/>
            <w:vAlign w:val="center"/>
            <w:hideMark/>
          </w:tcPr>
          <w:p w14:paraId="0AEB65A4" w14:textId="77777777" w:rsidR="00957922" w:rsidRPr="00957922" w:rsidRDefault="00957922" w:rsidP="00957922">
            <w:pPr>
              <w:jc w:val="right"/>
              <w:rPr>
                <w:rFonts w:ascii="Arial Narrow" w:hAnsi="Arial Narrow" w:cs="Calibri"/>
                <w:color w:val="000000"/>
                <w:spacing w:val="0"/>
                <w:sz w:val="18"/>
                <w:szCs w:val="18"/>
                <w:lang w:eastAsia="es-CO"/>
              </w:rPr>
            </w:pPr>
            <w:r w:rsidRPr="00957922">
              <w:rPr>
                <w:rFonts w:ascii="Arial Narrow" w:hAnsi="Arial Narrow" w:cs="Calibri"/>
                <w:color w:val="000000"/>
                <w:spacing w:val="0"/>
                <w:sz w:val="18"/>
                <w:szCs w:val="18"/>
                <w:lang w:eastAsia="es-CO"/>
              </w:rPr>
              <w:t>900403943</w:t>
            </w:r>
          </w:p>
        </w:tc>
        <w:tc>
          <w:tcPr>
            <w:tcW w:w="3977" w:type="dxa"/>
            <w:tcBorders>
              <w:top w:val="nil"/>
              <w:left w:val="nil"/>
              <w:bottom w:val="single" w:sz="4" w:space="0" w:color="auto"/>
              <w:right w:val="single" w:sz="4" w:space="0" w:color="auto"/>
            </w:tcBorders>
            <w:shd w:val="clear" w:color="auto" w:fill="auto"/>
            <w:vAlign w:val="center"/>
            <w:hideMark/>
          </w:tcPr>
          <w:p w14:paraId="03A7003A" w14:textId="77777777" w:rsidR="00957922" w:rsidRPr="00411CEC" w:rsidRDefault="00957922" w:rsidP="00957922">
            <w:pPr>
              <w:jc w:val="left"/>
              <w:rPr>
                <w:rFonts w:ascii="Arial Narrow" w:hAnsi="Arial Narrow" w:cs="Calibri"/>
                <w:color w:val="000000"/>
                <w:spacing w:val="0"/>
                <w:sz w:val="18"/>
                <w:szCs w:val="18"/>
                <w:lang w:val="en-US" w:eastAsia="es-CO"/>
              </w:rPr>
            </w:pPr>
            <w:r w:rsidRPr="00411CEC">
              <w:rPr>
                <w:rFonts w:ascii="Arial Narrow" w:hAnsi="Arial Narrow" w:cs="Calibri"/>
                <w:color w:val="000000"/>
                <w:spacing w:val="0"/>
                <w:sz w:val="18"/>
                <w:szCs w:val="18"/>
                <w:lang w:val="en-US" w:eastAsia="es-CO"/>
              </w:rPr>
              <w:t>SOUTH32 ENERGY S.A.S. E.S.P.</w:t>
            </w:r>
          </w:p>
        </w:tc>
        <w:tc>
          <w:tcPr>
            <w:tcW w:w="1831" w:type="dxa"/>
            <w:tcBorders>
              <w:top w:val="nil"/>
              <w:left w:val="nil"/>
              <w:bottom w:val="single" w:sz="4" w:space="0" w:color="auto"/>
              <w:right w:val="single" w:sz="4" w:space="0" w:color="auto"/>
            </w:tcBorders>
            <w:shd w:val="clear" w:color="auto" w:fill="auto"/>
            <w:vAlign w:val="center"/>
            <w:hideMark/>
          </w:tcPr>
          <w:p w14:paraId="38C054A9" w14:textId="77777777" w:rsidR="00957922" w:rsidRPr="00957922" w:rsidRDefault="00957922" w:rsidP="00957922">
            <w:pPr>
              <w:jc w:val="left"/>
              <w:rPr>
                <w:rFonts w:ascii="Arial Narrow" w:hAnsi="Arial Narrow" w:cs="Calibri"/>
                <w:color w:val="000000"/>
                <w:spacing w:val="0"/>
                <w:sz w:val="18"/>
                <w:szCs w:val="18"/>
                <w:lang w:eastAsia="es-CO"/>
              </w:rPr>
            </w:pPr>
            <w:r w:rsidRPr="00957922">
              <w:rPr>
                <w:rFonts w:ascii="Arial Narrow" w:hAnsi="Arial Narrow" w:cs="Calibri"/>
                <w:color w:val="000000"/>
                <w:spacing w:val="0"/>
                <w:sz w:val="18"/>
                <w:szCs w:val="18"/>
                <w:lang w:eastAsia="es-CO"/>
              </w:rPr>
              <w:t>ENERGÍA-GN</w:t>
            </w:r>
          </w:p>
        </w:tc>
      </w:tr>
      <w:tr w:rsidR="00957922" w:rsidRPr="00957922" w14:paraId="580AD715" w14:textId="77777777" w:rsidTr="00A561A0">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D4329F9" w14:textId="77777777" w:rsidR="00957922" w:rsidRPr="00957922" w:rsidRDefault="00957922" w:rsidP="00957922">
            <w:pPr>
              <w:jc w:val="center"/>
              <w:rPr>
                <w:rFonts w:ascii="Arial Narrow" w:hAnsi="Arial Narrow" w:cs="Calibri"/>
                <w:color w:val="000000"/>
                <w:spacing w:val="0"/>
                <w:sz w:val="18"/>
                <w:szCs w:val="18"/>
                <w:lang w:eastAsia="es-CO"/>
              </w:rPr>
            </w:pPr>
            <w:r w:rsidRPr="00957922">
              <w:rPr>
                <w:rFonts w:ascii="Arial Narrow" w:hAnsi="Arial Narrow" w:cs="Calibri"/>
                <w:color w:val="000000"/>
                <w:spacing w:val="0"/>
                <w:sz w:val="18"/>
                <w:szCs w:val="18"/>
                <w:lang w:eastAsia="es-CO"/>
              </w:rPr>
              <w:t>12</w:t>
            </w:r>
          </w:p>
        </w:tc>
        <w:tc>
          <w:tcPr>
            <w:tcW w:w="1092" w:type="dxa"/>
            <w:tcBorders>
              <w:top w:val="nil"/>
              <w:left w:val="nil"/>
              <w:bottom w:val="single" w:sz="4" w:space="0" w:color="auto"/>
              <w:right w:val="single" w:sz="4" w:space="0" w:color="auto"/>
            </w:tcBorders>
            <w:shd w:val="clear" w:color="auto" w:fill="auto"/>
            <w:noWrap/>
            <w:vAlign w:val="center"/>
            <w:hideMark/>
          </w:tcPr>
          <w:p w14:paraId="74AE2758" w14:textId="77777777" w:rsidR="00957922" w:rsidRPr="00957922" w:rsidRDefault="00957922" w:rsidP="00957922">
            <w:pPr>
              <w:jc w:val="right"/>
              <w:rPr>
                <w:rFonts w:ascii="Arial Narrow" w:hAnsi="Arial Narrow" w:cs="Calibri"/>
                <w:color w:val="000000"/>
                <w:spacing w:val="0"/>
                <w:sz w:val="18"/>
                <w:szCs w:val="18"/>
                <w:lang w:eastAsia="es-CO"/>
              </w:rPr>
            </w:pPr>
            <w:r w:rsidRPr="00957922">
              <w:rPr>
                <w:rFonts w:ascii="Arial Narrow" w:hAnsi="Arial Narrow" w:cs="Calibri"/>
                <w:color w:val="000000"/>
                <w:spacing w:val="0"/>
                <w:sz w:val="18"/>
                <w:szCs w:val="18"/>
                <w:lang w:eastAsia="es-CO"/>
              </w:rPr>
              <w:t>522</w:t>
            </w:r>
          </w:p>
        </w:tc>
        <w:tc>
          <w:tcPr>
            <w:tcW w:w="879" w:type="dxa"/>
            <w:tcBorders>
              <w:top w:val="nil"/>
              <w:left w:val="nil"/>
              <w:bottom w:val="single" w:sz="4" w:space="0" w:color="auto"/>
              <w:right w:val="single" w:sz="4" w:space="0" w:color="auto"/>
            </w:tcBorders>
            <w:shd w:val="clear" w:color="auto" w:fill="auto"/>
            <w:noWrap/>
            <w:vAlign w:val="center"/>
            <w:hideMark/>
          </w:tcPr>
          <w:p w14:paraId="58285EC4" w14:textId="77777777" w:rsidR="00957922" w:rsidRPr="00957922" w:rsidRDefault="00957922" w:rsidP="00957922">
            <w:pPr>
              <w:jc w:val="right"/>
              <w:rPr>
                <w:rFonts w:ascii="Arial Narrow" w:hAnsi="Arial Narrow" w:cs="Calibri"/>
                <w:color w:val="000000"/>
                <w:spacing w:val="0"/>
                <w:sz w:val="18"/>
                <w:szCs w:val="18"/>
                <w:lang w:eastAsia="es-CO"/>
              </w:rPr>
            </w:pPr>
            <w:r w:rsidRPr="00957922">
              <w:rPr>
                <w:rFonts w:ascii="Arial Narrow" w:hAnsi="Arial Narrow" w:cs="Calibri"/>
                <w:color w:val="000000"/>
                <w:spacing w:val="0"/>
                <w:sz w:val="18"/>
                <w:szCs w:val="18"/>
                <w:lang w:eastAsia="es-CO"/>
              </w:rPr>
              <w:t>890500726</w:t>
            </w:r>
          </w:p>
        </w:tc>
        <w:tc>
          <w:tcPr>
            <w:tcW w:w="3977" w:type="dxa"/>
            <w:tcBorders>
              <w:top w:val="nil"/>
              <w:left w:val="nil"/>
              <w:bottom w:val="single" w:sz="4" w:space="0" w:color="auto"/>
              <w:right w:val="single" w:sz="4" w:space="0" w:color="auto"/>
            </w:tcBorders>
            <w:shd w:val="clear" w:color="auto" w:fill="auto"/>
            <w:vAlign w:val="center"/>
            <w:hideMark/>
          </w:tcPr>
          <w:p w14:paraId="1FC87287" w14:textId="77777777" w:rsidR="00957922" w:rsidRPr="00957922" w:rsidRDefault="00957922" w:rsidP="00957922">
            <w:pPr>
              <w:jc w:val="left"/>
              <w:rPr>
                <w:rFonts w:ascii="Arial Narrow" w:hAnsi="Arial Narrow" w:cs="Calibri"/>
                <w:color w:val="000000"/>
                <w:spacing w:val="0"/>
                <w:sz w:val="18"/>
                <w:szCs w:val="18"/>
                <w:lang w:eastAsia="es-CO"/>
              </w:rPr>
            </w:pPr>
            <w:r w:rsidRPr="00957922">
              <w:rPr>
                <w:rFonts w:ascii="Arial Narrow" w:hAnsi="Arial Narrow" w:cs="Calibri"/>
                <w:color w:val="000000"/>
                <w:spacing w:val="0"/>
                <w:sz w:val="18"/>
                <w:szCs w:val="18"/>
                <w:lang w:eastAsia="es-CO"/>
              </w:rPr>
              <w:t>NORTESANTANDEREANA DE GAS S.A. E.S.P.</w:t>
            </w:r>
          </w:p>
        </w:tc>
        <w:tc>
          <w:tcPr>
            <w:tcW w:w="1831" w:type="dxa"/>
            <w:tcBorders>
              <w:top w:val="nil"/>
              <w:left w:val="nil"/>
              <w:bottom w:val="single" w:sz="4" w:space="0" w:color="auto"/>
              <w:right w:val="single" w:sz="4" w:space="0" w:color="auto"/>
            </w:tcBorders>
            <w:shd w:val="clear" w:color="auto" w:fill="auto"/>
            <w:vAlign w:val="center"/>
            <w:hideMark/>
          </w:tcPr>
          <w:p w14:paraId="67DE590B" w14:textId="77777777" w:rsidR="00957922" w:rsidRPr="00957922" w:rsidRDefault="00957922" w:rsidP="00957922">
            <w:pPr>
              <w:jc w:val="left"/>
              <w:rPr>
                <w:rFonts w:ascii="Arial Narrow" w:hAnsi="Arial Narrow" w:cs="Calibri"/>
                <w:color w:val="000000"/>
                <w:spacing w:val="0"/>
                <w:sz w:val="18"/>
                <w:szCs w:val="18"/>
                <w:lang w:eastAsia="es-CO"/>
              </w:rPr>
            </w:pPr>
            <w:r w:rsidRPr="00957922">
              <w:rPr>
                <w:rFonts w:ascii="Arial Narrow" w:hAnsi="Arial Narrow" w:cs="Calibri"/>
                <w:color w:val="000000"/>
                <w:spacing w:val="0"/>
                <w:sz w:val="18"/>
                <w:szCs w:val="18"/>
                <w:lang w:eastAsia="es-CO"/>
              </w:rPr>
              <w:t>GN-GLP</w:t>
            </w:r>
          </w:p>
        </w:tc>
      </w:tr>
      <w:tr w:rsidR="00957922" w:rsidRPr="00957922" w14:paraId="196C35C8" w14:textId="77777777" w:rsidTr="00A561A0">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2EA2389" w14:textId="77777777" w:rsidR="00957922" w:rsidRPr="00957922" w:rsidRDefault="00957922" w:rsidP="00957922">
            <w:pPr>
              <w:jc w:val="center"/>
              <w:rPr>
                <w:rFonts w:ascii="Arial Narrow" w:hAnsi="Arial Narrow" w:cs="Calibri"/>
                <w:color w:val="000000"/>
                <w:spacing w:val="0"/>
                <w:sz w:val="18"/>
                <w:szCs w:val="18"/>
                <w:lang w:eastAsia="es-CO"/>
              </w:rPr>
            </w:pPr>
            <w:r w:rsidRPr="00957922">
              <w:rPr>
                <w:rFonts w:ascii="Arial Narrow" w:hAnsi="Arial Narrow" w:cs="Calibri"/>
                <w:color w:val="000000"/>
                <w:spacing w:val="0"/>
                <w:sz w:val="18"/>
                <w:szCs w:val="18"/>
                <w:lang w:eastAsia="es-CO"/>
              </w:rPr>
              <w:t>13</w:t>
            </w:r>
          </w:p>
        </w:tc>
        <w:tc>
          <w:tcPr>
            <w:tcW w:w="1092" w:type="dxa"/>
            <w:tcBorders>
              <w:top w:val="nil"/>
              <w:left w:val="nil"/>
              <w:bottom w:val="single" w:sz="4" w:space="0" w:color="auto"/>
              <w:right w:val="single" w:sz="4" w:space="0" w:color="auto"/>
            </w:tcBorders>
            <w:shd w:val="clear" w:color="auto" w:fill="auto"/>
            <w:noWrap/>
            <w:vAlign w:val="center"/>
            <w:hideMark/>
          </w:tcPr>
          <w:p w14:paraId="5B620F9E" w14:textId="77777777" w:rsidR="00957922" w:rsidRPr="00957922" w:rsidRDefault="00957922" w:rsidP="00957922">
            <w:pPr>
              <w:jc w:val="right"/>
              <w:rPr>
                <w:rFonts w:ascii="Arial Narrow" w:hAnsi="Arial Narrow" w:cs="Calibri"/>
                <w:color w:val="000000"/>
                <w:spacing w:val="0"/>
                <w:sz w:val="18"/>
                <w:szCs w:val="18"/>
                <w:lang w:eastAsia="es-CO"/>
              </w:rPr>
            </w:pPr>
            <w:r w:rsidRPr="00957922">
              <w:rPr>
                <w:rFonts w:ascii="Arial Narrow" w:hAnsi="Arial Narrow" w:cs="Calibri"/>
                <w:color w:val="000000"/>
                <w:spacing w:val="0"/>
                <w:sz w:val="18"/>
                <w:szCs w:val="18"/>
                <w:lang w:eastAsia="es-CO"/>
              </w:rPr>
              <w:t>3206</w:t>
            </w:r>
          </w:p>
        </w:tc>
        <w:tc>
          <w:tcPr>
            <w:tcW w:w="879" w:type="dxa"/>
            <w:tcBorders>
              <w:top w:val="nil"/>
              <w:left w:val="nil"/>
              <w:bottom w:val="single" w:sz="4" w:space="0" w:color="auto"/>
              <w:right w:val="single" w:sz="4" w:space="0" w:color="auto"/>
            </w:tcBorders>
            <w:shd w:val="clear" w:color="auto" w:fill="auto"/>
            <w:noWrap/>
            <w:vAlign w:val="center"/>
            <w:hideMark/>
          </w:tcPr>
          <w:p w14:paraId="5BFDF9DD" w14:textId="77777777" w:rsidR="00957922" w:rsidRPr="00957922" w:rsidRDefault="00957922" w:rsidP="00957922">
            <w:pPr>
              <w:jc w:val="right"/>
              <w:rPr>
                <w:rFonts w:ascii="Arial Narrow" w:hAnsi="Arial Narrow" w:cs="Calibri"/>
                <w:color w:val="000000"/>
                <w:spacing w:val="0"/>
                <w:sz w:val="18"/>
                <w:szCs w:val="18"/>
                <w:lang w:eastAsia="es-CO"/>
              </w:rPr>
            </w:pPr>
            <w:r w:rsidRPr="00957922">
              <w:rPr>
                <w:rFonts w:ascii="Arial Narrow" w:hAnsi="Arial Narrow" w:cs="Calibri"/>
                <w:color w:val="000000"/>
                <w:spacing w:val="0"/>
                <w:sz w:val="18"/>
                <w:szCs w:val="18"/>
                <w:lang w:eastAsia="es-CO"/>
              </w:rPr>
              <w:t>899999068</w:t>
            </w:r>
          </w:p>
        </w:tc>
        <w:tc>
          <w:tcPr>
            <w:tcW w:w="3977" w:type="dxa"/>
            <w:tcBorders>
              <w:top w:val="nil"/>
              <w:left w:val="nil"/>
              <w:bottom w:val="single" w:sz="4" w:space="0" w:color="auto"/>
              <w:right w:val="single" w:sz="4" w:space="0" w:color="auto"/>
            </w:tcBorders>
            <w:shd w:val="clear" w:color="auto" w:fill="auto"/>
            <w:vAlign w:val="center"/>
            <w:hideMark/>
          </w:tcPr>
          <w:p w14:paraId="3967687B" w14:textId="77777777" w:rsidR="00957922" w:rsidRPr="00957922" w:rsidRDefault="00957922" w:rsidP="00957922">
            <w:pPr>
              <w:jc w:val="left"/>
              <w:rPr>
                <w:rFonts w:ascii="Arial Narrow" w:hAnsi="Arial Narrow" w:cs="Calibri"/>
                <w:color w:val="000000"/>
                <w:spacing w:val="0"/>
                <w:sz w:val="18"/>
                <w:szCs w:val="18"/>
                <w:lang w:eastAsia="es-CO"/>
              </w:rPr>
            </w:pPr>
            <w:r w:rsidRPr="00957922">
              <w:rPr>
                <w:rFonts w:ascii="Arial Narrow" w:hAnsi="Arial Narrow" w:cs="Calibri"/>
                <w:color w:val="000000"/>
                <w:spacing w:val="0"/>
                <w:sz w:val="18"/>
                <w:szCs w:val="18"/>
                <w:lang w:eastAsia="es-CO"/>
              </w:rPr>
              <w:t>ECOPETROL S.A.</w:t>
            </w:r>
          </w:p>
        </w:tc>
        <w:tc>
          <w:tcPr>
            <w:tcW w:w="1831" w:type="dxa"/>
            <w:tcBorders>
              <w:top w:val="nil"/>
              <w:left w:val="nil"/>
              <w:bottom w:val="single" w:sz="4" w:space="0" w:color="auto"/>
              <w:right w:val="single" w:sz="4" w:space="0" w:color="auto"/>
            </w:tcBorders>
            <w:shd w:val="clear" w:color="auto" w:fill="auto"/>
            <w:vAlign w:val="center"/>
            <w:hideMark/>
          </w:tcPr>
          <w:p w14:paraId="4F1FFE50" w14:textId="77777777" w:rsidR="00957922" w:rsidRPr="00957922" w:rsidRDefault="00957922" w:rsidP="00957922">
            <w:pPr>
              <w:jc w:val="left"/>
              <w:rPr>
                <w:rFonts w:ascii="Arial Narrow" w:hAnsi="Arial Narrow" w:cs="Calibri"/>
                <w:color w:val="000000"/>
                <w:spacing w:val="0"/>
                <w:sz w:val="18"/>
                <w:szCs w:val="18"/>
                <w:lang w:eastAsia="es-CO"/>
              </w:rPr>
            </w:pPr>
            <w:r w:rsidRPr="00957922">
              <w:rPr>
                <w:rFonts w:ascii="Arial Narrow" w:hAnsi="Arial Narrow" w:cs="Calibri"/>
                <w:color w:val="000000"/>
                <w:spacing w:val="0"/>
                <w:sz w:val="18"/>
                <w:szCs w:val="18"/>
                <w:lang w:eastAsia="es-CO"/>
              </w:rPr>
              <w:t>GN-GLP</w:t>
            </w:r>
          </w:p>
        </w:tc>
      </w:tr>
      <w:tr w:rsidR="00957922" w:rsidRPr="00957922" w14:paraId="35C9BE16" w14:textId="77777777" w:rsidTr="00A561A0">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757F0A7" w14:textId="77777777" w:rsidR="00957922" w:rsidRPr="00957922" w:rsidRDefault="00957922" w:rsidP="00957922">
            <w:pPr>
              <w:jc w:val="center"/>
              <w:rPr>
                <w:rFonts w:ascii="Arial Narrow" w:hAnsi="Arial Narrow" w:cs="Calibri"/>
                <w:color w:val="000000"/>
                <w:spacing w:val="0"/>
                <w:sz w:val="18"/>
                <w:szCs w:val="18"/>
                <w:lang w:eastAsia="es-CO"/>
              </w:rPr>
            </w:pPr>
            <w:r w:rsidRPr="00957922">
              <w:rPr>
                <w:rFonts w:ascii="Arial Narrow" w:hAnsi="Arial Narrow" w:cs="Calibri"/>
                <w:color w:val="000000"/>
                <w:spacing w:val="0"/>
                <w:sz w:val="18"/>
                <w:szCs w:val="18"/>
                <w:lang w:eastAsia="es-CO"/>
              </w:rPr>
              <w:t>14</w:t>
            </w:r>
          </w:p>
        </w:tc>
        <w:tc>
          <w:tcPr>
            <w:tcW w:w="1092" w:type="dxa"/>
            <w:tcBorders>
              <w:top w:val="nil"/>
              <w:left w:val="nil"/>
              <w:bottom w:val="single" w:sz="4" w:space="0" w:color="auto"/>
              <w:right w:val="single" w:sz="4" w:space="0" w:color="auto"/>
            </w:tcBorders>
            <w:shd w:val="clear" w:color="auto" w:fill="auto"/>
            <w:noWrap/>
            <w:vAlign w:val="center"/>
            <w:hideMark/>
          </w:tcPr>
          <w:p w14:paraId="33B81CF2" w14:textId="77777777" w:rsidR="00957922" w:rsidRPr="00957922" w:rsidRDefault="00957922" w:rsidP="00957922">
            <w:pPr>
              <w:jc w:val="right"/>
              <w:rPr>
                <w:rFonts w:ascii="Arial Narrow" w:hAnsi="Arial Narrow" w:cs="Calibri"/>
                <w:color w:val="000000"/>
                <w:spacing w:val="0"/>
                <w:sz w:val="18"/>
                <w:szCs w:val="18"/>
                <w:lang w:eastAsia="es-CO"/>
              </w:rPr>
            </w:pPr>
            <w:r w:rsidRPr="00957922">
              <w:rPr>
                <w:rFonts w:ascii="Arial Narrow" w:hAnsi="Arial Narrow" w:cs="Calibri"/>
                <w:color w:val="000000"/>
                <w:spacing w:val="0"/>
                <w:sz w:val="18"/>
                <w:szCs w:val="18"/>
                <w:lang w:eastAsia="es-CO"/>
              </w:rPr>
              <w:t>20420</w:t>
            </w:r>
          </w:p>
        </w:tc>
        <w:tc>
          <w:tcPr>
            <w:tcW w:w="879" w:type="dxa"/>
            <w:tcBorders>
              <w:top w:val="nil"/>
              <w:left w:val="nil"/>
              <w:bottom w:val="single" w:sz="4" w:space="0" w:color="auto"/>
              <w:right w:val="single" w:sz="4" w:space="0" w:color="auto"/>
            </w:tcBorders>
            <w:shd w:val="clear" w:color="auto" w:fill="auto"/>
            <w:noWrap/>
            <w:vAlign w:val="center"/>
            <w:hideMark/>
          </w:tcPr>
          <w:p w14:paraId="393B476E" w14:textId="77777777" w:rsidR="00957922" w:rsidRPr="00957922" w:rsidRDefault="00957922" w:rsidP="00957922">
            <w:pPr>
              <w:jc w:val="right"/>
              <w:rPr>
                <w:rFonts w:ascii="Arial Narrow" w:hAnsi="Arial Narrow" w:cs="Calibri"/>
                <w:color w:val="000000"/>
                <w:spacing w:val="0"/>
                <w:sz w:val="18"/>
                <w:szCs w:val="18"/>
                <w:lang w:eastAsia="es-CO"/>
              </w:rPr>
            </w:pPr>
            <w:r w:rsidRPr="00957922">
              <w:rPr>
                <w:rFonts w:ascii="Arial Narrow" w:hAnsi="Arial Narrow" w:cs="Calibri"/>
                <w:color w:val="000000"/>
                <w:spacing w:val="0"/>
                <w:sz w:val="18"/>
                <w:szCs w:val="18"/>
                <w:lang w:eastAsia="es-CO"/>
              </w:rPr>
              <w:t>900028111</w:t>
            </w:r>
          </w:p>
        </w:tc>
        <w:tc>
          <w:tcPr>
            <w:tcW w:w="3977" w:type="dxa"/>
            <w:tcBorders>
              <w:top w:val="nil"/>
              <w:left w:val="nil"/>
              <w:bottom w:val="single" w:sz="4" w:space="0" w:color="auto"/>
              <w:right w:val="single" w:sz="4" w:space="0" w:color="auto"/>
            </w:tcBorders>
            <w:shd w:val="clear" w:color="auto" w:fill="auto"/>
            <w:vAlign w:val="center"/>
            <w:hideMark/>
          </w:tcPr>
          <w:p w14:paraId="323026CC" w14:textId="77777777" w:rsidR="00957922" w:rsidRPr="00957922" w:rsidRDefault="00957922" w:rsidP="00957922">
            <w:pPr>
              <w:jc w:val="left"/>
              <w:rPr>
                <w:rFonts w:ascii="Arial Narrow" w:hAnsi="Arial Narrow" w:cs="Calibri"/>
                <w:color w:val="000000"/>
                <w:spacing w:val="0"/>
                <w:sz w:val="18"/>
                <w:szCs w:val="18"/>
                <w:lang w:eastAsia="es-CO"/>
              </w:rPr>
            </w:pPr>
            <w:r w:rsidRPr="00957922">
              <w:rPr>
                <w:rFonts w:ascii="Arial Narrow" w:hAnsi="Arial Narrow" w:cs="Calibri"/>
                <w:color w:val="000000"/>
                <w:spacing w:val="0"/>
                <w:sz w:val="18"/>
                <w:szCs w:val="18"/>
                <w:lang w:eastAsia="es-CO"/>
              </w:rPr>
              <w:t>TURGAS S.A. E.S.P.</w:t>
            </w:r>
          </w:p>
        </w:tc>
        <w:tc>
          <w:tcPr>
            <w:tcW w:w="1831" w:type="dxa"/>
            <w:tcBorders>
              <w:top w:val="nil"/>
              <w:left w:val="nil"/>
              <w:bottom w:val="single" w:sz="4" w:space="0" w:color="auto"/>
              <w:right w:val="single" w:sz="4" w:space="0" w:color="auto"/>
            </w:tcBorders>
            <w:shd w:val="clear" w:color="auto" w:fill="auto"/>
            <w:vAlign w:val="center"/>
            <w:hideMark/>
          </w:tcPr>
          <w:p w14:paraId="7C4D1FCC" w14:textId="77777777" w:rsidR="00957922" w:rsidRPr="00957922" w:rsidRDefault="00957922" w:rsidP="00957922">
            <w:pPr>
              <w:jc w:val="left"/>
              <w:rPr>
                <w:rFonts w:ascii="Arial Narrow" w:hAnsi="Arial Narrow" w:cs="Calibri"/>
                <w:color w:val="000000"/>
                <w:spacing w:val="0"/>
                <w:sz w:val="18"/>
                <w:szCs w:val="18"/>
                <w:lang w:eastAsia="es-CO"/>
              </w:rPr>
            </w:pPr>
            <w:r w:rsidRPr="00957922">
              <w:rPr>
                <w:rFonts w:ascii="Arial Narrow" w:hAnsi="Arial Narrow" w:cs="Calibri"/>
                <w:color w:val="000000"/>
                <w:spacing w:val="0"/>
                <w:sz w:val="18"/>
                <w:szCs w:val="18"/>
                <w:lang w:eastAsia="es-CO"/>
              </w:rPr>
              <w:t>GN-GLP</w:t>
            </w:r>
          </w:p>
        </w:tc>
      </w:tr>
      <w:tr w:rsidR="00957922" w:rsidRPr="00957922" w14:paraId="39AF7015" w14:textId="77777777" w:rsidTr="00A561A0">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78E17E7" w14:textId="77777777" w:rsidR="00957922" w:rsidRPr="00957922" w:rsidRDefault="00957922" w:rsidP="00957922">
            <w:pPr>
              <w:jc w:val="center"/>
              <w:rPr>
                <w:rFonts w:ascii="Arial Narrow" w:hAnsi="Arial Narrow" w:cs="Calibri"/>
                <w:color w:val="000000"/>
                <w:spacing w:val="0"/>
                <w:sz w:val="18"/>
                <w:szCs w:val="18"/>
                <w:lang w:eastAsia="es-CO"/>
              </w:rPr>
            </w:pPr>
            <w:r w:rsidRPr="00957922">
              <w:rPr>
                <w:rFonts w:ascii="Arial Narrow" w:hAnsi="Arial Narrow" w:cs="Calibri"/>
                <w:color w:val="000000"/>
                <w:spacing w:val="0"/>
                <w:sz w:val="18"/>
                <w:szCs w:val="18"/>
                <w:lang w:eastAsia="es-CO"/>
              </w:rPr>
              <w:t>15</w:t>
            </w:r>
          </w:p>
        </w:tc>
        <w:tc>
          <w:tcPr>
            <w:tcW w:w="1092" w:type="dxa"/>
            <w:tcBorders>
              <w:top w:val="nil"/>
              <w:left w:val="nil"/>
              <w:bottom w:val="single" w:sz="4" w:space="0" w:color="auto"/>
              <w:right w:val="single" w:sz="4" w:space="0" w:color="auto"/>
            </w:tcBorders>
            <w:shd w:val="clear" w:color="auto" w:fill="auto"/>
            <w:noWrap/>
            <w:vAlign w:val="center"/>
            <w:hideMark/>
          </w:tcPr>
          <w:p w14:paraId="4137BE74" w14:textId="77777777" w:rsidR="00957922" w:rsidRPr="00957922" w:rsidRDefault="00957922" w:rsidP="00957922">
            <w:pPr>
              <w:jc w:val="right"/>
              <w:rPr>
                <w:rFonts w:ascii="Arial Narrow" w:hAnsi="Arial Narrow" w:cs="Calibri"/>
                <w:color w:val="000000"/>
                <w:spacing w:val="0"/>
                <w:sz w:val="18"/>
                <w:szCs w:val="18"/>
                <w:lang w:eastAsia="es-CO"/>
              </w:rPr>
            </w:pPr>
            <w:r w:rsidRPr="00957922">
              <w:rPr>
                <w:rFonts w:ascii="Arial Narrow" w:hAnsi="Arial Narrow" w:cs="Calibri"/>
                <w:color w:val="000000"/>
                <w:spacing w:val="0"/>
                <w:sz w:val="18"/>
                <w:szCs w:val="18"/>
                <w:lang w:eastAsia="es-CO"/>
              </w:rPr>
              <w:t>22972</w:t>
            </w:r>
          </w:p>
        </w:tc>
        <w:tc>
          <w:tcPr>
            <w:tcW w:w="879" w:type="dxa"/>
            <w:tcBorders>
              <w:top w:val="nil"/>
              <w:left w:val="nil"/>
              <w:bottom w:val="single" w:sz="4" w:space="0" w:color="auto"/>
              <w:right w:val="single" w:sz="4" w:space="0" w:color="auto"/>
            </w:tcBorders>
            <w:shd w:val="clear" w:color="auto" w:fill="auto"/>
            <w:noWrap/>
            <w:vAlign w:val="center"/>
            <w:hideMark/>
          </w:tcPr>
          <w:p w14:paraId="12923133" w14:textId="77777777" w:rsidR="00957922" w:rsidRPr="00957922" w:rsidRDefault="00957922" w:rsidP="00957922">
            <w:pPr>
              <w:jc w:val="right"/>
              <w:rPr>
                <w:rFonts w:ascii="Arial Narrow" w:hAnsi="Arial Narrow" w:cs="Calibri"/>
                <w:color w:val="000000"/>
                <w:spacing w:val="0"/>
                <w:sz w:val="18"/>
                <w:szCs w:val="18"/>
                <w:lang w:eastAsia="es-CO"/>
              </w:rPr>
            </w:pPr>
            <w:r w:rsidRPr="00957922">
              <w:rPr>
                <w:rFonts w:ascii="Arial Narrow" w:hAnsi="Arial Narrow" w:cs="Calibri"/>
                <w:color w:val="000000"/>
                <w:spacing w:val="0"/>
                <w:sz w:val="18"/>
                <w:szCs w:val="18"/>
                <w:lang w:eastAsia="es-CO"/>
              </w:rPr>
              <w:t>830058558</w:t>
            </w:r>
          </w:p>
        </w:tc>
        <w:tc>
          <w:tcPr>
            <w:tcW w:w="3977" w:type="dxa"/>
            <w:tcBorders>
              <w:top w:val="nil"/>
              <w:left w:val="nil"/>
              <w:bottom w:val="single" w:sz="4" w:space="0" w:color="auto"/>
              <w:right w:val="single" w:sz="4" w:space="0" w:color="auto"/>
            </w:tcBorders>
            <w:shd w:val="clear" w:color="auto" w:fill="auto"/>
            <w:vAlign w:val="center"/>
            <w:hideMark/>
          </w:tcPr>
          <w:p w14:paraId="0D7628D4" w14:textId="77777777" w:rsidR="00957922" w:rsidRPr="00957922" w:rsidRDefault="00957922" w:rsidP="00957922">
            <w:pPr>
              <w:jc w:val="left"/>
              <w:rPr>
                <w:rFonts w:ascii="Arial Narrow" w:hAnsi="Arial Narrow" w:cs="Calibri"/>
                <w:color w:val="000000"/>
                <w:spacing w:val="0"/>
                <w:sz w:val="18"/>
                <w:szCs w:val="18"/>
                <w:lang w:eastAsia="es-CO"/>
              </w:rPr>
            </w:pPr>
            <w:r w:rsidRPr="00957922">
              <w:rPr>
                <w:rFonts w:ascii="Arial Narrow" w:hAnsi="Arial Narrow" w:cs="Calibri"/>
                <w:color w:val="000000"/>
                <w:spacing w:val="0"/>
                <w:sz w:val="18"/>
                <w:szCs w:val="18"/>
                <w:lang w:eastAsia="es-CO"/>
              </w:rPr>
              <w:t>TY GAS S.A. E.S.P.</w:t>
            </w:r>
          </w:p>
        </w:tc>
        <w:tc>
          <w:tcPr>
            <w:tcW w:w="1831" w:type="dxa"/>
            <w:tcBorders>
              <w:top w:val="nil"/>
              <w:left w:val="nil"/>
              <w:bottom w:val="single" w:sz="4" w:space="0" w:color="auto"/>
              <w:right w:val="single" w:sz="4" w:space="0" w:color="auto"/>
            </w:tcBorders>
            <w:shd w:val="clear" w:color="auto" w:fill="auto"/>
            <w:vAlign w:val="center"/>
            <w:hideMark/>
          </w:tcPr>
          <w:p w14:paraId="09090271" w14:textId="77777777" w:rsidR="00957922" w:rsidRPr="00957922" w:rsidRDefault="00957922" w:rsidP="00957922">
            <w:pPr>
              <w:jc w:val="left"/>
              <w:rPr>
                <w:rFonts w:ascii="Arial Narrow" w:hAnsi="Arial Narrow" w:cs="Calibri"/>
                <w:color w:val="000000"/>
                <w:spacing w:val="0"/>
                <w:sz w:val="18"/>
                <w:szCs w:val="18"/>
                <w:lang w:eastAsia="es-CO"/>
              </w:rPr>
            </w:pPr>
            <w:r w:rsidRPr="00957922">
              <w:rPr>
                <w:rFonts w:ascii="Arial Narrow" w:hAnsi="Arial Narrow" w:cs="Calibri"/>
                <w:color w:val="000000"/>
                <w:spacing w:val="0"/>
                <w:sz w:val="18"/>
                <w:szCs w:val="18"/>
                <w:lang w:eastAsia="es-CO"/>
              </w:rPr>
              <w:t>GN-GLP</w:t>
            </w:r>
          </w:p>
        </w:tc>
      </w:tr>
      <w:tr w:rsidR="00957922" w:rsidRPr="00957922" w14:paraId="6B6BA9BD" w14:textId="77777777" w:rsidTr="00A561A0">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A6BB6F7" w14:textId="77777777" w:rsidR="00957922" w:rsidRPr="00957922" w:rsidRDefault="00957922" w:rsidP="00957922">
            <w:pPr>
              <w:jc w:val="center"/>
              <w:rPr>
                <w:rFonts w:ascii="Arial Narrow" w:hAnsi="Arial Narrow" w:cs="Calibri"/>
                <w:color w:val="000000"/>
                <w:spacing w:val="0"/>
                <w:sz w:val="18"/>
                <w:szCs w:val="18"/>
                <w:lang w:eastAsia="es-CO"/>
              </w:rPr>
            </w:pPr>
            <w:r w:rsidRPr="00957922">
              <w:rPr>
                <w:rFonts w:ascii="Arial Narrow" w:hAnsi="Arial Narrow" w:cs="Calibri"/>
                <w:color w:val="000000"/>
                <w:spacing w:val="0"/>
                <w:sz w:val="18"/>
                <w:szCs w:val="18"/>
                <w:lang w:eastAsia="es-CO"/>
              </w:rPr>
              <w:t>16</w:t>
            </w:r>
          </w:p>
        </w:tc>
        <w:tc>
          <w:tcPr>
            <w:tcW w:w="1092" w:type="dxa"/>
            <w:tcBorders>
              <w:top w:val="nil"/>
              <w:left w:val="nil"/>
              <w:bottom w:val="single" w:sz="4" w:space="0" w:color="auto"/>
              <w:right w:val="single" w:sz="4" w:space="0" w:color="auto"/>
            </w:tcBorders>
            <w:shd w:val="clear" w:color="auto" w:fill="auto"/>
            <w:noWrap/>
            <w:vAlign w:val="center"/>
            <w:hideMark/>
          </w:tcPr>
          <w:p w14:paraId="3156D356" w14:textId="77777777" w:rsidR="00957922" w:rsidRPr="00957922" w:rsidRDefault="00957922" w:rsidP="00957922">
            <w:pPr>
              <w:jc w:val="right"/>
              <w:rPr>
                <w:rFonts w:ascii="Arial Narrow" w:hAnsi="Arial Narrow" w:cs="Calibri"/>
                <w:color w:val="000000"/>
                <w:spacing w:val="0"/>
                <w:sz w:val="18"/>
                <w:szCs w:val="18"/>
                <w:lang w:eastAsia="es-CO"/>
              </w:rPr>
            </w:pPr>
            <w:r w:rsidRPr="00957922">
              <w:rPr>
                <w:rFonts w:ascii="Arial Narrow" w:hAnsi="Arial Narrow" w:cs="Calibri"/>
                <w:color w:val="000000"/>
                <w:spacing w:val="0"/>
                <w:sz w:val="18"/>
                <w:szCs w:val="18"/>
                <w:lang w:eastAsia="es-CO"/>
              </w:rPr>
              <w:t>24975</w:t>
            </w:r>
          </w:p>
        </w:tc>
        <w:tc>
          <w:tcPr>
            <w:tcW w:w="879" w:type="dxa"/>
            <w:tcBorders>
              <w:top w:val="nil"/>
              <w:left w:val="nil"/>
              <w:bottom w:val="single" w:sz="4" w:space="0" w:color="auto"/>
              <w:right w:val="single" w:sz="4" w:space="0" w:color="auto"/>
            </w:tcBorders>
            <w:shd w:val="clear" w:color="auto" w:fill="auto"/>
            <w:noWrap/>
            <w:vAlign w:val="center"/>
            <w:hideMark/>
          </w:tcPr>
          <w:p w14:paraId="6AF64728" w14:textId="77777777" w:rsidR="00957922" w:rsidRPr="00957922" w:rsidRDefault="00957922" w:rsidP="00957922">
            <w:pPr>
              <w:jc w:val="right"/>
              <w:rPr>
                <w:rFonts w:ascii="Arial Narrow" w:hAnsi="Arial Narrow" w:cs="Calibri"/>
                <w:color w:val="000000"/>
                <w:spacing w:val="0"/>
                <w:sz w:val="18"/>
                <w:szCs w:val="18"/>
                <w:lang w:eastAsia="es-CO"/>
              </w:rPr>
            </w:pPr>
            <w:r w:rsidRPr="00957922">
              <w:rPr>
                <w:rFonts w:ascii="Arial Narrow" w:hAnsi="Arial Narrow" w:cs="Calibri"/>
                <w:color w:val="000000"/>
                <w:spacing w:val="0"/>
                <w:sz w:val="18"/>
                <w:szCs w:val="18"/>
                <w:lang w:eastAsia="es-CO"/>
              </w:rPr>
              <w:t>900038232</w:t>
            </w:r>
          </w:p>
        </w:tc>
        <w:tc>
          <w:tcPr>
            <w:tcW w:w="3977" w:type="dxa"/>
            <w:tcBorders>
              <w:top w:val="nil"/>
              <w:left w:val="nil"/>
              <w:bottom w:val="single" w:sz="4" w:space="0" w:color="auto"/>
              <w:right w:val="single" w:sz="4" w:space="0" w:color="auto"/>
            </w:tcBorders>
            <w:shd w:val="clear" w:color="auto" w:fill="auto"/>
            <w:vAlign w:val="center"/>
            <w:hideMark/>
          </w:tcPr>
          <w:p w14:paraId="0514BD39" w14:textId="77777777" w:rsidR="00957922" w:rsidRPr="00957922" w:rsidRDefault="00957922" w:rsidP="00957922">
            <w:pPr>
              <w:jc w:val="left"/>
              <w:rPr>
                <w:rFonts w:ascii="Arial Narrow" w:hAnsi="Arial Narrow" w:cs="Calibri"/>
                <w:color w:val="000000"/>
                <w:spacing w:val="0"/>
                <w:sz w:val="18"/>
                <w:szCs w:val="18"/>
                <w:lang w:eastAsia="es-CO"/>
              </w:rPr>
            </w:pPr>
            <w:r w:rsidRPr="00957922">
              <w:rPr>
                <w:rFonts w:ascii="Arial Narrow" w:hAnsi="Arial Narrow" w:cs="Calibri"/>
                <w:color w:val="000000"/>
                <w:spacing w:val="0"/>
                <w:sz w:val="18"/>
                <w:szCs w:val="18"/>
                <w:lang w:eastAsia="es-CO"/>
              </w:rPr>
              <w:t>CENTRAL TERMOELECTRICA EL MORRO 2 SAS ESP</w:t>
            </w:r>
          </w:p>
        </w:tc>
        <w:tc>
          <w:tcPr>
            <w:tcW w:w="1831" w:type="dxa"/>
            <w:tcBorders>
              <w:top w:val="nil"/>
              <w:left w:val="nil"/>
              <w:bottom w:val="single" w:sz="4" w:space="0" w:color="auto"/>
              <w:right w:val="single" w:sz="4" w:space="0" w:color="auto"/>
            </w:tcBorders>
            <w:shd w:val="clear" w:color="auto" w:fill="auto"/>
            <w:vAlign w:val="center"/>
            <w:hideMark/>
          </w:tcPr>
          <w:p w14:paraId="07ABF892" w14:textId="77777777" w:rsidR="00957922" w:rsidRPr="00957922" w:rsidRDefault="00957922" w:rsidP="00957922">
            <w:pPr>
              <w:jc w:val="left"/>
              <w:rPr>
                <w:rFonts w:ascii="Arial Narrow" w:hAnsi="Arial Narrow" w:cs="Calibri"/>
                <w:color w:val="000000"/>
                <w:spacing w:val="0"/>
                <w:sz w:val="18"/>
                <w:szCs w:val="18"/>
                <w:lang w:eastAsia="es-CO"/>
              </w:rPr>
            </w:pPr>
            <w:r w:rsidRPr="00957922">
              <w:rPr>
                <w:rFonts w:ascii="Arial Narrow" w:hAnsi="Arial Narrow" w:cs="Calibri"/>
                <w:color w:val="000000"/>
                <w:spacing w:val="0"/>
                <w:sz w:val="18"/>
                <w:szCs w:val="18"/>
                <w:lang w:eastAsia="es-CO"/>
              </w:rPr>
              <w:t>GN-GLP</w:t>
            </w:r>
          </w:p>
        </w:tc>
      </w:tr>
      <w:tr w:rsidR="00957922" w:rsidRPr="00957922" w14:paraId="32BA12A9" w14:textId="77777777" w:rsidTr="00A561A0">
        <w:trPr>
          <w:trHeight w:val="4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C5BBA6A" w14:textId="77777777" w:rsidR="00957922" w:rsidRPr="00957922" w:rsidRDefault="00957922" w:rsidP="00957922">
            <w:pPr>
              <w:jc w:val="center"/>
              <w:rPr>
                <w:rFonts w:ascii="Arial Narrow" w:hAnsi="Arial Narrow" w:cs="Calibri"/>
                <w:color w:val="000000"/>
                <w:spacing w:val="0"/>
                <w:sz w:val="18"/>
                <w:szCs w:val="18"/>
                <w:lang w:eastAsia="es-CO"/>
              </w:rPr>
            </w:pPr>
            <w:r w:rsidRPr="00957922">
              <w:rPr>
                <w:rFonts w:ascii="Arial Narrow" w:hAnsi="Arial Narrow" w:cs="Calibri"/>
                <w:color w:val="000000"/>
                <w:spacing w:val="0"/>
                <w:sz w:val="18"/>
                <w:szCs w:val="18"/>
                <w:lang w:eastAsia="es-CO"/>
              </w:rPr>
              <w:t>17</w:t>
            </w:r>
          </w:p>
        </w:tc>
        <w:tc>
          <w:tcPr>
            <w:tcW w:w="1092" w:type="dxa"/>
            <w:tcBorders>
              <w:top w:val="nil"/>
              <w:left w:val="nil"/>
              <w:bottom w:val="single" w:sz="4" w:space="0" w:color="auto"/>
              <w:right w:val="single" w:sz="4" w:space="0" w:color="auto"/>
            </w:tcBorders>
            <w:shd w:val="clear" w:color="auto" w:fill="auto"/>
            <w:noWrap/>
            <w:vAlign w:val="center"/>
            <w:hideMark/>
          </w:tcPr>
          <w:p w14:paraId="060B26A4" w14:textId="77777777" w:rsidR="00957922" w:rsidRPr="00957922" w:rsidRDefault="00957922" w:rsidP="00957922">
            <w:pPr>
              <w:jc w:val="right"/>
              <w:rPr>
                <w:rFonts w:ascii="Arial Narrow" w:hAnsi="Arial Narrow" w:cs="Calibri"/>
                <w:color w:val="000000"/>
                <w:spacing w:val="0"/>
                <w:sz w:val="18"/>
                <w:szCs w:val="18"/>
                <w:lang w:eastAsia="es-CO"/>
              </w:rPr>
            </w:pPr>
            <w:r w:rsidRPr="00957922">
              <w:rPr>
                <w:rFonts w:ascii="Arial Narrow" w:hAnsi="Arial Narrow" w:cs="Calibri"/>
                <w:color w:val="000000"/>
                <w:spacing w:val="0"/>
                <w:sz w:val="18"/>
                <w:szCs w:val="18"/>
                <w:lang w:eastAsia="es-CO"/>
              </w:rPr>
              <w:t>25688</w:t>
            </w:r>
          </w:p>
        </w:tc>
        <w:tc>
          <w:tcPr>
            <w:tcW w:w="879" w:type="dxa"/>
            <w:tcBorders>
              <w:top w:val="nil"/>
              <w:left w:val="nil"/>
              <w:bottom w:val="single" w:sz="4" w:space="0" w:color="auto"/>
              <w:right w:val="single" w:sz="4" w:space="0" w:color="auto"/>
            </w:tcBorders>
            <w:shd w:val="clear" w:color="auto" w:fill="auto"/>
            <w:noWrap/>
            <w:vAlign w:val="center"/>
            <w:hideMark/>
          </w:tcPr>
          <w:p w14:paraId="74D6028B" w14:textId="77777777" w:rsidR="00957922" w:rsidRPr="00957922" w:rsidRDefault="00957922" w:rsidP="00957922">
            <w:pPr>
              <w:jc w:val="right"/>
              <w:rPr>
                <w:rFonts w:ascii="Arial Narrow" w:hAnsi="Arial Narrow" w:cs="Calibri"/>
                <w:color w:val="000000"/>
                <w:spacing w:val="0"/>
                <w:sz w:val="18"/>
                <w:szCs w:val="18"/>
                <w:lang w:eastAsia="es-CO"/>
              </w:rPr>
            </w:pPr>
            <w:r w:rsidRPr="00957922">
              <w:rPr>
                <w:rFonts w:ascii="Arial Narrow" w:hAnsi="Arial Narrow" w:cs="Calibri"/>
                <w:color w:val="000000"/>
                <w:spacing w:val="0"/>
                <w:sz w:val="18"/>
                <w:szCs w:val="18"/>
                <w:lang w:eastAsia="es-CO"/>
              </w:rPr>
              <w:t>900319306</w:t>
            </w:r>
          </w:p>
        </w:tc>
        <w:tc>
          <w:tcPr>
            <w:tcW w:w="3977" w:type="dxa"/>
            <w:tcBorders>
              <w:top w:val="nil"/>
              <w:left w:val="nil"/>
              <w:bottom w:val="single" w:sz="4" w:space="0" w:color="auto"/>
              <w:right w:val="single" w:sz="4" w:space="0" w:color="auto"/>
            </w:tcBorders>
            <w:shd w:val="clear" w:color="auto" w:fill="auto"/>
            <w:vAlign w:val="center"/>
            <w:hideMark/>
          </w:tcPr>
          <w:p w14:paraId="512C8BB3" w14:textId="77777777" w:rsidR="00957922" w:rsidRPr="00957922" w:rsidRDefault="00957922" w:rsidP="00957922">
            <w:pPr>
              <w:jc w:val="left"/>
              <w:rPr>
                <w:rFonts w:ascii="Arial Narrow" w:hAnsi="Arial Narrow" w:cs="Calibri"/>
                <w:color w:val="000000"/>
                <w:spacing w:val="0"/>
                <w:sz w:val="18"/>
                <w:szCs w:val="18"/>
                <w:lang w:eastAsia="es-CO"/>
              </w:rPr>
            </w:pPr>
            <w:r w:rsidRPr="00957922">
              <w:rPr>
                <w:rFonts w:ascii="Arial Narrow" w:hAnsi="Arial Narrow" w:cs="Calibri"/>
                <w:color w:val="000000"/>
                <w:spacing w:val="0"/>
                <w:sz w:val="18"/>
                <w:szCs w:val="18"/>
                <w:lang w:eastAsia="es-CO"/>
              </w:rPr>
              <w:t>PEGASUS BLENDING INTERNATIONAL S.A.S. EMPRESA DE SERVICIOS PUBLICOS E.S.P</w:t>
            </w:r>
          </w:p>
        </w:tc>
        <w:tc>
          <w:tcPr>
            <w:tcW w:w="1831" w:type="dxa"/>
            <w:tcBorders>
              <w:top w:val="nil"/>
              <w:left w:val="nil"/>
              <w:bottom w:val="single" w:sz="4" w:space="0" w:color="auto"/>
              <w:right w:val="single" w:sz="4" w:space="0" w:color="auto"/>
            </w:tcBorders>
            <w:shd w:val="clear" w:color="auto" w:fill="auto"/>
            <w:vAlign w:val="center"/>
            <w:hideMark/>
          </w:tcPr>
          <w:p w14:paraId="34F83FF3" w14:textId="77777777" w:rsidR="00957922" w:rsidRPr="00957922" w:rsidRDefault="00957922" w:rsidP="00957922">
            <w:pPr>
              <w:jc w:val="left"/>
              <w:rPr>
                <w:rFonts w:ascii="Arial Narrow" w:hAnsi="Arial Narrow" w:cs="Calibri"/>
                <w:color w:val="000000"/>
                <w:spacing w:val="0"/>
                <w:sz w:val="18"/>
                <w:szCs w:val="18"/>
                <w:lang w:eastAsia="es-CO"/>
              </w:rPr>
            </w:pPr>
            <w:r w:rsidRPr="00957922">
              <w:rPr>
                <w:rFonts w:ascii="Arial Narrow" w:hAnsi="Arial Narrow" w:cs="Calibri"/>
                <w:color w:val="000000"/>
                <w:spacing w:val="0"/>
                <w:sz w:val="18"/>
                <w:szCs w:val="18"/>
                <w:lang w:eastAsia="es-CO"/>
              </w:rPr>
              <w:t>GN-GLP</w:t>
            </w:r>
          </w:p>
        </w:tc>
      </w:tr>
      <w:tr w:rsidR="00957922" w:rsidRPr="00957922" w14:paraId="593E5002" w14:textId="77777777" w:rsidTr="00A561A0">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76ABEE1" w14:textId="77777777" w:rsidR="00957922" w:rsidRPr="00957922" w:rsidRDefault="00957922" w:rsidP="00957922">
            <w:pPr>
              <w:jc w:val="center"/>
              <w:rPr>
                <w:rFonts w:ascii="Arial Narrow" w:hAnsi="Arial Narrow" w:cs="Calibri"/>
                <w:color w:val="000000"/>
                <w:spacing w:val="0"/>
                <w:sz w:val="18"/>
                <w:szCs w:val="18"/>
                <w:lang w:eastAsia="es-CO"/>
              </w:rPr>
            </w:pPr>
            <w:r w:rsidRPr="00957922">
              <w:rPr>
                <w:rFonts w:ascii="Arial Narrow" w:hAnsi="Arial Narrow" w:cs="Calibri"/>
                <w:color w:val="000000"/>
                <w:spacing w:val="0"/>
                <w:sz w:val="18"/>
                <w:szCs w:val="18"/>
                <w:lang w:eastAsia="es-CO"/>
              </w:rPr>
              <w:t>18</w:t>
            </w:r>
          </w:p>
        </w:tc>
        <w:tc>
          <w:tcPr>
            <w:tcW w:w="1092" w:type="dxa"/>
            <w:tcBorders>
              <w:top w:val="nil"/>
              <w:left w:val="nil"/>
              <w:bottom w:val="single" w:sz="4" w:space="0" w:color="auto"/>
              <w:right w:val="single" w:sz="4" w:space="0" w:color="auto"/>
            </w:tcBorders>
            <w:shd w:val="clear" w:color="auto" w:fill="auto"/>
            <w:noWrap/>
            <w:vAlign w:val="center"/>
            <w:hideMark/>
          </w:tcPr>
          <w:p w14:paraId="45297D47" w14:textId="77777777" w:rsidR="00957922" w:rsidRPr="00957922" w:rsidRDefault="00957922" w:rsidP="00957922">
            <w:pPr>
              <w:jc w:val="right"/>
              <w:rPr>
                <w:rFonts w:ascii="Arial Narrow" w:hAnsi="Arial Narrow" w:cs="Calibri"/>
                <w:color w:val="000000"/>
                <w:spacing w:val="0"/>
                <w:sz w:val="18"/>
                <w:szCs w:val="18"/>
                <w:lang w:eastAsia="es-CO"/>
              </w:rPr>
            </w:pPr>
            <w:r w:rsidRPr="00957922">
              <w:rPr>
                <w:rFonts w:ascii="Arial Narrow" w:hAnsi="Arial Narrow" w:cs="Calibri"/>
                <w:color w:val="000000"/>
                <w:spacing w:val="0"/>
                <w:sz w:val="18"/>
                <w:szCs w:val="18"/>
                <w:lang w:eastAsia="es-CO"/>
              </w:rPr>
              <w:t>26645</w:t>
            </w:r>
          </w:p>
        </w:tc>
        <w:tc>
          <w:tcPr>
            <w:tcW w:w="879" w:type="dxa"/>
            <w:tcBorders>
              <w:top w:val="nil"/>
              <w:left w:val="nil"/>
              <w:bottom w:val="single" w:sz="4" w:space="0" w:color="auto"/>
              <w:right w:val="single" w:sz="4" w:space="0" w:color="auto"/>
            </w:tcBorders>
            <w:shd w:val="clear" w:color="auto" w:fill="auto"/>
            <w:noWrap/>
            <w:vAlign w:val="center"/>
            <w:hideMark/>
          </w:tcPr>
          <w:p w14:paraId="63B7E7D4" w14:textId="77777777" w:rsidR="00957922" w:rsidRPr="00957922" w:rsidRDefault="00957922" w:rsidP="00957922">
            <w:pPr>
              <w:jc w:val="right"/>
              <w:rPr>
                <w:rFonts w:ascii="Arial Narrow" w:hAnsi="Arial Narrow" w:cs="Calibri"/>
                <w:color w:val="000000"/>
                <w:spacing w:val="0"/>
                <w:sz w:val="18"/>
                <w:szCs w:val="18"/>
                <w:lang w:eastAsia="es-CO"/>
              </w:rPr>
            </w:pPr>
            <w:r w:rsidRPr="00957922">
              <w:rPr>
                <w:rFonts w:ascii="Arial Narrow" w:hAnsi="Arial Narrow" w:cs="Calibri"/>
                <w:color w:val="000000"/>
                <w:spacing w:val="0"/>
                <w:sz w:val="18"/>
                <w:szCs w:val="18"/>
                <w:lang w:eastAsia="es-CO"/>
              </w:rPr>
              <w:t>900268747</w:t>
            </w:r>
          </w:p>
        </w:tc>
        <w:tc>
          <w:tcPr>
            <w:tcW w:w="3977" w:type="dxa"/>
            <w:tcBorders>
              <w:top w:val="nil"/>
              <w:left w:val="nil"/>
              <w:bottom w:val="single" w:sz="4" w:space="0" w:color="auto"/>
              <w:right w:val="single" w:sz="4" w:space="0" w:color="auto"/>
            </w:tcBorders>
            <w:shd w:val="clear" w:color="auto" w:fill="auto"/>
            <w:vAlign w:val="center"/>
            <w:hideMark/>
          </w:tcPr>
          <w:p w14:paraId="2145A475" w14:textId="77777777" w:rsidR="00957922" w:rsidRPr="00957922" w:rsidRDefault="00957922" w:rsidP="00957922">
            <w:pPr>
              <w:jc w:val="left"/>
              <w:rPr>
                <w:rFonts w:ascii="Arial Narrow" w:hAnsi="Arial Narrow" w:cs="Calibri"/>
                <w:color w:val="000000"/>
                <w:spacing w:val="0"/>
                <w:sz w:val="18"/>
                <w:szCs w:val="18"/>
                <w:lang w:eastAsia="es-CO"/>
              </w:rPr>
            </w:pPr>
            <w:r w:rsidRPr="00957922">
              <w:rPr>
                <w:rFonts w:ascii="Arial Narrow" w:hAnsi="Arial Narrow" w:cs="Calibri"/>
                <w:color w:val="000000"/>
                <w:spacing w:val="0"/>
                <w:sz w:val="18"/>
                <w:szCs w:val="18"/>
                <w:lang w:eastAsia="es-CO"/>
              </w:rPr>
              <w:t>PAREX RESOURCES COLOMBIA LTD SUCURSAL</w:t>
            </w:r>
          </w:p>
        </w:tc>
        <w:tc>
          <w:tcPr>
            <w:tcW w:w="1831" w:type="dxa"/>
            <w:tcBorders>
              <w:top w:val="nil"/>
              <w:left w:val="nil"/>
              <w:bottom w:val="single" w:sz="4" w:space="0" w:color="auto"/>
              <w:right w:val="single" w:sz="4" w:space="0" w:color="auto"/>
            </w:tcBorders>
            <w:shd w:val="clear" w:color="auto" w:fill="auto"/>
            <w:vAlign w:val="center"/>
            <w:hideMark/>
          </w:tcPr>
          <w:p w14:paraId="07C2DA53" w14:textId="77777777" w:rsidR="00957922" w:rsidRPr="00957922" w:rsidRDefault="00957922" w:rsidP="00957922">
            <w:pPr>
              <w:jc w:val="left"/>
              <w:rPr>
                <w:rFonts w:ascii="Arial Narrow" w:hAnsi="Arial Narrow" w:cs="Calibri"/>
                <w:color w:val="000000"/>
                <w:spacing w:val="0"/>
                <w:sz w:val="18"/>
                <w:szCs w:val="18"/>
                <w:lang w:eastAsia="es-CO"/>
              </w:rPr>
            </w:pPr>
            <w:r w:rsidRPr="00957922">
              <w:rPr>
                <w:rFonts w:ascii="Arial Narrow" w:hAnsi="Arial Narrow" w:cs="Calibri"/>
                <w:color w:val="000000"/>
                <w:spacing w:val="0"/>
                <w:sz w:val="18"/>
                <w:szCs w:val="18"/>
                <w:lang w:eastAsia="es-CO"/>
              </w:rPr>
              <w:t>GN-GLP</w:t>
            </w:r>
          </w:p>
        </w:tc>
      </w:tr>
      <w:tr w:rsidR="00957922" w:rsidRPr="00957922" w14:paraId="420CE962" w14:textId="77777777" w:rsidTr="00A561A0">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6903CDC" w14:textId="77777777" w:rsidR="00957922" w:rsidRPr="00957922" w:rsidRDefault="00957922" w:rsidP="00957922">
            <w:pPr>
              <w:jc w:val="center"/>
              <w:rPr>
                <w:rFonts w:ascii="Arial Narrow" w:hAnsi="Arial Narrow" w:cs="Calibri"/>
                <w:color w:val="000000"/>
                <w:spacing w:val="0"/>
                <w:sz w:val="18"/>
                <w:szCs w:val="18"/>
                <w:lang w:eastAsia="es-CO"/>
              </w:rPr>
            </w:pPr>
            <w:r w:rsidRPr="00957922">
              <w:rPr>
                <w:rFonts w:ascii="Arial Narrow" w:hAnsi="Arial Narrow" w:cs="Calibri"/>
                <w:color w:val="000000"/>
                <w:spacing w:val="0"/>
                <w:sz w:val="18"/>
                <w:szCs w:val="18"/>
                <w:lang w:eastAsia="es-CO"/>
              </w:rPr>
              <w:t>19</w:t>
            </w:r>
          </w:p>
        </w:tc>
        <w:tc>
          <w:tcPr>
            <w:tcW w:w="1092" w:type="dxa"/>
            <w:tcBorders>
              <w:top w:val="nil"/>
              <w:left w:val="nil"/>
              <w:bottom w:val="single" w:sz="4" w:space="0" w:color="auto"/>
              <w:right w:val="single" w:sz="4" w:space="0" w:color="auto"/>
            </w:tcBorders>
            <w:shd w:val="clear" w:color="auto" w:fill="auto"/>
            <w:noWrap/>
            <w:vAlign w:val="center"/>
            <w:hideMark/>
          </w:tcPr>
          <w:p w14:paraId="267B9F7C" w14:textId="77777777" w:rsidR="00957922" w:rsidRPr="00957922" w:rsidRDefault="00957922" w:rsidP="00957922">
            <w:pPr>
              <w:jc w:val="right"/>
              <w:rPr>
                <w:rFonts w:ascii="Arial Narrow" w:hAnsi="Arial Narrow" w:cs="Calibri"/>
                <w:color w:val="000000"/>
                <w:spacing w:val="0"/>
                <w:sz w:val="18"/>
                <w:szCs w:val="18"/>
                <w:lang w:eastAsia="es-CO"/>
              </w:rPr>
            </w:pPr>
            <w:r w:rsidRPr="00957922">
              <w:rPr>
                <w:rFonts w:ascii="Arial Narrow" w:hAnsi="Arial Narrow" w:cs="Calibri"/>
                <w:color w:val="000000"/>
                <w:spacing w:val="0"/>
                <w:sz w:val="18"/>
                <w:szCs w:val="18"/>
                <w:lang w:eastAsia="es-CO"/>
              </w:rPr>
              <w:t>39390</w:t>
            </w:r>
          </w:p>
        </w:tc>
        <w:tc>
          <w:tcPr>
            <w:tcW w:w="879" w:type="dxa"/>
            <w:tcBorders>
              <w:top w:val="nil"/>
              <w:left w:val="nil"/>
              <w:bottom w:val="single" w:sz="4" w:space="0" w:color="auto"/>
              <w:right w:val="single" w:sz="4" w:space="0" w:color="auto"/>
            </w:tcBorders>
            <w:shd w:val="clear" w:color="auto" w:fill="auto"/>
            <w:noWrap/>
            <w:vAlign w:val="center"/>
            <w:hideMark/>
          </w:tcPr>
          <w:p w14:paraId="6FA23089" w14:textId="77777777" w:rsidR="00957922" w:rsidRPr="00957922" w:rsidRDefault="00957922" w:rsidP="00957922">
            <w:pPr>
              <w:jc w:val="right"/>
              <w:rPr>
                <w:rFonts w:ascii="Arial Narrow" w:hAnsi="Arial Narrow" w:cs="Calibri"/>
                <w:color w:val="000000"/>
                <w:spacing w:val="0"/>
                <w:sz w:val="18"/>
                <w:szCs w:val="18"/>
                <w:lang w:eastAsia="es-CO"/>
              </w:rPr>
            </w:pPr>
            <w:r w:rsidRPr="00957922">
              <w:rPr>
                <w:rFonts w:ascii="Arial Narrow" w:hAnsi="Arial Narrow" w:cs="Calibri"/>
                <w:color w:val="000000"/>
                <w:spacing w:val="0"/>
                <w:sz w:val="18"/>
                <w:szCs w:val="18"/>
                <w:lang w:eastAsia="es-CO"/>
              </w:rPr>
              <w:t>900466858</w:t>
            </w:r>
          </w:p>
        </w:tc>
        <w:tc>
          <w:tcPr>
            <w:tcW w:w="3977" w:type="dxa"/>
            <w:tcBorders>
              <w:top w:val="nil"/>
              <w:left w:val="nil"/>
              <w:bottom w:val="single" w:sz="4" w:space="0" w:color="auto"/>
              <w:right w:val="single" w:sz="4" w:space="0" w:color="auto"/>
            </w:tcBorders>
            <w:shd w:val="clear" w:color="auto" w:fill="auto"/>
            <w:vAlign w:val="center"/>
            <w:hideMark/>
          </w:tcPr>
          <w:p w14:paraId="3C2CE577" w14:textId="77777777" w:rsidR="00957922" w:rsidRPr="00957922" w:rsidRDefault="00957922" w:rsidP="00957922">
            <w:pPr>
              <w:jc w:val="left"/>
              <w:rPr>
                <w:rFonts w:ascii="Arial Narrow" w:hAnsi="Arial Narrow" w:cs="Calibri"/>
                <w:color w:val="000000"/>
                <w:spacing w:val="0"/>
                <w:sz w:val="18"/>
                <w:szCs w:val="18"/>
                <w:lang w:eastAsia="es-CO"/>
              </w:rPr>
            </w:pPr>
            <w:r w:rsidRPr="00957922">
              <w:rPr>
                <w:rFonts w:ascii="Arial Narrow" w:hAnsi="Arial Narrow" w:cs="Calibri"/>
                <w:color w:val="000000"/>
                <w:spacing w:val="0"/>
                <w:sz w:val="18"/>
                <w:szCs w:val="18"/>
                <w:lang w:eastAsia="es-CO"/>
              </w:rPr>
              <w:t>SURENERGY SAS ESP</w:t>
            </w:r>
          </w:p>
        </w:tc>
        <w:tc>
          <w:tcPr>
            <w:tcW w:w="1831" w:type="dxa"/>
            <w:tcBorders>
              <w:top w:val="nil"/>
              <w:left w:val="nil"/>
              <w:bottom w:val="single" w:sz="4" w:space="0" w:color="auto"/>
              <w:right w:val="single" w:sz="4" w:space="0" w:color="auto"/>
            </w:tcBorders>
            <w:shd w:val="clear" w:color="auto" w:fill="auto"/>
            <w:vAlign w:val="center"/>
            <w:hideMark/>
          </w:tcPr>
          <w:p w14:paraId="216BDD13" w14:textId="77777777" w:rsidR="00957922" w:rsidRPr="00957922" w:rsidRDefault="00957922" w:rsidP="00957922">
            <w:pPr>
              <w:jc w:val="left"/>
              <w:rPr>
                <w:rFonts w:ascii="Arial Narrow" w:hAnsi="Arial Narrow" w:cs="Calibri"/>
                <w:color w:val="000000"/>
                <w:spacing w:val="0"/>
                <w:sz w:val="18"/>
                <w:szCs w:val="18"/>
                <w:lang w:eastAsia="es-CO"/>
              </w:rPr>
            </w:pPr>
            <w:r w:rsidRPr="00957922">
              <w:rPr>
                <w:rFonts w:ascii="Arial Narrow" w:hAnsi="Arial Narrow" w:cs="Calibri"/>
                <w:color w:val="000000"/>
                <w:spacing w:val="0"/>
                <w:sz w:val="18"/>
                <w:szCs w:val="18"/>
                <w:lang w:eastAsia="es-CO"/>
              </w:rPr>
              <w:t>GN-GLP</w:t>
            </w:r>
          </w:p>
        </w:tc>
      </w:tr>
    </w:tbl>
    <w:p w14:paraId="78D73D4D" w14:textId="77777777" w:rsidR="0085721C" w:rsidRPr="0085721C" w:rsidRDefault="0085721C" w:rsidP="0085721C">
      <w:pPr>
        <w:pStyle w:val="Textoindependiente"/>
        <w:spacing w:after="0" w:line="240" w:lineRule="auto"/>
        <w:rPr>
          <w:rFonts w:cs="Arial"/>
          <w:color w:val="FF0000"/>
          <w:sz w:val="22"/>
          <w:szCs w:val="22"/>
        </w:rPr>
      </w:pPr>
    </w:p>
    <w:p w14:paraId="535FF3BF" w14:textId="33079733" w:rsidR="00211CBF" w:rsidRPr="00211CBF" w:rsidRDefault="00211CBF" w:rsidP="00211CBF">
      <w:pPr>
        <w:pStyle w:val="Ttulo10"/>
        <w:numPr>
          <w:ilvl w:val="0"/>
          <w:numId w:val="37"/>
        </w:numPr>
        <w:spacing w:before="0" w:after="0"/>
        <w:rPr>
          <w:sz w:val="22"/>
          <w:szCs w:val="22"/>
        </w:rPr>
      </w:pPr>
      <w:bookmarkStart w:id="37" w:name="_Toc88126845"/>
      <w:r>
        <w:rPr>
          <w:sz w:val="22"/>
          <w:szCs w:val="22"/>
        </w:rPr>
        <w:t>ANTECEDENTES</w:t>
      </w:r>
      <w:bookmarkEnd w:id="37"/>
    </w:p>
    <w:p w14:paraId="2316B690" w14:textId="77777777" w:rsidR="00211CBF" w:rsidRDefault="00211CBF" w:rsidP="00211CBF">
      <w:pPr>
        <w:pStyle w:val="Subttulo"/>
        <w:spacing w:after="0"/>
        <w:ind w:left="357"/>
        <w:jc w:val="left"/>
        <w:rPr>
          <w:b/>
          <w:bCs/>
          <w:sz w:val="22"/>
          <w:szCs w:val="22"/>
        </w:rPr>
      </w:pPr>
      <w:bookmarkStart w:id="38" w:name="_Toc54170177"/>
    </w:p>
    <w:bookmarkEnd w:id="38"/>
    <w:p w14:paraId="3966736D" w14:textId="643B8808" w:rsidR="00211CBF" w:rsidRDefault="00211CBF" w:rsidP="00211CBF">
      <w:pPr>
        <w:autoSpaceDE w:val="0"/>
        <w:autoSpaceDN w:val="0"/>
        <w:adjustRightInd w:val="0"/>
        <w:rPr>
          <w:rFonts w:cs="Arial"/>
          <w:sz w:val="22"/>
          <w:szCs w:val="22"/>
        </w:rPr>
      </w:pPr>
      <w:r w:rsidRPr="000C7FCD">
        <w:rPr>
          <w:rFonts w:cs="Arial"/>
          <w:sz w:val="22"/>
          <w:szCs w:val="22"/>
        </w:rPr>
        <w:t xml:space="preserve">Por medio de resoluciones CREG se </w:t>
      </w:r>
      <w:r>
        <w:rPr>
          <w:rFonts w:cs="Arial"/>
          <w:sz w:val="22"/>
          <w:szCs w:val="22"/>
        </w:rPr>
        <w:t xml:space="preserve">ha </w:t>
      </w:r>
      <w:r w:rsidRPr="000C7FCD">
        <w:rPr>
          <w:rFonts w:cs="Arial"/>
          <w:sz w:val="22"/>
          <w:szCs w:val="22"/>
        </w:rPr>
        <w:t>señal</w:t>
      </w:r>
      <w:r>
        <w:rPr>
          <w:rFonts w:cs="Arial"/>
          <w:sz w:val="22"/>
          <w:szCs w:val="22"/>
        </w:rPr>
        <w:t xml:space="preserve">ado </w:t>
      </w:r>
      <w:r w:rsidRPr="000C7FCD">
        <w:rPr>
          <w:rFonts w:cs="Arial"/>
          <w:sz w:val="22"/>
          <w:szCs w:val="22"/>
        </w:rPr>
        <w:t xml:space="preserve">el </w:t>
      </w:r>
      <w:r>
        <w:rPr>
          <w:rFonts w:cs="Arial"/>
          <w:sz w:val="22"/>
          <w:szCs w:val="22"/>
        </w:rPr>
        <w:t>factor</w:t>
      </w:r>
      <w:r w:rsidRPr="000C7FCD">
        <w:rPr>
          <w:rFonts w:cs="Arial"/>
          <w:sz w:val="22"/>
          <w:szCs w:val="22"/>
        </w:rPr>
        <w:t xml:space="preserve"> que deb</w:t>
      </w:r>
      <w:r>
        <w:rPr>
          <w:rFonts w:cs="Arial"/>
          <w:sz w:val="22"/>
          <w:szCs w:val="22"/>
        </w:rPr>
        <w:t>en</w:t>
      </w:r>
      <w:r w:rsidRPr="000C7FCD">
        <w:rPr>
          <w:rFonts w:cs="Arial"/>
          <w:sz w:val="22"/>
          <w:szCs w:val="22"/>
        </w:rPr>
        <w:t xml:space="preserve"> pagar las empresas por concepto de contribuciones para los años respectivos</w:t>
      </w:r>
      <w:r>
        <w:rPr>
          <w:rFonts w:cs="Arial"/>
          <w:sz w:val="22"/>
          <w:szCs w:val="22"/>
        </w:rPr>
        <w:t xml:space="preserve">. </w:t>
      </w:r>
      <w:r w:rsidRPr="000C7FCD">
        <w:rPr>
          <w:rFonts w:cs="Arial"/>
          <w:sz w:val="22"/>
          <w:szCs w:val="22"/>
        </w:rPr>
        <w:t xml:space="preserve">En </w:t>
      </w:r>
      <w:r>
        <w:rPr>
          <w:rFonts w:cs="Arial"/>
          <w:sz w:val="22"/>
          <w:szCs w:val="22"/>
        </w:rPr>
        <w:t>la</w:t>
      </w:r>
      <w:r w:rsidRPr="000C7FCD">
        <w:rPr>
          <w:rFonts w:cs="Arial"/>
          <w:sz w:val="22"/>
          <w:szCs w:val="22"/>
        </w:rPr>
        <w:t xml:space="preserve"> siguiente </w:t>
      </w:r>
      <w:r>
        <w:rPr>
          <w:rFonts w:cs="Arial"/>
          <w:sz w:val="22"/>
          <w:szCs w:val="22"/>
        </w:rPr>
        <w:t>tabla</w:t>
      </w:r>
      <w:r w:rsidRPr="000C7FCD">
        <w:rPr>
          <w:rFonts w:cs="Arial"/>
          <w:sz w:val="22"/>
          <w:szCs w:val="22"/>
        </w:rPr>
        <w:t xml:space="preserve">, se presenta la información </w:t>
      </w:r>
      <w:r>
        <w:rPr>
          <w:rFonts w:cs="Arial"/>
          <w:sz w:val="22"/>
          <w:szCs w:val="22"/>
        </w:rPr>
        <w:t xml:space="preserve">histórica </w:t>
      </w:r>
      <w:r w:rsidRPr="000C7FCD">
        <w:rPr>
          <w:rFonts w:cs="Arial"/>
          <w:sz w:val="22"/>
          <w:szCs w:val="22"/>
        </w:rPr>
        <w:t>del factor</w:t>
      </w:r>
      <w:r>
        <w:rPr>
          <w:rFonts w:cs="Arial"/>
          <w:sz w:val="22"/>
          <w:szCs w:val="22"/>
        </w:rPr>
        <w:t xml:space="preserve">, el aforo </w:t>
      </w:r>
      <w:r w:rsidRPr="000C7FCD">
        <w:rPr>
          <w:rFonts w:cs="Arial"/>
          <w:sz w:val="22"/>
          <w:szCs w:val="22"/>
        </w:rPr>
        <w:t xml:space="preserve">y el valor de las contribuciones liquidadas </w:t>
      </w:r>
      <w:r>
        <w:rPr>
          <w:rFonts w:cs="Arial"/>
          <w:sz w:val="22"/>
          <w:szCs w:val="22"/>
        </w:rPr>
        <w:t xml:space="preserve">en los últimos </w:t>
      </w:r>
      <w:r w:rsidR="00667EDA">
        <w:rPr>
          <w:rFonts w:cs="Arial"/>
          <w:sz w:val="22"/>
          <w:szCs w:val="22"/>
        </w:rPr>
        <w:t>seis</w:t>
      </w:r>
      <w:r>
        <w:rPr>
          <w:rFonts w:cs="Arial"/>
          <w:sz w:val="22"/>
          <w:szCs w:val="22"/>
        </w:rPr>
        <w:t xml:space="preserve"> años</w:t>
      </w:r>
      <w:r w:rsidRPr="000C7FCD">
        <w:rPr>
          <w:rFonts w:cs="Arial"/>
          <w:sz w:val="22"/>
          <w:szCs w:val="22"/>
        </w:rPr>
        <w:t>:</w:t>
      </w:r>
    </w:p>
    <w:p w14:paraId="1C89C4DE" w14:textId="6C523018" w:rsidR="00667EDA" w:rsidRDefault="00667EDA" w:rsidP="00211CBF">
      <w:pPr>
        <w:autoSpaceDE w:val="0"/>
        <w:autoSpaceDN w:val="0"/>
        <w:adjustRightInd w:val="0"/>
        <w:rPr>
          <w:rFonts w:cs="Arial"/>
          <w:sz w:val="22"/>
          <w:szCs w:val="22"/>
        </w:rPr>
      </w:pPr>
    </w:p>
    <w:tbl>
      <w:tblPr>
        <w:tblW w:w="88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68"/>
        <w:gridCol w:w="1395"/>
        <w:gridCol w:w="1480"/>
        <w:gridCol w:w="1741"/>
        <w:gridCol w:w="1898"/>
        <w:gridCol w:w="1480"/>
      </w:tblGrid>
      <w:tr w:rsidR="00667EDA" w:rsidRPr="00D520D0" w14:paraId="61657683" w14:textId="77777777" w:rsidTr="007114B5">
        <w:trPr>
          <w:trHeight w:val="494"/>
          <w:tblHeader/>
          <w:jc w:val="center"/>
        </w:trPr>
        <w:tc>
          <w:tcPr>
            <w:tcW w:w="868" w:type="dxa"/>
            <w:shd w:val="clear" w:color="auto" w:fill="E7E6E6" w:themeFill="background2"/>
            <w:vAlign w:val="center"/>
            <w:hideMark/>
          </w:tcPr>
          <w:p w14:paraId="6D60BE47" w14:textId="77777777" w:rsidR="00667EDA" w:rsidRPr="00D520D0" w:rsidRDefault="00667EDA" w:rsidP="007114B5">
            <w:pPr>
              <w:jc w:val="center"/>
              <w:rPr>
                <w:rFonts w:cs="Arial"/>
                <w:b/>
                <w:bCs/>
                <w:sz w:val="18"/>
                <w:szCs w:val="18"/>
                <w:lang w:eastAsia="es-CO"/>
              </w:rPr>
            </w:pPr>
            <w:r w:rsidRPr="00D520D0">
              <w:rPr>
                <w:rFonts w:cs="Arial"/>
                <w:b/>
                <w:bCs/>
                <w:sz w:val="18"/>
                <w:szCs w:val="18"/>
                <w:lang w:eastAsia="es-CO"/>
              </w:rPr>
              <w:t>AÑO</w:t>
            </w:r>
          </w:p>
        </w:tc>
        <w:tc>
          <w:tcPr>
            <w:tcW w:w="1395" w:type="dxa"/>
            <w:shd w:val="clear" w:color="auto" w:fill="E7E6E6" w:themeFill="background2"/>
            <w:vAlign w:val="center"/>
            <w:hideMark/>
          </w:tcPr>
          <w:p w14:paraId="337092D8" w14:textId="77777777" w:rsidR="00667EDA" w:rsidRPr="00D520D0" w:rsidRDefault="00667EDA" w:rsidP="007114B5">
            <w:pPr>
              <w:jc w:val="center"/>
              <w:rPr>
                <w:rFonts w:cs="Arial"/>
                <w:b/>
                <w:bCs/>
                <w:sz w:val="18"/>
                <w:szCs w:val="18"/>
                <w:lang w:eastAsia="es-CO"/>
              </w:rPr>
            </w:pPr>
            <w:r w:rsidRPr="00D520D0">
              <w:rPr>
                <w:rFonts w:cs="Arial"/>
                <w:b/>
                <w:bCs/>
                <w:sz w:val="18"/>
                <w:szCs w:val="18"/>
                <w:lang w:eastAsia="es-CO"/>
              </w:rPr>
              <w:t>RESOLUCIÓN TARIFA CREG N°</w:t>
            </w:r>
          </w:p>
        </w:tc>
        <w:tc>
          <w:tcPr>
            <w:tcW w:w="1480" w:type="dxa"/>
            <w:shd w:val="clear" w:color="auto" w:fill="E7E6E6" w:themeFill="background2"/>
            <w:vAlign w:val="center"/>
            <w:hideMark/>
          </w:tcPr>
          <w:p w14:paraId="00BE356D" w14:textId="77777777" w:rsidR="00667EDA" w:rsidRPr="00D520D0" w:rsidRDefault="00667EDA" w:rsidP="007114B5">
            <w:pPr>
              <w:jc w:val="center"/>
              <w:rPr>
                <w:rFonts w:cs="Arial"/>
                <w:b/>
                <w:bCs/>
                <w:sz w:val="18"/>
                <w:szCs w:val="18"/>
                <w:lang w:eastAsia="es-CO"/>
              </w:rPr>
            </w:pPr>
            <w:r w:rsidRPr="00D520D0">
              <w:rPr>
                <w:rFonts w:cs="Arial"/>
                <w:b/>
                <w:bCs/>
                <w:sz w:val="18"/>
                <w:szCs w:val="18"/>
                <w:lang w:eastAsia="es-CO"/>
              </w:rPr>
              <w:t>FACTOR</w:t>
            </w:r>
          </w:p>
          <w:p w14:paraId="1C14389E" w14:textId="77777777" w:rsidR="00667EDA" w:rsidRPr="00D520D0" w:rsidRDefault="00667EDA" w:rsidP="007114B5">
            <w:pPr>
              <w:jc w:val="center"/>
              <w:rPr>
                <w:rFonts w:cs="Arial"/>
                <w:b/>
                <w:bCs/>
                <w:sz w:val="18"/>
                <w:szCs w:val="18"/>
                <w:lang w:eastAsia="es-CO"/>
              </w:rPr>
            </w:pPr>
            <w:r w:rsidRPr="00D520D0">
              <w:rPr>
                <w:rFonts w:cs="Arial"/>
                <w:b/>
                <w:bCs/>
                <w:sz w:val="18"/>
                <w:szCs w:val="18"/>
                <w:lang w:eastAsia="es-CO"/>
              </w:rPr>
              <w:t>TARIFA DE CONTRIBUCIÓN</w:t>
            </w:r>
          </w:p>
        </w:tc>
        <w:tc>
          <w:tcPr>
            <w:tcW w:w="1741" w:type="dxa"/>
            <w:shd w:val="clear" w:color="auto" w:fill="E7E6E6" w:themeFill="background2"/>
            <w:vAlign w:val="center"/>
          </w:tcPr>
          <w:p w14:paraId="4ECCCAB5" w14:textId="77777777" w:rsidR="00667EDA" w:rsidRPr="00D520D0" w:rsidRDefault="00667EDA" w:rsidP="007114B5">
            <w:pPr>
              <w:jc w:val="center"/>
              <w:rPr>
                <w:rFonts w:cs="Arial"/>
                <w:b/>
                <w:bCs/>
                <w:sz w:val="18"/>
                <w:szCs w:val="18"/>
                <w:lang w:eastAsia="es-CO"/>
              </w:rPr>
            </w:pPr>
            <w:r w:rsidRPr="00D520D0">
              <w:rPr>
                <w:rFonts w:cs="Arial"/>
                <w:b/>
                <w:bCs/>
                <w:sz w:val="18"/>
                <w:szCs w:val="18"/>
                <w:lang w:eastAsia="es-CO"/>
              </w:rPr>
              <w:t>RESOLUCIÓN CONTRIBUYENTES CREG N°</w:t>
            </w:r>
          </w:p>
        </w:tc>
        <w:tc>
          <w:tcPr>
            <w:tcW w:w="1898" w:type="dxa"/>
            <w:shd w:val="clear" w:color="auto" w:fill="E7E6E6" w:themeFill="background2"/>
            <w:vAlign w:val="center"/>
          </w:tcPr>
          <w:p w14:paraId="218967C5" w14:textId="77777777" w:rsidR="00667EDA" w:rsidRPr="00D520D0" w:rsidRDefault="00667EDA" w:rsidP="007114B5">
            <w:pPr>
              <w:jc w:val="center"/>
              <w:rPr>
                <w:rFonts w:cs="Arial"/>
                <w:b/>
                <w:bCs/>
                <w:sz w:val="18"/>
                <w:szCs w:val="18"/>
                <w:lang w:eastAsia="es-CO"/>
              </w:rPr>
            </w:pPr>
            <w:r w:rsidRPr="00D520D0">
              <w:rPr>
                <w:rFonts w:cs="Arial"/>
                <w:b/>
                <w:bCs/>
                <w:sz w:val="18"/>
                <w:szCs w:val="18"/>
                <w:lang w:eastAsia="es-CO"/>
              </w:rPr>
              <w:t>NÚMERO DE CONTRIBUYENTES AFORADOS</w:t>
            </w:r>
          </w:p>
        </w:tc>
        <w:tc>
          <w:tcPr>
            <w:tcW w:w="1480" w:type="dxa"/>
            <w:shd w:val="clear" w:color="auto" w:fill="E7E6E6" w:themeFill="background2"/>
            <w:vAlign w:val="center"/>
            <w:hideMark/>
          </w:tcPr>
          <w:p w14:paraId="2F5EC2D7" w14:textId="77777777" w:rsidR="00667EDA" w:rsidRPr="00D520D0" w:rsidRDefault="00667EDA" w:rsidP="007114B5">
            <w:pPr>
              <w:jc w:val="center"/>
              <w:rPr>
                <w:rFonts w:cs="Arial"/>
                <w:b/>
                <w:bCs/>
                <w:sz w:val="18"/>
                <w:szCs w:val="18"/>
                <w:lang w:eastAsia="es-CO"/>
              </w:rPr>
            </w:pPr>
            <w:r w:rsidRPr="00D520D0">
              <w:rPr>
                <w:rFonts w:cs="Arial"/>
                <w:b/>
                <w:bCs/>
                <w:sz w:val="18"/>
                <w:szCs w:val="18"/>
                <w:lang w:eastAsia="es-CO"/>
              </w:rPr>
              <w:t>VALOR CONTRIBUCIÓN</w:t>
            </w:r>
          </w:p>
        </w:tc>
      </w:tr>
      <w:tr w:rsidR="00667EDA" w:rsidRPr="00D520D0" w14:paraId="0CF12641" w14:textId="77777777" w:rsidTr="007114B5">
        <w:trPr>
          <w:trHeight w:val="339"/>
          <w:jc w:val="center"/>
        </w:trPr>
        <w:tc>
          <w:tcPr>
            <w:tcW w:w="868" w:type="dxa"/>
            <w:shd w:val="clear" w:color="auto" w:fill="auto"/>
            <w:noWrap/>
            <w:vAlign w:val="center"/>
            <w:hideMark/>
          </w:tcPr>
          <w:p w14:paraId="0C807994" w14:textId="77777777" w:rsidR="00667EDA" w:rsidRPr="00D520D0" w:rsidRDefault="00667EDA" w:rsidP="007114B5">
            <w:pPr>
              <w:jc w:val="center"/>
              <w:rPr>
                <w:rFonts w:cs="Arial"/>
                <w:color w:val="000000"/>
                <w:sz w:val="18"/>
                <w:szCs w:val="18"/>
                <w:lang w:eastAsia="es-CO"/>
              </w:rPr>
            </w:pPr>
            <w:r w:rsidRPr="00D520D0">
              <w:rPr>
                <w:rFonts w:cs="Arial"/>
                <w:color w:val="000000"/>
                <w:sz w:val="18"/>
                <w:szCs w:val="18"/>
                <w:lang w:eastAsia="es-CO"/>
              </w:rPr>
              <w:t>2015</w:t>
            </w:r>
          </w:p>
        </w:tc>
        <w:tc>
          <w:tcPr>
            <w:tcW w:w="1395" w:type="dxa"/>
            <w:shd w:val="clear" w:color="auto" w:fill="auto"/>
            <w:noWrap/>
            <w:vAlign w:val="center"/>
            <w:hideMark/>
          </w:tcPr>
          <w:p w14:paraId="37C4CB27" w14:textId="77777777" w:rsidR="00667EDA" w:rsidRPr="00D520D0" w:rsidRDefault="00667EDA" w:rsidP="007114B5">
            <w:pPr>
              <w:jc w:val="center"/>
              <w:rPr>
                <w:rFonts w:cs="Arial"/>
                <w:color w:val="000000"/>
                <w:sz w:val="18"/>
                <w:szCs w:val="18"/>
                <w:lang w:eastAsia="es-CO"/>
              </w:rPr>
            </w:pPr>
            <w:r w:rsidRPr="00D520D0">
              <w:rPr>
                <w:rFonts w:cs="Arial"/>
                <w:color w:val="000000"/>
                <w:sz w:val="18"/>
                <w:szCs w:val="18"/>
                <w:lang w:eastAsia="es-CO"/>
              </w:rPr>
              <w:t>181</w:t>
            </w:r>
          </w:p>
        </w:tc>
        <w:tc>
          <w:tcPr>
            <w:tcW w:w="1480" w:type="dxa"/>
            <w:shd w:val="clear" w:color="auto" w:fill="auto"/>
            <w:noWrap/>
            <w:vAlign w:val="center"/>
            <w:hideMark/>
          </w:tcPr>
          <w:p w14:paraId="13B26D57" w14:textId="77777777" w:rsidR="00667EDA" w:rsidRPr="00D520D0" w:rsidRDefault="00667EDA" w:rsidP="007114B5">
            <w:pPr>
              <w:jc w:val="center"/>
              <w:rPr>
                <w:rFonts w:cs="Arial"/>
                <w:color w:val="000000"/>
                <w:sz w:val="18"/>
                <w:szCs w:val="18"/>
                <w:lang w:eastAsia="es-CO"/>
              </w:rPr>
            </w:pPr>
            <w:r w:rsidRPr="00D520D0">
              <w:rPr>
                <w:rFonts w:cs="Arial"/>
                <w:color w:val="000000"/>
                <w:sz w:val="18"/>
                <w:szCs w:val="18"/>
                <w:lang w:eastAsia="es-CO"/>
              </w:rPr>
              <w:t>0.9698%</w:t>
            </w:r>
          </w:p>
        </w:tc>
        <w:tc>
          <w:tcPr>
            <w:tcW w:w="1741" w:type="dxa"/>
            <w:vAlign w:val="center"/>
          </w:tcPr>
          <w:p w14:paraId="3F1951BC" w14:textId="77777777" w:rsidR="00667EDA" w:rsidRPr="00D520D0" w:rsidRDefault="00667EDA" w:rsidP="007114B5">
            <w:pPr>
              <w:jc w:val="center"/>
              <w:rPr>
                <w:rFonts w:cs="Arial"/>
                <w:color w:val="000000"/>
                <w:sz w:val="18"/>
                <w:szCs w:val="18"/>
                <w:lang w:eastAsia="es-CO"/>
              </w:rPr>
            </w:pPr>
            <w:r w:rsidRPr="00D520D0">
              <w:rPr>
                <w:rFonts w:cs="Arial"/>
                <w:color w:val="000000"/>
                <w:sz w:val="18"/>
                <w:szCs w:val="18"/>
                <w:lang w:eastAsia="es-CO"/>
              </w:rPr>
              <w:t>182</w:t>
            </w:r>
          </w:p>
        </w:tc>
        <w:tc>
          <w:tcPr>
            <w:tcW w:w="1898" w:type="dxa"/>
            <w:vAlign w:val="center"/>
          </w:tcPr>
          <w:p w14:paraId="49617CCD" w14:textId="77777777" w:rsidR="00667EDA" w:rsidRPr="00D520D0" w:rsidRDefault="00667EDA" w:rsidP="007114B5">
            <w:pPr>
              <w:jc w:val="center"/>
              <w:rPr>
                <w:rFonts w:cs="Arial"/>
                <w:color w:val="000000"/>
                <w:sz w:val="18"/>
                <w:szCs w:val="18"/>
                <w:lang w:eastAsia="es-CO"/>
              </w:rPr>
            </w:pPr>
            <w:r w:rsidRPr="00D520D0">
              <w:rPr>
                <w:rFonts w:cs="Arial"/>
                <w:color w:val="000000"/>
                <w:sz w:val="18"/>
                <w:szCs w:val="18"/>
                <w:lang w:eastAsia="es-CO"/>
              </w:rPr>
              <w:t>327</w:t>
            </w:r>
          </w:p>
        </w:tc>
        <w:tc>
          <w:tcPr>
            <w:tcW w:w="1480" w:type="dxa"/>
            <w:shd w:val="clear" w:color="auto" w:fill="auto"/>
            <w:noWrap/>
            <w:vAlign w:val="center"/>
            <w:hideMark/>
          </w:tcPr>
          <w:p w14:paraId="3BFDA6B4" w14:textId="345718A3" w:rsidR="00667EDA" w:rsidRPr="00D520D0" w:rsidRDefault="00667EDA" w:rsidP="007114B5">
            <w:pPr>
              <w:jc w:val="center"/>
              <w:rPr>
                <w:rFonts w:cs="Arial"/>
                <w:color w:val="000000"/>
                <w:sz w:val="18"/>
                <w:szCs w:val="18"/>
                <w:lang w:eastAsia="es-CO"/>
              </w:rPr>
            </w:pPr>
            <w:r w:rsidRPr="00D520D0">
              <w:rPr>
                <w:rFonts w:cs="Arial"/>
                <w:spacing w:val="0"/>
                <w:sz w:val="18"/>
                <w:szCs w:val="18"/>
                <w:lang w:eastAsia="es-CO"/>
              </w:rPr>
              <w:t>18</w:t>
            </w:r>
            <w:r w:rsidR="00EA0452">
              <w:rPr>
                <w:rFonts w:cs="Arial"/>
                <w:spacing w:val="0"/>
                <w:sz w:val="18"/>
                <w:szCs w:val="18"/>
                <w:lang w:eastAsia="es-CO"/>
              </w:rPr>
              <w:t>.</w:t>
            </w:r>
            <w:r w:rsidRPr="00D520D0">
              <w:rPr>
                <w:rFonts w:cs="Arial"/>
                <w:spacing w:val="0"/>
                <w:sz w:val="18"/>
                <w:szCs w:val="18"/>
                <w:lang w:eastAsia="es-CO"/>
              </w:rPr>
              <w:t>300</w:t>
            </w:r>
            <w:r w:rsidR="00EA0452">
              <w:rPr>
                <w:rFonts w:cs="Arial"/>
                <w:spacing w:val="0"/>
                <w:sz w:val="18"/>
                <w:szCs w:val="18"/>
                <w:lang w:eastAsia="es-CO"/>
              </w:rPr>
              <w:t>.</w:t>
            </w:r>
            <w:r w:rsidRPr="00D520D0">
              <w:rPr>
                <w:rFonts w:cs="Arial"/>
                <w:spacing w:val="0"/>
                <w:sz w:val="18"/>
                <w:szCs w:val="18"/>
                <w:lang w:eastAsia="es-CO"/>
              </w:rPr>
              <w:t>118</w:t>
            </w:r>
            <w:r w:rsidR="00EA0452">
              <w:rPr>
                <w:rFonts w:cs="Arial"/>
                <w:spacing w:val="0"/>
                <w:sz w:val="18"/>
                <w:szCs w:val="18"/>
                <w:lang w:eastAsia="es-CO"/>
              </w:rPr>
              <w:t>.</w:t>
            </w:r>
            <w:r w:rsidRPr="00D520D0">
              <w:rPr>
                <w:rFonts w:cs="Arial"/>
                <w:spacing w:val="0"/>
                <w:sz w:val="18"/>
                <w:szCs w:val="18"/>
                <w:lang w:eastAsia="es-CO"/>
              </w:rPr>
              <w:t>313</w:t>
            </w:r>
          </w:p>
        </w:tc>
      </w:tr>
      <w:tr w:rsidR="00667EDA" w:rsidRPr="00D520D0" w14:paraId="65203206" w14:textId="77777777" w:rsidTr="007114B5">
        <w:trPr>
          <w:trHeight w:val="295"/>
          <w:jc w:val="center"/>
        </w:trPr>
        <w:tc>
          <w:tcPr>
            <w:tcW w:w="868" w:type="dxa"/>
            <w:shd w:val="clear" w:color="auto" w:fill="auto"/>
            <w:noWrap/>
            <w:vAlign w:val="center"/>
            <w:hideMark/>
          </w:tcPr>
          <w:p w14:paraId="1A553D71" w14:textId="77777777" w:rsidR="00667EDA" w:rsidRPr="00D520D0" w:rsidRDefault="00667EDA" w:rsidP="007114B5">
            <w:pPr>
              <w:jc w:val="center"/>
              <w:rPr>
                <w:rFonts w:cs="Arial"/>
                <w:color w:val="000000"/>
                <w:sz w:val="18"/>
                <w:szCs w:val="18"/>
                <w:lang w:eastAsia="es-CO"/>
              </w:rPr>
            </w:pPr>
            <w:r w:rsidRPr="00D520D0">
              <w:rPr>
                <w:rFonts w:cs="Arial"/>
                <w:color w:val="000000"/>
                <w:sz w:val="18"/>
                <w:szCs w:val="18"/>
                <w:lang w:eastAsia="es-CO"/>
              </w:rPr>
              <w:t>2016</w:t>
            </w:r>
          </w:p>
        </w:tc>
        <w:tc>
          <w:tcPr>
            <w:tcW w:w="1395" w:type="dxa"/>
            <w:shd w:val="clear" w:color="auto" w:fill="auto"/>
            <w:noWrap/>
            <w:vAlign w:val="center"/>
            <w:hideMark/>
          </w:tcPr>
          <w:p w14:paraId="5322E9DF" w14:textId="77777777" w:rsidR="00667EDA" w:rsidRPr="00D520D0" w:rsidRDefault="00667EDA" w:rsidP="007114B5">
            <w:pPr>
              <w:jc w:val="center"/>
              <w:rPr>
                <w:rFonts w:cs="Arial"/>
                <w:color w:val="000000"/>
                <w:sz w:val="18"/>
                <w:szCs w:val="18"/>
                <w:lang w:eastAsia="es-CO"/>
              </w:rPr>
            </w:pPr>
            <w:r w:rsidRPr="00D520D0">
              <w:rPr>
                <w:rFonts w:cs="Arial"/>
                <w:color w:val="000000"/>
                <w:sz w:val="18"/>
                <w:szCs w:val="18"/>
                <w:lang w:eastAsia="es-CO"/>
              </w:rPr>
              <w:t>187</w:t>
            </w:r>
          </w:p>
        </w:tc>
        <w:tc>
          <w:tcPr>
            <w:tcW w:w="1480" w:type="dxa"/>
            <w:shd w:val="clear" w:color="auto" w:fill="auto"/>
            <w:noWrap/>
            <w:vAlign w:val="center"/>
            <w:hideMark/>
          </w:tcPr>
          <w:p w14:paraId="7D72F756" w14:textId="77777777" w:rsidR="00667EDA" w:rsidRPr="00D520D0" w:rsidRDefault="00667EDA" w:rsidP="007114B5">
            <w:pPr>
              <w:jc w:val="center"/>
              <w:rPr>
                <w:rFonts w:cs="Arial"/>
                <w:color w:val="000000"/>
                <w:sz w:val="18"/>
                <w:szCs w:val="18"/>
                <w:lang w:eastAsia="es-CO"/>
              </w:rPr>
            </w:pPr>
            <w:r w:rsidRPr="00D520D0">
              <w:rPr>
                <w:rFonts w:cs="Arial"/>
                <w:color w:val="000000"/>
                <w:sz w:val="18"/>
                <w:szCs w:val="18"/>
                <w:lang w:eastAsia="es-CO"/>
              </w:rPr>
              <w:t>0.82935%</w:t>
            </w:r>
          </w:p>
        </w:tc>
        <w:tc>
          <w:tcPr>
            <w:tcW w:w="1741" w:type="dxa"/>
            <w:vAlign w:val="center"/>
          </w:tcPr>
          <w:p w14:paraId="3E878A97" w14:textId="77777777" w:rsidR="00667EDA" w:rsidRPr="00D520D0" w:rsidRDefault="00667EDA" w:rsidP="007114B5">
            <w:pPr>
              <w:jc w:val="center"/>
              <w:rPr>
                <w:rFonts w:cs="Arial"/>
                <w:color w:val="000000"/>
                <w:sz w:val="18"/>
                <w:szCs w:val="18"/>
                <w:lang w:eastAsia="es-CO"/>
              </w:rPr>
            </w:pPr>
            <w:r w:rsidRPr="00D520D0">
              <w:rPr>
                <w:rFonts w:cs="Arial"/>
                <w:color w:val="000000"/>
                <w:sz w:val="18"/>
                <w:szCs w:val="18"/>
                <w:lang w:eastAsia="es-CO"/>
              </w:rPr>
              <w:t>188</w:t>
            </w:r>
          </w:p>
        </w:tc>
        <w:tc>
          <w:tcPr>
            <w:tcW w:w="1898" w:type="dxa"/>
            <w:vAlign w:val="center"/>
          </w:tcPr>
          <w:p w14:paraId="70DC8F81" w14:textId="77777777" w:rsidR="00667EDA" w:rsidRPr="00D520D0" w:rsidRDefault="00667EDA" w:rsidP="007114B5">
            <w:pPr>
              <w:jc w:val="center"/>
              <w:rPr>
                <w:rFonts w:cs="Arial"/>
                <w:color w:val="000000"/>
                <w:sz w:val="18"/>
                <w:szCs w:val="18"/>
                <w:lang w:eastAsia="es-CO"/>
              </w:rPr>
            </w:pPr>
            <w:r w:rsidRPr="00D520D0">
              <w:rPr>
                <w:rFonts w:cs="Arial"/>
                <w:color w:val="000000"/>
                <w:sz w:val="18"/>
                <w:szCs w:val="18"/>
                <w:lang w:eastAsia="es-CO"/>
              </w:rPr>
              <w:t>253</w:t>
            </w:r>
          </w:p>
        </w:tc>
        <w:tc>
          <w:tcPr>
            <w:tcW w:w="1480" w:type="dxa"/>
            <w:shd w:val="clear" w:color="auto" w:fill="auto"/>
            <w:noWrap/>
            <w:vAlign w:val="center"/>
            <w:hideMark/>
          </w:tcPr>
          <w:p w14:paraId="587A4119" w14:textId="6377F787" w:rsidR="00667EDA" w:rsidRPr="00D520D0" w:rsidRDefault="00667EDA" w:rsidP="007114B5">
            <w:pPr>
              <w:jc w:val="center"/>
              <w:rPr>
                <w:rFonts w:cs="Arial"/>
                <w:color w:val="000000"/>
                <w:sz w:val="18"/>
                <w:szCs w:val="18"/>
                <w:lang w:eastAsia="es-CO"/>
              </w:rPr>
            </w:pPr>
            <w:r w:rsidRPr="00D520D0">
              <w:rPr>
                <w:rFonts w:cs="Arial"/>
                <w:spacing w:val="0"/>
                <w:sz w:val="18"/>
                <w:szCs w:val="18"/>
                <w:lang w:eastAsia="es-CO"/>
              </w:rPr>
              <w:t>19</w:t>
            </w:r>
            <w:r w:rsidR="00EA0452">
              <w:rPr>
                <w:rFonts w:cs="Arial"/>
                <w:spacing w:val="0"/>
                <w:sz w:val="18"/>
                <w:szCs w:val="18"/>
                <w:lang w:eastAsia="es-CO"/>
              </w:rPr>
              <w:t>.</w:t>
            </w:r>
            <w:r w:rsidRPr="00D520D0">
              <w:rPr>
                <w:rFonts w:cs="Arial"/>
                <w:spacing w:val="0"/>
                <w:sz w:val="18"/>
                <w:szCs w:val="18"/>
                <w:lang w:eastAsia="es-CO"/>
              </w:rPr>
              <w:t>027</w:t>
            </w:r>
            <w:r w:rsidR="00EA0452">
              <w:rPr>
                <w:rFonts w:cs="Arial"/>
                <w:spacing w:val="0"/>
                <w:sz w:val="18"/>
                <w:szCs w:val="18"/>
                <w:lang w:eastAsia="es-CO"/>
              </w:rPr>
              <w:t>.</w:t>
            </w:r>
            <w:r w:rsidRPr="00D520D0">
              <w:rPr>
                <w:rFonts w:cs="Arial"/>
                <w:spacing w:val="0"/>
                <w:sz w:val="18"/>
                <w:szCs w:val="18"/>
                <w:lang w:eastAsia="es-CO"/>
              </w:rPr>
              <w:t>013</w:t>
            </w:r>
            <w:r w:rsidR="00EA0452">
              <w:rPr>
                <w:rFonts w:cs="Arial"/>
                <w:spacing w:val="0"/>
                <w:sz w:val="18"/>
                <w:szCs w:val="18"/>
                <w:lang w:eastAsia="es-CO"/>
              </w:rPr>
              <w:t>.</w:t>
            </w:r>
            <w:r w:rsidRPr="00D520D0">
              <w:rPr>
                <w:rFonts w:cs="Arial"/>
                <w:spacing w:val="0"/>
                <w:sz w:val="18"/>
                <w:szCs w:val="18"/>
                <w:lang w:eastAsia="es-CO"/>
              </w:rPr>
              <w:t>280</w:t>
            </w:r>
          </w:p>
        </w:tc>
      </w:tr>
      <w:tr w:rsidR="00667EDA" w:rsidRPr="00D520D0" w14:paraId="19094DC5" w14:textId="77777777" w:rsidTr="007114B5">
        <w:trPr>
          <w:trHeight w:val="271"/>
          <w:jc w:val="center"/>
        </w:trPr>
        <w:tc>
          <w:tcPr>
            <w:tcW w:w="868" w:type="dxa"/>
            <w:shd w:val="clear" w:color="auto" w:fill="auto"/>
            <w:noWrap/>
            <w:vAlign w:val="center"/>
            <w:hideMark/>
          </w:tcPr>
          <w:p w14:paraId="1F2BF722" w14:textId="77777777" w:rsidR="00667EDA" w:rsidRPr="00D520D0" w:rsidRDefault="00667EDA" w:rsidP="007114B5">
            <w:pPr>
              <w:jc w:val="center"/>
              <w:rPr>
                <w:rFonts w:cs="Arial"/>
                <w:color w:val="000000"/>
                <w:sz w:val="18"/>
                <w:szCs w:val="18"/>
                <w:lang w:eastAsia="es-CO"/>
              </w:rPr>
            </w:pPr>
            <w:r w:rsidRPr="00D520D0">
              <w:rPr>
                <w:rFonts w:cs="Arial"/>
                <w:color w:val="000000"/>
                <w:sz w:val="18"/>
                <w:szCs w:val="18"/>
                <w:lang w:eastAsia="es-CO"/>
              </w:rPr>
              <w:lastRenderedPageBreak/>
              <w:t>2017</w:t>
            </w:r>
          </w:p>
        </w:tc>
        <w:tc>
          <w:tcPr>
            <w:tcW w:w="1395" w:type="dxa"/>
            <w:shd w:val="clear" w:color="auto" w:fill="auto"/>
            <w:noWrap/>
            <w:vAlign w:val="center"/>
            <w:hideMark/>
          </w:tcPr>
          <w:p w14:paraId="74B49CDA" w14:textId="77777777" w:rsidR="00667EDA" w:rsidRPr="00D520D0" w:rsidRDefault="00667EDA" w:rsidP="007114B5">
            <w:pPr>
              <w:jc w:val="center"/>
              <w:rPr>
                <w:rFonts w:cs="Arial"/>
                <w:color w:val="000000"/>
                <w:sz w:val="18"/>
                <w:szCs w:val="18"/>
                <w:lang w:eastAsia="es-CO"/>
              </w:rPr>
            </w:pPr>
            <w:r w:rsidRPr="00D520D0">
              <w:rPr>
                <w:rFonts w:cs="Arial"/>
                <w:color w:val="000000"/>
                <w:sz w:val="18"/>
                <w:szCs w:val="18"/>
                <w:lang w:eastAsia="es-CO"/>
              </w:rPr>
              <w:t>161</w:t>
            </w:r>
          </w:p>
        </w:tc>
        <w:tc>
          <w:tcPr>
            <w:tcW w:w="1480" w:type="dxa"/>
            <w:shd w:val="clear" w:color="auto" w:fill="auto"/>
            <w:noWrap/>
            <w:vAlign w:val="center"/>
            <w:hideMark/>
          </w:tcPr>
          <w:p w14:paraId="4FF25EAA" w14:textId="77777777" w:rsidR="00667EDA" w:rsidRPr="00D520D0" w:rsidRDefault="00667EDA" w:rsidP="007114B5">
            <w:pPr>
              <w:jc w:val="center"/>
              <w:rPr>
                <w:rFonts w:cs="Arial"/>
                <w:color w:val="000000"/>
                <w:sz w:val="18"/>
                <w:szCs w:val="18"/>
                <w:lang w:eastAsia="es-CO"/>
              </w:rPr>
            </w:pPr>
            <w:r w:rsidRPr="00D520D0">
              <w:rPr>
                <w:rFonts w:cs="Arial"/>
                <w:color w:val="000000"/>
                <w:sz w:val="18"/>
                <w:szCs w:val="18"/>
                <w:lang w:eastAsia="es-CO"/>
              </w:rPr>
              <w:t>0.994%</w:t>
            </w:r>
          </w:p>
        </w:tc>
        <w:tc>
          <w:tcPr>
            <w:tcW w:w="1741" w:type="dxa"/>
            <w:vAlign w:val="center"/>
          </w:tcPr>
          <w:p w14:paraId="2026892F" w14:textId="77777777" w:rsidR="00667EDA" w:rsidRPr="00D520D0" w:rsidRDefault="00667EDA" w:rsidP="007114B5">
            <w:pPr>
              <w:jc w:val="center"/>
              <w:rPr>
                <w:rFonts w:cs="Arial"/>
                <w:color w:val="000000"/>
                <w:sz w:val="18"/>
                <w:szCs w:val="18"/>
                <w:lang w:eastAsia="es-CO"/>
              </w:rPr>
            </w:pPr>
            <w:r w:rsidRPr="00D520D0">
              <w:rPr>
                <w:rFonts w:cs="Arial"/>
                <w:color w:val="000000"/>
                <w:sz w:val="18"/>
                <w:szCs w:val="18"/>
                <w:lang w:eastAsia="es-CO"/>
              </w:rPr>
              <w:t>162</w:t>
            </w:r>
          </w:p>
        </w:tc>
        <w:tc>
          <w:tcPr>
            <w:tcW w:w="1898" w:type="dxa"/>
            <w:vAlign w:val="center"/>
          </w:tcPr>
          <w:p w14:paraId="0169995C" w14:textId="77777777" w:rsidR="00667EDA" w:rsidRPr="00D520D0" w:rsidRDefault="00667EDA" w:rsidP="007114B5">
            <w:pPr>
              <w:jc w:val="center"/>
              <w:rPr>
                <w:rFonts w:cs="Arial"/>
                <w:color w:val="000000"/>
                <w:sz w:val="18"/>
                <w:szCs w:val="18"/>
                <w:lang w:eastAsia="es-CO"/>
              </w:rPr>
            </w:pPr>
            <w:r w:rsidRPr="00D520D0">
              <w:rPr>
                <w:rFonts w:cs="Arial"/>
                <w:color w:val="000000"/>
                <w:sz w:val="18"/>
                <w:szCs w:val="18"/>
                <w:lang w:eastAsia="es-CO"/>
              </w:rPr>
              <w:t>282</w:t>
            </w:r>
          </w:p>
        </w:tc>
        <w:tc>
          <w:tcPr>
            <w:tcW w:w="1480" w:type="dxa"/>
            <w:shd w:val="clear" w:color="auto" w:fill="auto"/>
            <w:noWrap/>
            <w:vAlign w:val="center"/>
            <w:hideMark/>
          </w:tcPr>
          <w:p w14:paraId="4B2D0443" w14:textId="1D12F7A7" w:rsidR="00667EDA" w:rsidRPr="00D520D0" w:rsidRDefault="00667EDA" w:rsidP="007114B5">
            <w:pPr>
              <w:jc w:val="center"/>
              <w:rPr>
                <w:rFonts w:cs="Arial"/>
                <w:color w:val="000000"/>
                <w:sz w:val="18"/>
                <w:szCs w:val="18"/>
                <w:lang w:eastAsia="es-CO"/>
              </w:rPr>
            </w:pPr>
            <w:r w:rsidRPr="00D520D0">
              <w:rPr>
                <w:rFonts w:cs="Arial"/>
                <w:spacing w:val="0"/>
                <w:sz w:val="18"/>
                <w:szCs w:val="18"/>
                <w:lang w:eastAsia="es-CO"/>
              </w:rPr>
              <w:t>19</w:t>
            </w:r>
            <w:r w:rsidR="00EA0452">
              <w:rPr>
                <w:rFonts w:cs="Arial"/>
                <w:spacing w:val="0"/>
                <w:sz w:val="18"/>
                <w:szCs w:val="18"/>
                <w:lang w:eastAsia="es-CO"/>
              </w:rPr>
              <w:t>.</w:t>
            </w:r>
            <w:r w:rsidRPr="00D520D0">
              <w:rPr>
                <w:rFonts w:cs="Arial"/>
                <w:spacing w:val="0"/>
                <w:sz w:val="18"/>
                <w:szCs w:val="18"/>
                <w:lang w:eastAsia="es-CO"/>
              </w:rPr>
              <w:t>923</w:t>
            </w:r>
            <w:r w:rsidR="00EA0452">
              <w:rPr>
                <w:rFonts w:cs="Arial"/>
                <w:spacing w:val="0"/>
                <w:sz w:val="18"/>
                <w:szCs w:val="18"/>
                <w:lang w:eastAsia="es-CO"/>
              </w:rPr>
              <w:t>.</w:t>
            </w:r>
            <w:r w:rsidRPr="00D520D0">
              <w:rPr>
                <w:rFonts w:cs="Arial"/>
                <w:spacing w:val="0"/>
                <w:sz w:val="18"/>
                <w:szCs w:val="18"/>
                <w:lang w:eastAsia="es-CO"/>
              </w:rPr>
              <w:t>795</w:t>
            </w:r>
            <w:r w:rsidR="00EA0452">
              <w:rPr>
                <w:rFonts w:cs="Arial"/>
                <w:spacing w:val="0"/>
                <w:sz w:val="18"/>
                <w:szCs w:val="18"/>
                <w:lang w:eastAsia="es-CO"/>
              </w:rPr>
              <w:t>.</w:t>
            </w:r>
            <w:r w:rsidRPr="00D520D0">
              <w:rPr>
                <w:rFonts w:cs="Arial"/>
                <w:spacing w:val="0"/>
                <w:sz w:val="18"/>
                <w:szCs w:val="18"/>
                <w:lang w:eastAsia="es-CO"/>
              </w:rPr>
              <w:t>923</w:t>
            </w:r>
          </w:p>
        </w:tc>
      </w:tr>
      <w:tr w:rsidR="00667EDA" w:rsidRPr="00D520D0" w14:paraId="0CCE8E81" w14:textId="77777777" w:rsidTr="007114B5">
        <w:trPr>
          <w:trHeight w:val="276"/>
          <w:jc w:val="center"/>
        </w:trPr>
        <w:tc>
          <w:tcPr>
            <w:tcW w:w="868" w:type="dxa"/>
            <w:shd w:val="clear" w:color="auto" w:fill="auto"/>
            <w:noWrap/>
            <w:vAlign w:val="center"/>
            <w:hideMark/>
          </w:tcPr>
          <w:p w14:paraId="14F92BD3" w14:textId="77777777" w:rsidR="00667EDA" w:rsidRPr="00D520D0" w:rsidRDefault="00667EDA" w:rsidP="007114B5">
            <w:pPr>
              <w:jc w:val="center"/>
              <w:rPr>
                <w:rFonts w:cs="Arial"/>
                <w:color w:val="000000"/>
                <w:sz w:val="18"/>
                <w:szCs w:val="18"/>
                <w:lang w:eastAsia="es-CO"/>
              </w:rPr>
            </w:pPr>
            <w:r w:rsidRPr="00D520D0">
              <w:rPr>
                <w:rFonts w:cs="Arial"/>
                <w:color w:val="000000"/>
                <w:sz w:val="18"/>
                <w:szCs w:val="18"/>
                <w:lang w:eastAsia="es-CO"/>
              </w:rPr>
              <w:t>2018</w:t>
            </w:r>
          </w:p>
        </w:tc>
        <w:tc>
          <w:tcPr>
            <w:tcW w:w="1395" w:type="dxa"/>
            <w:shd w:val="clear" w:color="auto" w:fill="auto"/>
            <w:noWrap/>
            <w:vAlign w:val="center"/>
            <w:hideMark/>
          </w:tcPr>
          <w:p w14:paraId="36130C67" w14:textId="77777777" w:rsidR="00667EDA" w:rsidRPr="00D520D0" w:rsidRDefault="00667EDA" w:rsidP="007114B5">
            <w:pPr>
              <w:jc w:val="center"/>
              <w:rPr>
                <w:rFonts w:cs="Arial"/>
                <w:color w:val="000000"/>
                <w:sz w:val="18"/>
                <w:szCs w:val="18"/>
                <w:lang w:eastAsia="es-CO"/>
              </w:rPr>
            </w:pPr>
            <w:r w:rsidRPr="00D520D0">
              <w:rPr>
                <w:rFonts w:cs="Arial"/>
                <w:color w:val="000000"/>
                <w:sz w:val="18"/>
                <w:szCs w:val="18"/>
                <w:lang w:eastAsia="es-CO"/>
              </w:rPr>
              <w:t>138</w:t>
            </w:r>
          </w:p>
        </w:tc>
        <w:tc>
          <w:tcPr>
            <w:tcW w:w="1480" w:type="dxa"/>
            <w:shd w:val="clear" w:color="auto" w:fill="auto"/>
            <w:noWrap/>
            <w:vAlign w:val="center"/>
            <w:hideMark/>
          </w:tcPr>
          <w:p w14:paraId="13CFA197" w14:textId="77777777" w:rsidR="00667EDA" w:rsidRPr="00D520D0" w:rsidRDefault="00667EDA" w:rsidP="007114B5">
            <w:pPr>
              <w:jc w:val="center"/>
              <w:rPr>
                <w:rFonts w:cs="Arial"/>
                <w:color w:val="000000"/>
                <w:sz w:val="18"/>
                <w:szCs w:val="18"/>
                <w:lang w:eastAsia="es-CO"/>
              </w:rPr>
            </w:pPr>
            <w:r w:rsidRPr="00D520D0">
              <w:rPr>
                <w:rFonts w:cs="Arial"/>
                <w:color w:val="000000"/>
                <w:sz w:val="18"/>
                <w:szCs w:val="18"/>
                <w:lang w:eastAsia="es-CO"/>
              </w:rPr>
              <w:t>1.00%</w:t>
            </w:r>
          </w:p>
        </w:tc>
        <w:tc>
          <w:tcPr>
            <w:tcW w:w="1741" w:type="dxa"/>
            <w:vAlign w:val="center"/>
          </w:tcPr>
          <w:p w14:paraId="1F76CCFD" w14:textId="77777777" w:rsidR="00667EDA" w:rsidRPr="00D520D0" w:rsidRDefault="00667EDA" w:rsidP="007114B5">
            <w:pPr>
              <w:jc w:val="center"/>
              <w:rPr>
                <w:rFonts w:cs="Arial"/>
                <w:color w:val="000000"/>
                <w:sz w:val="18"/>
                <w:szCs w:val="18"/>
                <w:lang w:eastAsia="es-CO"/>
              </w:rPr>
            </w:pPr>
            <w:r w:rsidRPr="00D520D0">
              <w:rPr>
                <w:rFonts w:cs="Arial"/>
                <w:color w:val="000000"/>
                <w:sz w:val="18"/>
                <w:szCs w:val="18"/>
                <w:lang w:eastAsia="es-CO"/>
              </w:rPr>
              <w:t>139</w:t>
            </w:r>
          </w:p>
        </w:tc>
        <w:tc>
          <w:tcPr>
            <w:tcW w:w="1898" w:type="dxa"/>
            <w:vAlign w:val="center"/>
          </w:tcPr>
          <w:p w14:paraId="2BA2C30E" w14:textId="77777777" w:rsidR="00667EDA" w:rsidRPr="00D520D0" w:rsidRDefault="00667EDA" w:rsidP="007114B5">
            <w:pPr>
              <w:jc w:val="center"/>
              <w:rPr>
                <w:rFonts w:cs="Arial"/>
                <w:color w:val="000000"/>
                <w:sz w:val="18"/>
                <w:szCs w:val="18"/>
                <w:lang w:eastAsia="es-CO"/>
              </w:rPr>
            </w:pPr>
            <w:r w:rsidRPr="00D520D0">
              <w:rPr>
                <w:rFonts w:cs="Arial"/>
                <w:color w:val="000000"/>
                <w:sz w:val="18"/>
                <w:szCs w:val="18"/>
                <w:lang w:eastAsia="es-CO"/>
              </w:rPr>
              <w:t>307</w:t>
            </w:r>
          </w:p>
        </w:tc>
        <w:tc>
          <w:tcPr>
            <w:tcW w:w="1480" w:type="dxa"/>
            <w:shd w:val="clear" w:color="auto" w:fill="auto"/>
            <w:noWrap/>
            <w:vAlign w:val="center"/>
            <w:hideMark/>
          </w:tcPr>
          <w:p w14:paraId="1E21ABF5" w14:textId="2A7F5484" w:rsidR="00667EDA" w:rsidRPr="00D520D0" w:rsidRDefault="00667EDA" w:rsidP="007114B5">
            <w:pPr>
              <w:jc w:val="center"/>
              <w:rPr>
                <w:rFonts w:cs="Arial"/>
                <w:spacing w:val="0"/>
                <w:sz w:val="18"/>
                <w:szCs w:val="18"/>
                <w:lang w:eastAsia="es-CO"/>
              </w:rPr>
            </w:pPr>
            <w:r w:rsidRPr="00D520D0">
              <w:rPr>
                <w:rFonts w:cs="Arial"/>
                <w:spacing w:val="0"/>
                <w:sz w:val="18"/>
                <w:szCs w:val="18"/>
                <w:lang w:eastAsia="es-CO"/>
              </w:rPr>
              <w:t>22</w:t>
            </w:r>
            <w:r w:rsidR="00EA0452">
              <w:rPr>
                <w:rFonts w:cs="Arial"/>
                <w:spacing w:val="0"/>
                <w:sz w:val="18"/>
                <w:szCs w:val="18"/>
                <w:lang w:eastAsia="es-CO"/>
              </w:rPr>
              <w:t>.</w:t>
            </w:r>
            <w:r w:rsidRPr="00D520D0">
              <w:rPr>
                <w:rFonts w:cs="Arial"/>
                <w:spacing w:val="0"/>
                <w:sz w:val="18"/>
                <w:szCs w:val="18"/>
                <w:lang w:eastAsia="es-CO"/>
              </w:rPr>
              <w:t>212</w:t>
            </w:r>
            <w:r w:rsidR="00EA0452">
              <w:rPr>
                <w:rFonts w:cs="Arial"/>
                <w:spacing w:val="0"/>
                <w:sz w:val="18"/>
                <w:szCs w:val="18"/>
                <w:lang w:eastAsia="es-CO"/>
              </w:rPr>
              <w:t>.</w:t>
            </w:r>
            <w:r w:rsidRPr="00D520D0">
              <w:rPr>
                <w:rFonts w:cs="Arial"/>
                <w:spacing w:val="0"/>
                <w:sz w:val="18"/>
                <w:szCs w:val="18"/>
                <w:lang w:eastAsia="es-CO"/>
              </w:rPr>
              <w:t>747</w:t>
            </w:r>
            <w:r w:rsidR="00EA0452">
              <w:rPr>
                <w:rFonts w:cs="Arial"/>
                <w:spacing w:val="0"/>
                <w:sz w:val="18"/>
                <w:szCs w:val="18"/>
                <w:lang w:eastAsia="es-CO"/>
              </w:rPr>
              <w:t>.</w:t>
            </w:r>
            <w:r w:rsidRPr="00D520D0">
              <w:rPr>
                <w:rFonts w:cs="Arial"/>
                <w:spacing w:val="0"/>
                <w:sz w:val="18"/>
                <w:szCs w:val="18"/>
                <w:lang w:eastAsia="es-CO"/>
              </w:rPr>
              <w:t>000</w:t>
            </w:r>
          </w:p>
        </w:tc>
      </w:tr>
      <w:tr w:rsidR="00667EDA" w:rsidRPr="00D520D0" w14:paraId="38E8AB58" w14:textId="77777777" w:rsidTr="007114B5">
        <w:trPr>
          <w:trHeight w:val="337"/>
          <w:jc w:val="center"/>
        </w:trPr>
        <w:tc>
          <w:tcPr>
            <w:tcW w:w="868" w:type="dxa"/>
            <w:shd w:val="clear" w:color="auto" w:fill="auto"/>
            <w:noWrap/>
            <w:vAlign w:val="center"/>
            <w:hideMark/>
          </w:tcPr>
          <w:p w14:paraId="6B3D9CB0" w14:textId="77777777" w:rsidR="00667EDA" w:rsidRPr="00D520D0" w:rsidRDefault="00667EDA" w:rsidP="007114B5">
            <w:pPr>
              <w:jc w:val="center"/>
              <w:rPr>
                <w:rFonts w:cs="Arial"/>
                <w:color w:val="000000"/>
                <w:sz w:val="18"/>
                <w:szCs w:val="18"/>
                <w:lang w:eastAsia="es-CO"/>
              </w:rPr>
            </w:pPr>
            <w:r w:rsidRPr="00D520D0">
              <w:rPr>
                <w:rFonts w:cs="Arial"/>
                <w:color w:val="000000"/>
                <w:sz w:val="18"/>
                <w:szCs w:val="18"/>
                <w:lang w:eastAsia="es-CO"/>
              </w:rPr>
              <w:t>2019</w:t>
            </w:r>
          </w:p>
        </w:tc>
        <w:tc>
          <w:tcPr>
            <w:tcW w:w="1395" w:type="dxa"/>
            <w:shd w:val="clear" w:color="auto" w:fill="auto"/>
            <w:noWrap/>
            <w:vAlign w:val="center"/>
            <w:hideMark/>
          </w:tcPr>
          <w:p w14:paraId="35B10420" w14:textId="77777777" w:rsidR="00667EDA" w:rsidRPr="00D520D0" w:rsidRDefault="00667EDA" w:rsidP="007114B5">
            <w:pPr>
              <w:jc w:val="center"/>
              <w:rPr>
                <w:rFonts w:cs="Arial"/>
                <w:color w:val="000000"/>
                <w:sz w:val="18"/>
                <w:szCs w:val="18"/>
                <w:lang w:eastAsia="es-CO"/>
              </w:rPr>
            </w:pPr>
            <w:r w:rsidRPr="00D520D0">
              <w:rPr>
                <w:rFonts w:cs="Arial"/>
                <w:color w:val="000000"/>
                <w:sz w:val="18"/>
                <w:szCs w:val="18"/>
                <w:lang w:eastAsia="es-CO"/>
              </w:rPr>
              <w:t>197</w:t>
            </w:r>
          </w:p>
        </w:tc>
        <w:tc>
          <w:tcPr>
            <w:tcW w:w="1480" w:type="dxa"/>
            <w:shd w:val="clear" w:color="auto" w:fill="auto"/>
            <w:noWrap/>
            <w:vAlign w:val="center"/>
            <w:hideMark/>
          </w:tcPr>
          <w:p w14:paraId="62F80096" w14:textId="77777777" w:rsidR="00667EDA" w:rsidRPr="00D520D0" w:rsidRDefault="00667EDA" w:rsidP="007114B5">
            <w:pPr>
              <w:jc w:val="center"/>
              <w:rPr>
                <w:rFonts w:cs="Arial"/>
                <w:color w:val="000000"/>
                <w:sz w:val="18"/>
                <w:szCs w:val="18"/>
                <w:lang w:eastAsia="es-CO"/>
              </w:rPr>
            </w:pPr>
            <w:r w:rsidRPr="00D520D0">
              <w:rPr>
                <w:rFonts w:cs="Arial"/>
                <w:color w:val="000000"/>
                <w:sz w:val="18"/>
                <w:szCs w:val="18"/>
                <w:lang w:eastAsia="es-CO"/>
              </w:rPr>
              <w:t>1.00%</w:t>
            </w:r>
          </w:p>
        </w:tc>
        <w:tc>
          <w:tcPr>
            <w:tcW w:w="1741" w:type="dxa"/>
            <w:vAlign w:val="center"/>
          </w:tcPr>
          <w:p w14:paraId="5F3B66D6" w14:textId="77777777" w:rsidR="00667EDA" w:rsidRPr="00D520D0" w:rsidRDefault="00667EDA" w:rsidP="007114B5">
            <w:pPr>
              <w:jc w:val="center"/>
              <w:rPr>
                <w:rFonts w:cs="Arial"/>
                <w:color w:val="000000"/>
                <w:sz w:val="18"/>
                <w:szCs w:val="18"/>
                <w:lang w:eastAsia="es-CO"/>
              </w:rPr>
            </w:pPr>
            <w:r w:rsidRPr="00D520D0">
              <w:rPr>
                <w:rFonts w:cs="Arial"/>
                <w:color w:val="000000"/>
                <w:sz w:val="18"/>
                <w:szCs w:val="18"/>
                <w:lang w:eastAsia="es-CO"/>
              </w:rPr>
              <w:t>Liquidación oficial</w:t>
            </w:r>
          </w:p>
        </w:tc>
        <w:tc>
          <w:tcPr>
            <w:tcW w:w="1898" w:type="dxa"/>
            <w:vAlign w:val="center"/>
          </w:tcPr>
          <w:p w14:paraId="04E5129C" w14:textId="77777777" w:rsidR="00667EDA" w:rsidRPr="00D520D0" w:rsidRDefault="00667EDA" w:rsidP="007114B5">
            <w:pPr>
              <w:jc w:val="center"/>
              <w:rPr>
                <w:rFonts w:cs="Arial"/>
                <w:color w:val="000000"/>
                <w:sz w:val="18"/>
                <w:szCs w:val="18"/>
                <w:lang w:eastAsia="es-CO"/>
              </w:rPr>
            </w:pPr>
            <w:r w:rsidRPr="00D520D0">
              <w:rPr>
                <w:rFonts w:cs="Arial"/>
                <w:color w:val="000000"/>
                <w:sz w:val="18"/>
                <w:szCs w:val="18"/>
                <w:lang w:eastAsia="es-CO"/>
              </w:rPr>
              <w:t>337</w:t>
            </w:r>
          </w:p>
        </w:tc>
        <w:tc>
          <w:tcPr>
            <w:tcW w:w="1480" w:type="dxa"/>
            <w:shd w:val="clear" w:color="auto" w:fill="auto"/>
            <w:noWrap/>
            <w:vAlign w:val="center"/>
            <w:hideMark/>
          </w:tcPr>
          <w:p w14:paraId="6307AF9B" w14:textId="32C8E1B0" w:rsidR="00667EDA" w:rsidRPr="00D520D0" w:rsidRDefault="00667EDA" w:rsidP="007114B5">
            <w:pPr>
              <w:jc w:val="center"/>
              <w:rPr>
                <w:rFonts w:cs="Arial"/>
                <w:color w:val="000000"/>
                <w:sz w:val="18"/>
                <w:szCs w:val="18"/>
                <w:lang w:eastAsia="es-CO"/>
              </w:rPr>
            </w:pPr>
            <w:r w:rsidRPr="00D520D0">
              <w:rPr>
                <w:rFonts w:cs="Arial"/>
                <w:spacing w:val="0"/>
                <w:sz w:val="18"/>
                <w:szCs w:val="18"/>
                <w:lang w:eastAsia="es-CO"/>
              </w:rPr>
              <w:t>27</w:t>
            </w:r>
            <w:r w:rsidR="00EA0452">
              <w:rPr>
                <w:rFonts w:cs="Arial"/>
                <w:spacing w:val="0"/>
                <w:sz w:val="18"/>
                <w:szCs w:val="18"/>
                <w:lang w:eastAsia="es-CO"/>
              </w:rPr>
              <w:t>.</w:t>
            </w:r>
            <w:r w:rsidRPr="00D520D0">
              <w:rPr>
                <w:rFonts w:cs="Arial"/>
                <w:spacing w:val="0"/>
                <w:sz w:val="18"/>
                <w:szCs w:val="18"/>
                <w:lang w:eastAsia="es-CO"/>
              </w:rPr>
              <w:t>686</w:t>
            </w:r>
            <w:r w:rsidR="00EA0452">
              <w:rPr>
                <w:rFonts w:cs="Arial"/>
                <w:spacing w:val="0"/>
                <w:sz w:val="18"/>
                <w:szCs w:val="18"/>
                <w:lang w:eastAsia="es-CO"/>
              </w:rPr>
              <w:t>.</w:t>
            </w:r>
            <w:r w:rsidRPr="00D520D0">
              <w:rPr>
                <w:rFonts w:cs="Arial"/>
                <w:spacing w:val="0"/>
                <w:sz w:val="18"/>
                <w:szCs w:val="18"/>
                <w:lang w:eastAsia="es-CO"/>
              </w:rPr>
              <w:t>960</w:t>
            </w:r>
            <w:r w:rsidR="00EA0452">
              <w:rPr>
                <w:rFonts w:cs="Arial"/>
                <w:spacing w:val="0"/>
                <w:sz w:val="18"/>
                <w:szCs w:val="18"/>
                <w:lang w:eastAsia="es-CO"/>
              </w:rPr>
              <w:t>.</w:t>
            </w:r>
            <w:r w:rsidRPr="00D520D0">
              <w:rPr>
                <w:rFonts w:cs="Arial"/>
                <w:spacing w:val="0"/>
                <w:sz w:val="18"/>
                <w:szCs w:val="18"/>
                <w:lang w:eastAsia="es-CO"/>
              </w:rPr>
              <w:t>300</w:t>
            </w:r>
          </w:p>
        </w:tc>
      </w:tr>
      <w:tr w:rsidR="00667EDA" w:rsidRPr="00D520D0" w14:paraId="534EDB42" w14:textId="77777777" w:rsidTr="007114B5">
        <w:trPr>
          <w:trHeight w:val="272"/>
          <w:jc w:val="center"/>
        </w:trPr>
        <w:tc>
          <w:tcPr>
            <w:tcW w:w="868" w:type="dxa"/>
            <w:shd w:val="clear" w:color="auto" w:fill="auto"/>
            <w:noWrap/>
            <w:vAlign w:val="center"/>
          </w:tcPr>
          <w:p w14:paraId="5102273C" w14:textId="77777777" w:rsidR="00667EDA" w:rsidRPr="00D520D0" w:rsidRDefault="00667EDA" w:rsidP="007114B5">
            <w:pPr>
              <w:jc w:val="center"/>
              <w:rPr>
                <w:rFonts w:cs="Arial"/>
                <w:color w:val="000000"/>
                <w:sz w:val="18"/>
                <w:szCs w:val="18"/>
                <w:lang w:eastAsia="es-CO"/>
              </w:rPr>
            </w:pPr>
            <w:r>
              <w:rPr>
                <w:rFonts w:cs="Arial"/>
                <w:color w:val="000000"/>
                <w:sz w:val="18"/>
                <w:szCs w:val="18"/>
                <w:lang w:eastAsia="es-CO"/>
              </w:rPr>
              <w:t>2020</w:t>
            </w:r>
          </w:p>
        </w:tc>
        <w:tc>
          <w:tcPr>
            <w:tcW w:w="1395" w:type="dxa"/>
            <w:shd w:val="clear" w:color="auto" w:fill="auto"/>
            <w:noWrap/>
            <w:vAlign w:val="center"/>
          </w:tcPr>
          <w:p w14:paraId="5AA80196" w14:textId="77777777" w:rsidR="00667EDA" w:rsidRPr="00D520D0" w:rsidRDefault="00667EDA" w:rsidP="007114B5">
            <w:pPr>
              <w:jc w:val="center"/>
              <w:rPr>
                <w:rFonts w:cs="Arial"/>
                <w:color w:val="000000"/>
                <w:sz w:val="18"/>
                <w:szCs w:val="18"/>
                <w:lang w:eastAsia="es-CO"/>
              </w:rPr>
            </w:pPr>
            <w:r>
              <w:rPr>
                <w:rFonts w:cs="Arial"/>
                <w:color w:val="000000"/>
                <w:sz w:val="18"/>
                <w:szCs w:val="18"/>
                <w:lang w:eastAsia="es-CO"/>
              </w:rPr>
              <w:t>235</w:t>
            </w:r>
          </w:p>
        </w:tc>
        <w:tc>
          <w:tcPr>
            <w:tcW w:w="1480" w:type="dxa"/>
            <w:shd w:val="clear" w:color="auto" w:fill="auto"/>
            <w:noWrap/>
            <w:vAlign w:val="center"/>
          </w:tcPr>
          <w:p w14:paraId="7A51BAB2" w14:textId="77777777" w:rsidR="00667EDA" w:rsidRPr="00D520D0" w:rsidRDefault="00667EDA" w:rsidP="007114B5">
            <w:pPr>
              <w:jc w:val="center"/>
              <w:rPr>
                <w:rFonts w:cs="Arial"/>
                <w:color w:val="000000"/>
                <w:sz w:val="18"/>
                <w:szCs w:val="18"/>
                <w:lang w:eastAsia="es-CO"/>
              </w:rPr>
            </w:pPr>
            <w:r w:rsidRPr="00D520D0">
              <w:rPr>
                <w:rFonts w:cs="Arial"/>
                <w:color w:val="000000"/>
                <w:sz w:val="18"/>
                <w:szCs w:val="18"/>
                <w:lang w:eastAsia="es-CO"/>
              </w:rPr>
              <w:t>1.00%</w:t>
            </w:r>
          </w:p>
        </w:tc>
        <w:tc>
          <w:tcPr>
            <w:tcW w:w="1741" w:type="dxa"/>
            <w:vAlign w:val="center"/>
          </w:tcPr>
          <w:p w14:paraId="2C742B63" w14:textId="77777777" w:rsidR="00667EDA" w:rsidRPr="00D520D0" w:rsidRDefault="00667EDA" w:rsidP="007114B5">
            <w:pPr>
              <w:jc w:val="center"/>
              <w:rPr>
                <w:rFonts w:cs="Arial"/>
                <w:color w:val="000000"/>
                <w:sz w:val="18"/>
                <w:szCs w:val="18"/>
                <w:lang w:eastAsia="es-CO"/>
              </w:rPr>
            </w:pPr>
            <w:r w:rsidRPr="00D520D0">
              <w:rPr>
                <w:rFonts w:cs="Arial"/>
                <w:color w:val="000000"/>
                <w:sz w:val="18"/>
                <w:szCs w:val="18"/>
                <w:lang w:eastAsia="es-CO"/>
              </w:rPr>
              <w:t>Liquidación oficial</w:t>
            </w:r>
          </w:p>
        </w:tc>
        <w:tc>
          <w:tcPr>
            <w:tcW w:w="1898" w:type="dxa"/>
            <w:vAlign w:val="center"/>
          </w:tcPr>
          <w:p w14:paraId="7FB13E04" w14:textId="1EA6173E" w:rsidR="00667EDA" w:rsidRPr="00D520D0" w:rsidRDefault="00667EDA" w:rsidP="007114B5">
            <w:pPr>
              <w:jc w:val="center"/>
              <w:rPr>
                <w:rFonts w:cs="Arial"/>
                <w:color w:val="000000"/>
                <w:sz w:val="18"/>
                <w:szCs w:val="18"/>
                <w:lang w:eastAsia="es-CO"/>
              </w:rPr>
            </w:pPr>
            <w:r>
              <w:rPr>
                <w:rFonts w:cs="Arial"/>
                <w:color w:val="000000"/>
                <w:sz w:val="18"/>
                <w:szCs w:val="18"/>
                <w:lang w:eastAsia="es-CO"/>
              </w:rPr>
              <w:t>307</w:t>
            </w:r>
          </w:p>
        </w:tc>
        <w:tc>
          <w:tcPr>
            <w:tcW w:w="1480" w:type="dxa"/>
            <w:shd w:val="clear" w:color="auto" w:fill="auto"/>
            <w:noWrap/>
            <w:vAlign w:val="center"/>
          </w:tcPr>
          <w:p w14:paraId="4DA5237A" w14:textId="27A413B4" w:rsidR="00667EDA" w:rsidRPr="00D520D0" w:rsidRDefault="00667EDA" w:rsidP="007114B5">
            <w:pPr>
              <w:jc w:val="center"/>
              <w:rPr>
                <w:rFonts w:cs="Arial"/>
                <w:spacing w:val="0"/>
                <w:sz w:val="18"/>
                <w:szCs w:val="18"/>
                <w:lang w:eastAsia="es-CO"/>
              </w:rPr>
            </w:pPr>
            <w:r w:rsidRPr="00DA6EFF">
              <w:rPr>
                <w:rFonts w:cs="Arial"/>
                <w:spacing w:val="0"/>
                <w:sz w:val="18"/>
                <w:szCs w:val="18"/>
                <w:lang w:eastAsia="es-CO"/>
              </w:rPr>
              <w:t>30</w:t>
            </w:r>
            <w:r w:rsidR="00EA0452">
              <w:rPr>
                <w:rFonts w:cs="Arial"/>
                <w:spacing w:val="0"/>
                <w:sz w:val="18"/>
                <w:szCs w:val="18"/>
                <w:lang w:eastAsia="es-CO"/>
              </w:rPr>
              <w:t>.</w:t>
            </w:r>
            <w:r w:rsidRPr="00DA6EFF">
              <w:rPr>
                <w:rFonts w:cs="Arial"/>
                <w:spacing w:val="0"/>
                <w:sz w:val="18"/>
                <w:szCs w:val="18"/>
                <w:lang w:eastAsia="es-CO"/>
              </w:rPr>
              <w:t>459</w:t>
            </w:r>
            <w:r w:rsidR="00EA0452">
              <w:rPr>
                <w:rFonts w:cs="Arial"/>
                <w:spacing w:val="0"/>
                <w:sz w:val="18"/>
                <w:szCs w:val="18"/>
                <w:lang w:eastAsia="es-CO"/>
              </w:rPr>
              <w:t>.</w:t>
            </w:r>
            <w:r w:rsidRPr="00DA6EFF">
              <w:rPr>
                <w:rFonts w:cs="Arial"/>
                <w:spacing w:val="0"/>
                <w:sz w:val="18"/>
                <w:szCs w:val="18"/>
                <w:lang w:eastAsia="es-CO"/>
              </w:rPr>
              <w:t>998</w:t>
            </w:r>
            <w:r w:rsidR="00EA0452">
              <w:rPr>
                <w:rFonts w:cs="Arial"/>
                <w:spacing w:val="0"/>
                <w:sz w:val="18"/>
                <w:szCs w:val="18"/>
                <w:lang w:eastAsia="es-CO"/>
              </w:rPr>
              <w:t>.</w:t>
            </w:r>
            <w:r w:rsidRPr="00DA6EFF">
              <w:rPr>
                <w:rFonts w:cs="Arial"/>
                <w:spacing w:val="0"/>
                <w:sz w:val="18"/>
                <w:szCs w:val="18"/>
                <w:lang w:eastAsia="es-CO"/>
              </w:rPr>
              <w:t>0</w:t>
            </w:r>
            <w:r>
              <w:rPr>
                <w:rFonts w:cs="Arial"/>
                <w:spacing w:val="0"/>
                <w:sz w:val="18"/>
                <w:szCs w:val="18"/>
                <w:lang w:eastAsia="es-CO"/>
              </w:rPr>
              <w:t>90</w:t>
            </w:r>
          </w:p>
        </w:tc>
      </w:tr>
      <w:tr w:rsidR="00667EDA" w:rsidRPr="00D520D0" w14:paraId="5FA28E9D" w14:textId="77777777" w:rsidTr="007114B5">
        <w:trPr>
          <w:trHeight w:val="275"/>
          <w:jc w:val="center"/>
        </w:trPr>
        <w:tc>
          <w:tcPr>
            <w:tcW w:w="868" w:type="dxa"/>
            <w:shd w:val="clear" w:color="auto" w:fill="auto"/>
            <w:noWrap/>
            <w:vAlign w:val="center"/>
          </w:tcPr>
          <w:p w14:paraId="133E47F3" w14:textId="77777777" w:rsidR="00667EDA" w:rsidRDefault="00667EDA" w:rsidP="007114B5">
            <w:pPr>
              <w:jc w:val="center"/>
              <w:rPr>
                <w:rFonts w:cs="Arial"/>
                <w:color w:val="000000"/>
                <w:sz w:val="18"/>
                <w:szCs w:val="18"/>
                <w:lang w:eastAsia="es-CO"/>
              </w:rPr>
            </w:pPr>
            <w:r>
              <w:rPr>
                <w:rFonts w:cs="Arial"/>
                <w:color w:val="000000"/>
                <w:sz w:val="18"/>
                <w:szCs w:val="18"/>
                <w:lang w:eastAsia="es-CO"/>
              </w:rPr>
              <w:t>2021</w:t>
            </w:r>
          </w:p>
        </w:tc>
        <w:tc>
          <w:tcPr>
            <w:tcW w:w="1395" w:type="dxa"/>
            <w:shd w:val="clear" w:color="auto" w:fill="auto"/>
            <w:noWrap/>
            <w:vAlign w:val="center"/>
          </w:tcPr>
          <w:p w14:paraId="575AE801" w14:textId="77777777" w:rsidR="00667EDA" w:rsidRDefault="00667EDA" w:rsidP="007114B5">
            <w:pPr>
              <w:jc w:val="center"/>
              <w:rPr>
                <w:rFonts w:cs="Arial"/>
                <w:color w:val="000000"/>
                <w:sz w:val="18"/>
                <w:szCs w:val="18"/>
                <w:lang w:eastAsia="es-CO"/>
              </w:rPr>
            </w:pPr>
            <w:r>
              <w:rPr>
                <w:rFonts w:cs="Arial"/>
                <w:color w:val="000000"/>
                <w:sz w:val="18"/>
                <w:szCs w:val="18"/>
                <w:lang w:eastAsia="es-CO"/>
              </w:rPr>
              <w:t xml:space="preserve">n/d </w:t>
            </w:r>
            <w:r w:rsidRPr="00DA6EFF">
              <w:rPr>
                <w:rFonts w:cs="Arial"/>
                <w:color w:val="000000"/>
                <w:sz w:val="18"/>
                <w:szCs w:val="18"/>
                <w:vertAlign w:val="superscript"/>
                <w:lang w:eastAsia="es-CO"/>
              </w:rPr>
              <w:t>1</w:t>
            </w:r>
          </w:p>
        </w:tc>
        <w:tc>
          <w:tcPr>
            <w:tcW w:w="1480" w:type="dxa"/>
            <w:shd w:val="clear" w:color="auto" w:fill="auto"/>
            <w:noWrap/>
            <w:vAlign w:val="center"/>
          </w:tcPr>
          <w:p w14:paraId="55834714" w14:textId="77777777" w:rsidR="00667EDA" w:rsidRPr="00D520D0" w:rsidRDefault="00667EDA" w:rsidP="007114B5">
            <w:pPr>
              <w:jc w:val="center"/>
              <w:rPr>
                <w:rFonts w:cs="Arial"/>
                <w:color w:val="000000"/>
                <w:sz w:val="18"/>
                <w:szCs w:val="18"/>
                <w:lang w:eastAsia="es-CO"/>
              </w:rPr>
            </w:pPr>
            <w:r w:rsidRPr="00D520D0">
              <w:rPr>
                <w:rFonts w:cs="Arial"/>
                <w:color w:val="000000"/>
                <w:sz w:val="18"/>
                <w:szCs w:val="18"/>
                <w:lang w:eastAsia="es-CO"/>
              </w:rPr>
              <w:t>1.00%</w:t>
            </w:r>
          </w:p>
        </w:tc>
        <w:tc>
          <w:tcPr>
            <w:tcW w:w="1741" w:type="dxa"/>
            <w:vAlign w:val="center"/>
          </w:tcPr>
          <w:p w14:paraId="284AA681" w14:textId="77777777" w:rsidR="00667EDA" w:rsidRPr="00D520D0" w:rsidRDefault="00667EDA" w:rsidP="007114B5">
            <w:pPr>
              <w:jc w:val="center"/>
              <w:rPr>
                <w:rFonts w:cs="Arial"/>
                <w:color w:val="000000"/>
                <w:sz w:val="18"/>
                <w:szCs w:val="18"/>
                <w:lang w:eastAsia="es-CO"/>
              </w:rPr>
            </w:pPr>
            <w:r w:rsidRPr="00D520D0">
              <w:rPr>
                <w:rFonts w:cs="Arial"/>
                <w:color w:val="000000"/>
                <w:sz w:val="18"/>
                <w:szCs w:val="18"/>
                <w:lang w:eastAsia="es-CO"/>
              </w:rPr>
              <w:t>Liquidación oficial</w:t>
            </w:r>
          </w:p>
        </w:tc>
        <w:tc>
          <w:tcPr>
            <w:tcW w:w="1898" w:type="dxa"/>
            <w:vAlign w:val="center"/>
          </w:tcPr>
          <w:p w14:paraId="52E26D57" w14:textId="5EE3ED21" w:rsidR="00667EDA" w:rsidRDefault="00C170A0" w:rsidP="007114B5">
            <w:pPr>
              <w:jc w:val="center"/>
              <w:rPr>
                <w:rFonts w:cs="Arial"/>
                <w:color w:val="000000"/>
                <w:sz w:val="18"/>
                <w:szCs w:val="18"/>
                <w:lang w:eastAsia="es-CO"/>
              </w:rPr>
            </w:pPr>
            <w:r>
              <w:rPr>
                <w:rFonts w:cs="Arial"/>
                <w:color w:val="000000"/>
                <w:sz w:val="18"/>
                <w:szCs w:val="18"/>
                <w:lang w:eastAsia="es-CO"/>
              </w:rPr>
              <w:t>379</w:t>
            </w:r>
          </w:p>
        </w:tc>
        <w:tc>
          <w:tcPr>
            <w:tcW w:w="1480" w:type="dxa"/>
            <w:shd w:val="clear" w:color="auto" w:fill="auto"/>
            <w:noWrap/>
            <w:vAlign w:val="center"/>
          </w:tcPr>
          <w:p w14:paraId="53899193" w14:textId="738CAF07" w:rsidR="00667EDA" w:rsidRPr="00DA6EFF" w:rsidRDefault="00667EDA" w:rsidP="007114B5">
            <w:pPr>
              <w:jc w:val="center"/>
              <w:rPr>
                <w:rFonts w:cs="Arial"/>
                <w:spacing w:val="0"/>
                <w:sz w:val="18"/>
                <w:szCs w:val="18"/>
                <w:lang w:eastAsia="es-CO"/>
              </w:rPr>
            </w:pPr>
            <w:r w:rsidRPr="00DA6EFF">
              <w:rPr>
                <w:rFonts w:cs="Arial"/>
                <w:spacing w:val="0"/>
                <w:sz w:val="18"/>
                <w:szCs w:val="18"/>
                <w:lang w:eastAsia="es-CO"/>
              </w:rPr>
              <w:t>3</w:t>
            </w:r>
            <w:r>
              <w:rPr>
                <w:rFonts w:cs="Arial"/>
                <w:spacing w:val="0"/>
                <w:sz w:val="18"/>
                <w:szCs w:val="18"/>
                <w:lang w:eastAsia="es-CO"/>
              </w:rPr>
              <w:t>2</w:t>
            </w:r>
            <w:r w:rsidR="00EA0452">
              <w:rPr>
                <w:rFonts w:cs="Arial"/>
                <w:spacing w:val="0"/>
                <w:sz w:val="18"/>
                <w:szCs w:val="18"/>
                <w:lang w:eastAsia="es-CO"/>
              </w:rPr>
              <w:t>.</w:t>
            </w:r>
            <w:r>
              <w:rPr>
                <w:rFonts w:cs="Arial"/>
                <w:spacing w:val="0"/>
                <w:sz w:val="18"/>
                <w:szCs w:val="18"/>
                <w:lang w:eastAsia="es-CO"/>
              </w:rPr>
              <w:t>505</w:t>
            </w:r>
            <w:r w:rsidR="00EA0452">
              <w:rPr>
                <w:rFonts w:cs="Arial"/>
                <w:spacing w:val="0"/>
                <w:sz w:val="18"/>
                <w:szCs w:val="18"/>
                <w:lang w:eastAsia="es-CO"/>
              </w:rPr>
              <w:t>.</w:t>
            </w:r>
            <w:r>
              <w:rPr>
                <w:rFonts w:cs="Arial"/>
                <w:spacing w:val="0"/>
                <w:sz w:val="18"/>
                <w:szCs w:val="18"/>
                <w:lang w:eastAsia="es-CO"/>
              </w:rPr>
              <w:t>742</w:t>
            </w:r>
            <w:r w:rsidR="00EA0452">
              <w:rPr>
                <w:rFonts w:cs="Arial"/>
                <w:spacing w:val="0"/>
                <w:sz w:val="18"/>
                <w:szCs w:val="18"/>
                <w:lang w:eastAsia="es-CO"/>
              </w:rPr>
              <w:t>.</w:t>
            </w:r>
            <w:r>
              <w:rPr>
                <w:rFonts w:cs="Arial"/>
                <w:spacing w:val="0"/>
                <w:sz w:val="18"/>
                <w:szCs w:val="18"/>
                <w:lang w:eastAsia="es-CO"/>
              </w:rPr>
              <w:t>932</w:t>
            </w:r>
          </w:p>
        </w:tc>
      </w:tr>
      <w:tr w:rsidR="00667EDA" w:rsidRPr="00D520D0" w14:paraId="6D1C1301" w14:textId="77777777" w:rsidTr="007114B5">
        <w:trPr>
          <w:trHeight w:val="275"/>
          <w:jc w:val="center"/>
        </w:trPr>
        <w:tc>
          <w:tcPr>
            <w:tcW w:w="8862" w:type="dxa"/>
            <w:gridSpan w:val="6"/>
            <w:shd w:val="clear" w:color="auto" w:fill="auto"/>
            <w:noWrap/>
            <w:vAlign w:val="center"/>
          </w:tcPr>
          <w:p w14:paraId="7A46118C" w14:textId="18A984D4" w:rsidR="00667EDA" w:rsidRPr="00DA6EFF" w:rsidRDefault="00667EDA" w:rsidP="007114B5">
            <w:pPr>
              <w:jc w:val="left"/>
              <w:rPr>
                <w:rFonts w:cs="Arial"/>
                <w:spacing w:val="0"/>
                <w:sz w:val="18"/>
                <w:szCs w:val="18"/>
                <w:lang w:eastAsia="es-CO"/>
              </w:rPr>
            </w:pPr>
            <w:r w:rsidRPr="006A6D85">
              <w:rPr>
                <w:rFonts w:cs="Arial"/>
                <w:sz w:val="18"/>
                <w:szCs w:val="18"/>
                <w:vertAlign w:val="superscript"/>
              </w:rPr>
              <w:t>1</w:t>
            </w:r>
            <w:r w:rsidRPr="006A6D85">
              <w:rPr>
                <w:rFonts w:cs="Arial"/>
                <w:sz w:val="18"/>
                <w:szCs w:val="18"/>
              </w:rPr>
              <w:t xml:space="preserve"> </w:t>
            </w:r>
            <w:r>
              <w:rPr>
                <w:rFonts w:cs="Arial"/>
                <w:sz w:val="16"/>
                <w:szCs w:val="16"/>
              </w:rPr>
              <w:t xml:space="preserve">Contribución especial 2021 en proceso de </w:t>
            </w:r>
            <w:r w:rsidR="009435EE">
              <w:rPr>
                <w:rFonts w:cs="Arial"/>
                <w:sz w:val="16"/>
                <w:szCs w:val="16"/>
              </w:rPr>
              <w:t>consulta.</w:t>
            </w:r>
          </w:p>
        </w:tc>
      </w:tr>
    </w:tbl>
    <w:p w14:paraId="6B2E8D8E" w14:textId="77777777" w:rsidR="00875E3C" w:rsidRDefault="00875E3C" w:rsidP="003B72DD">
      <w:pPr>
        <w:jc w:val="left"/>
        <w:rPr>
          <w:sz w:val="22"/>
          <w:szCs w:val="22"/>
        </w:rPr>
      </w:pPr>
      <w:bookmarkStart w:id="39" w:name="_Toc54170185"/>
    </w:p>
    <w:p w14:paraId="6E8FDB9D" w14:textId="77777777" w:rsidR="00875E3C" w:rsidRPr="00CF24CB" w:rsidRDefault="00875E3C" w:rsidP="00875E3C">
      <w:pPr>
        <w:pStyle w:val="Ttulo10"/>
        <w:numPr>
          <w:ilvl w:val="0"/>
          <w:numId w:val="37"/>
        </w:numPr>
        <w:spacing w:before="0" w:after="0"/>
        <w:rPr>
          <w:sz w:val="22"/>
          <w:szCs w:val="22"/>
        </w:rPr>
      </w:pPr>
      <w:bookmarkStart w:id="40" w:name="_Toc88126846"/>
      <w:r w:rsidRPr="00CF24CB">
        <w:rPr>
          <w:sz w:val="22"/>
          <w:szCs w:val="22"/>
        </w:rPr>
        <w:t>REGULADOS OMISOS</w:t>
      </w:r>
      <w:bookmarkEnd w:id="39"/>
      <w:bookmarkEnd w:id="40"/>
    </w:p>
    <w:p w14:paraId="1FE9114C" w14:textId="77777777" w:rsidR="00875E3C" w:rsidRPr="002750F4" w:rsidRDefault="00875E3C" w:rsidP="00875E3C">
      <w:pPr>
        <w:autoSpaceDE w:val="0"/>
        <w:autoSpaceDN w:val="0"/>
        <w:adjustRightInd w:val="0"/>
        <w:rPr>
          <w:rFonts w:cs="Arial"/>
          <w:sz w:val="22"/>
          <w:szCs w:val="22"/>
        </w:rPr>
      </w:pPr>
    </w:p>
    <w:p w14:paraId="4B49535F" w14:textId="6B1365A3" w:rsidR="00875E3C" w:rsidRDefault="00875E3C" w:rsidP="00875E3C">
      <w:pPr>
        <w:rPr>
          <w:rFonts w:cs="Arial"/>
          <w:bCs/>
          <w:sz w:val="22"/>
          <w:szCs w:val="22"/>
        </w:rPr>
      </w:pPr>
      <w:r w:rsidRPr="002750F4">
        <w:rPr>
          <w:rFonts w:cs="Arial"/>
          <w:bCs/>
          <w:sz w:val="22"/>
          <w:szCs w:val="22"/>
        </w:rPr>
        <w:t xml:space="preserve">Se considerarán </w:t>
      </w:r>
      <w:r>
        <w:rPr>
          <w:rFonts w:cs="Arial"/>
          <w:bCs/>
          <w:sz w:val="22"/>
          <w:szCs w:val="22"/>
        </w:rPr>
        <w:t>regulados</w:t>
      </w:r>
      <w:r w:rsidRPr="002750F4">
        <w:rPr>
          <w:rFonts w:cs="Arial"/>
          <w:bCs/>
          <w:sz w:val="22"/>
          <w:szCs w:val="22"/>
        </w:rPr>
        <w:t xml:space="preserve"> omis</w:t>
      </w:r>
      <w:r>
        <w:rPr>
          <w:rFonts w:cs="Arial"/>
          <w:bCs/>
          <w:sz w:val="22"/>
          <w:szCs w:val="22"/>
        </w:rPr>
        <w:t>o</w:t>
      </w:r>
      <w:r w:rsidRPr="002750F4">
        <w:rPr>
          <w:rFonts w:cs="Arial"/>
          <w:bCs/>
          <w:sz w:val="22"/>
          <w:szCs w:val="22"/>
        </w:rPr>
        <w:t xml:space="preserve">s aquellas </w:t>
      </w:r>
      <w:r>
        <w:rPr>
          <w:rFonts w:cs="Arial"/>
          <w:bCs/>
          <w:sz w:val="22"/>
          <w:szCs w:val="22"/>
        </w:rPr>
        <w:t xml:space="preserve">empresas prestadoras de servicios </w:t>
      </w:r>
      <w:r w:rsidRPr="002750F4">
        <w:rPr>
          <w:rFonts w:cs="Arial"/>
          <w:bCs/>
          <w:sz w:val="22"/>
          <w:szCs w:val="22"/>
        </w:rPr>
        <w:t xml:space="preserve">que, con corte la toma de información, no se les </w:t>
      </w:r>
      <w:r w:rsidR="00D24DA3">
        <w:rPr>
          <w:rFonts w:cs="Arial"/>
          <w:bCs/>
          <w:sz w:val="22"/>
          <w:szCs w:val="22"/>
        </w:rPr>
        <w:t>generó</w:t>
      </w:r>
      <w:r w:rsidRPr="002750F4">
        <w:rPr>
          <w:rFonts w:cs="Arial"/>
          <w:bCs/>
          <w:sz w:val="22"/>
          <w:szCs w:val="22"/>
        </w:rPr>
        <w:t xml:space="preserve"> resolución de cobro de la contribución correspondiente al respectivo año gravable, en los últimos cinco años de la expedición de la liquidación, debido entre otras causales, </w:t>
      </w:r>
      <w:r w:rsidR="00D24DA3">
        <w:rPr>
          <w:rFonts w:cs="Arial"/>
          <w:bCs/>
          <w:sz w:val="22"/>
          <w:szCs w:val="22"/>
        </w:rPr>
        <w:t>al</w:t>
      </w:r>
      <w:r w:rsidR="00D24DA3" w:rsidRPr="002750F4">
        <w:rPr>
          <w:rFonts w:cs="Arial"/>
          <w:bCs/>
          <w:sz w:val="22"/>
          <w:szCs w:val="22"/>
        </w:rPr>
        <w:t xml:space="preserve"> </w:t>
      </w:r>
      <w:r w:rsidRPr="002750F4">
        <w:rPr>
          <w:rFonts w:cs="Arial"/>
          <w:bCs/>
          <w:sz w:val="22"/>
          <w:szCs w:val="22"/>
        </w:rPr>
        <w:t xml:space="preserve">no reporte de estados financieros en el SUI de la SSPD o </w:t>
      </w:r>
      <w:r w:rsidR="009435EE">
        <w:rPr>
          <w:rFonts w:cs="Arial"/>
          <w:bCs/>
          <w:sz w:val="22"/>
          <w:szCs w:val="22"/>
        </w:rPr>
        <w:t>a</w:t>
      </w:r>
      <w:r w:rsidRPr="002750F4">
        <w:rPr>
          <w:rFonts w:cs="Arial"/>
          <w:bCs/>
          <w:sz w:val="22"/>
          <w:szCs w:val="22"/>
        </w:rPr>
        <w:t>l registro en el RUPS realizado en fecha posterior a la liquidación de la respectiva contribución de la vigencia relacionada.</w:t>
      </w:r>
    </w:p>
    <w:p w14:paraId="152ADDDC" w14:textId="77777777" w:rsidR="009435EE" w:rsidRPr="002750F4" w:rsidRDefault="009435EE" w:rsidP="00875E3C">
      <w:pPr>
        <w:rPr>
          <w:rFonts w:cs="Arial"/>
          <w:bCs/>
          <w:sz w:val="22"/>
          <w:szCs w:val="22"/>
        </w:rPr>
      </w:pPr>
    </w:p>
    <w:p w14:paraId="37053177" w14:textId="77777777" w:rsidR="00875E3C" w:rsidRDefault="00875E3C" w:rsidP="00875E3C">
      <w:pPr>
        <w:rPr>
          <w:rFonts w:cs="Arial"/>
          <w:bCs/>
          <w:sz w:val="22"/>
          <w:szCs w:val="22"/>
        </w:rPr>
      </w:pPr>
      <w:r w:rsidRPr="002750F4">
        <w:rPr>
          <w:rFonts w:cs="Arial"/>
          <w:bCs/>
          <w:sz w:val="22"/>
          <w:szCs w:val="22"/>
        </w:rPr>
        <w:t>Aquell</w:t>
      </w:r>
      <w:r>
        <w:rPr>
          <w:rFonts w:cs="Arial"/>
          <w:bCs/>
          <w:sz w:val="22"/>
          <w:szCs w:val="22"/>
        </w:rPr>
        <w:t>o</w:t>
      </w:r>
      <w:r w:rsidRPr="002750F4">
        <w:rPr>
          <w:rFonts w:cs="Arial"/>
          <w:bCs/>
          <w:sz w:val="22"/>
          <w:szCs w:val="22"/>
        </w:rPr>
        <w:t xml:space="preserve">s </w:t>
      </w:r>
      <w:r>
        <w:rPr>
          <w:rFonts w:cs="Arial"/>
          <w:bCs/>
          <w:sz w:val="22"/>
          <w:szCs w:val="22"/>
        </w:rPr>
        <w:t>regulados</w:t>
      </w:r>
      <w:r w:rsidRPr="002750F4">
        <w:rPr>
          <w:rFonts w:cs="Arial"/>
          <w:bCs/>
          <w:sz w:val="22"/>
          <w:szCs w:val="22"/>
        </w:rPr>
        <w:t xml:space="preserve"> </w:t>
      </w:r>
      <w:r>
        <w:rPr>
          <w:rFonts w:cs="Arial"/>
          <w:bCs/>
          <w:sz w:val="22"/>
          <w:szCs w:val="22"/>
        </w:rPr>
        <w:t>omisos</w:t>
      </w:r>
      <w:r w:rsidRPr="002750F4">
        <w:rPr>
          <w:rFonts w:cs="Arial"/>
          <w:bCs/>
          <w:sz w:val="22"/>
          <w:szCs w:val="22"/>
        </w:rPr>
        <w:t xml:space="preserve"> que no han reportado y que reporten posterior a la publicación de la resolución de contribución especial, se liquidar</w:t>
      </w:r>
      <w:r>
        <w:rPr>
          <w:rFonts w:cs="Arial"/>
          <w:bCs/>
          <w:sz w:val="22"/>
          <w:szCs w:val="22"/>
        </w:rPr>
        <w:t>á</w:t>
      </w:r>
      <w:r w:rsidRPr="002750F4">
        <w:rPr>
          <w:rFonts w:cs="Arial"/>
          <w:bCs/>
          <w:sz w:val="22"/>
          <w:szCs w:val="22"/>
        </w:rPr>
        <w:t>n en las próximas vigencias al factor generado en cada año de reporte</w:t>
      </w:r>
      <w:r>
        <w:rPr>
          <w:rFonts w:cs="Arial"/>
          <w:bCs/>
          <w:sz w:val="22"/>
          <w:szCs w:val="22"/>
        </w:rPr>
        <w:t xml:space="preserve"> y con la metodología aplicable vigente para hallar la respectiva base gravable.</w:t>
      </w:r>
    </w:p>
    <w:p w14:paraId="6927D827" w14:textId="77777777" w:rsidR="00875E3C" w:rsidRDefault="00875E3C" w:rsidP="003B72DD">
      <w:pPr>
        <w:jc w:val="left"/>
        <w:rPr>
          <w:rFonts w:cs="Arial"/>
          <w:bCs/>
          <w:sz w:val="22"/>
          <w:szCs w:val="22"/>
        </w:rPr>
      </w:pPr>
    </w:p>
    <w:p w14:paraId="389C42E2" w14:textId="77777777" w:rsidR="00875E3C" w:rsidRPr="001C63E6" w:rsidRDefault="00875E3C" w:rsidP="00875E3C">
      <w:pPr>
        <w:pStyle w:val="Ttulo10"/>
        <w:numPr>
          <w:ilvl w:val="0"/>
          <w:numId w:val="37"/>
        </w:numPr>
        <w:spacing w:before="0" w:after="0"/>
        <w:rPr>
          <w:sz w:val="22"/>
          <w:szCs w:val="22"/>
        </w:rPr>
      </w:pPr>
      <w:bookmarkStart w:id="41" w:name="_Toc54170186"/>
      <w:bookmarkStart w:id="42" w:name="_Toc88126847"/>
      <w:r w:rsidRPr="001C63E6">
        <w:rPr>
          <w:sz w:val="22"/>
          <w:szCs w:val="22"/>
        </w:rPr>
        <w:t>INFORMACIÓN REPORTADA</w:t>
      </w:r>
      <w:bookmarkEnd w:id="41"/>
      <w:bookmarkEnd w:id="42"/>
    </w:p>
    <w:p w14:paraId="5DBEB576" w14:textId="77777777" w:rsidR="00875E3C" w:rsidRDefault="00875E3C" w:rsidP="00875E3C">
      <w:pPr>
        <w:rPr>
          <w:rFonts w:cs="Arial"/>
          <w:b/>
          <w:sz w:val="22"/>
          <w:szCs w:val="22"/>
        </w:rPr>
      </w:pPr>
    </w:p>
    <w:p w14:paraId="44C16068" w14:textId="110F0572" w:rsidR="00887ECC" w:rsidRPr="00BB14CB" w:rsidRDefault="00887ECC" w:rsidP="00887ECC">
      <w:pPr>
        <w:pStyle w:val="Subttulo"/>
        <w:numPr>
          <w:ilvl w:val="1"/>
          <w:numId w:val="37"/>
        </w:numPr>
        <w:spacing w:after="0"/>
        <w:ind w:left="357" w:hanging="357"/>
        <w:jc w:val="left"/>
        <w:rPr>
          <w:b/>
          <w:bCs/>
          <w:sz w:val="22"/>
          <w:szCs w:val="22"/>
        </w:rPr>
      </w:pPr>
      <w:bookmarkStart w:id="43" w:name="_Toc88126848"/>
      <w:r>
        <w:rPr>
          <w:b/>
          <w:bCs/>
          <w:sz w:val="22"/>
          <w:szCs w:val="22"/>
        </w:rPr>
        <w:t xml:space="preserve">PLAZOS </w:t>
      </w:r>
      <w:r w:rsidR="0078267D">
        <w:rPr>
          <w:b/>
          <w:bCs/>
          <w:sz w:val="22"/>
          <w:szCs w:val="22"/>
        </w:rPr>
        <w:t xml:space="preserve">SSPD PARA EL </w:t>
      </w:r>
      <w:r>
        <w:rPr>
          <w:b/>
          <w:bCs/>
          <w:sz w:val="22"/>
          <w:szCs w:val="22"/>
        </w:rPr>
        <w:t xml:space="preserve">CARGUE </w:t>
      </w:r>
      <w:r w:rsidR="0078267D">
        <w:rPr>
          <w:b/>
          <w:bCs/>
          <w:sz w:val="22"/>
          <w:szCs w:val="22"/>
        </w:rPr>
        <w:t xml:space="preserve">AL SUI </w:t>
      </w:r>
      <w:r>
        <w:rPr>
          <w:b/>
          <w:bCs/>
          <w:sz w:val="22"/>
          <w:szCs w:val="22"/>
        </w:rPr>
        <w:t>DE LA INFORMACIÓN FINANCIERA</w:t>
      </w:r>
      <w:bookmarkEnd w:id="43"/>
    </w:p>
    <w:p w14:paraId="5624F66E" w14:textId="77777777" w:rsidR="00887ECC" w:rsidRDefault="00887ECC" w:rsidP="00750172">
      <w:pPr>
        <w:rPr>
          <w:sz w:val="22"/>
          <w:szCs w:val="22"/>
        </w:rPr>
      </w:pPr>
    </w:p>
    <w:p w14:paraId="5743FDD6" w14:textId="37FF3F1C" w:rsidR="00750172" w:rsidRDefault="00750172" w:rsidP="00750172">
      <w:pPr>
        <w:rPr>
          <w:sz w:val="22"/>
          <w:szCs w:val="22"/>
        </w:rPr>
      </w:pPr>
      <w:r>
        <w:rPr>
          <w:sz w:val="22"/>
          <w:szCs w:val="22"/>
        </w:rPr>
        <w:t xml:space="preserve">Conforme al artículo 2° de la </w:t>
      </w:r>
      <w:r w:rsidRPr="00C35785">
        <w:rPr>
          <w:sz w:val="22"/>
          <w:szCs w:val="22"/>
        </w:rPr>
        <w:t xml:space="preserve">Resolución SSPD N° </w:t>
      </w:r>
      <w:r w:rsidRPr="00D75F54">
        <w:rPr>
          <w:sz w:val="22"/>
          <w:szCs w:val="22"/>
        </w:rPr>
        <w:t>20211000016645</w:t>
      </w:r>
      <w:r w:rsidRPr="00C35785">
        <w:rPr>
          <w:sz w:val="22"/>
          <w:szCs w:val="22"/>
        </w:rPr>
        <w:t xml:space="preserve"> del </w:t>
      </w:r>
      <w:r>
        <w:rPr>
          <w:sz w:val="22"/>
          <w:szCs w:val="22"/>
        </w:rPr>
        <w:t>09</w:t>
      </w:r>
      <w:r w:rsidRPr="00C35785">
        <w:rPr>
          <w:sz w:val="22"/>
          <w:szCs w:val="22"/>
        </w:rPr>
        <w:t xml:space="preserve"> de </w:t>
      </w:r>
      <w:r>
        <w:rPr>
          <w:sz w:val="22"/>
          <w:szCs w:val="22"/>
        </w:rPr>
        <w:t>abril</w:t>
      </w:r>
      <w:r w:rsidRPr="00C35785">
        <w:rPr>
          <w:sz w:val="22"/>
          <w:szCs w:val="22"/>
        </w:rPr>
        <w:t xml:space="preserve"> de 202</w:t>
      </w:r>
      <w:r>
        <w:rPr>
          <w:sz w:val="22"/>
          <w:szCs w:val="22"/>
        </w:rPr>
        <w:t>1</w:t>
      </w:r>
      <w:r w:rsidRPr="00C35785">
        <w:rPr>
          <w:sz w:val="22"/>
          <w:szCs w:val="22"/>
        </w:rPr>
        <w:t xml:space="preserve">, </w:t>
      </w:r>
      <w:r w:rsidRPr="00C35785">
        <w:rPr>
          <w:i/>
          <w:iCs/>
          <w:sz w:val="22"/>
          <w:szCs w:val="22"/>
        </w:rPr>
        <w:t>“Por la cual se establecen los plazos para el cargue de la información financiera con corte a 31 de diciembre de 20</w:t>
      </w:r>
      <w:r>
        <w:rPr>
          <w:i/>
          <w:iCs/>
          <w:sz w:val="22"/>
          <w:szCs w:val="22"/>
        </w:rPr>
        <w:t>20</w:t>
      </w:r>
      <w:r w:rsidRPr="00C35785">
        <w:rPr>
          <w:i/>
          <w:iCs/>
          <w:sz w:val="22"/>
          <w:szCs w:val="22"/>
        </w:rPr>
        <w:t xml:space="preserve"> y se dictan otras disposiciones”</w:t>
      </w:r>
      <w:r>
        <w:rPr>
          <w:sz w:val="22"/>
          <w:szCs w:val="22"/>
        </w:rPr>
        <w:t>, es establecieron los siguientes plazos para el reporte de la información en el NIF XBRL del SUI:</w:t>
      </w:r>
    </w:p>
    <w:p w14:paraId="68630B6C" w14:textId="3ABA1077" w:rsidR="00750172" w:rsidRDefault="00750172" w:rsidP="00750172">
      <w:pPr>
        <w:rPr>
          <w:sz w:val="22"/>
          <w:szCs w:val="22"/>
        </w:rPr>
      </w:pPr>
    </w:p>
    <w:tbl>
      <w:tblPr>
        <w:tblW w:w="8642" w:type="dxa"/>
        <w:tblCellMar>
          <w:left w:w="70" w:type="dxa"/>
          <w:right w:w="70" w:type="dxa"/>
        </w:tblCellMar>
        <w:tblLook w:val="04A0" w:firstRow="1" w:lastRow="0" w:firstColumn="1" w:lastColumn="0" w:noHBand="0" w:noVBand="1"/>
      </w:tblPr>
      <w:tblGrid>
        <w:gridCol w:w="4248"/>
        <w:gridCol w:w="4394"/>
      </w:tblGrid>
      <w:tr w:rsidR="00750172" w:rsidRPr="00466D81" w14:paraId="01F8E14D" w14:textId="77777777" w:rsidTr="007D414A">
        <w:trPr>
          <w:trHeight w:val="316"/>
        </w:trPr>
        <w:tc>
          <w:tcPr>
            <w:tcW w:w="4248"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8936E68" w14:textId="6549FCBF" w:rsidR="00750172" w:rsidRPr="00466D81" w:rsidRDefault="00750172" w:rsidP="007D414A">
            <w:pPr>
              <w:jc w:val="center"/>
              <w:rPr>
                <w:rFonts w:ascii="Arial Narrow" w:hAnsi="Arial Narrow" w:cs="Arial"/>
                <w:b/>
                <w:bCs/>
                <w:spacing w:val="0"/>
                <w:lang w:eastAsia="es-CO"/>
              </w:rPr>
            </w:pPr>
            <w:r w:rsidRPr="00466D81">
              <w:rPr>
                <w:rFonts w:ascii="Arial Narrow" w:hAnsi="Arial Narrow" w:cs="Arial"/>
                <w:b/>
                <w:bCs/>
                <w:spacing w:val="0"/>
                <w:lang w:eastAsia="es-CO"/>
              </w:rPr>
              <w:t xml:space="preserve">ULTIMO DÍGITO ID DE RUPS </w:t>
            </w:r>
          </w:p>
        </w:tc>
        <w:tc>
          <w:tcPr>
            <w:tcW w:w="4394" w:type="dxa"/>
            <w:tcBorders>
              <w:top w:val="single" w:sz="4" w:space="0" w:color="auto"/>
              <w:left w:val="nil"/>
              <w:bottom w:val="single" w:sz="4" w:space="0" w:color="auto"/>
              <w:right w:val="single" w:sz="4" w:space="0" w:color="auto"/>
            </w:tcBorders>
            <w:shd w:val="clear" w:color="000000" w:fill="F2F2F2"/>
            <w:vAlign w:val="center"/>
            <w:hideMark/>
          </w:tcPr>
          <w:p w14:paraId="0AFF5F54" w14:textId="77777777" w:rsidR="00750172" w:rsidRPr="00466D81" w:rsidRDefault="00750172" w:rsidP="00750172">
            <w:pPr>
              <w:ind w:firstLineChars="100" w:firstLine="201"/>
              <w:jc w:val="left"/>
              <w:rPr>
                <w:rFonts w:ascii="Arial Narrow" w:hAnsi="Arial Narrow" w:cs="Arial"/>
                <w:b/>
                <w:bCs/>
                <w:spacing w:val="0"/>
                <w:lang w:eastAsia="es-CO"/>
              </w:rPr>
            </w:pPr>
            <w:r w:rsidRPr="00466D81">
              <w:rPr>
                <w:rFonts w:ascii="Arial Narrow" w:hAnsi="Arial Narrow" w:cs="Arial"/>
                <w:b/>
                <w:bCs/>
                <w:spacing w:val="0"/>
                <w:lang w:eastAsia="es-CO"/>
              </w:rPr>
              <w:t xml:space="preserve">FECHA LÍMITE DE ENVÍO OPORTUNO </w:t>
            </w:r>
          </w:p>
        </w:tc>
      </w:tr>
      <w:tr w:rsidR="00750172" w:rsidRPr="00466D81" w14:paraId="1B52AA84" w14:textId="77777777" w:rsidTr="007D414A">
        <w:trPr>
          <w:trHeight w:val="40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43E7FAE6" w14:textId="77777777" w:rsidR="00750172" w:rsidRPr="00466D81" w:rsidRDefault="00750172" w:rsidP="00750172">
            <w:pPr>
              <w:jc w:val="center"/>
              <w:rPr>
                <w:rFonts w:ascii="Arial Narrow" w:hAnsi="Arial Narrow" w:cs="Arial"/>
                <w:spacing w:val="0"/>
                <w:lang w:eastAsia="es-CO"/>
              </w:rPr>
            </w:pPr>
            <w:r w:rsidRPr="00466D81">
              <w:rPr>
                <w:rFonts w:ascii="Arial Narrow" w:hAnsi="Arial Narrow" w:cs="Arial"/>
                <w:spacing w:val="0"/>
                <w:lang w:eastAsia="es-CO"/>
              </w:rPr>
              <w:t xml:space="preserve">0-1 </w:t>
            </w:r>
          </w:p>
        </w:tc>
        <w:tc>
          <w:tcPr>
            <w:tcW w:w="4394" w:type="dxa"/>
            <w:tcBorders>
              <w:top w:val="nil"/>
              <w:left w:val="nil"/>
              <w:bottom w:val="single" w:sz="4" w:space="0" w:color="auto"/>
              <w:right w:val="single" w:sz="4" w:space="0" w:color="auto"/>
            </w:tcBorders>
            <w:shd w:val="clear" w:color="auto" w:fill="auto"/>
            <w:vAlign w:val="center"/>
            <w:hideMark/>
          </w:tcPr>
          <w:p w14:paraId="35911EAD" w14:textId="77777777" w:rsidR="00750172" w:rsidRPr="00466D81" w:rsidRDefault="00750172" w:rsidP="00750172">
            <w:pPr>
              <w:jc w:val="center"/>
              <w:rPr>
                <w:rFonts w:ascii="Arial Narrow" w:hAnsi="Arial Narrow" w:cs="Arial"/>
                <w:spacing w:val="0"/>
                <w:lang w:eastAsia="es-CO"/>
              </w:rPr>
            </w:pPr>
            <w:r w:rsidRPr="00466D81">
              <w:rPr>
                <w:rFonts w:ascii="Arial Narrow" w:hAnsi="Arial Narrow" w:cs="Arial"/>
                <w:spacing w:val="0"/>
                <w:lang w:eastAsia="es-CO"/>
              </w:rPr>
              <w:t xml:space="preserve">17 de mayo de 2021 </w:t>
            </w:r>
          </w:p>
        </w:tc>
      </w:tr>
      <w:tr w:rsidR="00750172" w:rsidRPr="00466D81" w14:paraId="2B1F0529" w14:textId="77777777" w:rsidTr="007D414A">
        <w:trPr>
          <w:trHeight w:val="411"/>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4D64515C" w14:textId="77777777" w:rsidR="00750172" w:rsidRPr="00466D81" w:rsidRDefault="00750172" w:rsidP="00750172">
            <w:pPr>
              <w:jc w:val="center"/>
              <w:rPr>
                <w:rFonts w:ascii="Arial Narrow" w:hAnsi="Arial Narrow" w:cs="Arial"/>
                <w:spacing w:val="0"/>
                <w:lang w:eastAsia="es-CO"/>
              </w:rPr>
            </w:pPr>
            <w:r w:rsidRPr="00466D81">
              <w:rPr>
                <w:rFonts w:ascii="Arial Narrow" w:hAnsi="Arial Narrow" w:cs="Arial"/>
                <w:spacing w:val="0"/>
                <w:lang w:eastAsia="es-CO"/>
              </w:rPr>
              <w:t>2-3</w:t>
            </w:r>
          </w:p>
        </w:tc>
        <w:tc>
          <w:tcPr>
            <w:tcW w:w="4394" w:type="dxa"/>
            <w:tcBorders>
              <w:top w:val="nil"/>
              <w:left w:val="nil"/>
              <w:bottom w:val="single" w:sz="4" w:space="0" w:color="auto"/>
              <w:right w:val="single" w:sz="4" w:space="0" w:color="auto"/>
            </w:tcBorders>
            <w:shd w:val="clear" w:color="auto" w:fill="auto"/>
            <w:vAlign w:val="center"/>
            <w:hideMark/>
          </w:tcPr>
          <w:p w14:paraId="1C92143C" w14:textId="77777777" w:rsidR="00750172" w:rsidRPr="00466D81" w:rsidRDefault="00750172" w:rsidP="00750172">
            <w:pPr>
              <w:jc w:val="center"/>
              <w:rPr>
                <w:rFonts w:ascii="Arial Narrow" w:hAnsi="Arial Narrow" w:cs="Arial"/>
                <w:spacing w:val="0"/>
                <w:lang w:eastAsia="es-CO"/>
              </w:rPr>
            </w:pPr>
            <w:r w:rsidRPr="00466D81">
              <w:rPr>
                <w:rFonts w:ascii="Arial Narrow" w:hAnsi="Arial Narrow" w:cs="Arial"/>
                <w:spacing w:val="0"/>
                <w:lang w:eastAsia="es-CO"/>
              </w:rPr>
              <w:t xml:space="preserve">18 de mayo de 2021 </w:t>
            </w:r>
          </w:p>
        </w:tc>
      </w:tr>
      <w:tr w:rsidR="00750172" w:rsidRPr="00466D81" w14:paraId="094B20F5" w14:textId="77777777" w:rsidTr="007D414A">
        <w:trPr>
          <w:trHeight w:val="418"/>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6015B4AF" w14:textId="77777777" w:rsidR="00750172" w:rsidRPr="00466D81" w:rsidRDefault="00750172" w:rsidP="00750172">
            <w:pPr>
              <w:jc w:val="center"/>
              <w:rPr>
                <w:rFonts w:ascii="Arial Narrow" w:hAnsi="Arial Narrow" w:cs="Arial"/>
                <w:spacing w:val="0"/>
                <w:lang w:eastAsia="es-CO"/>
              </w:rPr>
            </w:pPr>
            <w:r w:rsidRPr="00466D81">
              <w:rPr>
                <w:rFonts w:ascii="Arial Narrow" w:hAnsi="Arial Narrow" w:cs="Arial"/>
                <w:spacing w:val="0"/>
                <w:lang w:eastAsia="es-CO"/>
              </w:rPr>
              <w:t>4-5</w:t>
            </w:r>
          </w:p>
        </w:tc>
        <w:tc>
          <w:tcPr>
            <w:tcW w:w="4394" w:type="dxa"/>
            <w:tcBorders>
              <w:top w:val="nil"/>
              <w:left w:val="nil"/>
              <w:bottom w:val="single" w:sz="4" w:space="0" w:color="auto"/>
              <w:right w:val="single" w:sz="4" w:space="0" w:color="auto"/>
            </w:tcBorders>
            <w:shd w:val="clear" w:color="auto" w:fill="auto"/>
            <w:vAlign w:val="center"/>
            <w:hideMark/>
          </w:tcPr>
          <w:p w14:paraId="3BC17FA8" w14:textId="77777777" w:rsidR="00750172" w:rsidRPr="00466D81" w:rsidRDefault="00750172" w:rsidP="00750172">
            <w:pPr>
              <w:jc w:val="center"/>
              <w:rPr>
                <w:rFonts w:ascii="Arial Narrow" w:hAnsi="Arial Narrow" w:cs="Arial"/>
                <w:spacing w:val="0"/>
                <w:lang w:eastAsia="es-CO"/>
              </w:rPr>
            </w:pPr>
            <w:r w:rsidRPr="00466D81">
              <w:rPr>
                <w:rFonts w:ascii="Arial Narrow" w:hAnsi="Arial Narrow" w:cs="Arial"/>
                <w:spacing w:val="0"/>
                <w:lang w:eastAsia="es-CO"/>
              </w:rPr>
              <w:t xml:space="preserve">19 de mayo de 2021 </w:t>
            </w:r>
          </w:p>
        </w:tc>
      </w:tr>
      <w:tr w:rsidR="00750172" w:rsidRPr="00466D81" w14:paraId="2BAEFCD4" w14:textId="77777777" w:rsidTr="007D414A">
        <w:trPr>
          <w:trHeight w:val="423"/>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223C1113" w14:textId="77777777" w:rsidR="00750172" w:rsidRPr="00466D81" w:rsidRDefault="00750172" w:rsidP="00750172">
            <w:pPr>
              <w:jc w:val="center"/>
              <w:rPr>
                <w:rFonts w:ascii="Arial Narrow" w:hAnsi="Arial Narrow" w:cs="Arial"/>
                <w:spacing w:val="0"/>
                <w:lang w:eastAsia="es-CO"/>
              </w:rPr>
            </w:pPr>
            <w:r w:rsidRPr="00466D81">
              <w:rPr>
                <w:rFonts w:ascii="Arial Narrow" w:hAnsi="Arial Narrow" w:cs="Arial"/>
                <w:spacing w:val="0"/>
                <w:lang w:eastAsia="es-CO"/>
              </w:rPr>
              <w:t>6-7</w:t>
            </w:r>
          </w:p>
        </w:tc>
        <w:tc>
          <w:tcPr>
            <w:tcW w:w="4394" w:type="dxa"/>
            <w:tcBorders>
              <w:top w:val="nil"/>
              <w:left w:val="nil"/>
              <w:bottom w:val="single" w:sz="4" w:space="0" w:color="auto"/>
              <w:right w:val="single" w:sz="4" w:space="0" w:color="auto"/>
            </w:tcBorders>
            <w:shd w:val="clear" w:color="auto" w:fill="auto"/>
            <w:vAlign w:val="center"/>
            <w:hideMark/>
          </w:tcPr>
          <w:p w14:paraId="7567D6F9" w14:textId="77777777" w:rsidR="00750172" w:rsidRPr="00466D81" w:rsidRDefault="00750172" w:rsidP="00750172">
            <w:pPr>
              <w:jc w:val="center"/>
              <w:rPr>
                <w:rFonts w:ascii="Arial Narrow" w:hAnsi="Arial Narrow" w:cs="Arial"/>
                <w:spacing w:val="0"/>
                <w:lang w:eastAsia="es-CO"/>
              </w:rPr>
            </w:pPr>
            <w:r w:rsidRPr="00466D81">
              <w:rPr>
                <w:rFonts w:ascii="Arial Narrow" w:hAnsi="Arial Narrow" w:cs="Arial"/>
                <w:spacing w:val="0"/>
                <w:lang w:eastAsia="es-CO"/>
              </w:rPr>
              <w:t xml:space="preserve">20 de mayo de 2021 </w:t>
            </w:r>
          </w:p>
        </w:tc>
      </w:tr>
      <w:tr w:rsidR="00750172" w:rsidRPr="00466D81" w14:paraId="52AB6688" w14:textId="77777777" w:rsidTr="007D414A">
        <w:trPr>
          <w:trHeight w:val="41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732619EB" w14:textId="77777777" w:rsidR="00750172" w:rsidRPr="00466D81" w:rsidRDefault="00750172" w:rsidP="00750172">
            <w:pPr>
              <w:jc w:val="center"/>
              <w:rPr>
                <w:rFonts w:ascii="Arial Narrow" w:hAnsi="Arial Narrow" w:cs="Arial"/>
                <w:spacing w:val="0"/>
                <w:lang w:eastAsia="es-CO"/>
              </w:rPr>
            </w:pPr>
            <w:r w:rsidRPr="00466D81">
              <w:rPr>
                <w:rFonts w:ascii="Arial Narrow" w:hAnsi="Arial Narrow" w:cs="Arial"/>
                <w:spacing w:val="0"/>
                <w:lang w:eastAsia="es-CO"/>
              </w:rPr>
              <w:t>8-9</w:t>
            </w:r>
          </w:p>
        </w:tc>
        <w:tc>
          <w:tcPr>
            <w:tcW w:w="4394" w:type="dxa"/>
            <w:tcBorders>
              <w:top w:val="nil"/>
              <w:left w:val="nil"/>
              <w:bottom w:val="single" w:sz="4" w:space="0" w:color="auto"/>
              <w:right w:val="single" w:sz="4" w:space="0" w:color="auto"/>
            </w:tcBorders>
            <w:shd w:val="clear" w:color="auto" w:fill="auto"/>
            <w:vAlign w:val="center"/>
            <w:hideMark/>
          </w:tcPr>
          <w:p w14:paraId="17BD4276" w14:textId="77777777" w:rsidR="00750172" w:rsidRPr="00466D81" w:rsidRDefault="00750172" w:rsidP="00750172">
            <w:pPr>
              <w:jc w:val="center"/>
              <w:rPr>
                <w:rFonts w:ascii="Arial Narrow" w:hAnsi="Arial Narrow" w:cs="Arial"/>
                <w:spacing w:val="0"/>
                <w:lang w:eastAsia="es-CO"/>
              </w:rPr>
            </w:pPr>
            <w:r w:rsidRPr="00466D81">
              <w:rPr>
                <w:rFonts w:ascii="Arial Narrow" w:hAnsi="Arial Narrow" w:cs="Arial"/>
                <w:spacing w:val="0"/>
                <w:lang w:eastAsia="es-CO"/>
              </w:rPr>
              <w:t xml:space="preserve">21 de mayo de 2021 </w:t>
            </w:r>
          </w:p>
        </w:tc>
      </w:tr>
    </w:tbl>
    <w:p w14:paraId="6BFAEFE5" w14:textId="77777777" w:rsidR="00750172" w:rsidRPr="00750172" w:rsidRDefault="00750172" w:rsidP="00750172">
      <w:pPr>
        <w:pStyle w:val="Textoindependiente"/>
        <w:spacing w:after="0" w:line="240" w:lineRule="auto"/>
        <w:rPr>
          <w:rFonts w:cs="Arial"/>
          <w:sz w:val="22"/>
          <w:szCs w:val="22"/>
        </w:rPr>
      </w:pPr>
    </w:p>
    <w:p w14:paraId="1F7B916A" w14:textId="51451BCE" w:rsidR="00211CBF" w:rsidRPr="00750172" w:rsidRDefault="00750172" w:rsidP="00C906EF">
      <w:pPr>
        <w:pStyle w:val="Textoindependiente"/>
        <w:spacing w:after="0" w:line="240" w:lineRule="auto"/>
        <w:rPr>
          <w:rFonts w:cs="Arial"/>
          <w:sz w:val="22"/>
          <w:szCs w:val="22"/>
        </w:rPr>
      </w:pPr>
      <w:r w:rsidRPr="00750172">
        <w:rPr>
          <w:rFonts w:cs="Arial"/>
          <w:sz w:val="22"/>
          <w:szCs w:val="22"/>
        </w:rPr>
        <w:lastRenderedPageBreak/>
        <w:t>Si el reporte se efectúa con posterioridad a las fechas indicadas será extemporáneo y, en consecuencia, podrán iniciarse las actuaciones administrativas a que haya lugar.</w:t>
      </w:r>
    </w:p>
    <w:p w14:paraId="1244A712" w14:textId="1395BC2E" w:rsidR="00C906EF" w:rsidRDefault="00C906EF" w:rsidP="00C906EF">
      <w:pPr>
        <w:pStyle w:val="Textoindependiente"/>
        <w:spacing w:after="0" w:line="240" w:lineRule="auto"/>
        <w:rPr>
          <w:rFonts w:cs="Arial"/>
          <w:sz w:val="22"/>
          <w:szCs w:val="22"/>
        </w:rPr>
      </w:pPr>
    </w:p>
    <w:p w14:paraId="123DB174" w14:textId="769B0AC5" w:rsidR="00887ECC" w:rsidRDefault="00887ECC" w:rsidP="00887ECC">
      <w:pPr>
        <w:pStyle w:val="Subttulo"/>
        <w:numPr>
          <w:ilvl w:val="1"/>
          <w:numId w:val="37"/>
        </w:numPr>
        <w:spacing w:after="0"/>
        <w:ind w:left="357" w:hanging="357"/>
        <w:jc w:val="left"/>
        <w:rPr>
          <w:b/>
          <w:bCs/>
          <w:sz w:val="22"/>
          <w:szCs w:val="22"/>
        </w:rPr>
      </w:pPr>
      <w:bookmarkStart w:id="44" w:name="_Toc54170188"/>
      <w:bookmarkStart w:id="45" w:name="_Toc88126849"/>
      <w:r w:rsidRPr="001C63E6">
        <w:rPr>
          <w:b/>
          <w:bCs/>
          <w:sz w:val="22"/>
          <w:szCs w:val="22"/>
        </w:rPr>
        <w:t xml:space="preserve">EMPRESAS </w:t>
      </w:r>
      <w:r>
        <w:rPr>
          <w:b/>
          <w:bCs/>
          <w:sz w:val="22"/>
          <w:szCs w:val="22"/>
        </w:rPr>
        <w:t>EN RÉGIMEN DE REESTRUCTURACIÓN</w:t>
      </w:r>
      <w:r w:rsidR="00384F7A">
        <w:rPr>
          <w:b/>
          <w:bCs/>
          <w:sz w:val="22"/>
          <w:szCs w:val="22"/>
        </w:rPr>
        <w:t>,</w:t>
      </w:r>
      <w:r>
        <w:rPr>
          <w:b/>
          <w:bCs/>
          <w:sz w:val="22"/>
          <w:szCs w:val="22"/>
        </w:rPr>
        <w:t xml:space="preserve"> INSOLVENCIA</w:t>
      </w:r>
      <w:r w:rsidR="00384F7A">
        <w:rPr>
          <w:b/>
          <w:bCs/>
          <w:sz w:val="22"/>
          <w:szCs w:val="22"/>
        </w:rPr>
        <w:t xml:space="preserve"> O INACTIVAS</w:t>
      </w:r>
      <w:r>
        <w:rPr>
          <w:b/>
          <w:bCs/>
          <w:sz w:val="22"/>
          <w:szCs w:val="22"/>
        </w:rPr>
        <w:t>.</w:t>
      </w:r>
      <w:bookmarkEnd w:id="44"/>
      <w:bookmarkEnd w:id="45"/>
    </w:p>
    <w:p w14:paraId="7260F92A" w14:textId="27B172CD" w:rsidR="00750172" w:rsidRPr="00887ECC" w:rsidRDefault="00750172" w:rsidP="00C906EF">
      <w:pPr>
        <w:pStyle w:val="Textoindependiente"/>
        <w:spacing w:after="0" w:line="240" w:lineRule="auto"/>
        <w:rPr>
          <w:rFonts w:cs="Arial"/>
          <w:sz w:val="22"/>
          <w:szCs w:val="22"/>
        </w:rPr>
      </w:pPr>
    </w:p>
    <w:p w14:paraId="0C5F46F5" w14:textId="6143495D" w:rsidR="003279BE" w:rsidRPr="003279BE" w:rsidRDefault="003279BE" w:rsidP="003279BE">
      <w:pPr>
        <w:rPr>
          <w:rFonts w:cs="Arial"/>
          <w:bCs/>
          <w:sz w:val="22"/>
          <w:szCs w:val="22"/>
        </w:rPr>
      </w:pPr>
      <w:r w:rsidRPr="003279BE">
        <w:rPr>
          <w:rFonts w:cs="Arial"/>
          <w:bCs/>
          <w:sz w:val="22"/>
          <w:szCs w:val="22"/>
        </w:rPr>
        <w:t>Para las empresas reguladas que se encuentren en proceso de liquidación, cancelación, fusión, escisión, toma de posesión para administrar con fines liquidatarios, y que hubieren operado al menos un día durante la vigencia 2021, se les liquidará la contribución especial de regulación con base en la información financiera de 2020 reportada en el SUI de la SSPD, siempre que hubieren generado gastos de regulación a la CREG</w:t>
      </w:r>
      <w:r w:rsidR="00C85432">
        <w:rPr>
          <w:rFonts w:cs="Arial"/>
          <w:bCs/>
          <w:sz w:val="22"/>
          <w:szCs w:val="22"/>
        </w:rPr>
        <w:t xml:space="preserve"> </w:t>
      </w:r>
      <w:r w:rsidRPr="003279BE">
        <w:rPr>
          <w:rFonts w:cs="Arial"/>
          <w:bCs/>
          <w:sz w:val="22"/>
          <w:szCs w:val="22"/>
        </w:rPr>
        <w:t>en la vigencia 2021, por prestación del servicio para el cual se hubieren encontrado habilitadas, por haber suministrado el servicio correspondiente a sus usuarios, durante la señalada vigencia.</w:t>
      </w:r>
    </w:p>
    <w:p w14:paraId="37617ADE" w14:textId="77777777" w:rsidR="003279BE" w:rsidRPr="003279BE" w:rsidRDefault="003279BE" w:rsidP="003279BE">
      <w:pPr>
        <w:rPr>
          <w:rFonts w:cs="Arial"/>
          <w:bCs/>
          <w:sz w:val="22"/>
          <w:szCs w:val="22"/>
        </w:rPr>
      </w:pPr>
    </w:p>
    <w:p w14:paraId="31B36E64" w14:textId="77777777" w:rsidR="003279BE" w:rsidRPr="00F90CAB" w:rsidRDefault="003279BE" w:rsidP="003279BE">
      <w:pPr>
        <w:rPr>
          <w:rFonts w:cs="Arial"/>
          <w:bCs/>
          <w:sz w:val="22"/>
          <w:szCs w:val="22"/>
        </w:rPr>
      </w:pPr>
      <w:r w:rsidRPr="00F90CAB">
        <w:rPr>
          <w:rFonts w:cs="Arial"/>
          <w:bCs/>
          <w:sz w:val="22"/>
          <w:szCs w:val="22"/>
        </w:rPr>
        <w:t>Lo anterior, teniendo en cuenta que, la función de regulación de la CREG a los agentes del mercado, se fundamenta en la prestación efectiva del servicio público regulado, para poder asegurar una adecuada prestación del mismo, en condiciones de disponibilidad, competencia, calidad y eficiencia.</w:t>
      </w:r>
    </w:p>
    <w:p w14:paraId="4B9EC0B4" w14:textId="77777777" w:rsidR="003279BE" w:rsidRPr="00F90CAB" w:rsidRDefault="003279BE" w:rsidP="003279BE">
      <w:pPr>
        <w:rPr>
          <w:rFonts w:cs="Arial"/>
          <w:bCs/>
          <w:sz w:val="22"/>
          <w:szCs w:val="22"/>
        </w:rPr>
      </w:pPr>
    </w:p>
    <w:p w14:paraId="4B2489CE" w14:textId="2F5CE7AA" w:rsidR="003279BE" w:rsidRPr="00F90CAB" w:rsidRDefault="003279BE" w:rsidP="003279BE">
      <w:pPr>
        <w:rPr>
          <w:rFonts w:cs="Arial"/>
          <w:bCs/>
          <w:sz w:val="22"/>
          <w:szCs w:val="22"/>
        </w:rPr>
      </w:pPr>
      <w:r w:rsidRPr="00F90CAB">
        <w:rPr>
          <w:rFonts w:cs="Arial"/>
          <w:bCs/>
          <w:sz w:val="22"/>
          <w:szCs w:val="22"/>
        </w:rPr>
        <w:t xml:space="preserve">Por tanto, las empresas reguladas </w:t>
      </w:r>
      <w:r w:rsidR="00C85432" w:rsidRPr="00F90CAB">
        <w:rPr>
          <w:rFonts w:cs="Arial"/>
          <w:bCs/>
          <w:sz w:val="22"/>
          <w:szCs w:val="22"/>
        </w:rPr>
        <w:t xml:space="preserve">con </w:t>
      </w:r>
      <w:r w:rsidRPr="00F90CAB">
        <w:rPr>
          <w:rFonts w:cs="Arial"/>
          <w:bCs/>
          <w:sz w:val="22"/>
          <w:szCs w:val="22"/>
        </w:rPr>
        <w:t xml:space="preserve">las condiciones arriba descritas, </w:t>
      </w:r>
      <w:r w:rsidR="00C85432" w:rsidRPr="00F90CAB">
        <w:rPr>
          <w:rFonts w:cs="Arial"/>
          <w:bCs/>
          <w:sz w:val="22"/>
          <w:szCs w:val="22"/>
        </w:rPr>
        <w:t xml:space="preserve">de ser el caso, </w:t>
      </w:r>
      <w:r w:rsidRPr="00F90CAB">
        <w:rPr>
          <w:rFonts w:cs="Arial"/>
          <w:bCs/>
          <w:sz w:val="22"/>
          <w:szCs w:val="22"/>
        </w:rPr>
        <w:t>deben provisionar y pagar proporcionalmente a la fracción de año 2021 que hubiere prestado el servicio público.</w:t>
      </w:r>
    </w:p>
    <w:p w14:paraId="1AD7CAE7" w14:textId="41DE3E13" w:rsidR="003279BE" w:rsidRPr="00F90CAB" w:rsidRDefault="003279BE" w:rsidP="00C906EF">
      <w:pPr>
        <w:pStyle w:val="Textoindependiente"/>
        <w:spacing w:after="0" w:line="240" w:lineRule="auto"/>
        <w:rPr>
          <w:rFonts w:cs="Arial"/>
          <w:sz w:val="22"/>
          <w:szCs w:val="22"/>
        </w:rPr>
      </w:pPr>
    </w:p>
    <w:p w14:paraId="375EC3BD" w14:textId="48359D27" w:rsidR="00271B60" w:rsidRDefault="00961025" w:rsidP="00FB3C30">
      <w:pPr>
        <w:rPr>
          <w:rFonts w:cs="Arial"/>
          <w:sz w:val="22"/>
          <w:szCs w:val="22"/>
        </w:rPr>
      </w:pPr>
      <w:r w:rsidRPr="003B72DD">
        <w:rPr>
          <w:rFonts w:cs="Arial"/>
          <w:sz w:val="22"/>
          <w:szCs w:val="22"/>
        </w:rPr>
        <w:t xml:space="preserve">No serán sujetos pasivos de la contribución especial </w:t>
      </w:r>
      <w:r w:rsidR="002C1B51" w:rsidRPr="003B72DD">
        <w:rPr>
          <w:rFonts w:cs="Arial"/>
          <w:sz w:val="22"/>
          <w:szCs w:val="22"/>
        </w:rPr>
        <w:t xml:space="preserve">2021 </w:t>
      </w:r>
      <w:r w:rsidRPr="003B72DD">
        <w:rPr>
          <w:rFonts w:cs="Arial"/>
          <w:sz w:val="22"/>
          <w:szCs w:val="22"/>
        </w:rPr>
        <w:t xml:space="preserve">a favor de la CREG, </w:t>
      </w:r>
      <w:r w:rsidR="00FB3C30" w:rsidRPr="003B72DD">
        <w:rPr>
          <w:rFonts w:cs="Arial"/>
          <w:sz w:val="22"/>
          <w:szCs w:val="22"/>
        </w:rPr>
        <w:t xml:space="preserve">aquellos </w:t>
      </w:r>
      <w:r w:rsidRPr="003B72DD">
        <w:rPr>
          <w:rFonts w:cs="Arial"/>
          <w:sz w:val="22"/>
          <w:szCs w:val="22"/>
        </w:rPr>
        <w:t>regulados</w:t>
      </w:r>
      <w:r w:rsidR="00FB3C30" w:rsidRPr="003B72DD">
        <w:rPr>
          <w:rFonts w:cs="Arial"/>
          <w:sz w:val="22"/>
          <w:szCs w:val="22"/>
        </w:rPr>
        <w:t xml:space="preserve"> que</w:t>
      </w:r>
      <w:r w:rsidR="00F90CAB" w:rsidRPr="003B72DD">
        <w:rPr>
          <w:rFonts w:cs="Arial"/>
          <w:sz w:val="22"/>
          <w:szCs w:val="22"/>
        </w:rPr>
        <w:t>,</w:t>
      </w:r>
      <w:r w:rsidR="00FB3C30" w:rsidRPr="003B72DD">
        <w:rPr>
          <w:rFonts w:cs="Arial"/>
          <w:sz w:val="22"/>
          <w:szCs w:val="22"/>
        </w:rPr>
        <w:t xml:space="preserve"> a 31 de diciembre de 2020</w:t>
      </w:r>
      <w:r w:rsidR="00C561A7" w:rsidRPr="003B72DD">
        <w:rPr>
          <w:rFonts w:cs="Arial"/>
          <w:sz w:val="22"/>
          <w:szCs w:val="22"/>
        </w:rPr>
        <w:t>, no</w:t>
      </w:r>
      <w:r w:rsidR="00FB3C30" w:rsidRPr="003B72DD">
        <w:rPr>
          <w:rFonts w:cs="Arial"/>
          <w:sz w:val="22"/>
          <w:szCs w:val="22"/>
        </w:rPr>
        <w:t xml:space="preserve"> </w:t>
      </w:r>
      <w:r w:rsidR="00C561A7" w:rsidRPr="003B72DD">
        <w:rPr>
          <w:rFonts w:cs="Arial"/>
          <w:sz w:val="22"/>
          <w:szCs w:val="22"/>
        </w:rPr>
        <w:t>cumplan</w:t>
      </w:r>
      <w:r w:rsidRPr="003B72DD">
        <w:rPr>
          <w:rFonts w:cs="Arial"/>
          <w:sz w:val="22"/>
          <w:szCs w:val="22"/>
        </w:rPr>
        <w:t xml:space="preserve"> las condiciones de</w:t>
      </w:r>
      <w:r w:rsidR="00FB3C30" w:rsidRPr="003B72DD">
        <w:rPr>
          <w:rFonts w:cs="Arial"/>
          <w:sz w:val="22"/>
          <w:szCs w:val="22"/>
        </w:rPr>
        <w:t xml:space="preserve"> los supuestos de la hipótesis de</w:t>
      </w:r>
      <w:r w:rsidR="00DA7BEF">
        <w:rPr>
          <w:rFonts w:cs="Arial"/>
          <w:sz w:val="22"/>
          <w:szCs w:val="22"/>
        </w:rPr>
        <w:t xml:space="preserve">l negocio </w:t>
      </w:r>
      <w:r w:rsidR="00FB3C30" w:rsidRPr="003B72DD">
        <w:rPr>
          <w:rFonts w:cs="Arial"/>
          <w:sz w:val="22"/>
          <w:szCs w:val="22"/>
        </w:rPr>
        <w:t>en marcha correspondiente a la técnica contable</w:t>
      </w:r>
      <w:r w:rsidR="00DA7BEF">
        <w:rPr>
          <w:rFonts w:cs="Arial"/>
          <w:sz w:val="22"/>
          <w:szCs w:val="22"/>
        </w:rPr>
        <w:t>, las razones financieras o indicadores pertinentes para cada tipo de sociedad, modelo de negocio o sector.</w:t>
      </w:r>
    </w:p>
    <w:p w14:paraId="7DF8E556" w14:textId="77777777" w:rsidR="00271B60" w:rsidRDefault="00271B60" w:rsidP="00FB3C30">
      <w:pPr>
        <w:rPr>
          <w:rFonts w:cs="Arial"/>
          <w:sz w:val="22"/>
          <w:szCs w:val="22"/>
        </w:rPr>
      </w:pPr>
    </w:p>
    <w:p w14:paraId="295858D3" w14:textId="281B730C" w:rsidR="00FB3C30" w:rsidRPr="003B72DD" w:rsidRDefault="00C561A7" w:rsidP="00FB3C30">
      <w:pPr>
        <w:rPr>
          <w:rFonts w:cs="Arial"/>
          <w:sz w:val="22"/>
          <w:szCs w:val="22"/>
        </w:rPr>
      </w:pPr>
      <w:r w:rsidRPr="003B72DD">
        <w:rPr>
          <w:rFonts w:cs="Arial"/>
          <w:sz w:val="22"/>
          <w:szCs w:val="22"/>
        </w:rPr>
        <w:t xml:space="preserve">En estos casos </w:t>
      </w:r>
      <w:r w:rsidR="00FB3C30" w:rsidRPr="003B72DD">
        <w:rPr>
          <w:rFonts w:cs="Arial"/>
          <w:sz w:val="22"/>
          <w:szCs w:val="22"/>
        </w:rPr>
        <w:t>los estados financieros se preparan bajo el supuesto que la empresa se encuentra en operación, y que continuará sus operaciones durante un periodo de tiempo razonable</w:t>
      </w:r>
      <w:r w:rsidR="00090BA0">
        <w:rPr>
          <w:rFonts w:cs="Arial"/>
          <w:sz w:val="22"/>
          <w:szCs w:val="22"/>
        </w:rPr>
        <w:t>,</w:t>
      </w:r>
      <w:r w:rsidR="00F90CAB" w:rsidRPr="003B72DD">
        <w:rPr>
          <w:rFonts w:cs="Arial"/>
          <w:sz w:val="22"/>
          <w:szCs w:val="22"/>
        </w:rPr>
        <w:t xml:space="preserve"> por lo cual</w:t>
      </w:r>
      <w:r w:rsidR="00FB3C30" w:rsidRPr="003B72DD">
        <w:rPr>
          <w:rFonts w:cs="Arial"/>
          <w:sz w:val="22"/>
          <w:szCs w:val="22"/>
        </w:rPr>
        <w:t xml:space="preserve"> </w:t>
      </w:r>
      <w:r w:rsidRPr="003B72DD">
        <w:rPr>
          <w:rFonts w:cs="Arial"/>
          <w:sz w:val="22"/>
          <w:szCs w:val="22"/>
        </w:rPr>
        <w:t xml:space="preserve">no </w:t>
      </w:r>
      <w:r w:rsidR="00FB3C30" w:rsidRPr="003B72DD">
        <w:rPr>
          <w:rFonts w:cs="Arial"/>
          <w:sz w:val="22"/>
          <w:szCs w:val="22"/>
        </w:rPr>
        <w:t>se observ</w:t>
      </w:r>
      <w:r w:rsidR="00F90CAB" w:rsidRPr="003B72DD">
        <w:rPr>
          <w:rFonts w:cs="Arial"/>
          <w:sz w:val="22"/>
          <w:szCs w:val="22"/>
        </w:rPr>
        <w:t>a</w:t>
      </w:r>
      <w:r w:rsidR="007C7135">
        <w:rPr>
          <w:rFonts w:cs="Arial"/>
          <w:sz w:val="22"/>
          <w:szCs w:val="22"/>
        </w:rPr>
        <w:t>:</w:t>
      </w:r>
      <w:r w:rsidR="00FB3C30" w:rsidRPr="003B72DD">
        <w:rPr>
          <w:rFonts w:cs="Arial"/>
          <w:sz w:val="22"/>
          <w:szCs w:val="22"/>
        </w:rPr>
        <w:t xml:space="preserve"> una inminente cesación en el pago de las obligaciones mercantiles</w:t>
      </w:r>
      <w:r w:rsidR="00DA7BEF">
        <w:rPr>
          <w:rFonts w:cs="Arial"/>
          <w:sz w:val="22"/>
          <w:szCs w:val="22"/>
        </w:rPr>
        <w:t>, laborales y/o tributarias</w:t>
      </w:r>
      <w:r w:rsidR="007C7135">
        <w:rPr>
          <w:rFonts w:cs="Arial"/>
          <w:sz w:val="22"/>
          <w:szCs w:val="22"/>
        </w:rPr>
        <w:t xml:space="preserve">, pérdida de un mercado </w:t>
      </w:r>
      <w:r w:rsidR="00090BA0">
        <w:rPr>
          <w:rFonts w:cs="Arial"/>
          <w:sz w:val="22"/>
          <w:szCs w:val="22"/>
        </w:rPr>
        <w:t>importante</w:t>
      </w:r>
      <w:r w:rsidR="007C7135">
        <w:rPr>
          <w:rFonts w:cs="Arial"/>
          <w:sz w:val="22"/>
          <w:szCs w:val="22"/>
        </w:rPr>
        <w:t xml:space="preserve">, </w:t>
      </w:r>
      <w:r w:rsidR="00DA7BEF">
        <w:rPr>
          <w:rFonts w:cs="Arial"/>
          <w:sz w:val="22"/>
          <w:szCs w:val="22"/>
        </w:rPr>
        <w:t xml:space="preserve">prestación del servicio por parte de otros agentes del mercado, escasez de suministros </w:t>
      </w:r>
      <w:r w:rsidR="00090BA0">
        <w:rPr>
          <w:rFonts w:cs="Arial"/>
          <w:sz w:val="22"/>
          <w:szCs w:val="22"/>
        </w:rPr>
        <w:t>esenciales</w:t>
      </w:r>
      <w:r w:rsidR="00DA7BEF">
        <w:rPr>
          <w:rFonts w:cs="Arial"/>
          <w:sz w:val="22"/>
          <w:szCs w:val="22"/>
        </w:rPr>
        <w:t xml:space="preserve">, </w:t>
      </w:r>
      <w:r w:rsidR="007C7135">
        <w:rPr>
          <w:rFonts w:cs="Arial"/>
          <w:sz w:val="22"/>
          <w:szCs w:val="22"/>
        </w:rPr>
        <w:t>cambios en disposiciones legales que afecten negativamente la empresa, pérdidas históricas y proyectadas sustanciales</w:t>
      </w:r>
      <w:r w:rsidR="00DA7BEF">
        <w:rPr>
          <w:rFonts w:cs="Arial"/>
          <w:sz w:val="22"/>
          <w:szCs w:val="22"/>
        </w:rPr>
        <w:t>,</w:t>
      </w:r>
      <w:r w:rsidR="007C7135">
        <w:rPr>
          <w:rFonts w:cs="Arial"/>
          <w:sz w:val="22"/>
          <w:szCs w:val="22"/>
        </w:rPr>
        <w:t xml:space="preserve"> deterioro significativo del valor de los activos, deterioro patrimonial</w:t>
      </w:r>
      <w:r w:rsidR="00DA7BEF">
        <w:rPr>
          <w:rFonts w:cs="Arial"/>
          <w:sz w:val="22"/>
          <w:szCs w:val="22"/>
        </w:rPr>
        <w:t xml:space="preserve">, </w:t>
      </w:r>
      <w:r w:rsidR="007C7135">
        <w:rPr>
          <w:rFonts w:cs="Arial"/>
          <w:sz w:val="22"/>
          <w:szCs w:val="22"/>
        </w:rPr>
        <w:t>riesgos de insolvencia</w:t>
      </w:r>
      <w:r w:rsidR="00DA7BEF">
        <w:rPr>
          <w:rFonts w:cs="Arial"/>
          <w:sz w:val="22"/>
          <w:szCs w:val="22"/>
        </w:rPr>
        <w:t xml:space="preserve"> y/o incertidumbres importantes que generen dudas significativas sobre la capacidad para continuar como un negocio en marcha, y por lo tanto </w:t>
      </w:r>
      <w:r w:rsidR="007C7135">
        <w:rPr>
          <w:rFonts w:cs="Arial"/>
          <w:sz w:val="22"/>
          <w:szCs w:val="22"/>
        </w:rPr>
        <w:t xml:space="preserve">la empresa no tiene alternativas reales diferentes de </w:t>
      </w:r>
      <w:r w:rsidR="00090BA0">
        <w:rPr>
          <w:rFonts w:cs="Arial"/>
          <w:sz w:val="22"/>
          <w:szCs w:val="22"/>
        </w:rPr>
        <w:t xml:space="preserve">ceder el mercado, </w:t>
      </w:r>
      <w:r w:rsidR="007C7135">
        <w:rPr>
          <w:rFonts w:cs="Arial"/>
          <w:sz w:val="22"/>
          <w:szCs w:val="22"/>
        </w:rPr>
        <w:t>terminar sus operaciones o liquidarse.</w:t>
      </w:r>
    </w:p>
    <w:p w14:paraId="67C06DBC" w14:textId="77777777" w:rsidR="00FB3C30" w:rsidRPr="003B72DD" w:rsidRDefault="00FB3C30" w:rsidP="00FB3C30">
      <w:pPr>
        <w:rPr>
          <w:rFonts w:cs="Arial"/>
          <w:sz w:val="22"/>
          <w:szCs w:val="22"/>
        </w:rPr>
      </w:pPr>
    </w:p>
    <w:p w14:paraId="1580731D" w14:textId="0F30E6C0" w:rsidR="00FB3C30" w:rsidRPr="003B72DD" w:rsidRDefault="00FB3C30" w:rsidP="00FB3C30">
      <w:pPr>
        <w:rPr>
          <w:rFonts w:cs="Arial"/>
          <w:sz w:val="22"/>
          <w:szCs w:val="22"/>
        </w:rPr>
      </w:pPr>
      <w:r w:rsidRPr="003B72DD">
        <w:rPr>
          <w:rFonts w:cs="Arial"/>
          <w:sz w:val="22"/>
          <w:szCs w:val="22"/>
        </w:rPr>
        <w:t xml:space="preserve">Lo anterior teniendo en cuenta el principio de revelación plena, el marco normativo contable aplicable a cada grupo o naturaleza de la empresa </w:t>
      </w:r>
      <w:r w:rsidR="001F690D" w:rsidRPr="003B72DD">
        <w:rPr>
          <w:rFonts w:cs="Arial"/>
          <w:sz w:val="22"/>
          <w:szCs w:val="22"/>
        </w:rPr>
        <w:t>o se presente también</w:t>
      </w:r>
      <w:r w:rsidRPr="003B72DD">
        <w:rPr>
          <w:rFonts w:cs="Arial"/>
          <w:sz w:val="22"/>
          <w:szCs w:val="22"/>
        </w:rPr>
        <w:t xml:space="preserve"> la situación que durante el 2021 ya no sea un prestador de servicios públicos domiciliarios en los términos de la Ley 142 de 1994; por cuanto, no existirían costos asociados al servicio regulatorio que la CREG deba recuperar para la presente vigencia.</w:t>
      </w:r>
    </w:p>
    <w:p w14:paraId="55CADE7D" w14:textId="43973BCD" w:rsidR="00384F7A" w:rsidRDefault="002A6E63" w:rsidP="00237E2A">
      <w:pPr>
        <w:rPr>
          <w:rFonts w:cs="Arial"/>
          <w:sz w:val="22"/>
          <w:szCs w:val="22"/>
        </w:rPr>
      </w:pPr>
      <w:r>
        <w:rPr>
          <w:rFonts w:cs="Arial"/>
          <w:sz w:val="22"/>
          <w:szCs w:val="22"/>
        </w:rPr>
        <w:lastRenderedPageBreak/>
        <w:t>En lo corresponden a las empresas inactivas no serán tenidas en cuenta al no haber reportado información financiera del año 2020 al SUI</w:t>
      </w:r>
      <w:r w:rsidR="00C85432">
        <w:rPr>
          <w:rFonts w:cs="Arial"/>
          <w:sz w:val="22"/>
          <w:szCs w:val="22"/>
        </w:rPr>
        <w:t xml:space="preserve"> y no ser prestadores de servicio</w:t>
      </w:r>
      <w:r w:rsidR="00FB3C30">
        <w:rPr>
          <w:rFonts w:cs="Arial"/>
          <w:sz w:val="22"/>
          <w:szCs w:val="22"/>
        </w:rPr>
        <w:t>.</w:t>
      </w:r>
    </w:p>
    <w:p w14:paraId="21D1E710" w14:textId="77777777" w:rsidR="00DA7BEF" w:rsidRDefault="00DA7BEF" w:rsidP="00237E2A">
      <w:pPr>
        <w:rPr>
          <w:rFonts w:cs="Arial"/>
          <w:sz w:val="22"/>
          <w:szCs w:val="22"/>
        </w:rPr>
      </w:pPr>
    </w:p>
    <w:p w14:paraId="528E35BA" w14:textId="2C6071F9" w:rsidR="008D2091" w:rsidRPr="00434A86" w:rsidRDefault="006B0990" w:rsidP="0085721C">
      <w:pPr>
        <w:pStyle w:val="Subttulo"/>
        <w:numPr>
          <w:ilvl w:val="1"/>
          <w:numId w:val="37"/>
        </w:numPr>
        <w:spacing w:after="0"/>
        <w:ind w:left="357" w:hanging="357"/>
        <w:jc w:val="left"/>
        <w:rPr>
          <w:b/>
          <w:bCs/>
          <w:sz w:val="22"/>
          <w:szCs w:val="22"/>
        </w:rPr>
      </w:pPr>
      <w:bookmarkStart w:id="46" w:name="_Toc88126850"/>
      <w:r w:rsidRPr="00434A86">
        <w:rPr>
          <w:b/>
          <w:bCs/>
          <w:sz w:val="22"/>
          <w:szCs w:val="22"/>
        </w:rPr>
        <w:t>EMPRESAS QUE REPORTARON EN EL SISTEMA SUI INFORMACION AL CIERRE DE DICIEMBRE 31 DE 20</w:t>
      </w:r>
      <w:r w:rsidR="00481EC4" w:rsidRPr="00434A86">
        <w:rPr>
          <w:b/>
          <w:bCs/>
          <w:sz w:val="22"/>
          <w:szCs w:val="22"/>
        </w:rPr>
        <w:t>20</w:t>
      </w:r>
      <w:r w:rsidRPr="00434A86">
        <w:rPr>
          <w:b/>
          <w:bCs/>
          <w:sz w:val="22"/>
          <w:szCs w:val="22"/>
        </w:rPr>
        <w:t xml:space="preserve"> Y AL CIERRE DE DICIEMBRE 31 DE 201</w:t>
      </w:r>
      <w:r w:rsidR="00481EC4" w:rsidRPr="00434A86">
        <w:rPr>
          <w:b/>
          <w:bCs/>
          <w:sz w:val="22"/>
          <w:szCs w:val="22"/>
        </w:rPr>
        <w:t>9</w:t>
      </w:r>
      <w:r w:rsidRPr="00434A86">
        <w:rPr>
          <w:b/>
          <w:bCs/>
          <w:sz w:val="22"/>
          <w:szCs w:val="22"/>
        </w:rPr>
        <w:t>:</w:t>
      </w:r>
      <w:bookmarkEnd w:id="46"/>
    </w:p>
    <w:p w14:paraId="34B000C7" w14:textId="77777777" w:rsidR="008D2091" w:rsidRPr="00434A86" w:rsidRDefault="008D2091" w:rsidP="008D2091">
      <w:pPr>
        <w:suppressAutoHyphens/>
        <w:rPr>
          <w:rFonts w:cs="Arial"/>
          <w:b/>
          <w:sz w:val="22"/>
          <w:szCs w:val="22"/>
          <w:lang w:val="es-MX"/>
        </w:rPr>
      </w:pPr>
    </w:p>
    <w:p w14:paraId="5F1AB4D2" w14:textId="7B0B18F9" w:rsidR="008D2091" w:rsidRPr="00434A86" w:rsidRDefault="00070F3C" w:rsidP="00EA68B8">
      <w:pPr>
        <w:rPr>
          <w:rFonts w:cs="Arial"/>
          <w:sz w:val="22"/>
          <w:szCs w:val="22"/>
          <w:lang w:val="es-MX"/>
        </w:rPr>
      </w:pPr>
      <w:r w:rsidRPr="00434A86">
        <w:rPr>
          <w:rFonts w:cs="Arial"/>
          <w:sz w:val="22"/>
          <w:szCs w:val="22"/>
          <w:lang w:val="es-MX"/>
        </w:rPr>
        <w:t>L</w:t>
      </w:r>
      <w:r w:rsidR="008D2091" w:rsidRPr="00434A86">
        <w:rPr>
          <w:rFonts w:cs="Arial"/>
          <w:sz w:val="22"/>
          <w:szCs w:val="22"/>
          <w:lang w:val="es-MX"/>
        </w:rPr>
        <w:t xml:space="preserve">as siguientes </w:t>
      </w:r>
      <w:r w:rsidR="00232C10">
        <w:rPr>
          <w:rFonts w:cs="Arial"/>
          <w:sz w:val="22"/>
          <w:szCs w:val="22"/>
          <w:lang w:val="es-MX"/>
        </w:rPr>
        <w:t>232</w:t>
      </w:r>
      <w:r w:rsidR="00FF07E7" w:rsidRPr="00434A86">
        <w:rPr>
          <w:rFonts w:cs="Arial"/>
          <w:sz w:val="22"/>
          <w:szCs w:val="22"/>
          <w:lang w:val="es-MX"/>
        </w:rPr>
        <w:t xml:space="preserve"> </w:t>
      </w:r>
      <w:r w:rsidRPr="00434A86">
        <w:rPr>
          <w:rFonts w:cs="Arial"/>
          <w:sz w:val="22"/>
          <w:szCs w:val="22"/>
          <w:lang w:val="es-MX"/>
        </w:rPr>
        <w:t>empresas presentaron</w:t>
      </w:r>
      <w:r w:rsidR="00B0576A" w:rsidRPr="00434A86">
        <w:rPr>
          <w:rFonts w:cs="Arial"/>
          <w:sz w:val="22"/>
          <w:szCs w:val="22"/>
          <w:lang w:val="es-MX"/>
        </w:rPr>
        <w:t xml:space="preserve"> </w:t>
      </w:r>
      <w:r w:rsidR="00B25AA6" w:rsidRPr="00434A86">
        <w:rPr>
          <w:rFonts w:cs="Arial"/>
          <w:sz w:val="22"/>
          <w:szCs w:val="22"/>
          <w:lang w:val="es-MX"/>
        </w:rPr>
        <w:t>información financiera con corte a diciembre 31 de</w:t>
      </w:r>
      <w:r w:rsidR="00B0576A" w:rsidRPr="00434A86">
        <w:rPr>
          <w:rFonts w:cs="Arial"/>
          <w:sz w:val="22"/>
          <w:szCs w:val="22"/>
          <w:lang w:val="es-MX"/>
        </w:rPr>
        <w:t xml:space="preserve"> 20</w:t>
      </w:r>
      <w:r w:rsidR="00434A86" w:rsidRPr="00434A86">
        <w:rPr>
          <w:rFonts w:cs="Arial"/>
          <w:sz w:val="22"/>
          <w:szCs w:val="22"/>
          <w:lang w:val="es-MX"/>
        </w:rPr>
        <w:t>20</w:t>
      </w:r>
      <w:r w:rsidR="002C09FE" w:rsidRPr="00434A86">
        <w:rPr>
          <w:rFonts w:cs="Arial"/>
          <w:sz w:val="22"/>
          <w:szCs w:val="22"/>
          <w:lang w:val="es-MX"/>
        </w:rPr>
        <w:t xml:space="preserve"> y 20</w:t>
      </w:r>
      <w:r w:rsidR="000B0FD7">
        <w:rPr>
          <w:rFonts w:cs="Arial"/>
          <w:sz w:val="22"/>
          <w:szCs w:val="22"/>
          <w:lang w:val="es-MX"/>
        </w:rPr>
        <w:t>1</w:t>
      </w:r>
      <w:r w:rsidR="00434A86" w:rsidRPr="00434A86">
        <w:rPr>
          <w:rFonts w:cs="Arial"/>
          <w:sz w:val="22"/>
          <w:szCs w:val="22"/>
          <w:lang w:val="es-MX"/>
        </w:rPr>
        <w:t>9</w:t>
      </w:r>
      <w:r w:rsidR="00B25AA6" w:rsidRPr="00434A86">
        <w:rPr>
          <w:rFonts w:cs="Arial"/>
          <w:sz w:val="22"/>
          <w:szCs w:val="22"/>
          <w:lang w:val="es-MX"/>
        </w:rPr>
        <w:t>, así:</w:t>
      </w:r>
    </w:p>
    <w:p w14:paraId="51D74272" w14:textId="23EE1CFD" w:rsidR="00123BCE" w:rsidRDefault="00123BCE" w:rsidP="008D2091">
      <w:pPr>
        <w:pStyle w:val="Textoindependiente"/>
        <w:spacing w:after="0" w:line="240" w:lineRule="auto"/>
        <w:rPr>
          <w:color w:val="FF0000"/>
        </w:rPr>
      </w:pPr>
    </w:p>
    <w:tbl>
      <w:tblPr>
        <w:tblW w:w="9060" w:type="dxa"/>
        <w:tblCellMar>
          <w:left w:w="70" w:type="dxa"/>
          <w:right w:w="70" w:type="dxa"/>
        </w:tblCellMar>
        <w:tblLook w:val="04A0" w:firstRow="1" w:lastRow="0" w:firstColumn="1" w:lastColumn="0" w:noHBand="0" w:noVBand="1"/>
      </w:tblPr>
      <w:tblGrid>
        <w:gridCol w:w="387"/>
        <w:gridCol w:w="900"/>
        <w:gridCol w:w="3506"/>
        <w:gridCol w:w="887"/>
        <w:gridCol w:w="1660"/>
        <w:gridCol w:w="1720"/>
      </w:tblGrid>
      <w:tr w:rsidR="00117702" w:rsidRPr="00117702" w14:paraId="116FAD1C" w14:textId="77777777" w:rsidTr="00117702">
        <w:trPr>
          <w:trHeight w:val="460"/>
          <w:tblHeader/>
        </w:trPr>
        <w:tc>
          <w:tcPr>
            <w:tcW w:w="32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F470155" w14:textId="77777777" w:rsidR="00117702" w:rsidRPr="00117702" w:rsidRDefault="00117702" w:rsidP="00117702">
            <w:pPr>
              <w:jc w:val="center"/>
              <w:rPr>
                <w:rFonts w:ascii="Arial Narrow" w:hAnsi="Arial Narrow" w:cs="Arial"/>
                <w:b/>
                <w:bCs/>
                <w:color w:val="000000"/>
                <w:spacing w:val="0"/>
                <w:sz w:val="18"/>
                <w:szCs w:val="18"/>
                <w:lang w:eastAsia="es-CO"/>
              </w:rPr>
            </w:pPr>
            <w:r w:rsidRPr="00117702">
              <w:rPr>
                <w:rFonts w:ascii="Arial Narrow" w:hAnsi="Arial Narrow" w:cs="Arial"/>
                <w:b/>
                <w:bCs/>
                <w:color w:val="000000"/>
                <w:spacing w:val="0"/>
                <w:sz w:val="18"/>
                <w:szCs w:val="18"/>
                <w:lang w:eastAsia="es-CO"/>
              </w:rPr>
              <w:t>#</w:t>
            </w:r>
          </w:p>
        </w:tc>
        <w:tc>
          <w:tcPr>
            <w:tcW w:w="900" w:type="dxa"/>
            <w:tcBorders>
              <w:top w:val="single" w:sz="4" w:space="0" w:color="auto"/>
              <w:left w:val="nil"/>
              <w:bottom w:val="single" w:sz="4" w:space="0" w:color="auto"/>
              <w:right w:val="single" w:sz="4" w:space="0" w:color="auto"/>
            </w:tcBorders>
            <w:shd w:val="clear" w:color="000000" w:fill="F2F2F2"/>
            <w:vAlign w:val="center"/>
            <w:hideMark/>
          </w:tcPr>
          <w:p w14:paraId="420B0254" w14:textId="77777777" w:rsidR="00117702" w:rsidRPr="00117702" w:rsidRDefault="00117702" w:rsidP="00117702">
            <w:pPr>
              <w:jc w:val="center"/>
              <w:rPr>
                <w:rFonts w:ascii="Arial Narrow" w:hAnsi="Arial Narrow" w:cs="Arial"/>
                <w:b/>
                <w:bCs/>
                <w:color w:val="000000"/>
                <w:spacing w:val="0"/>
                <w:sz w:val="18"/>
                <w:szCs w:val="18"/>
                <w:lang w:eastAsia="es-CO"/>
              </w:rPr>
            </w:pPr>
            <w:r w:rsidRPr="00117702">
              <w:rPr>
                <w:rFonts w:ascii="Arial Narrow" w:hAnsi="Arial Narrow" w:cs="Arial"/>
                <w:b/>
                <w:bCs/>
                <w:color w:val="000000"/>
                <w:spacing w:val="0"/>
                <w:sz w:val="18"/>
                <w:szCs w:val="18"/>
                <w:lang w:eastAsia="es-CO"/>
              </w:rPr>
              <w:t>NIT</w:t>
            </w:r>
          </w:p>
        </w:tc>
        <w:tc>
          <w:tcPr>
            <w:tcW w:w="3660" w:type="dxa"/>
            <w:tcBorders>
              <w:top w:val="single" w:sz="4" w:space="0" w:color="auto"/>
              <w:left w:val="nil"/>
              <w:bottom w:val="single" w:sz="4" w:space="0" w:color="auto"/>
              <w:right w:val="single" w:sz="4" w:space="0" w:color="auto"/>
            </w:tcBorders>
            <w:shd w:val="clear" w:color="000000" w:fill="F2F2F2"/>
            <w:vAlign w:val="center"/>
            <w:hideMark/>
          </w:tcPr>
          <w:p w14:paraId="3B65324C" w14:textId="77777777" w:rsidR="00117702" w:rsidRPr="00117702" w:rsidRDefault="00117702" w:rsidP="00117702">
            <w:pPr>
              <w:jc w:val="center"/>
              <w:rPr>
                <w:rFonts w:ascii="Arial Narrow" w:hAnsi="Arial Narrow" w:cs="Arial"/>
                <w:b/>
                <w:bCs/>
                <w:color w:val="000000"/>
                <w:spacing w:val="0"/>
                <w:sz w:val="18"/>
                <w:szCs w:val="18"/>
                <w:lang w:eastAsia="es-CO"/>
              </w:rPr>
            </w:pPr>
            <w:r w:rsidRPr="00117702">
              <w:rPr>
                <w:rFonts w:ascii="Arial Narrow" w:hAnsi="Arial Narrow" w:cs="Arial"/>
                <w:b/>
                <w:bCs/>
                <w:color w:val="000000"/>
                <w:spacing w:val="0"/>
                <w:sz w:val="18"/>
                <w:szCs w:val="18"/>
                <w:lang w:eastAsia="es-CO"/>
              </w:rPr>
              <w:t>RAZÓN SOCIAL DEL REGULADO</w:t>
            </w:r>
          </w:p>
        </w:tc>
        <w:tc>
          <w:tcPr>
            <w:tcW w:w="800" w:type="dxa"/>
            <w:tcBorders>
              <w:top w:val="single" w:sz="4" w:space="0" w:color="auto"/>
              <w:left w:val="nil"/>
              <w:bottom w:val="single" w:sz="4" w:space="0" w:color="auto"/>
              <w:right w:val="single" w:sz="4" w:space="0" w:color="auto"/>
            </w:tcBorders>
            <w:shd w:val="clear" w:color="000000" w:fill="F2F2F2"/>
            <w:vAlign w:val="center"/>
            <w:hideMark/>
          </w:tcPr>
          <w:p w14:paraId="34476906" w14:textId="77777777" w:rsidR="00117702" w:rsidRPr="00117702" w:rsidRDefault="00117702" w:rsidP="00117702">
            <w:pPr>
              <w:jc w:val="center"/>
              <w:rPr>
                <w:rFonts w:ascii="Arial Narrow" w:hAnsi="Arial Narrow" w:cs="Arial"/>
                <w:b/>
                <w:bCs/>
                <w:color w:val="000000"/>
                <w:spacing w:val="0"/>
                <w:sz w:val="18"/>
                <w:szCs w:val="18"/>
                <w:lang w:eastAsia="es-CO"/>
              </w:rPr>
            </w:pPr>
            <w:r w:rsidRPr="00117702">
              <w:rPr>
                <w:rFonts w:ascii="Arial Narrow" w:hAnsi="Arial Narrow" w:cs="Arial"/>
                <w:b/>
                <w:bCs/>
                <w:color w:val="000000"/>
                <w:spacing w:val="0"/>
                <w:sz w:val="18"/>
                <w:szCs w:val="18"/>
                <w:lang w:eastAsia="es-CO"/>
              </w:rPr>
              <w:t>SERVICIO</w:t>
            </w:r>
          </w:p>
        </w:tc>
        <w:tc>
          <w:tcPr>
            <w:tcW w:w="1660" w:type="dxa"/>
            <w:tcBorders>
              <w:top w:val="single" w:sz="4" w:space="0" w:color="auto"/>
              <w:left w:val="nil"/>
              <w:bottom w:val="single" w:sz="4" w:space="0" w:color="auto"/>
              <w:right w:val="single" w:sz="4" w:space="0" w:color="auto"/>
            </w:tcBorders>
            <w:shd w:val="clear" w:color="000000" w:fill="F2F2F2"/>
            <w:vAlign w:val="center"/>
            <w:hideMark/>
          </w:tcPr>
          <w:p w14:paraId="3294D5BC" w14:textId="77777777" w:rsidR="00117702" w:rsidRPr="00117702" w:rsidRDefault="00117702" w:rsidP="00117702">
            <w:pPr>
              <w:jc w:val="center"/>
              <w:rPr>
                <w:rFonts w:ascii="Arial Narrow" w:hAnsi="Arial Narrow" w:cs="Arial"/>
                <w:b/>
                <w:bCs/>
                <w:color w:val="000000"/>
                <w:spacing w:val="0"/>
                <w:sz w:val="18"/>
                <w:szCs w:val="18"/>
                <w:lang w:eastAsia="es-CO"/>
              </w:rPr>
            </w:pPr>
            <w:r w:rsidRPr="00117702">
              <w:rPr>
                <w:rFonts w:ascii="Arial Narrow" w:hAnsi="Arial Narrow" w:cs="Arial"/>
                <w:b/>
                <w:bCs/>
                <w:color w:val="000000"/>
                <w:spacing w:val="0"/>
                <w:sz w:val="18"/>
                <w:szCs w:val="18"/>
                <w:lang w:eastAsia="es-CO"/>
              </w:rPr>
              <w:t xml:space="preserve"> CONTRIBUCIÓN 2020</w:t>
            </w:r>
            <w:r w:rsidRPr="00117702">
              <w:rPr>
                <w:rFonts w:ascii="Arial Narrow" w:hAnsi="Arial Narrow" w:cs="Arial"/>
                <w:b/>
                <w:bCs/>
                <w:color w:val="000000"/>
                <w:spacing w:val="0"/>
                <w:sz w:val="18"/>
                <w:szCs w:val="18"/>
                <w:lang w:eastAsia="es-CO"/>
              </w:rPr>
              <w:br/>
              <w:t xml:space="preserve">BASE EEFF 2019 </w:t>
            </w:r>
          </w:p>
        </w:tc>
        <w:tc>
          <w:tcPr>
            <w:tcW w:w="1720" w:type="dxa"/>
            <w:tcBorders>
              <w:top w:val="single" w:sz="4" w:space="0" w:color="auto"/>
              <w:left w:val="nil"/>
              <w:bottom w:val="single" w:sz="4" w:space="0" w:color="auto"/>
              <w:right w:val="single" w:sz="4" w:space="0" w:color="auto"/>
            </w:tcBorders>
            <w:shd w:val="clear" w:color="000000" w:fill="F2F2F2"/>
            <w:vAlign w:val="center"/>
            <w:hideMark/>
          </w:tcPr>
          <w:p w14:paraId="12D85CE0" w14:textId="77777777" w:rsidR="00117702" w:rsidRPr="00117702" w:rsidRDefault="00117702" w:rsidP="00117702">
            <w:pPr>
              <w:jc w:val="center"/>
              <w:rPr>
                <w:rFonts w:ascii="Arial Narrow" w:hAnsi="Arial Narrow" w:cs="Arial"/>
                <w:b/>
                <w:bCs/>
                <w:color w:val="000000"/>
                <w:spacing w:val="0"/>
                <w:sz w:val="18"/>
                <w:szCs w:val="18"/>
                <w:lang w:eastAsia="es-CO"/>
              </w:rPr>
            </w:pPr>
            <w:r w:rsidRPr="00117702">
              <w:rPr>
                <w:rFonts w:ascii="Arial Narrow" w:hAnsi="Arial Narrow" w:cs="Arial"/>
                <w:b/>
                <w:bCs/>
                <w:color w:val="000000"/>
                <w:spacing w:val="0"/>
                <w:sz w:val="18"/>
                <w:szCs w:val="18"/>
                <w:lang w:eastAsia="es-CO"/>
              </w:rPr>
              <w:t xml:space="preserve"> CONTRIBUCIÓN 2021</w:t>
            </w:r>
            <w:r w:rsidRPr="00117702">
              <w:rPr>
                <w:rFonts w:ascii="Arial Narrow" w:hAnsi="Arial Narrow" w:cs="Arial"/>
                <w:b/>
                <w:bCs/>
                <w:color w:val="000000"/>
                <w:spacing w:val="0"/>
                <w:sz w:val="18"/>
                <w:szCs w:val="18"/>
                <w:lang w:eastAsia="es-CO"/>
              </w:rPr>
              <w:br/>
              <w:t xml:space="preserve">BASE EEFF 2020 </w:t>
            </w:r>
          </w:p>
        </w:tc>
      </w:tr>
      <w:tr w:rsidR="00117702" w:rsidRPr="00117702" w14:paraId="6D9D2F35"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0450B356"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w:t>
            </w:r>
          </w:p>
        </w:tc>
        <w:tc>
          <w:tcPr>
            <w:tcW w:w="900" w:type="dxa"/>
            <w:tcBorders>
              <w:top w:val="nil"/>
              <w:left w:val="nil"/>
              <w:bottom w:val="single" w:sz="4" w:space="0" w:color="auto"/>
              <w:right w:val="single" w:sz="4" w:space="0" w:color="auto"/>
            </w:tcBorders>
            <w:shd w:val="clear" w:color="auto" w:fill="auto"/>
            <w:noWrap/>
            <w:vAlign w:val="center"/>
            <w:hideMark/>
          </w:tcPr>
          <w:p w14:paraId="26FCAB82"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814002979</w:t>
            </w:r>
          </w:p>
        </w:tc>
        <w:tc>
          <w:tcPr>
            <w:tcW w:w="3660" w:type="dxa"/>
            <w:tcBorders>
              <w:top w:val="nil"/>
              <w:left w:val="nil"/>
              <w:bottom w:val="single" w:sz="4" w:space="0" w:color="auto"/>
              <w:right w:val="single" w:sz="4" w:space="0" w:color="auto"/>
            </w:tcBorders>
            <w:shd w:val="clear" w:color="auto" w:fill="auto"/>
            <w:vAlign w:val="center"/>
            <w:hideMark/>
          </w:tcPr>
          <w:p w14:paraId="464C55B8"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A.S.C INGENIERIA SOCIEDAD ANONIMA SA ESP.</w:t>
            </w:r>
          </w:p>
        </w:tc>
        <w:tc>
          <w:tcPr>
            <w:tcW w:w="800" w:type="dxa"/>
            <w:tcBorders>
              <w:top w:val="nil"/>
              <w:left w:val="nil"/>
              <w:bottom w:val="single" w:sz="4" w:space="0" w:color="auto"/>
              <w:right w:val="single" w:sz="4" w:space="0" w:color="auto"/>
            </w:tcBorders>
            <w:shd w:val="clear" w:color="auto" w:fill="auto"/>
            <w:noWrap/>
            <w:vAlign w:val="center"/>
            <w:hideMark/>
          </w:tcPr>
          <w:p w14:paraId="79815639"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Energia</w:t>
            </w:r>
          </w:p>
        </w:tc>
        <w:tc>
          <w:tcPr>
            <w:tcW w:w="1660" w:type="dxa"/>
            <w:tcBorders>
              <w:top w:val="nil"/>
              <w:left w:val="nil"/>
              <w:bottom w:val="single" w:sz="4" w:space="0" w:color="auto"/>
              <w:right w:val="single" w:sz="4" w:space="0" w:color="auto"/>
            </w:tcBorders>
            <w:shd w:val="clear" w:color="auto" w:fill="auto"/>
            <w:noWrap/>
            <w:vAlign w:val="center"/>
            <w:hideMark/>
          </w:tcPr>
          <w:p w14:paraId="71D5B580"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761,988,765</w:t>
            </w:r>
          </w:p>
        </w:tc>
        <w:tc>
          <w:tcPr>
            <w:tcW w:w="1720" w:type="dxa"/>
            <w:tcBorders>
              <w:top w:val="nil"/>
              <w:left w:val="nil"/>
              <w:bottom w:val="single" w:sz="4" w:space="0" w:color="auto"/>
              <w:right w:val="single" w:sz="4" w:space="0" w:color="auto"/>
            </w:tcBorders>
            <w:shd w:val="clear" w:color="auto" w:fill="auto"/>
            <w:noWrap/>
            <w:vAlign w:val="center"/>
            <w:hideMark/>
          </w:tcPr>
          <w:p w14:paraId="2EA0E5D0"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214,007,724</w:t>
            </w:r>
          </w:p>
        </w:tc>
      </w:tr>
      <w:tr w:rsidR="00117702" w:rsidRPr="00117702" w14:paraId="790B1A0C"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4228EB81"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2</w:t>
            </w:r>
          </w:p>
        </w:tc>
        <w:tc>
          <w:tcPr>
            <w:tcW w:w="900" w:type="dxa"/>
            <w:tcBorders>
              <w:top w:val="nil"/>
              <w:left w:val="nil"/>
              <w:bottom w:val="single" w:sz="4" w:space="0" w:color="auto"/>
              <w:right w:val="single" w:sz="4" w:space="0" w:color="auto"/>
            </w:tcBorders>
            <w:shd w:val="clear" w:color="auto" w:fill="auto"/>
            <w:noWrap/>
            <w:vAlign w:val="center"/>
            <w:hideMark/>
          </w:tcPr>
          <w:p w14:paraId="36DF9964"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830025205</w:t>
            </w:r>
          </w:p>
        </w:tc>
        <w:tc>
          <w:tcPr>
            <w:tcW w:w="3660" w:type="dxa"/>
            <w:tcBorders>
              <w:top w:val="nil"/>
              <w:left w:val="nil"/>
              <w:bottom w:val="single" w:sz="4" w:space="0" w:color="auto"/>
              <w:right w:val="single" w:sz="4" w:space="0" w:color="auto"/>
            </w:tcBorders>
            <w:shd w:val="clear" w:color="auto" w:fill="auto"/>
            <w:vAlign w:val="center"/>
            <w:hideMark/>
          </w:tcPr>
          <w:p w14:paraId="3B0C6FE3"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AES CHIVOR &amp; CIA SCA ESP</w:t>
            </w:r>
          </w:p>
        </w:tc>
        <w:tc>
          <w:tcPr>
            <w:tcW w:w="800" w:type="dxa"/>
            <w:tcBorders>
              <w:top w:val="nil"/>
              <w:left w:val="nil"/>
              <w:bottom w:val="single" w:sz="4" w:space="0" w:color="auto"/>
              <w:right w:val="single" w:sz="4" w:space="0" w:color="auto"/>
            </w:tcBorders>
            <w:shd w:val="clear" w:color="auto" w:fill="auto"/>
            <w:noWrap/>
            <w:vAlign w:val="center"/>
            <w:hideMark/>
          </w:tcPr>
          <w:p w14:paraId="672D3A25"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Energia</w:t>
            </w:r>
          </w:p>
        </w:tc>
        <w:tc>
          <w:tcPr>
            <w:tcW w:w="1660" w:type="dxa"/>
            <w:tcBorders>
              <w:top w:val="nil"/>
              <w:left w:val="nil"/>
              <w:bottom w:val="single" w:sz="4" w:space="0" w:color="auto"/>
              <w:right w:val="single" w:sz="4" w:space="0" w:color="auto"/>
            </w:tcBorders>
            <w:shd w:val="clear" w:color="auto" w:fill="auto"/>
            <w:noWrap/>
            <w:vAlign w:val="center"/>
            <w:hideMark/>
          </w:tcPr>
          <w:p w14:paraId="4D1C7FBF"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831,154,734,000</w:t>
            </w:r>
          </w:p>
        </w:tc>
        <w:tc>
          <w:tcPr>
            <w:tcW w:w="1720" w:type="dxa"/>
            <w:tcBorders>
              <w:top w:val="nil"/>
              <w:left w:val="nil"/>
              <w:bottom w:val="single" w:sz="4" w:space="0" w:color="auto"/>
              <w:right w:val="single" w:sz="4" w:space="0" w:color="auto"/>
            </w:tcBorders>
            <w:shd w:val="clear" w:color="auto" w:fill="auto"/>
            <w:noWrap/>
            <w:vAlign w:val="center"/>
            <w:hideMark/>
          </w:tcPr>
          <w:p w14:paraId="595DA837"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86,414,534,822</w:t>
            </w:r>
          </w:p>
        </w:tc>
      </w:tr>
      <w:tr w:rsidR="00117702" w:rsidRPr="00117702" w14:paraId="64A42138" w14:textId="77777777" w:rsidTr="00117702">
        <w:trPr>
          <w:trHeight w:val="46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39F336EB"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3</w:t>
            </w:r>
          </w:p>
        </w:tc>
        <w:tc>
          <w:tcPr>
            <w:tcW w:w="900" w:type="dxa"/>
            <w:tcBorders>
              <w:top w:val="nil"/>
              <w:left w:val="nil"/>
              <w:bottom w:val="single" w:sz="4" w:space="0" w:color="auto"/>
              <w:right w:val="single" w:sz="4" w:space="0" w:color="auto"/>
            </w:tcBorders>
            <w:shd w:val="clear" w:color="auto" w:fill="auto"/>
            <w:noWrap/>
            <w:vAlign w:val="center"/>
            <w:hideMark/>
          </w:tcPr>
          <w:p w14:paraId="428EB940"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900325920</w:t>
            </w:r>
          </w:p>
        </w:tc>
        <w:tc>
          <w:tcPr>
            <w:tcW w:w="3660" w:type="dxa"/>
            <w:tcBorders>
              <w:top w:val="nil"/>
              <w:left w:val="nil"/>
              <w:bottom w:val="single" w:sz="4" w:space="0" w:color="auto"/>
              <w:right w:val="single" w:sz="4" w:space="0" w:color="auto"/>
            </w:tcBorders>
            <w:shd w:val="clear" w:color="auto" w:fill="auto"/>
            <w:vAlign w:val="center"/>
            <w:hideMark/>
          </w:tcPr>
          <w:p w14:paraId="7865AAF5"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AGENTE EXPERTO EN SERVICIOS PUBLICOS SA ESP</w:t>
            </w:r>
          </w:p>
        </w:tc>
        <w:tc>
          <w:tcPr>
            <w:tcW w:w="800" w:type="dxa"/>
            <w:tcBorders>
              <w:top w:val="nil"/>
              <w:left w:val="nil"/>
              <w:bottom w:val="single" w:sz="4" w:space="0" w:color="auto"/>
              <w:right w:val="single" w:sz="4" w:space="0" w:color="auto"/>
            </w:tcBorders>
            <w:shd w:val="clear" w:color="auto" w:fill="auto"/>
            <w:noWrap/>
            <w:vAlign w:val="center"/>
            <w:hideMark/>
          </w:tcPr>
          <w:p w14:paraId="6F5C699E"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Energia</w:t>
            </w:r>
          </w:p>
        </w:tc>
        <w:tc>
          <w:tcPr>
            <w:tcW w:w="1660" w:type="dxa"/>
            <w:tcBorders>
              <w:top w:val="nil"/>
              <w:left w:val="nil"/>
              <w:bottom w:val="single" w:sz="4" w:space="0" w:color="auto"/>
              <w:right w:val="single" w:sz="4" w:space="0" w:color="auto"/>
            </w:tcBorders>
            <w:shd w:val="clear" w:color="auto" w:fill="auto"/>
            <w:noWrap/>
            <w:vAlign w:val="center"/>
            <w:hideMark/>
          </w:tcPr>
          <w:p w14:paraId="474CD2E6"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16,016,471,000</w:t>
            </w:r>
          </w:p>
        </w:tc>
        <w:tc>
          <w:tcPr>
            <w:tcW w:w="1720" w:type="dxa"/>
            <w:tcBorders>
              <w:top w:val="nil"/>
              <w:left w:val="nil"/>
              <w:bottom w:val="single" w:sz="4" w:space="0" w:color="auto"/>
              <w:right w:val="single" w:sz="4" w:space="0" w:color="auto"/>
            </w:tcBorders>
            <w:shd w:val="clear" w:color="auto" w:fill="auto"/>
            <w:noWrap/>
            <w:vAlign w:val="center"/>
            <w:hideMark/>
          </w:tcPr>
          <w:p w14:paraId="6943AF2C"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866,868,000</w:t>
            </w:r>
          </w:p>
        </w:tc>
      </w:tr>
      <w:tr w:rsidR="00117702" w:rsidRPr="00117702" w14:paraId="10E301C7"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079B5350"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4</w:t>
            </w:r>
          </w:p>
        </w:tc>
        <w:tc>
          <w:tcPr>
            <w:tcW w:w="900" w:type="dxa"/>
            <w:tcBorders>
              <w:top w:val="nil"/>
              <w:left w:val="nil"/>
              <w:bottom w:val="single" w:sz="4" w:space="0" w:color="auto"/>
              <w:right w:val="single" w:sz="4" w:space="0" w:color="auto"/>
            </w:tcBorders>
            <w:shd w:val="clear" w:color="auto" w:fill="auto"/>
            <w:noWrap/>
            <w:vAlign w:val="center"/>
            <w:hideMark/>
          </w:tcPr>
          <w:p w14:paraId="6CD7E21A"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891101577</w:t>
            </w:r>
          </w:p>
        </w:tc>
        <w:tc>
          <w:tcPr>
            <w:tcW w:w="3660" w:type="dxa"/>
            <w:tcBorders>
              <w:top w:val="nil"/>
              <w:left w:val="nil"/>
              <w:bottom w:val="single" w:sz="4" w:space="0" w:color="auto"/>
              <w:right w:val="single" w:sz="4" w:space="0" w:color="auto"/>
            </w:tcBorders>
            <w:shd w:val="clear" w:color="auto" w:fill="auto"/>
            <w:vAlign w:val="center"/>
            <w:hideMark/>
          </w:tcPr>
          <w:p w14:paraId="3109E892"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ALCANOS DE COLOMBIA S.A. E.S.P.</w:t>
            </w:r>
          </w:p>
        </w:tc>
        <w:tc>
          <w:tcPr>
            <w:tcW w:w="800" w:type="dxa"/>
            <w:tcBorders>
              <w:top w:val="nil"/>
              <w:left w:val="nil"/>
              <w:bottom w:val="single" w:sz="4" w:space="0" w:color="auto"/>
              <w:right w:val="single" w:sz="4" w:space="0" w:color="auto"/>
            </w:tcBorders>
            <w:shd w:val="clear" w:color="auto" w:fill="auto"/>
            <w:noWrap/>
            <w:vAlign w:val="center"/>
            <w:hideMark/>
          </w:tcPr>
          <w:p w14:paraId="642BFCE2"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GasNatural</w:t>
            </w:r>
          </w:p>
        </w:tc>
        <w:tc>
          <w:tcPr>
            <w:tcW w:w="1660" w:type="dxa"/>
            <w:tcBorders>
              <w:top w:val="nil"/>
              <w:left w:val="nil"/>
              <w:bottom w:val="single" w:sz="4" w:space="0" w:color="auto"/>
              <w:right w:val="single" w:sz="4" w:space="0" w:color="auto"/>
            </w:tcBorders>
            <w:shd w:val="clear" w:color="auto" w:fill="auto"/>
            <w:noWrap/>
            <w:vAlign w:val="center"/>
            <w:hideMark/>
          </w:tcPr>
          <w:p w14:paraId="06914DC3"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361,063,975,874</w:t>
            </w:r>
          </w:p>
        </w:tc>
        <w:tc>
          <w:tcPr>
            <w:tcW w:w="1720" w:type="dxa"/>
            <w:tcBorders>
              <w:top w:val="nil"/>
              <w:left w:val="nil"/>
              <w:bottom w:val="single" w:sz="4" w:space="0" w:color="auto"/>
              <w:right w:val="single" w:sz="4" w:space="0" w:color="auto"/>
            </w:tcBorders>
            <w:shd w:val="clear" w:color="auto" w:fill="auto"/>
            <w:noWrap/>
            <w:vAlign w:val="center"/>
            <w:hideMark/>
          </w:tcPr>
          <w:p w14:paraId="0F60D549"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16,198,597,334</w:t>
            </w:r>
          </w:p>
        </w:tc>
      </w:tr>
      <w:tr w:rsidR="00117702" w:rsidRPr="00117702" w14:paraId="1339EA5F"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6FC7E1DE"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5</w:t>
            </w:r>
          </w:p>
        </w:tc>
        <w:tc>
          <w:tcPr>
            <w:tcW w:w="900" w:type="dxa"/>
            <w:tcBorders>
              <w:top w:val="nil"/>
              <w:left w:val="nil"/>
              <w:bottom w:val="single" w:sz="4" w:space="0" w:color="auto"/>
              <w:right w:val="single" w:sz="4" w:space="0" w:color="auto"/>
            </w:tcBorders>
            <w:shd w:val="clear" w:color="auto" w:fill="auto"/>
            <w:noWrap/>
            <w:vAlign w:val="center"/>
            <w:hideMark/>
          </w:tcPr>
          <w:p w14:paraId="6230F2CA"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800125495</w:t>
            </w:r>
          </w:p>
        </w:tc>
        <w:tc>
          <w:tcPr>
            <w:tcW w:w="3660" w:type="dxa"/>
            <w:tcBorders>
              <w:top w:val="nil"/>
              <w:left w:val="nil"/>
              <w:bottom w:val="single" w:sz="4" w:space="0" w:color="auto"/>
              <w:right w:val="single" w:sz="4" w:space="0" w:color="auto"/>
            </w:tcBorders>
            <w:shd w:val="clear" w:color="auto" w:fill="auto"/>
            <w:vAlign w:val="center"/>
            <w:hideMark/>
          </w:tcPr>
          <w:p w14:paraId="0ADF1404"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ALMACENADORA DE GASES DE APIAY S.A. ESP</w:t>
            </w:r>
          </w:p>
        </w:tc>
        <w:tc>
          <w:tcPr>
            <w:tcW w:w="800" w:type="dxa"/>
            <w:tcBorders>
              <w:top w:val="nil"/>
              <w:left w:val="nil"/>
              <w:bottom w:val="single" w:sz="4" w:space="0" w:color="auto"/>
              <w:right w:val="single" w:sz="4" w:space="0" w:color="auto"/>
            </w:tcBorders>
            <w:shd w:val="clear" w:color="auto" w:fill="auto"/>
            <w:noWrap/>
            <w:vAlign w:val="center"/>
            <w:hideMark/>
          </w:tcPr>
          <w:p w14:paraId="2B0F8EC2"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GLP</w:t>
            </w:r>
          </w:p>
        </w:tc>
        <w:tc>
          <w:tcPr>
            <w:tcW w:w="1660" w:type="dxa"/>
            <w:tcBorders>
              <w:top w:val="nil"/>
              <w:left w:val="nil"/>
              <w:bottom w:val="single" w:sz="4" w:space="0" w:color="auto"/>
              <w:right w:val="single" w:sz="4" w:space="0" w:color="auto"/>
            </w:tcBorders>
            <w:shd w:val="clear" w:color="auto" w:fill="auto"/>
            <w:noWrap/>
            <w:vAlign w:val="center"/>
            <w:hideMark/>
          </w:tcPr>
          <w:p w14:paraId="0EE46FE3"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2,506,214,000</w:t>
            </w:r>
          </w:p>
        </w:tc>
        <w:tc>
          <w:tcPr>
            <w:tcW w:w="1720" w:type="dxa"/>
            <w:tcBorders>
              <w:top w:val="nil"/>
              <w:left w:val="nil"/>
              <w:bottom w:val="single" w:sz="4" w:space="0" w:color="auto"/>
              <w:right w:val="single" w:sz="4" w:space="0" w:color="auto"/>
            </w:tcBorders>
            <w:shd w:val="clear" w:color="auto" w:fill="auto"/>
            <w:noWrap/>
            <w:vAlign w:val="center"/>
            <w:hideMark/>
          </w:tcPr>
          <w:p w14:paraId="6CA50EE9"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841,864,306</w:t>
            </w:r>
          </w:p>
        </w:tc>
      </w:tr>
      <w:tr w:rsidR="00117702" w:rsidRPr="00117702" w14:paraId="062B516F"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2FE0FD61"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6</w:t>
            </w:r>
          </w:p>
        </w:tc>
        <w:tc>
          <w:tcPr>
            <w:tcW w:w="900" w:type="dxa"/>
            <w:tcBorders>
              <w:top w:val="nil"/>
              <w:left w:val="nil"/>
              <w:bottom w:val="single" w:sz="4" w:space="0" w:color="auto"/>
              <w:right w:val="single" w:sz="4" w:space="0" w:color="auto"/>
            </w:tcBorders>
            <w:shd w:val="clear" w:color="auto" w:fill="auto"/>
            <w:noWrap/>
            <w:vAlign w:val="center"/>
            <w:hideMark/>
          </w:tcPr>
          <w:p w14:paraId="656534EC"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900154878</w:t>
            </w:r>
          </w:p>
        </w:tc>
        <w:tc>
          <w:tcPr>
            <w:tcW w:w="3660" w:type="dxa"/>
            <w:tcBorders>
              <w:top w:val="nil"/>
              <w:left w:val="nil"/>
              <w:bottom w:val="single" w:sz="4" w:space="0" w:color="auto"/>
              <w:right w:val="single" w:sz="4" w:space="0" w:color="auto"/>
            </w:tcBorders>
            <w:shd w:val="clear" w:color="auto" w:fill="auto"/>
            <w:vAlign w:val="center"/>
            <w:hideMark/>
          </w:tcPr>
          <w:p w14:paraId="76AC34E5"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AMERICANA DE ENERGIA S.A.S. E.S.P.</w:t>
            </w:r>
          </w:p>
        </w:tc>
        <w:tc>
          <w:tcPr>
            <w:tcW w:w="800" w:type="dxa"/>
            <w:tcBorders>
              <w:top w:val="nil"/>
              <w:left w:val="nil"/>
              <w:bottom w:val="single" w:sz="4" w:space="0" w:color="auto"/>
              <w:right w:val="single" w:sz="4" w:space="0" w:color="auto"/>
            </w:tcBorders>
            <w:shd w:val="clear" w:color="auto" w:fill="auto"/>
            <w:noWrap/>
            <w:vAlign w:val="center"/>
            <w:hideMark/>
          </w:tcPr>
          <w:p w14:paraId="47763C5D"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Energia</w:t>
            </w:r>
          </w:p>
        </w:tc>
        <w:tc>
          <w:tcPr>
            <w:tcW w:w="1660" w:type="dxa"/>
            <w:tcBorders>
              <w:top w:val="nil"/>
              <w:left w:val="nil"/>
              <w:bottom w:val="single" w:sz="4" w:space="0" w:color="auto"/>
              <w:right w:val="single" w:sz="4" w:space="0" w:color="auto"/>
            </w:tcBorders>
            <w:shd w:val="clear" w:color="auto" w:fill="auto"/>
            <w:noWrap/>
            <w:vAlign w:val="center"/>
            <w:hideMark/>
          </w:tcPr>
          <w:p w14:paraId="1DF68957"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30,126,374,000</w:t>
            </w:r>
          </w:p>
        </w:tc>
        <w:tc>
          <w:tcPr>
            <w:tcW w:w="1720" w:type="dxa"/>
            <w:tcBorders>
              <w:top w:val="nil"/>
              <w:left w:val="nil"/>
              <w:bottom w:val="single" w:sz="4" w:space="0" w:color="auto"/>
              <w:right w:val="single" w:sz="4" w:space="0" w:color="auto"/>
            </w:tcBorders>
            <w:shd w:val="clear" w:color="auto" w:fill="auto"/>
            <w:noWrap/>
            <w:vAlign w:val="center"/>
            <w:hideMark/>
          </w:tcPr>
          <w:p w14:paraId="15FF8202"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127,916,067</w:t>
            </w:r>
          </w:p>
        </w:tc>
      </w:tr>
      <w:tr w:rsidR="00117702" w:rsidRPr="00117702" w14:paraId="056D65D6"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46DFC679"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7</w:t>
            </w:r>
          </w:p>
        </w:tc>
        <w:tc>
          <w:tcPr>
            <w:tcW w:w="900" w:type="dxa"/>
            <w:tcBorders>
              <w:top w:val="nil"/>
              <w:left w:val="nil"/>
              <w:bottom w:val="single" w:sz="4" w:space="0" w:color="auto"/>
              <w:right w:val="single" w:sz="4" w:space="0" w:color="auto"/>
            </w:tcBorders>
            <w:shd w:val="clear" w:color="auto" w:fill="auto"/>
            <w:noWrap/>
            <w:vAlign w:val="center"/>
            <w:hideMark/>
          </w:tcPr>
          <w:p w14:paraId="11CDDDD0"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900932147</w:t>
            </w:r>
          </w:p>
        </w:tc>
        <w:tc>
          <w:tcPr>
            <w:tcW w:w="3660" w:type="dxa"/>
            <w:tcBorders>
              <w:top w:val="nil"/>
              <w:left w:val="nil"/>
              <w:bottom w:val="single" w:sz="4" w:space="0" w:color="auto"/>
              <w:right w:val="single" w:sz="4" w:space="0" w:color="auto"/>
            </w:tcBorders>
            <w:shd w:val="clear" w:color="auto" w:fill="auto"/>
            <w:vAlign w:val="center"/>
            <w:hideMark/>
          </w:tcPr>
          <w:p w14:paraId="21C31D7A"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AMPERIA SA ESP</w:t>
            </w:r>
          </w:p>
        </w:tc>
        <w:tc>
          <w:tcPr>
            <w:tcW w:w="800" w:type="dxa"/>
            <w:tcBorders>
              <w:top w:val="nil"/>
              <w:left w:val="nil"/>
              <w:bottom w:val="single" w:sz="4" w:space="0" w:color="auto"/>
              <w:right w:val="single" w:sz="4" w:space="0" w:color="auto"/>
            </w:tcBorders>
            <w:shd w:val="clear" w:color="auto" w:fill="auto"/>
            <w:noWrap/>
            <w:vAlign w:val="center"/>
            <w:hideMark/>
          </w:tcPr>
          <w:p w14:paraId="554E8B8A"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Energia</w:t>
            </w:r>
          </w:p>
        </w:tc>
        <w:tc>
          <w:tcPr>
            <w:tcW w:w="1660" w:type="dxa"/>
            <w:tcBorders>
              <w:top w:val="nil"/>
              <w:left w:val="nil"/>
              <w:bottom w:val="single" w:sz="4" w:space="0" w:color="auto"/>
              <w:right w:val="single" w:sz="4" w:space="0" w:color="auto"/>
            </w:tcBorders>
            <w:shd w:val="clear" w:color="auto" w:fill="auto"/>
            <w:noWrap/>
            <w:vAlign w:val="center"/>
            <w:hideMark/>
          </w:tcPr>
          <w:p w14:paraId="414C0C24"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39,657,781,000</w:t>
            </w:r>
          </w:p>
        </w:tc>
        <w:tc>
          <w:tcPr>
            <w:tcW w:w="1720" w:type="dxa"/>
            <w:tcBorders>
              <w:top w:val="nil"/>
              <w:left w:val="nil"/>
              <w:bottom w:val="single" w:sz="4" w:space="0" w:color="auto"/>
              <w:right w:val="single" w:sz="4" w:space="0" w:color="auto"/>
            </w:tcBorders>
            <w:shd w:val="clear" w:color="auto" w:fill="auto"/>
            <w:noWrap/>
            <w:vAlign w:val="center"/>
            <w:hideMark/>
          </w:tcPr>
          <w:p w14:paraId="1D7AA735"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241,043,000</w:t>
            </w:r>
          </w:p>
        </w:tc>
      </w:tr>
      <w:tr w:rsidR="00117702" w:rsidRPr="00117702" w14:paraId="1583AD7F" w14:textId="77777777" w:rsidTr="00117702">
        <w:trPr>
          <w:trHeight w:val="46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50E88474"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w:t>
            </w:r>
          </w:p>
        </w:tc>
        <w:tc>
          <w:tcPr>
            <w:tcW w:w="900" w:type="dxa"/>
            <w:tcBorders>
              <w:top w:val="nil"/>
              <w:left w:val="nil"/>
              <w:bottom w:val="single" w:sz="4" w:space="0" w:color="auto"/>
              <w:right w:val="single" w:sz="4" w:space="0" w:color="auto"/>
            </w:tcBorders>
            <w:shd w:val="clear" w:color="auto" w:fill="auto"/>
            <w:noWrap/>
            <w:vAlign w:val="center"/>
            <w:hideMark/>
          </w:tcPr>
          <w:p w14:paraId="032E3B73"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900274902</w:t>
            </w:r>
          </w:p>
        </w:tc>
        <w:tc>
          <w:tcPr>
            <w:tcW w:w="3660" w:type="dxa"/>
            <w:tcBorders>
              <w:top w:val="nil"/>
              <w:left w:val="nil"/>
              <w:bottom w:val="single" w:sz="4" w:space="0" w:color="auto"/>
              <w:right w:val="single" w:sz="4" w:space="0" w:color="auto"/>
            </w:tcBorders>
            <w:shd w:val="clear" w:color="auto" w:fill="auto"/>
            <w:vAlign w:val="center"/>
            <w:hideMark/>
          </w:tcPr>
          <w:p w14:paraId="1FAB4E12"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ASOCIACION DE USUARIOS DE SERVICIOS PUBLICOS DEL MEDIO BAUDO</w:t>
            </w:r>
          </w:p>
        </w:tc>
        <w:tc>
          <w:tcPr>
            <w:tcW w:w="800" w:type="dxa"/>
            <w:tcBorders>
              <w:top w:val="nil"/>
              <w:left w:val="nil"/>
              <w:bottom w:val="single" w:sz="4" w:space="0" w:color="auto"/>
              <w:right w:val="single" w:sz="4" w:space="0" w:color="auto"/>
            </w:tcBorders>
            <w:shd w:val="clear" w:color="auto" w:fill="auto"/>
            <w:noWrap/>
            <w:vAlign w:val="center"/>
            <w:hideMark/>
          </w:tcPr>
          <w:p w14:paraId="09DED13A"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Energia</w:t>
            </w:r>
          </w:p>
        </w:tc>
        <w:tc>
          <w:tcPr>
            <w:tcW w:w="1660" w:type="dxa"/>
            <w:tcBorders>
              <w:top w:val="nil"/>
              <w:left w:val="nil"/>
              <w:bottom w:val="single" w:sz="4" w:space="0" w:color="auto"/>
              <w:right w:val="single" w:sz="4" w:space="0" w:color="auto"/>
            </w:tcBorders>
            <w:shd w:val="clear" w:color="auto" w:fill="auto"/>
            <w:noWrap/>
            <w:vAlign w:val="center"/>
            <w:hideMark/>
          </w:tcPr>
          <w:p w14:paraId="440D4987"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2,703,281,000</w:t>
            </w:r>
          </w:p>
        </w:tc>
        <w:tc>
          <w:tcPr>
            <w:tcW w:w="1720" w:type="dxa"/>
            <w:tcBorders>
              <w:top w:val="nil"/>
              <w:left w:val="nil"/>
              <w:bottom w:val="single" w:sz="4" w:space="0" w:color="auto"/>
              <w:right w:val="single" w:sz="4" w:space="0" w:color="auto"/>
            </w:tcBorders>
            <w:shd w:val="clear" w:color="auto" w:fill="auto"/>
            <w:noWrap/>
            <w:vAlign w:val="center"/>
            <w:hideMark/>
          </w:tcPr>
          <w:p w14:paraId="4CCAA75E"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220,136,708</w:t>
            </w:r>
          </w:p>
        </w:tc>
      </w:tr>
      <w:tr w:rsidR="00117702" w:rsidRPr="00117702" w14:paraId="2A2FCF2B" w14:textId="77777777" w:rsidTr="00117702">
        <w:trPr>
          <w:trHeight w:val="6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77A3ADA3"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9</w:t>
            </w:r>
          </w:p>
        </w:tc>
        <w:tc>
          <w:tcPr>
            <w:tcW w:w="900" w:type="dxa"/>
            <w:tcBorders>
              <w:top w:val="nil"/>
              <w:left w:val="nil"/>
              <w:bottom w:val="single" w:sz="4" w:space="0" w:color="auto"/>
              <w:right w:val="single" w:sz="4" w:space="0" w:color="auto"/>
            </w:tcBorders>
            <w:shd w:val="clear" w:color="auto" w:fill="auto"/>
            <w:noWrap/>
            <w:vAlign w:val="center"/>
            <w:hideMark/>
          </w:tcPr>
          <w:p w14:paraId="5D493183"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900260857</w:t>
            </w:r>
          </w:p>
        </w:tc>
        <w:tc>
          <w:tcPr>
            <w:tcW w:w="3660" w:type="dxa"/>
            <w:tcBorders>
              <w:top w:val="nil"/>
              <w:left w:val="nil"/>
              <w:bottom w:val="single" w:sz="4" w:space="0" w:color="auto"/>
              <w:right w:val="single" w:sz="4" w:space="0" w:color="auto"/>
            </w:tcBorders>
            <w:shd w:val="clear" w:color="auto" w:fill="auto"/>
            <w:vAlign w:val="center"/>
            <w:hideMark/>
          </w:tcPr>
          <w:p w14:paraId="5BFD4CA0"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 xml:space="preserve">ASOCIACIÓN DE USUARIOS DEL SERVICIO DE ENERGÍA ELÉCTRICA DE LA ZONA RURAL DE SANTA BARBARA DE ISCUANDE </w:t>
            </w:r>
          </w:p>
        </w:tc>
        <w:tc>
          <w:tcPr>
            <w:tcW w:w="800" w:type="dxa"/>
            <w:tcBorders>
              <w:top w:val="nil"/>
              <w:left w:val="nil"/>
              <w:bottom w:val="single" w:sz="4" w:space="0" w:color="auto"/>
              <w:right w:val="single" w:sz="4" w:space="0" w:color="auto"/>
            </w:tcBorders>
            <w:shd w:val="clear" w:color="auto" w:fill="auto"/>
            <w:noWrap/>
            <w:vAlign w:val="center"/>
            <w:hideMark/>
          </w:tcPr>
          <w:p w14:paraId="1F716E65"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Energia</w:t>
            </w:r>
          </w:p>
        </w:tc>
        <w:tc>
          <w:tcPr>
            <w:tcW w:w="1660" w:type="dxa"/>
            <w:tcBorders>
              <w:top w:val="nil"/>
              <w:left w:val="nil"/>
              <w:bottom w:val="single" w:sz="4" w:space="0" w:color="auto"/>
              <w:right w:val="single" w:sz="4" w:space="0" w:color="auto"/>
            </w:tcBorders>
            <w:shd w:val="clear" w:color="auto" w:fill="auto"/>
            <w:noWrap/>
            <w:vAlign w:val="center"/>
            <w:hideMark/>
          </w:tcPr>
          <w:p w14:paraId="5DA4CB1E"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1,191,175,763</w:t>
            </w:r>
          </w:p>
        </w:tc>
        <w:tc>
          <w:tcPr>
            <w:tcW w:w="1720" w:type="dxa"/>
            <w:tcBorders>
              <w:top w:val="nil"/>
              <w:left w:val="nil"/>
              <w:bottom w:val="single" w:sz="4" w:space="0" w:color="auto"/>
              <w:right w:val="single" w:sz="4" w:space="0" w:color="auto"/>
            </w:tcBorders>
            <w:shd w:val="clear" w:color="auto" w:fill="auto"/>
            <w:noWrap/>
            <w:vAlign w:val="center"/>
            <w:hideMark/>
          </w:tcPr>
          <w:p w14:paraId="1611211B"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47,014,458</w:t>
            </w:r>
          </w:p>
        </w:tc>
      </w:tr>
      <w:tr w:rsidR="00117702" w:rsidRPr="00117702" w14:paraId="43E35F04"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072B6D9B"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10</w:t>
            </w:r>
          </w:p>
        </w:tc>
        <w:tc>
          <w:tcPr>
            <w:tcW w:w="900" w:type="dxa"/>
            <w:tcBorders>
              <w:top w:val="nil"/>
              <w:left w:val="nil"/>
              <w:bottom w:val="single" w:sz="4" w:space="0" w:color="auto"/>
              <w:right w:val="single" w:sz="4" w:space="0" w:color="auto"/>
            </w:tcBorders>
            <w:shd w:val="clear" w:color="auto" w:fill="auto"/>
            <w:noWrap/>
            <w:vAlign w:val="center"/>
            <w:hideMark/>
          </w:tcPr>
          <w:p w14:paraId="281883A4"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900275349</w:t>
            </w:r>
          </w:p>
        </w:tc>
        <w:tc>
          <w:tcPr>
            <w:tcW w:w="3660" w:type="dxa"/>
            <w:tcBorders>
              <w:top w:val="nil"/>
              <w:left w:val="nil"/>
              <w:bottom w:val="single" w:sz="4" w:space="0" w:color="auto"/>
              <w:right w:val="single" w:sz="4" w:space="0" w:color="auto"/>
            </w:tcBorders>
            <w:shd w:val="clear" w:color="auto" w:fill="auto"/>
            <w:vAlign w:val="center"/>
            <w:hideMark/>
          </w:tcPr>
          <w:p w14:paraId="4F7EE41F"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BARROSO S.A.S. E.S.P</w:t>
            </w:r>
          </w:p>
        </w:tc>
        <w:tc>
          <w:tcPr>
            <w:tcW w:w="800" w:type="dxa"/>
            <w:tcBorders>
              <w:top w:val="nil"/>
              <w:left w:val="nil"/>
              <w:bottom w:val="single" w:sz="4" w:space="0" w:color="auto"/>
              <w:right w:val="single" w:sz="4" w:space="0" w:color="auto"/>
            </w:tcBorders>
            <w:shd w:val="clear" w:color="auto" w:fill="auto"/>
            <w:noWrap/>
            <w:vAlign w:val="center"/>
            <w:hideMark/>
          </w:tcPr>
          <w:p w14:paraId="52026648"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Energia</w:t>
            </w:r>
          </w:p>
        </w:tc>
        <w:tc>
          <w:tcPr>
            <w:tcW w:w="1660" w:type="dxa"/>
            <w:tcBorders>
              <w:top w:val="nil"/>
              <w:left w:val="nil"/>
              <w:bottom w:val="single" w:sz="4" w:space="0" w:color="auto"/>
              <w:right w:val="single" w:sz="4" w:space="0" w:color="auto"/>
            </w:tcBorders>
            <w:shd w:val="clear" w:color="auto" w:fill="auto"/>
            <w:noWrap/>
            <w:vAlign w:val="center"/>
            <w:hideMark/>
          </w:tcPr>
          <w:p w14:paraId="411ABD03"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16,054,177,000</w:t>
            </w:r>
          </w:p>
        </w:tc>
        <w:tc>
          <w:tcPr>
            <w:tcW w:w="1720" w:type="dxa"/>
            <w:tcBorders>
              <w:top w:val="nil"/>
              <w:left w:val="nil"/>
              <w:bottom w:val="single" w:sz="4" w:space="0" w:color="auto"/>
              <w:right w:val="single" w:sz="4" w:space="0" w:color="auto"/>
            </w:tcBorders>
            <w:shd w:val="clear" w:color="auto" w:fill="auto"/>
            <w:noWrap/>
            <w:vAlign w:val="center"/>
            <w:hideMark/>
          </w:tcPr>
          <w:p w14:paraId="39D1E24C"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2,099,217,029</w:t>
            </w:r>
          </w:p>
        </w:tc>
      </w:tr>
      <w:tr w:rsidR="00117702" w:rsidRPr="00117702" w14:paraId="588E6046"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04C0FB64"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11</w:t>
            </w:r>
          </w:p>
        </w:tc>
        <w:tc>
          <w:tcPr>
            <w:tcW w:w="900" w:type="dxa"/>
            <w:tcBorders>
              <w:top w:val="nil"/>
              <w:left w:val="nil"/>
              <w:bottom w:val="single" w:sz="4" w:space="0" w:color="auto"/>
              <w:right w:val="single" w:sz="4" w:space="0" w:color="auto"/>
            </w:tcBorders>
            <w:shd w:val="clear" w:color="auto" w:fill="auto"/>
            <w:noWrap/>
            <w:vAlign w:val="center"/>
            <w:hideMark/>
          </w:tcPr>
          <w:p w14:paraId="7A78E41F"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900475298</w:t>
            </w:r>
          </w:p>
        </w:tc>
        <w:tc>
          <w:tcPr>
            <w:tcW w:w="3660" w:type="dxa"/>
            <w:tcBorders>
              <w:top w:val="nil"/>
              <w:left w:val="nil"/>
              <w:bottom w:val="single" w:sz="4" w:space="0" w:color="auto"/>
              <w:right w:val="single" w:sz="4" w:space="0" w:color="auto"/>
            </w:tcBorders>
            <w:shd w:val="clear" w:color="auto" w:fill="auto"/>
            <w:vAlign w:val="center"/>
            <w:hideMark/>
          </w:tcPr>
          <w:p w14:paraId="0AD46D54"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BIOGAS COLOMBIA GENERSA S.A.S E.S.P.</w:t>
            </w:r>
          </w:p>
        </w:tc>
        <w:tc>
          <w:tcPr>
            <w:tcW w:w="800" w:type="dxa"/>
            <w:tcBorders>
              <w:top w:val="nil"/>
              <w:left w:val="nil"/>
              <w:bottom w:val="single" w:sz="4" w:space="0" w:color="auto"/>
              <w:right w:val="single" w:sz="4" w:space="0" w:color="auto"/>
            </w:tcBorders>
            <w:shd w:val="clear" w:color="auto" w:fill="auto"/>
            <w:noWrap/>
            <w:vAlign w:val="center"/>
            <w:hideMark/>
          </w:tcPr>
          <w:p w14:paraId="1272F0EE"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Energia</w:t>
            </w:r>
          </w:p>
        </w:tc>
        <w:tc>
          <w:tcPr>
            <w:tcW w:w="1660" w:type="dxa"/>
            <w:tcBorders>
              <w:top w:val="nil"/>
              <w:left w:val="nil"/>
              <w:bottom w:val="single" w:sz="4" w:space="0" w:color="auto"/>
              <w:right w:val="single" w:sz="4" w:space="0" w:color="auto"/>
            </w:tcBorders>
            <w:shd w:val="clear" w:color="auto" w:fill="auto"/>
            <w:noWrap/>
            <w:vAlign w:val="center"/>
            <w:hideMark/>
          </w:tcPr>
          <w:p w14:paraId="5E91A3E4"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18,714,861,196</w:t>
            </w:r>
          </w:p>
        </w:tc>
        <w:tc>
          <w:tcPr>
            <w:tcW w:w="1720" w:type="dxa"/>
            <w:tcBorders>
              <w:top w:val="nil"/>
              <w:left w:val="nil"/>
              <w:bottom w:val="single" w:sz="4" w:space="0" w:color="auto"/>
              <w:right w:val="single" w:sz="4" w:space="0" w:color="auto"/>
            </w:tcBorders>
            <w:shd w:val="clear" w:color="auto" w:fill="auto"/>
            <w:noWrap/>
            <w:vAlign w:val="center"/>
            <w:hideMark/>
          </w:tcPr>
          <w:p w14:paraId="14493BF8"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961,794,070</w:t>
            </w:r>
          </w:p>
        </w:tc>
      </w:tr>
      <w:tr w:rsidR="00117702" w:rsidRPr="00117702" w14:paraId="4F582A28"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69104CB2"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12</w:t>
            </w:r>
          </w:p>
        </w:tc>
        <w:tc>
          <w:tcPr>
            <w:tcW w:w="900" w:type="dxa"/>
            <w:tcBorders>
              <w:top w:val="nil"/>
              <w:left w:val="nil"/>
              <w:bottom w:val="single" w:sz="4" w:space="0" w:color="auto"/>
              <w:right w:val="single" w:sz="4" w:space="0" w:color="auto"/>
            </w:tcBorders>
            <w:shd w:val="clear" w:color="auto" w:fill="auto"/>
            <w:noWrap/>
            <w:vAlign w:val="center"/>
            <w:hideMark/>
          </w:tcPr>
          <w:p w14:paraId="315B3EC1"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901157308</w:t>
            </w:r>
          </w:p>
        </w:tc>
        <w:tc>
          <w:tcPr>
            <w:tcW w:w="3660" w:type="dxa"/>
            <w:tcBorders>
              <w:top w:val="nil"/>
              <w:left w:val="nil"/>
              <w:bottom w:val="single" w:sz="4" w:space="0" w:color="auto"/>
              <w:right w:val="single" w:sz="4" w:space="0" w:color="auto"/>
            </w:tcBorders>
            <w:shd w:val="clear" w:color="auto" w:fill="auto"/>
            <w:vAlign w:val="center"/>
            <w:hideMark/>
          </w:tcPr>
          <w:p w14:paraId="14832FC8"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BTU ENERGY S.A.S. E.S.P.</w:t>
            </w:r>
          </w:p>
        </w:tc>
        <w:tc>
          <w:tcPr>
            <w:tcW w:w="800" w:type="dxa"/>
            <w:tcBorders>
              <w:top w:val="nil"/>
              <w:left w:val="nil"/>
              <w:bottom w:val="single" w:sz="4" w:space="0" w:color="auto"/>
              <w:right w:val="single" w:sz="4" w:space="0" w:color="auto"/>
            </w:tcBorders>
            <w:shd w:val="clear" w:color="auto" w:fill="auto"/>
            <w:noWrap/>
            <w:vAlign w:val="center"/>
            <w:hideMark/>
          </w:tcPr>
          <w:p w14:paraId="07CCD1F1"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GLP</w:t>
            </w:r>
          </w:p>
        </w:tc>
        <w:tc>
          <w:tcPr>
            <w:tcW w:w="1660" w:type="dxa"/>
            <w:tcBorders>
              <w:top w:val="nil"/>
              <w:left w:val="nil"/>
              <w:bottom w:val="single" w:sz="4" w:space="0" w:color="auto"/>
              <w:right w:val="single" w:sz="4" w:space="0" w:color="auto"/>
            </w:tcBorders>
            <w:shd w:val="clear" w:color="auto" w:fill="auto"/>
            <w:noWrap/>
            <w:vAlign w:val="center"/>
            <w:hideMark/>
          </w:tcPr>
          <w:p w14:paraId="579ECC90"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9,889,017,000</w:t>
            </w:r>
          </w:p>
        </w:tc>
        <w:tc>
          <w:tcPr>
            <w:tcW w:w="1720" w:type="dxa"/>
            <w:tcBorders>
              <w:top w:val="nil"/>
              <w:left w:val="nil"/>
              <w:bottom w:val="single" w:sz="4" w:space="0" w:color="auto"/>
              <w:right w:val="single" w:sz="4" w:space="0" w:color="auto"/>
            </w:tcBorders>
            <w:shd w:val="clear" w:color="auto" w:fill="auto"/>
            <w:noWrap/>
            <w:vAlign w:val="center"/>
            <w:hideMark/>
          </w:tcPr>
          <w:p w14:paraId="021A8B21"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2,325,332</w:t>
            </w:r>
          </w:p>
        </w:tc>
      </w:tr>
      <w:tr w:rsidR="00117702" w:rsidRPr="00117702" w14:paraId="7881C6E0"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04563114"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13</w:t>
            </w:r>
          </w:p>
        </w:tc>
        <w:tc>
          <w:tcPr>
            <w:tcW w:w="900" w:type="dxa"/>
            <w:tcBorders>
              <w:top w:val="nil"/>
              <w:left w:val="nil"/>
              <w:bottom w:val="single" w:sz="4" w:space="0" w:color="auto"/>
              <w:right w:val="single" w:sz="4" w:space="0" w:color="auto"/>
            </w:tcBorders>
            <w:shd w:val="clear" w:color="auto" w:fill="auto"/>
            <w:noWrap/>
            <w:vAlign w:val="center"/>
            <w:hideMark/>
          </w:tcPr>
          <w:p w14:paraId="79A58FFF"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900851785</w:t>
            </w:r>
          </w:p>
        </w:tc>
        <w:tc>
          <w:tcPr>
            <w:tcW w:w="3660" w:type="dxa"/>
            <w:tcBorders>
              <w:top w:val="nil"/>
              <w:left w:val="nil"/>
              <w:bottom w:val="single" w:sz="4" w:space="0" w:color="auto"/>
              <w:right w:val="single" w:sz="4" w:space="0" w:color="auto"/>
            </w:tcBorders>
            <w:shd w:val="clear" w:color="auto" w:fill="auto"/>
            <w:vAlign w:val="center"/>
            <w:hideMark/>
          </w:tcPr>
          <w:p w14:paraId="5F9231A1"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CALAMARI LNG SA ESP</w:t>
            </w:r>
          </w:p>
        </w:tc>
        <w:tc>
          <w:tcPr>
            <w:tcW w:w="800" w:type="dxa"/>
            <w:tcBorders>
              <w:top w:val="nil"/>
              <w:left w:val="nil"/>
              <w:bottom w:val="single" w:sz="4" w:space="0" w:color="auto"/>
              <w:right w:val="single" w:sz="4" w:space="0" w:color="auto"/>
            </w:tcBorders>
            <w:shd w:val="clear" w:color="auto" w:fill="auto"/>
            <w:noWrap/>
            <w:vAlign w:val="center"/>
            <w:hideMark/>
          </w:tcPr>
          <w:p w14:paraId="0686E168"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GasNatural</w:t>
            </w:r>
          </w:p>
        </w:tc>
        <w:tc>
          <w:tcPr>
            <w:tcW w:w="1660" w:type="dxa"/>
            <w:tcBorders>
              <w:top w:val="nil"/>
              <w:left w:val="nil"/>
              <w:bottom w:val="single" w:sz="4" w:space="0" w:color="auto"/>
              <w:right w:val="single" w:sz="4" w:space="0" w:color="auto"/>
            </w:tcBorders>
            <w:shd w:val="clear" w:color="auto" w:fill="auto"/>
            <w:noWrap/>
            <w:vAlign w:val="center"/>
            <w:hideMark/>
          </w:tcPr>
          <w:p w14:paraId="7F82062E"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15,592,573,000</w:t>
            </w:r>
          </w:p>
        </w:tc>
        <w:tc>
          <w:tcPr>
            <w:tcW w:w="1720" w:type="dxa"/>
            <w:tcBorders>
              <w:top w:val="nil"/>
              <w:left w:val="nil"/>
              <w:bottom w:val="single" w:sz="4" w:space="0" w:color="auto"/>
              <w:right w:val="single" w:sz="4" w:space="0" w:color="auto"/>
            </w:tcBorders>
            <w:shd w:val="clear" w:color="auto" w:fill="auto"/>
            <w:noWrap/>
            <w:vAlign w:val="center"/>
            <w:hideMark/>
          </w:tcPr>
          <w:p w14:paraId="3A3403C7"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1,433,794,590</w:t>
            </w:r>
          </w:p>
        </w:tc>
      </w:tr>
      <w:tr w:rsidR="00117702" w:rsidRPr="00117702" w14:paraId="73DC7359"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25B77A8F"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14</w:t>
            </w:r>
          </w:p>
        </w:tc>
        <w:tc>
          <w:tcPr>
            <w:tcW w:w="900" w:type="dxa"/>
            <w:tcBorders>
              <w:top w:val="nil"/>
              <w:left w:val="nil"/>
              <w:bottom w:val="single" w:sz="4" w:space="0" w:color="auto"/>
              <w:right w:val="single" w:sz="4" w:space="0" w:color="auto"/>
            </w:tcBorders>
            <w:shd w:val="clear" w:color="auto" w:fill="auto"/>
            <w:noWrap/>
            <w:vAlign w:val="center"/>
            <w:hideMark/>
          </w:tcPr>
          <w:p w14:paraId="0AE58B1B"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900185106</w:t>
            </w:r>
          </w:p>
        </w:tc>
        <w:tc>
          <w:tcPr>
            <w:tcW w:w="3660" w:type="dxa"/>
            <w:tcBorders>
              <w:top w:val="nil"/>
              <w:left w:val="nil"/>
              <w:bottom w:val="single" w:sz="4" w:space="0" w:color="auto"/>
              <w:right w:val="single" w:sz="4" w:space="0" w:color="auto"/>
            </w:tcBorders>
            <w:shd w:val="clear" w:color="auto" w:fill="auto"/>
            <w:vAlign w:val="center"/>
            <w:hideMark/>
          </w:tcPr>
          <w:p w14:paraId="23164568"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CARUQUIA S.A.S E.S.P</w:t>
            </w:r>
          </w:p>
        </w:tc>
        <w:tc>
          <w:tcPr>
            <w:tcW w:w="800" w:type="dxa"/>
            <w:tcBorders>
              <w:top w:val="nil"/>
              <w:left w:val="nil"/>
              <w:bottom w:val="single" w:sz="4" w:space="0" w:color="auto"/>
              <w:right w:val="single" w:sz="4" w:space="0" w:color="auto"/>
            </w:tcBorders>
            <w:shd w:val="clear" w:color="auto" w:fill="auto"/>
            <w:noWrap/>
            <w:vAlign w:val="center"/>
            <w:hideMark/>
          </w:tcPr>
          <w:p w14:paraId="28715BE8"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Energia</w:t>
            </w:r>
          </w:p>
        </w:tc>
        <w:tc>
          <w:tcPr>
            <w:tcW w:w="1660" w:type="dxa"/>
            <w:tcBorders>
              <w:top w:val="nil"/>
              <w:left w:val="nil"/>
              <w:bottom w:val="single" w:sz="4" w:space="0" w:color="auto"/>
              <w:right w:val="single" w:sz="4" w:space="0" w:color="auto"/>
            </w:tcBorders>
            <w:shd w:val="clear" w:color="auto" w:fill="auto"/>
            <w:noWrap/>
            <w:vAlign w:val="center"/>
            <w:hideMark/>
          </w:tcPr>
          <w:p w14:paraId="1FDFA4CE"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3,858,344,000</w:t>
            </w:r>
          </w:p>
        </w:tc>
        <w:tc>
          <w:tcPr>
            <w:tcW w:w="1720" w:type="dxa"/>
            <w:tcBorders>
              <w:top w:val="nil"/>
              <w:left w:val="nil"/>
              <w:bottom w:val="single" w:sz="4" w:space="0" w:color="auto"/>
              <w:right w:val="single" w:sz="4" w:space="0" w:color="auto"/>
            </w:tcBorders>
            <w:shd w:val="clear" w:color="auto" w:fill="auto"/>
            <w:noWrap/>
            <w:vAlign w:val="center"/>
            <w:hideMark/>
          </w:tcPr>
          <w:p w14:paraId="61C23E49"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231,719,832</w:t>
            </w:r>
          </w:p>
        </w:tc>
      </w:tr>
      <w:tr w:rsidR="00117702" w:rsidRPr="00117702" w14:paraId="7E6EB650" w14:textId="77777777" w:rsidTr="00117702">
        <w:trPr>
          <w:trHeight w:val="46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6B420EB2"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15</w:t>
            </w:r>
          </w:p>
        </w:tc>
        <w:tc>
          <w:tcPr>
            <w:tcW w:w="900" w:type="dxa"/>
            <w:tcBorders>
              <w:top w:val="nil"/>
              <w:left w:val="nil"/>
              <w:bottom w:val="single" w:sz="4" w:space="0" w:color="auto"/>
              <w:right w:val="single" w:sz="4" w:space="0" w:color="auto"/>
            </w:tcBorders>
            <w:shd w:val="clear" w:color="auto" w:fill="auto"/>
            <w:noWrap/>
            <w:vAlign w:val="center"/>
            <w:hideMark/>
          </w:tcPr>
          <w:p w14:paraId="603ABC1F"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900531210</w:t>
            </w:r>
          </w:p>
        </w:tc>
        <w:tc>
          <w:tcPr>
            <w:tcW w:w="3660" w:type="dxa"/>
            <w:tcBorders>
              <w:top w:val="nil"/>
              <w:left w:val="nil"/>
              <w:bottom w:val="single" w:sz="4" w:space="0" w:color="auto"/>
              <w:right w:val="single" w:sz="4" w:space="0" w:color="auto"/>
            </w:tcBorders>
            <w:shd w:val="clear" w:color="auto" w:fill="auto"/>
            <w:vAlign w:val="center"/>
            <w:hideMark/>
          </w:tcPr>
          <w:p w14:paraId="484FDC09"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CENIT TRANSPORTE Y LOGISTICA DE HIDROCARBUROS S.A.S</w:t>
            </w:r>
          </w:p>
        </w:tc>
        <w:tc>
          <w:tcPr>
            <w:tcW w:w="800" w:type="dxa"/>
            <w:tcBorders>
              <w:top w:val="nil"/>
              <w:left w:val="nil"/>
              <w:bottom w:val="single" w:sz="4" w:space="0" w:color="auto"/>
              <w:right w:val="single" w:sz="4" w:space="0" w:color="auto"/>
            </w:tcBorders>
            <w:shd w:val="clear" w:color="auto" w:fill="auto"/>
            <w:noWrap/>
            <w:vAlign w:val="center"/>
            <w:hideMark/>
          </w:tcPr>
          <w:p w14:paraId="3AB918E4"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GLP</w:t>
            </w:r>
          </w:p>
        </w:tc>
        <w:tc>
          <w:tcPr>
            <w:tcW w:w="1660" w:type="dxa"/>
            <w:tcBorders>
              <w:top w:val="nil"/>
              <w:left w:val="nil"/>
              <w:bottom w:val="single" w:sz="4" w:space="0" w:color="auto"/>
              <w:right w:val="single" w:sz="4" w:space="0" w:color="auto"/>
            </w:tcBorders>
            <w:shd w:val="clear" w:color="auto" w:fill="auto"/>
            <w:noWrap/>
            <w:vAlign w:val="center"/>
            <w:hideMark/>
          </w:tcPr>
          <w:p w14:paraId="69FCB193"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5,543,458,887</w:t>
            </w:r>
          </w:p>
        </w:tc>
        <w:tc>
          <w:tcPr>
            <w:tcW w:w="1720" w:type="dxa"/>
            <w:tcBorders>
              <w:top w:val="nil"/>
              <w:left w:val="nil"/>
              <w:bottom w:val="single" w:sz="4" w:space="0" w:color="auto"/>
              <w:right w:val="single" w:sz="4" w:space="0" w:color="auto"/>
            </w:tcBorders>
            <w:shd w:val="clear" w:color="auto" w:fill="auto"/>
            <w:noWrap/>
            <w:vAlign w:val="center"/>
            <w:hideMark/>
          </w:tcPr>
          <w:p w14:paraId="1E3550F0"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2,404,344,270</w:t>
            </w:r>
          </w:p>
        </w:tc>
      </w:tr>
      <w:tr w:rsidR="00117702" w:rsidRPr="00117702" w14:paraId="7C05AD1F"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785524ED"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16</w:t>
            </w:r>
          </w:p>
        </w:tc>
        <w:tc>
          <w:tcPr>
            <w:tcW w:w="900" w:type="dxa"/>
            <w:tcBorders>
              <w:top w:val="nil"/>
              <w:left w:val="nil"/>
              <w:bottom w:val="single" w:sz="4" w:space="0" w:color="auto"/>
              <w:right w:val="single" w:sz="4" w:space="0" w:color="auto"/>
            </w:tcBorders>
            <w:shd w:val="clear" w:color="auto" w:fill="auto"/>
            <w:noWrap/>
            <w:vAlign w:val="center"/>
            <w:hideMark/>
          </w:tcPr>
          <w:p w14:paraId="7576A0B0"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900643166</w:t>
            </w:r>
          </w:p>
        </w:tc>
        <w:tc>
          <w:tcPr>
            <w:tcW w:w="3660" w:type="dxa"/>
            <w:tcBorders>
              <w:top w:val="nil"/>
              <w:left w:val="nil"/>
              <w:bottom w:val="single" w:sz="4" w:space="0" w:color="auto"/>
              <w:right w:val="single" w:sz="4" w:space="0" w:color="auto"/>
            </w:tcBorders>
            <w:shd w:val="clear" w:color="auto" w:fill="auto"/>
            <w:vAlign w:val="center"/>
            <w:hideMark/>
          </w:tcPr>
          <w:p w14:paraId="62FF853C"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CENTRAL DE HIDROCARBUROS GC SAS ESP</w:t>
            </w:r>
          </w:p>
        </w:tc>
        <w:tc>
          <w:tcPr>
            <w:tcW w:w="800" w:type="dxa"/>
            <w:tcBorders>
              <w:top w:val="nil"/>
              <w:left w:val="nil"/>
              <w:bottom w:val="single" w:sz="4" w:space="0" w:color="auto"/>
              <w:right w:val="single" w:sz="4" w:space="0" w:color="auto"/>
            </w:tcBorders>
            <w:shd w:val="clear" w:color="auto" w:fill="auto"/>
            <w:noWrap/>
            <w:vAlign w:val="center"/>
            <w:hideMark/>
          </w:tcPr>
          <w:p w14:paraId="7FA72E07"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GLP</w:t>
            </w:r>
          </w:p>
        </w:tc>
        <w:tc>
          <w:tcPr>
            <w:tcW w:w="1660" w:type="dxa"/>
            <w:tcBorders>
              <w:top w:val="nil"/>
              <w:left w:val="nil"/>
              <w:bottom w:val="single" w:sz="4" w:space="0" w:color="auto"/>
              <w:right w:val="single" w:sz="4" w:space="0" w:color="auto"/>
            </w:tcBorders>
            <w:shd w:val="clear" w:color="auto" w:fill="auto"/>
            <w:noWrap/>
            <w:vAlign w:val="center"/>
            <w:hideMark/>
          </w:tcPr>
          <w:p w14:paraId="4B9DBD93"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2,451,016,559</w:t>
            </w:r>
          </w:p>
        </w:tc>
        <w:tc>
          <w:tcPr>
            <w:tcW w:w="1720" w:type="dxa"/>
            <w:tcBorders>
              <w:top w:val="nil"/>
              <w:left w:val="nil"/>
              <w:bottom w:val="single" w:sz="4" w:space="0" w:color="auto"/>
              <w:right w:val="single" w:sz="4" w:space="0" w:color="auto"/>
            </w:tcBorders>
            <w:shd w:val="clear" w:color="auto" w:fill="auto"/>
            <w:noWrap/>
            <w:vAlign w:val="center"/>
            <w:hideMark/>
          </w:tcPr>
          <w:p w14:paraId="7D7E9421"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111,753,143</w:t>
            </w:r>
          </w:p>
        </w:tc>
      </w:tr>
      <w:tr w:rsidR="00117702" w:rsidRPr="00117702" w14:paraId="5EF6DBC7" w14:textId="77777777" w:rsidTr="00117702">
        <w:trPr>
          <w:trHeight w:val="46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00CF7746"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17</w:t>
            </w:r>
          </w:p>
        </w:tc>
        <w:tc>
          <w:tcPr>
            <w:tcW w:w="900" w:type="dxa"/>
            <w:tcBorders>
              <w:top w:val="nil"/>
              <w:left w:val="nil"/>
              <w:bottom w:val="single" w:sz="4" w:space="0" w:color="auto"/>
              <w:right w:val="single" w:sz="4" w:space="0" w:color="auto"/>
            </w:tcBorders>
            <w:shd w:val="clear" w:color="auto" w:fill="auto"/>
            <w:noWrap/>
            <w:vAlign w:val="center"/>
            <w:hideMark/>
          </w:tcPr>
          <w:p w14:paraId="321F7965"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900759883</w:t>
            </w:r>
          </w:p>
        </w:tc>
        <w:tc>
          <w:tcPr>
            <w:tcW w:w="3660" w:type="dxa"/>
            <w:tcBorders>
              <w:top w:val="nil"/>
              <w:left w:val="nil"/>
              <w:bottom w:val="single" w:sz="4" w:space="0" w:color="auto"/>
              <w:right w:val="single" w:sz="4" w:space="0" w:color="auto"/>
            </w:tcBorders>
            <w:shd w:val="clear" w:color="auto" w:fill="auto"/>
            <w:vAlign w:val="center"/>
            <w:hideMark/>
          </w:tcPr>
          <w:p w14:paraId="7C80DDAC"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 xml:space="preserve">CENTRAL HIDROELÉCTRICA CONCORDIA SAS ESP </w:t>
            </w:r>
          </w:p>
        </w:tc>
        <w:tc>
          <w:tcPr>
            <w:tcW w:w="800" w:type="dxa"/>
            <w:tcBorders>
              <w:top w:val="nil"/>
              <w:left w:val="nil"/>
              <w:bottom w:val="single" w:sz="4" w:space="0" w:color="auto"/>
              <w:right w:val="single" w:sz="4" w:space="0" w:color="auto"/>
            </w:tcBorders>
            <w:shd w:val="clear" w:color="auto" w:fill="auto"/>
            <w:noWrap/>
            <w:vAlign w:val="center"/>
            <w:hideMark/>
          </w:tcPr>
          <w:p w14:paraId="76C50DD9"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Energia</w:t>
            </w:r>
          </w:p>
        </w:tc>
        <w:tc>
          <w:tcPr>
            <w:tcW w:w="1660" w:type="dxa"/>
            <w:tcBorders>
              <w:top w:val="nil"/>
              <w:left w:val="nil"/>
              <w:bottom w:val="single" w:sz="4" w:space="0" w:color="auto"/>
              <w:right w:val="single" w:sz="4" w:space="0" w:color="auto"/>
            </w:tcBorders>
            <w:shd w:val="clear" w:color="auto" w:fill="auto"/>
            <w:noWrap/>
            <w:vAlign w:val="center"/>
            <w:hideMark/>
          </w:tcPr>
          <w:p w14:paraId="00B137E5"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3,834,118,000</w:t>
            </w:r>
          </w:p>
        </w:tc>
        <w:tc>
          <w:tcPr>
            <w:tcW w:w="1720" w:type="dxa"/>
            <w:tcBorders>
              <w:top w:val="nil"/>
              <w:left w:val="nil"/>
              <w:bottom w:val="single" w:sz="4" w:space="0" w:color="auto"/>
              <w:right w:val="single" w:sz="4" w:space="0" w:color="auto"/>
            </w:tcBorders>
            <w:shd w:val="clear" w:color="auto" w:fill="auto"/>
            <w:noWrap/>
            <w:vAlign w:val="center"/>
            <w:hideMark/>
          </w:tcPr>
          <w:p w14:paraId="29B9FB9F"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1,902,696,000</w:t>
            </w:r>
          </w:p>
        </w:tc>
      </w:tr>
      <w:tr w:rsidR="00117702" w:rsidRPr="00117702" w14:paraId="00BE96EC" w14:textId="77777777" w:rsidTr="00117702">
        <w:trPr>
          <w:trHeight w:val="46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3F5A3E8B"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18</w:t>
            </w:r>
          </w:p>
        </w:tc>
        <w:tc>
          <w:tcPr>
            <w:tcW w:w="900" w:type="dxa"/>
            <w:tcBorders>
              <w:top w:val="nil"/>
              <w:left w:val="nil"/>
              <w:bottom w:val="single" w:sz="4" w:space="0" w:color="auto"/>
              <w:right w:val="single" w:sz="4" w:space="0" w:color="auto"/>
            </w:tcBorders>
            <w:shd w:val="clear" w:color="auto" w:fill="auto"/>
            <w:noWrap/>
            <w:vAlign w:val="center"/>
            <w:hideMark/>
          </w:tcPr>
          <w:p w14:paraId="041E232E"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890800128</w:t>
            </w:r>
          </w:p>
        </w:tc>
        <w:tc>
          <w:tcPr>
            <w:tcW w:w="3660" w:type="dxa"/>
            <w:tcBorders>
              <w:top w:val="nil"/>
              <w:left w:val="nil"/>
              <w:bottom w:val="single" w:sz="4" w:space="0" w:color="auto"/>
              <w:right w:val="single" w:sz="4" w:space="0" w:color="auto"/>
            </w:tcBorders>
            <w:shd w:val="clear" w:color="auto" w:fill="auto"/>
            <w:vAlign w:val="center"/>
            <w:hideMark/>
          </w:tcPr>
          <w:p w14:paraId="13385688"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CENTRAL HIDROELECTRICA DE CALDAS S.A. E.S.P.</w:t>
            </w:r>
          </w:p>
        </w:tc>
        <w:tc>
          <w:tcPr>
            <w:tcW w:w="800" w:type="dxa"/>
            <w:tcBorders>
              <w:top w:val="nil"/>
              <w:left w:val="nil"/>
              <w:bottom w:val="single" w:sz="4" w:space="0" w:color="auto"/>
              <w:right w:val="single" w:sz="4" w:space="0" w:color="auto"/>
            </w:tcBorders>
            <w:shd w:val="clear" w:color="auto" w:fill="auto"/>
            <w:noWrap/>
            <w:vAlign w:val="center"/>
            <w:hideMark/>
          </w:tcPr>
          <w:p w14:paraId="735C696F"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Energia</w:t>
            </w:r>
          </w:p>
        </w:tc>
        <w:tc>
          <w:tcPr>
            <w:tcW w:w="1660" w:type="dxa"/>
            <w:tcBorders>
              <w:top w:val="nil"/>
              <w:left w:val="nil"/>
              <w:bottom w:val="single" w:sz="4" w:space="0" w:color="auto"/>
              <w:right w:val="single" w:sz="4" w:space="0" w:color="auto"/>
            </w:tcBorders>
            <w:shd w:val="clear" w:color="auto" w:fill="auto"/>
            <w:noWrap/>
            <w:vAlign w:val="center"/>
            <w:hideMark/>
          </w:tcPr>
          <w:p w14:paraId="3B45B2D9"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581,186,765,000</w:t>
            </w:r>
          </w:p>
        </w:tc>
        <w:tc>
          <w:tcPr>
            <w:tcW w:w="1720" w:type="dxa"/>
            <w:tcBorders>
              <w:top w:val="nil"/>
              <w:left w:val="nil"/>
              <w:bottom w:val="single" w:sz="4" w:space="0" w:color="auto"/>
              <w:right w:val="single" w:sz="4" w:space="0" w:color="auto"/>
            </w:tcBorders>
            <w:shd w:val="clear" w:color="auto" w:fill="auto"/>
            <w:noWrap/>
            <w:vAlign w:val="center"/>
            <w:hideMark/>
          </w:tcPr>
          <w:p w14:paraId="7BEAFB7B"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46,186,531,475</w:t>
            </w:r>
          </w:p>
        </w:tc>
      </w:tr>
      <w:tr w:rsidR="00117702" w:rsidRPr="00117702" w14:paraId="755B3EBB" w14:textId="77777777" w:rsidTr="00117702">
        <w:trPr>
          <w:trHeight w:val="46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2AB08B51"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19</w:t>
            </w:r>
          </w:p>
        </w:tc>
        <w:tc>
          <w:tcPr>
            <w:tcW w:w="900" w:type="dxa"/>
            <w:tcBorders>
              <w:top w:val="nil"/>
              <w:left w:val="nil"/>
              <w:bottom w:val="single" w:sz="4" w:space="0" w:color="auto"/>
              <w:right w:val="single" w:sz="4" w:space="0" w:color="auto"/>
            </w:tcBorders>
            <w:shd w:val="clear" w:color="auto" w:fill="auto"/>
            <w:noWrap/>
            <w:vAlign w:val="center"/>
            <w:hideMark/>
          </w:tcPr>
          <w:p w14:paraId="51DD6304"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900448956</w:t>
            </w:r>
          </w:p>
        </w:tc>
        <w:tc>
          <w:tcPr>
            <w:tcW w:w="3660" w:type="dxa"/>
            <w:tcBorders>
              <w:top w:val="nil"/>
              <w:left w:val="nil"/>
              <w:bottom w:val="single" w:sz="4" w:space="0" w:color="auto"/>
              <w:right w:val="single" w:sz="4" w:space="0" w:color="auto"/>
            </w:tcBorders>
            <w:shd w:val="clear" w:color="auto" w:fill="auto"/>
            <w:vAlign w:val="center"/>
            <w:hideMark/>
          </w:tcPr>
          <w:p w14:paraId="352C6576"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CENTRAL HIDROELÉCTRICA EL EDÉN S.A.S. E.S.P</w:t>
            </w:r>
          </w:p>
        </w:tc>
        <w:tc>
          <w:tcPr>
            <w:tcW w:w="800" w:type="dxa"/>
            <w:tcBorders>
              <w:top w:val="nil"/>
              <w:left w:val="nil"/>
              <w:bottom w:val="single" w:sz="4" w:space="0" w:color="auto"/>
              <w:right w:val="single" w:sz="4" w:space="0" w:color="auto"/>
            </w:tcBorders>
            <w:shd w:val="clear" w:color="auto" w:fill="auto"/>
            <w:noWrap/>
            <w:vAlign w:val="center"/>
            <w:hideMark/>
          </w:tcPr>
          <w:p w14:paraId="033D294D"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Energia</w:t>
            </w:r>
          </w:p>
        </w:tc>
        <w:tc>
          <w:tcPr>
            <w:tcW w:w="1660" w:type="dxa"/>
            <w:tcBorders>
              <w:top w:val="nil"/>
              <w:left w:val="nil"/>
              <w:bottom w:val="single" w:sz="4" w:space="0" w:color="auto"/>
              <w:right w:val="single" w:sz="4" w:space="0" w:color="auto"/>
            </w:tcBorders>
            <w:shd w:val="clear" w:color="auto" w:fill="auto"/>
            <w:noWrap/>
            <w:vAlign w:val="center"/>
            <w:hideMark/>
          </w:tcPr>
          <w:p w14:paraId="5C6622BF"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11,256,420,000</w:t>
            </w:r>
          </w:p>
        </w:tc>
        <w:tc>
          <w:tcPr>
            <w:tcW w:w="1720" w:type="dxa"/>
            <w:tcBorders>
              <w:top w:val="nil"/>
              <w:left w:val="nil"/>
              <w:bottom w:val="single" w:sz="4" w:space="0" w:color="auto"/>
              <w:right w:val="single" w:sz="4" w:space="0" w:color="auto"/>
            </w:tcBorders>
            <w:shd w:val="clear" w:color="auto" w:fill="auto"/>
            <w:noWrap/>
            <w:vAlign w:val="center"/>
            <w:hideMark/>
          </w:tcPr>
          <w:p w14:paraId="554FE6EF"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143,316,311</w:t>
            </w:r>
          </w:p>
        </w:tc>
      </w:tr>
      <w:tr w:rsidR="00117702" w:rsidRPr="00117702" w14:paraId="38444308" w14:textId="77777777" w:rsidTr="00117702">
        <w:trPr>
          <w:trHeight w:val="46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488278F4"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20</w:t>
            </w:r>
          </w:p>
        </w:tc>
        <w:tc>
          <w:tcPr>
            <w:tcW w:w="900" w:type="dxa"/>
            <w:tcBorders>
              <w:top w:val="nil"/>
              <w:left w:val="nil"/>
              <w:bottom w:val="single" w:sz="4" w:space="0" w:color="auto"/>
              <w:right w:val="single" w:sz="4" w:space="0" w:color="auto"/>
            </w:tcBorders>
            <w:shd w:val="clear" w:color="auto" w:fill="auto"/>
            <w:noWrap/>
            <w:vAlign w:val="center"/>
            <w:hideMark/>
          </w:tcPr>
          <w:p w14:paraId="50670D91"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900038232</w:t>
            </w:r>
          </w:p>
        </w:tc>
        <w:tc>
          <w:tcPr>
            <w:tcW w:w="3660" w:type="dxa"/>
            <w:tcBorders>
              <w:top w:val="nil"/>
              <w:left w:val="nil"/>
              <w:bottom w:val="single" w:sz="4" w:space="0" w:color="auto"/>
              <w:right w:val="single" w:sz="4" w:space="0" w:color="auto"/>
            </w:tcBorders>
            <w:shd w:val="clear" w:color="auto" w:fill="auto"/>
            <w:vAlign w:val="center"/>
            <w:hideMark/>
          </w:tcPr>
          <w:p w14:paraId="1C806738"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CENTRAL TERMOELECTRICA EL MORRO 2 SAS ESP</w:t>
            </w:r>
          </w:p>
        </w:tc>
        <w:tc>
          <w:tcPr>
            <w:tcW w:w="800" w:type="dxa"/>
            <w:tcBorders>
              <w:top w:val="nil"/>
              <w:left w:val="nil"/>
              <w:bottom w:val="single" w:sz="4" w:space="0" w:color="auto"/>
              <w:right w:val="single" w:sz="4" w:space="0" w:color="auto"/>
            </w:tcBorders>
            <w:shd w:val="clear" w:color="auto" w:fill="auto"/>
            <w:noWrap/>
            <w:vAlign w:val="center"/>
            <w:hideMark/>
          </w:tcPr>
          <w:p w14:paraId="05048645"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Energia</w:t>
            </w:r>
          </w:p>
        </w:tc>
        <w:tc>
          <w:tcPr>
            <w:tcW w:w="1660" w:type="dxa"/>
            <w:tcBorders>
              <w:top w:val="nil"/>
              <w:left w:val="nil"/>
              <w:bottom w:val="single" w:sz="4" w:space="0" w:color="auto"/>
              <w:right w:val="single" w:sz="4" w:space="0" w:color="auto"/>
            </w:tcBorders>
            <w:shd w:val="clear" w:color="auto" w:fill="auto"/>
            <w:noWrap/>
            <w:vAlign w:val="center"/>
            <w:hideMark/>
          </w:tcPr>
          <w:p w14:paraId="199FBE04"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84,752,370,000</w:t>
            </w:r>
          </w:p>
        </w:tc>
        <w:tc>
          <w:tcPr>
            <w:tcW w:w="1720" w:type="dxa"/>
            <w:tcBorders>
              <w:top w:val="nil"/>
              <w:left w:val="nil"/>
              <w:bottom w:val="single" w:sz="4" w:space="0" w:color="auto"/>
              <w:right w:val="single" w:sz="4" w:space="0" w:color="auto"/>
            </w:tcBorders>
            <w:shd w:val="clear" w:color="auto" w:fill="auto"/>
            <w:noWrap/>
            <w:vAlign w:val="center"/>
            <w:hideMark/>
          </w:tcPr>
          <w:p w14:paraId="204954BB"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3,287,983,573</w:t>
            </w:r>
          </w:p>
        </w:tc>
      </w:tr>
      <w:tr w:rsidR="00117702" w:rsidRPr="00117702" w14:paraId="09944741"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2DCC4D1E"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21</w:t>
            </w:r>
          </w:p>
        </w:tc>
        <w:tc>
          <w:tcPr>
            <w:tcW w:w="900" w:type="dxa"/>
            <w:tcBorders>
              <w:top w:val="nil"/>
              <w:left w:val="nil"/>
              <w:bottom w:val="single" w:sz="4" w:space="0" w:color="auto"/>
              <w:right w:val="single" w:sz="4" w:space="0" w:color="auto"/>
            </w:tcBorders>
            <w:shd w:val="clear" w:color="auto" w:fill="auto"/>
            <w:noWrap/>
            <w:vAlign w:val="center"/>
            <w:hideMark/>
          </w:tcPr>
          <w:p w14:paraId="11B74F1E"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891200200</w:t>
            </w:r>
          </w:p>
        </w:tc>
        <w:tc>
          <w:tcPr>
            <w:tcW w:w="3660" w:type="dxa"/>
            <w:tcBorders>
              <w:top w:val="nil"/>
              <w:left w:val="nil"/>
              <w:bottom w:val="single" w:sz="4" w:space="0" w:color="auto"/>
              <w:right w:val="single" w:sz="4" w:space="0" w:color="auto"/>
            </w:tcBorders>
            <w:shd w:val="clear" w:color="auto" w:fill="auto"/>
            <w:vAlign w:val="center"/>
            <w:hideMark/>
          </w:tcPr>
          <w:p w14:paraId="4062F5DC"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CENTRALES ELECTRICAS DE NARIÑO S.A. E.S.P.</w:t>
            </w:r>
          </w:p>
        </w:tc>
        <w:tc>
          <w:tcPr>
            <w:tcW w:w="800" w:type="dxa"/>
            <w:tcBorders>
              <w:top w:val="nil"/>
              <w:left w:val="nil"/>
              <w:bottom w:val="single" w:sz="4" w:space="0" w:color="auto"/>
              <w:right w:val="single" w:sz="4" w:space="0" w:color="auto"/>
            </w:tcBorders>
            <w:shd w:val="clear" w:color="auto" w:fill="auto"/>
            <w:noWrap/>
            <w:vAlign w:val="center"/>
            <w:hideMark/>
          </w:tcPr>
          <w:p w14:paraId="2F7EC919"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Energia</w:t>
            </w:r>
          </w:p>
        </w:tc>
        <w:tc>
          <w:tcPr>
            <w:tcW w:w="1660" w:type="dxa"/>
            <w:tcBorders>
              <w:top w:val="nil"/>
              <w:left w:val="nil"/>
              <w:bottom w:val="single" w:sz="4" w:space="0" w:color="auto"/>
              <w:right w:val="single" w:sz="4" w:space="0" w:color="auto"/>
            </w:tcBorders>
            <w:shd w:val="clear" w:color="auto" w:fill="auto"/>
            <w:noWrap/>
            <w:vAlign w:val="center"/>
            <w:hideMark/>
          </w:tcPr>
          <w:p w14:paraId="2DF58532"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393,818,999,995</w:t>
            </w:r>
          </w:p>
        </w:tc>
        <w:tc>
          <w:tcPr>
            <w:tcW w:w="1720" w:type="dxa"/>
            <w:tcBorders>
              <w:top w:val="nil"/>
              <w:left w:val="nil"/>
              <w:bottom w:val="single" w:sz="4" w:space="0" w:color="auto"/>
              <w:right w:val="single" w:sz="4" w:space="0" w:color="auto"/>
            </w:tcBorders>
            <w:shd w:val="clear" w:color="auto" w:fill="auto"/>
            <w:noWrap/>
            <w:vAlign w:val="center"/>
            <w:hideMark/>
          </w:tcPr>
          <w:p w14:paraId="3F03A316"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20,679,569,115</w:t>
            </w:r>
          </w:p>
        </w:tc>
      </w:tr>
      <w:tr w:rsidR="00117702" w:rsidRPr="00117702" w14:paraId="019EFC07" w14:textId="77777777" w:rsidTr="00117702">
        <w:trPr>
          <w:trHeight w:val="46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187E4E4D"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lastRenderedPageBreak/>
              <w:t>22</w:t>
            </w:r>
          </w:p>
        </w:tc>
        <w:tc>
          <w:tcPr>
            <w:tcW w:w="900" w:type="dxa"/>
            <w:tcBorders>
              <w:top w:val="nil"/>
              <w:left w:val="nil"/>
              <w:bottom w:val="single" w:sz="4" w:space="0" w:color="auto"/>
              <w:right w:val="single" w:sz="4" w:space="0" w:color="auto"/>
            </w:tcBorders>
            <w:shd w:val="clear" w:color="auto" w:fill="auto"/>
            <w:noWrap/>
            <w:vAlign w:val="center"/>
            <w:hideMark/>
          </w:tcPr>
          <w:p w14:paraId="408E909A"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890500514</w:t>
            </w:r>
          </w:p>
        </w:tc>
        <w:tc>
          <w:tcPr>
            <w:tcW w:w="3660" w:type="dxa"/>
            <w:tcBorders>
              <w:top w:val="nil"/>
              <w:left w:val="nil"/>
              <w:bottom w:val="single" w:sz="4" w:space="0" w:color="auto"/>
              <w:right w:val="single" w:sz="4" w:space="0" w:color="auto"/>
            </w:tcBorders>
            <w:shd w:val="clear" w:color="auto" w:fill="auto"/>
            <w:vAlign w:val="center"/>
            <w:hideMark/>
          </w:tcPr>
          <w:p w14:paraId="384E395D"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CENTRALES ELECTRICAS DEL NORTE DE SANTANDER S.A. ESP</w:t>
            </w:r>
          </w:p>
        </w:tc>
        <w:tc>
          <w:tcPr>
            <w:tcW w:w="800" w:type="dxa"/>
            <w:tcBorders>
              <w:top w:val="nil"/>
              <w:left w:val="nil"/>
              <w:bottom w:val="single" w:sz="4" w:space="0" w:color="auto"/>
              <w:right w:val="single" w:sz="4" w:space="0" w:color="auto"/>
            </w:tcBorders>
            <w:shd w:val="clear" w:color="auto" w:fill="auto"/>
            <w:noWrap/>
            <w:vAlign w:val="center"/>
            <w:hideMark/>
          </w:tcPr>
          <w:p w14:paraId="2BFB8153"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Energia</w:t>
            </w:r>
          </w:p>
        </w:tc>
        <w:tc>
          <w:tcPr>
            <w:tcW w:w="1660" w:type="dxa"/>
            <w:tcBorders>
              <w:top w:val="nil"/>
              <w:left w:val="nil"/>
              <w:bottom w:val="single" w:sz="4" w:space="0" w:color="auto"/>
              <w:right w:val="single" w:sz="4" w:space="0" w:color="auto"/>
            </w:tcBorders>
            <w:shd w:val="clear" w:color="auto" w:fill="auto"/>
            <w:noWrap/>
            <w:vAlign w:val="center"/>
            <w:hideMark/>
          </w:tcPr>
          <w:p w14:paraId="6A9D0D24"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677,697,243,000</w:t>
            </w:r>
          </w:p>
        </w:tc>
        <w:tc>
          <w:tcPr>
            <w:tcW w:w="1720" w:type="dxa"/>
            <w:tcBorders>
              <w:top w:val="nil"/>
              <w:left w:val="nil"/>
              <w:bottom w:val="single" w:sz="4" w:space="0" w:color="auto"/>
              <w:right w:val="single" w:sz="4" w:space="0" w:color="auto"/>
            </w:tcBorders>
            <w:shd w:val="clear" w:color="auto" w:fill="auto"/>
            <w:noWrap/>
            <w:vAlign w:val="center"/>
            <w:hideMark/>
          </w:tcPr>
          <w:p w14:paraId="260DFC91"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48,667,588,920</w:t>
            </w:r>
          </w:p>
        </w:tc>
      </w:tr>
      <w:tr w:rsidR="00117702" w:rsidRPr="00117702" w14:paraId="28555624"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4B37589B"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23</w:t>
            </w:r>
          </w:p>
        </w:tc>
        <w:tc>
          <w:tcPr>
            <w:tcW w:w="900" w:type="dxa"/>
            <w:tcBorders>
              <w:top w:val="nil"/>
              <w:left w:val="nil"/>
              <w:bottom w:val="single" w:sz="4" w:space="0" w:color="auto"/>
              <w:right w:val="single" w:sz="4" w:space="0" w:color="auto"/>
            </w:tcBorders>
            <w:shd w:val="clear" w:color="auto" w:fill="auto"/>
            <w:noWrap/>
            <w:vAlign w:val="center"/>
            <w:hideMark/>
          </w:tcPr>
          <w:p w14:paraId="254F17C4"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830080672</w:t>
            </w:r>
          </w:p>
        </w:tc>
        <w:tc>
          <w:tcPr>
            <w:tcW w:w="3660" w:type="dxa"/>
            <w:tcBorders>
              <w:top w:val="nil"/>
              <w:left w:val="nil"/>
              <w:bottom w:val="single" w:sz="4" w:space="0" w:color="auto"/>
              <w:right w:val="single" w:sz="4" w:space="0" w:color="auto"/>
            </w:tcBorders>
            <w:shd w:val="clear" w:color="auto" w:fill="auto"/>
            <w:vAlign w:val="center"/>
            <w:hideMark/>
          </w:tcPr>
          <w:p w14:paraId="664F76E5"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CEPSA COLOMBIA SA</w:t>
            </w:r>
          </w:p>
        </w:tc>
        <w:tc>
          <w:tcPr>
            <w:tcW w:w="800" w:type="dxa"/>
            <w:tcBorders>
              <w:top w:val="nil"/>
              <w:left w:val="nil"/>
              <w:bottom w:val="single" w:sz="4" w:space="0" w:color="auto"/>
              <w:right w:val="single" w:sz="4" w:space="0" w:color="auto"/>
            </w:tcBorders>
            <w:shd w:val="clear" w:color="auto" w:fill="auto"/>
            <w:noWrap/>
            <w:vAlign w:val="center"/>
            <w:hideMark/>
          </w:tcPr>
          <w:p w14:paraId="11910DFB"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GasNatural</w:t>
            </w:r>
          </w:p>
        </w:tc>
        <w:tc>
          <w:tcPr>
            <w:tcW w:w="1660" w:type="dxa"/>
            <w:tcBorders>
              <w:top w:val="nil"/>
              <w:left w:val="nil"/>
              <w:bottom w:val="single" w:sz="4" w:space="0" w:color="auto"/>
              <w:right w:val="single" w:sz="4" w:space="0" w:color="auto"/>
            </w:tcBorders>
            <w:shd w:val="clear" w:color="auto" w:fill="auto"/>
            <w:noWrap/>
            <w:vAlign w:val="center"/>
            <w:hideMark/>
          </w:tcPr>
          <w:p w14:paraId="04D2010C"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2,627,546,625</w:t>
            </w:r>
          </w:p>
        </w:tc>
        <w:tc>
          <w:tcPr>
            <w:tcW w:w="1720" w:type="dxa"/>
            <w:tcBorders>
              <w:top w:val="nil"/>
              <w:left w:val="nil"/>
              <w:bottom w:val="single" w:sz="4" w:space="0" w:color="auto"/>
              <w:right w:val="single" w:sz="4" w:space="0" w:color="auto"/>
            </w:tcBorders>
            <w:shd w:val="clear" w:color="auto" w:fill="auto"/>
            <w:noWrap/>
            <w:vAlign w:val="center"/>
            <w:hideMark/>
          </w:tcPr>
          <w:p w14:paraId="077ED8F1"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2,484,478</w:t>
            </w:r>
          </w:p>
        </w:tc>
      </w:tr>
      <w:tr w:rsidR="00117702" w:rsidRPr="00117702" w14:paraId="6FFBD9B9"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6CD66C95"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24</w:t>
            </w:r>
          </w:p>
        </w:tc>
        <w:tc>
          <w:tcPr>
            <w:tcW w:w="900" w:type="dxa"/>
            <w:tcBorders>
              <w:top w:val="nil"/>
              <w:left w:val="nil"/>
              <w:bottom w:val="single" w:sz="4" w:space="0" w:color="auto"/>
              <w:right w:val="single" w:sz="4" w:space="0" w:color="auto"/>
            </w:tcBorders>
            <w:shd w:val="clear" w:color="auto" w:fill="auto"/>
            <w:noWrap/>
            <w:vAlign w:val="center"/>
            <w:hideMark/>
          </w:tcPr>
          <w:p w14:paraId="7910713C"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900460429</w:t>
            </w:r>
          </w:p>
        </w:tc>
        <w:tc>
          <w:tcPr>
            <w:tcW w:w="3660" w:type="dxa"/>
            <w:tcBorders>
              <w:top w:val="nil"/>
              <w:left w:val="nil"/>
              <w:bottom w:val="single" w:sz="4" w:space="0" w:color="auto"/>
              <w:right w:val="single" w:sz="4" w:space="0" w:color="auto"/>
            </w:tcBorders>
            <w:shd w:val="clear" w:color="auto" w:fill="auto"/>
            <w:vAlign w:val="center"/>
            <w:hideMark/>
          </w:tcPr>
          <w:p w14:paraId="06D4F43A"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CH SAN MIGUEL SAS ESP</w:t>
            </w:r>
          </w:p>
        </w:tc>
        <w:tc>
          <w:tcPr>
            <w:tcW w:w="800" w:type="dxa"/>
            <w:tcBorders>
              <w:top w:val="nil"/>
              <w:left w:val="nil"/>
              <w:bottom w:val="single" w:sz="4" w:space="0" w:color="auto"/>
              <w:right w:val="single" w:sz="4" w:space="0" w:color="auto"/>
            </w:tcBorders>
            <w:shd w:val="clear" w:color="auto" w:fill="auto"/>
            <w:noWrap/>
            <w:vAlign w:val="center"/>
            <w:hideMark/>
          </w:tcPr>
          <w:p w14:paraId="32A9F810"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Energia</w:t>
            </w:r>
          </w:p>
        </w:tc>
        <w:tc>
          <w:tcPr>
            <w:tcW w:w="1660" w:type="dxa"/>
            <w:tcBorders>
              <w:top w:val="nil"/>
              <w:left w:val="nil"/>
              <w:bottom w:val="single" w:sz="4" w:space="0" w:color="auto"/>
              <w:right w:val="single" w:sz="4" w:space="0" w:color="auto"/>
            </w:tcBorders>
            <w:shd w:val="clear" w:color="auto" w:fill="auto"/>
            <w:noWrap/>
            <w:vAlign w:val="center"/>
            <w:hideMark/>
          </w:tcPr>
          <w:p w14:paraId="3D9E50FC"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38,863,408,000</w:t>
            </w:r>
          </w:p>
        </w:tc>
        <w:tc>
          <w:tcPr>
            <w:tcW w:w="1720" w:type="dxa"/>
            <w:tcBorders>
              <w:top w:val="nil"/>
              <w:left w:val="nil"/>
              <w:bottom w:val="single" w:sz="4" w:space="0" w:color="auto"/>
              <w:right w:val="single" w:sz="4" w:space="0" w:color="auto"/>
            </w:tcBorders>
            <w:shd w:val="clear" w:color="auto" w:fill="auto"/>
            <w:noWrap/>
            <w:vAlign w:val="center"/>
            <w:hideMark/>
          </w:tcPr>
          <w:p w14:paraId="7D959ED9"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1,506,446,213</w:t>
            </w:r>
          </w:p>
        </w:tc>
      </w:tr>
      <w:tr w:rsidR="00117702" w:rsidRPr="00117702" w14:paraId="4C0AA509" w14:textId="77777777" w:rsidTr="00117702">
        <w:trPr>
          <w:trHeight w:val="46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2BDC87D1"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25</w:t>
            </w:r>
          </w:p>
        </w:tc>
        <w:tc>
          <w:tcPr>
            <w:tcW w:w="900" w:type="dxa"/>
            <w:tcBorders>
              <w:top w:val="nil"/>
              <w:left w:val="nil"/>
              <w:bottom w:val="single" w:sz="4" w:space="0" w:color="auto"/>
              <w:right w:val="single" w:sz="4" w:space="0" w:color="auto"/>
            </w:tcBorders>
            <w:shd w:val="clear" w:color="auto" w:fill="auto"/>
            <w:noWrap/>
            <w:vAlign w:val="center"/>
            <w:hideMark/>
          </w:tcPr>
          <w:p w14:paraId="46532F46"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900396759</w:t>
            </w:r>
          </w:p>
        </w:tc>
        <w:tc>
          <w:tcPr>
            <w:tcW w:w="3660" w:type="dxa"/>
            <w:tcBorders>
              <w:top w:val="nil"/>
              <w:left w:val="nil"/>
              <w:bottom w:val="single" w:sz="4" w:space="0" w:color="auto"/>
              <w:right w:val="single" w:sz="4" w:space="0" w:color="auto"/>
            </w:tcBorders>
            <w:shd w:val="clear" w:color="auto" w:fill="auto"/>
            <w:vAlign w:val="center"/>
            <w:hideMark/>
          </w:tcPr>
          <w:p w14:paraId="00495BD0"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CHILCO DISTRIBUIDORA DE GAS Y ENERGIA SAS ESP</w:t>
            </w:r>
          </w:p>
        </w:tc>
        <w:tc>
          <w:tcPr>
            <w:tcW w:w="800" w:type="dxa"/>
            <w:tcBorders>
              <w:top w:val="nil"/>
              <w:left w:val="nil"/>
              <w:bottom w:val="single" w:sz="4" w:space="0" w:color="auto"/>
              <w:right w:val="single" w:sz="4" w:space="0" w:color="auto"/>
            </w:tcBorders>
            <w:shd w:val="clear" w:color="auto" w:fill="auto"/>
            <w:noWrap/>
            <w:vAlign w:val="center"/>
            <w:hideMark/>
          </w:tcPr>
          <w:p w14:paraId="1953E3B3"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GLP</w:t>
            </w:r>
          </w:p>
        </w:tc>
        <w:tc>
          <w:tcPr>
            <w:tcW w:w="1660" w:type="dxa"/>
            <w:tcBorders>
              <w:top w:val="nil"/>
              <w:left w:val="nil"/>
              <w:bottom w:val="single" w:sz="4" w:space="0" w:color="auto"/>
              <w:right w:val="single" w:sz="4" w:space="0" w:color="auto"/>
            </w:tcBorders>
            <w:shd w:val="clear" w:color="auto" w:fill="auto"/>
            <w:noWrap/>
            <w:vAlign w:val="center"/>
            <w:hideMark/>
          </w:tcPr>
          <w:p w14:paraId="42531927"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189,588,215,799</w:t>
            </w:r>
          </w:p>
        </w:tc>
        <w:tc>
          <w:tcPr>
            <w:tcW w:w="1720" w:type="dxa"/>
            <w:tcBorders>
              <w:top w:val="nil"/>
              <w:left w:val="nil"/>
              <w:bottom w:val="single" w:sz="4" w:space="0" w:color="auto"/>
              <w:right w:val="single" w:sz="4" w:space="0" w:color="auto"/>
            </w:tcBorders>
            <w:shd w:val="clear" w:color="auto" w:fill="auto"/>
            <w:noWrap/>
            <w:vAlign w:val="center"/>
            <w:hideMark/>
          </w:tcPr>
          <w:p w14:paraId="08F8CE2F"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7,202,003,956</w:t>
            </w:r>
          </w:p>
        </w:tc>
      </w:tr>
      <w:tr w:rsidR="00117702" w:rsidRPr="00117702" w14:paraId="25E4E4F3"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4F6A1A71"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26</w:t>
            </w:r>
          </w:p>
        </w:tc>
        <w:tc>
          <w:tcPr>
            <w:tcW w:w="900" w:type="dxa"/>
            <w:tcBorders>
              <w:top w:val="nil"/>
              <w:left w:val="nil"/>
              <w:bottom w:val="single" w:sz="4" w:space="0" w:color="auto"/>
              <w:right w:val="single" w:sz="4" w:space="0" w:color="auto"/>
            </w:tcBorders>
            <w:shd w:val="clear" w:color="auto" w:fill="auto"/>
            <w:noWrap/>
            <w:vAlign w:val="center"/>
            <w:hideMark/>
          </w:tcPr>
          <w:p w14:paraId="34854887"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900808884</w:t>
            </w:r>
          </w:p>
        </w:tc>
        <w:tc>
          <w:tcPr>
            <w:tcW w:w="3660" w:type="dxa"/>
            <w:tcBorders>
              <w:top w:val="nil"/>
              <w:left w:val="nil"/>
              <w:bottom w:val="single" w:sz="4" w:space="0" w:color="auto"/>
              <w:right w:val="single" w:sz="4" w:space="0" w:color="auto"/>
            </w:tcBorders>
            <w:shd w:val="clear" w:color="auto" w:fill="auto"/>
            <w:vAlign w:val="center"/>
            <w:hideMark/>
          </w:tcPr>
          <w:p w14:paraId="783C36F6"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CHIPALO ENERGY TRADING SAS ESP</w:t>
            </w:r>
          </w:p>
        </w:tc>
        <w:tc>
          <w:tcPr>
            <w:tcW w:w="800" w:type="dxa"/>
            <w:tcBorders>
              <w:top w:val="nil"/>
              <w:left w:val="nil"/>
              <w:bottom w:val="single" w:sz="4" w:space="0" w:color="auto"/>
              <w:right w:val="single" w:sz="4" w:space="0" w:color="auto"/>
            </w:tcBorders>
            <w:shd w:val="clear" w:color="auto" w:fill="auto"/>
            <w:noWrap/>
            <w:vAlign w:val="center"/>
            <w:hideMark/>
          </w:tcPr>
          <w:p w14:paraId="391565FE"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GasNatural</w:t>
            </w:r>
          </w:p>
        </w:tc>
        <w:tc>
          <w:tcPr>
            <w:tcW w:w="1660" w:type="dxa"/>
            <w:tcBorders>
              <w:top w:val="nil"/>
              <w:left w:val="nil"/>
              <w:bottom w:val="single" w:sz="4" w:space="0" w:color="auto"/>
              <w:right w:val="single" w:sz="4" w:space="0" w:color="auto"/>
            </w:tcBorders>
            <w:shd w:val="clear" w:color="auto" w:fill="auto"/>
            <w:noWrap/>
            <w:vAlign w:val="center"/>
            <w:hideMark/>
          </w:tcPr>
          <w:p w14:paraId="04F68709"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2,037,070,000</w:t>
            </w:r>
          </w:p>
        </w:tc>
        <w:tc>
          <w:tcPr>
            <w:tcW w:w="1720" w:type="dxa"/>
            <w:tcBorders>
              <w:top w:val="nil"/>
              <w:left w:val="nil"/>
              <w:bottom w:val="single" w:sz="4" w:space="0" w:color="auto"/>
              <w:right w:val="single" w:sz="4" w:space="0" w:color="auto"/>
            </w:tcBorders>
            <w:shd w:val="clear" w:color="auto" w:fill="auto"/>
            <w:noWrap/>
            <w:vAlign w:val="center"/>
            <w:hideMark/>
          </w:tcPr>
          <w:p w14:paraId="00A71BDF"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32,393,000</w:t>
            </w:r>
          </w:p>
        </w:tc>
      </w:tr>
      <w:tr w:rsidR="00117702" w:rsidRPr="00117702" w14:paraId="5E27C453"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592FF4D3"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27</w:t>
            </w:r>
          </w:p>
        </w:tc>
        <w:tc>
          <w:tcPr>
            <w:tcW w:w="900" w:type="dxa"/>
            <w:tcBorders>
              <w:top w:val="nil"/>
              <w:left w:val="nil"/>
              <w:bottom w:val="single" w:sz="4" w:space="0" w:color="auto"/>
              <w:right w:val="single" w:sz="4" w:space="0" w:color="auto"/>
            </w:tcBorders>
            <w:shd w:val="clear" w:color="auto" w:fill="auto"/>
            <w:noWrap/>
            <w:vAlign w:val="center"/>
            <w:hideMark/>
          </w:tcPr>
          <w:p w14:paraId="1FD030FD"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900052841</w:t>
            </w:r>
          </w:p>
        </w:tc>
        <w:tc>
          <w:tcPr>
            <w:tcW w:w="3660" w:type="dxa"/>
            <w:tcBorders>
              <w:top w:val="nil"/>
              <w:left w:val="nil"/>
              <w:bottom w:val="single" w:sz="4" w:space="0" w:color="auto"/>
              <w:right w:val="single" w:sz="4" w:space="0" w:color="auto"/>
            </w:tcBorders>
            <w:shd w:val="clear" w:color="auto" w:fill="auto"/>
            <w:vAlign w:val="center"/>
            <w:hideMark/>
          </w:tcPr>
          <w:p w14:paraId="10F40C1E"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CITYGAS COLOMBIA S.A. ESP.</w:t>
            </w:r>
          </w:p>
        </w:tc>
        <w:tc>
          <w:tcPr>
            <w:tcW w:w="800" w:type="dxa"/>
            <w:tcBorders>
              <w:top w:val="nil"/>
              <w:left w:val="nil"/>
              <w:bottom w:val="single" w:sz="4" w:space="0" w:color="auto"/>
              <w:right w:val="single" w:sz="4" w:space="0" w:color="auto"/>
            </w:tcBorders>
            <w:shd w:val="clear" w:color="auto" w:fill="auto"/>
            <w:noWrap/>
            <w:vAlign w:val="center"/>
            <w:hideMark/>
          </w:tcPr>
          <w:p w14:paraId="7D8182D5"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GLP</w:t>
            </w:r>
          </w:p>
        </w:tc>
        <w:tc>
          <w:tcPr>
            <w:tcW w:w="1660" w:type="dxa"/>
            <w:tcBorders>
              <w:top w:val="nil"/>
              <w:left w:val="nil"/>
              <w:bottom w:val="single" w:sz="4" w:space="0" w:color="auto"/>
              <w:right w:val="single" w:sz="4" w:space="0" w:color="auto"/>
            </w:tcBorders>
            <w:shd w:val="clear" w:color="auto" w:fill="auto"/>
            <w:noWrap/>
            <w:vAlign w:val="center"/>
            <w:hideMark/>
          </w:tcPr>
          <w:p w14:paraId="6C851E76"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8,172,094,193</w:t>
            </w:r>
          </w:p>
        </w:tc>
        <w:tc>
          <w:tcPr>
            <w:tcW w:w="1720" w:type="dxa"/>
            <w:tcBorders>
              <w:top w:val="nil"/>
              <w:left w:val="nil"/>
              <w:bottom w:val="single" w:sz="4" w:space="0" w:color="auto"/>
              <w:right w:val="single" w:sz="4" w:space="0" w:color="auto"/>
            </w:tcBorders>
            <w:shd w:val="clear" w:color="auto" w:fill="auto"/>
            <w:noWrap/>
            <w:vAlign w:val="center"/>
            <w:hideMark/>
          </w:tcPr>
          <w:p w14:paraId="49EE8316"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697,635,740</w:t>
            </w:r>
          </w:p>
        </w:tc>
      </w:tr>
      <w:tr w:rsidR="00117702" w:rsidRPr="00117702" w14:paraId="3017F244"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36A37C1E"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28</w:t>
            </w:r>
          </w:p>
        </w:tc>
        <w:tc>
          <w:tcPr>
            <w:tcW w:w="900" w:type="dxa"/>
            <w:tcBorders>
              <w:top w:val="nil"/>
              <w:left w:val="nil"/>
              <w:bottom w:val="single" w:sz="4" w:space="0" w:color="auto"/>
              <w:right w:val="single" w:sz="4" w:space="0" w:color="auto"/>
            </w:tcBorders>
            <w:shd w:val="clear" w:color="auto" w:fill="auto"/>
            <w:noWrap/>
            <w:vAlign w:val="center"/>
            <w:hideMark/>
          </w:tcPr>
          <w:p w14:paraId="38DD6E2E"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900453463</w:t>
            </w:r>
          </w:p>
        </w:tc>
        <w:tc>
          <w:tcPr>
            <w:tcW w:w="3660" w:type="dxa"/>
            <w:tcBorders>
              <w:top w:val="nil"/>
              <w:left w:val="nil"/>
              <w:bottom w:val="single" w:sz="4" w:space="0" w:color="auto"/>
              <w:right w:val="single" w:sz="4" w:space="0" w:color="auto"/>
            </w:tcBorders>
            <w:shd w:val="clear" w:color="auto" w:fill="auto"/>
            <w:vAlign w:val="center"/>
            <w:hideMark/>
          </w:tcPr>
          <w:p w14:paraId="21D8A80A"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CITYGAS DISTRIBUIDORA S.A.S. E.S.P</w:t>
            </w:r>
          </w:p>
        </w:tc>
        <w:tc>
          <w:tcPr>
            <w:tcW w:w="800" w:type="dxa"/>
            <w:tcBorders>
              <w:top w:val="nil"/>
              <w:left w:val="nil"/>
              <w:bottom w:val="single" w:sz="4" w:space="0" w:color="auto"/>
              <w:right w:val="single" w:sz="4" w:space="0" w:color="auto"/>
            </w:tcBorders>
            <w:shd w:val="clear" w:color="auto" w:fill="auto"/>
            <w:noWrap/>
            <w:vAlign w:val="center"/>
            <w:hideMark/>
          </w:tcPr>
          <w:p w14:paraId="0FB34C7F"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GLP</w:t>
            </w:r>
          </w:p>
        </w:tc>
        <w:tc>
          <w:tcPr>
            <w:tcW w:w="1660" w:type="dxa"/>
            <w:tcBorders>
              <w:top w:val="nil"/>
              <w:left w:val="nil"/>
              <w:bottom w:val="single" w:sz="4" w:space="0" w:color="auto"/>
              <w:right w:val="single" w:sz="4" w:space="0" w:color="auto"/>
            </w:tcBorders>
            <w:shd w:val="clear" w:color="auto" w:fill="auto"/>
            <w:noWrap/>
            <w:vAlign w:val="center"/>
            <w:hideMark/>
          </w:tcPr>
          <w:p w14:paraId="6C8A54D6"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5,922,132,000</w:t>
            </w:r>
          </w:p>
        </w:tc>
        <w:tc>
          <w:tcPr>
            <w:tcW w:w="1720" w:type="dxa"/>
            <w:tcBorders>
              <w:top w:val="nil"/>
              <w:left w:val="nil"/>
              <w:bottom w:val="single" w:sz="4" w:space="0" w:color="auto"/>
              <w:right w:val="single" w:sz="4" w:space="0" w:color="auto"/>
            </w:tcBorders>
            <w:shd w:val="clear" w:color="auto" w:fill="auto"/>
            <w:noWrap/>
            <w:vAlign w:val="center"/>
            <w:hideMark/>
          </w:tcPr>
          <w:p w14:paraId="11E5987F"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278,125,242</w:t>
            </w:r>
          </w:p>
        </w:tc>
      </w:tr>
      <w:tr w:rsidR="00117702" w:rsidRPr="00117702" w14:paraId="5C7A73AB"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21B5E209"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29</w:t>
            </w:r>
          </w:p>
        </w:tc>
        <w:tc>
          <w:tcPr>
            <w:tcW w:w="900" w:type="dxa"/>
            <w:tcBorders>
              <w:top w:val="nil"/>
              <w:left w:val="nil"/>
              <w:bottom w:val="single" w:sz="4" w:space="0" w:color="auto"/>
              <w:right w:val="single" w:sz="4" w:space="0" w:color="auto"/>
            </w:tcBorders>
            <w:shd w:val="clear" w:color="auto" w:fill="auto"/>
            <w:noWrap/>
            <w:vAlign w:val="center"/>
            <w:hideMark/>
          </w:tcPr>
          <w:p w14:paraId="59AD4A1C"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900713658</w:t>
            </w:r>
          </w:p>
        </w:tc>
        <w:tc>
          <w:tcPr>
            <w:tcW w:w="3660" w:type="dxa"/>
            <w:tcBorders>
              <w:top w:val="nil"/>
              <w:left w:val="nil"/>
              <w:bottom w:val="single" w:sz="4" w:space="0" w:color="auto"/>
              <w:right w:val="single" w:sz="4" w:space="0" w:color="auto"/>
            </w:tcBorders>
            <w:shd w:val="clear" w:color="auto" w:fill="auto"/>
            <w:vAlign w:val="center"/>
            <w:hideMark/>
          </w:tcPr>
          <w:p w14:paraId="68010204"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CNE OIL &amp; GAS SAS</w:t>
            </w:r>
          </w:p>
        </w:tc>
        <w:tc>
          <w:tcPr>
            <w:tcW w:w="800" w:type="dxa"/>
            <w:tcBorders>
              <w:top w:val="nil"/>
              <w:left w:val="nil"/>
              <w:bottom w:val="single" w:sz="4" w:space="0" w:color="auto"/>
              <w:right w:val="single" w:sz="4" w:space="0" w:color="auto"/>
            </w:tcBorders>
            <w:shd w:val="clear" w:color="auto" w:fill="auto"/>
            <w:noWrap/>
            <w:vAlign w:val="center"/>
            <w:hideMark/>
          </w:tcPr>
          <w:p w14:paraId="09B7383C"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GasNatural</w:t>
            </w:r>
          </w:p>
        </w:tc>
        <w:tc>
          <w:tcPr>
            <w:tcW w:w="1660" w:type="dxa"/>
            <w:tcBorders>
              <w:top w:val="nil"/>
              <w:left w:val="nil"/>
              <w:bottom w:val="single" w:sz="4" w:space="0" w:color="auto"/>
              <w:right w:val="single" w:sz="4" w:space="0" w:color="auto"/>
            </w:tcBorders>
            <w:shd w:val="clear" w:color="auto" w:fill="auto"/>
            <w:noWrap/>
            <w:vAlign w:val="center"/>
            <w:hideMark/>
          </w:tcPr>
          <w:p w14:paraId="54F51509"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168,191,035,000</w:t>
            </w:r>
          </w:p>
        </w:tc>
        <w:tc>
          <w:tcPr>
            <w:tcW w:w="1720" w:type="dxa"/>
            <w:tcBorders>
              <w:top w:val="nil"/>
              <w:left w:val="nil"/>
              <w:bottom w:val="single" w:sz="4" w:space="0" w:color="auto"/>
              <w:right w:val="single" w:sz="4" w:space="0" w:color="auto"/>
            </w:tcBorders>
            <w:shd w:val="clear" w:color="auto" w:fill="auto"/>
            <w:noWrap/>
            <w:vAlign w:val="center"/>
            <w:hideMark/>
          </w:tcPr>
          <w:p w14:paraId="5934DFCC"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40,460,693,211</w:t>
            </w:r>
          </w:p>
        </w:tc>
      </w:tr>
      <w:tr w:rsidR="00117702" w:rsidRPr="00117702" w14:paraId="07268C98"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60B449CD"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30</w:t>
            </w:r>
          </w:p>
        </w:tc>
        <w:tc>
          <w:tcPr>
            <w:tcW w:w="900" w:type="dxa"/>
            <w:tcBorders>
              <w:top w:val="nil"/>
              <w:left w:val="nil"/>
              <w:bottom w:val="single" w:sz="4" w:space="0" w:color="auto"/>
              <w:right w:val="single" w:sz="4" w:space="0" w:color="auto"/>
            </w:tcBorders>
            <w:shd w:val="clear" w:color="auto" w:fill="auto"/>
            <w:noWrap/>
            <w:vAlign w:val="center"/>
            <w:hideMark/>
          </w:tcPr>
          <w:p w14:paraId="7F801FC6"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830037248</w:t>
            </w:r>
          </w:p>
        </w:tc>
        <w:tc>
          <w:tcPr>
            <w:tcW w:w="3660" w:type="dxa"/>
            <w:tcBorders>
              <w:top w:val="nil"/>
              <w:left w:val="nil"/>
              <w:bottom w:val="single" w:sz="4" w:space="0" w:color="auto"/>
              <w:right w:val="single" w:sz="4" w:space="0" w:color="auto"/>
            </w:tcBorders>
            <w:shd w:val="clear" w:color="auto" w:fill="auto"/>
            <w:vAlign w:val="center"/>
            <w:hideMark/>
          </w:tcPr>
          <w:p w14:paraId="714FFB1E"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CODENSA S.A. ESP</w:t>
            </w:r>
          </w:p>
        </w:tc>
        <w:tc>
          <w:tcPr>
            <w:tcW w:w="800" w:type="dxa"/>
            <w:tcBorders>
              <w:top w:val="nil"/>
              <w:left w:val="nil"/>
              <w:bottom w:val="single" w:sz="4" w:space="0" w:color="auto"/>
              <w:right w:val="single" w:sz="4" w:space="0" w:color="auto"/>
            </w:tcBorders>
            <w:shd w:val="clear" w:color="auto" w:fill="auto"/>
            <w:noWrap/>
            <w:vAlign w:val="center"/>
            <w:hideMark/>
          </w:tcPr>
          <w:p w14:paraId="2461A869"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Energia</w:t>
            </w:r>
          </w:p>
        </w:tc>
        <w:tc>
          <w:tcPr>
            <w:tcW w:w="1660" w:type="dxa"/>
            <w:tcBorders>
              <w:top w:val="nil"/>
              <w:left w:val="nil"/>
              <w:bottom w:val="single" w:sz="4" w:space="0" w:color="auto"/>
              <w:right w:val="single" w:sz="4" w:space="0" w:color="auto"/>
            </w:tcBorders>
            <w:shd w:val="clear" w:color="auto" w:fill="auto"/>
            <w:noWrap/>
            <w:vAlign w:val="center"/>
            <w:hideMark/>
          </w:tcPr>
          <w:p w14:paraId="51867705"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3,690,320,075,244</w:t>
            </w:r>
          </w:p>
        </w:tc>
        <w:tc>
          <w:tcPr>
            <w:tcW w:w="1720" w:type="dxa"/>
            <w:tcBorders>
              <w:top w:val="nil"/>
              <w:left w:val="nil"/>
              <w:bottom w:val="single" w:sz="4" w:space="0" w:color="auto"/>
              <w:right w:val="single" w:sz="4" w:space="0" w:color="auto"/>
            </w:tcBorders>
            <w:shd w:val="clear" w:color="auto" w:fill="auto"/>
            <w:noWrap/>
            <w:vAlign w:val="center"/>
            <w:hideMark/>
          </w:tcPr>
          <w:p w14:paraId="2E90E178"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123,714,954,422</w:t>
            </w:r>
          </w:p>
        </w:tc>
      </w:tr>
      <w:tr w:rsidR="00117702" w:rsidRPr="00117702" w14:paraId="7F5C6516"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6CEC4815"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31</w:t>
            </w:r>
          </w:p>
        </w:tc>
        <w:tc>
          <w:tcPr>
            <w:tcW w:w="900" w:type="dxa"/>
            <w:tcBorders>
              <w:top w:val="nil"/>
              <w:left w:val="nil"/>
              <w:bottom w:val="single" w:sz="4" w:space="0" w:color="auto"/>
              <w:right w:val="single" w:sz="4" w:space="0" w:color="auto"/>
            </w:tcBorders>
            <w:shd w:val="clear" w:color="auto" w:fill="auto"/>
            <w:noWrap/>
            <w:vAlign w:val="center"/>
            <w:hideMark/>
          </w:tcPr>
          <w:p w14:paraId="3F96358E"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900076284</w:t>
            </w:r>
          </w:p>
        </w:tc>
        <w:tc>
          <w:tcPr>
            <w:tcW w:w="3660" w:type="dxa"/>
            <w:tcBorders>
              <w:top w:val="nil"/>
              <w:left w:val="nil"/>
              <w:bottom w:val="single" w:sz="4" w:space="0" w:color="auto"/>
              <w:right w:val="single" w:sz="4" w:space="0" w:color="auto"/>
            </w:tcBorders>
            <w:shd w:val="clear" w:color="auto" w:fill="auto"/>
            <w:vAlign w:val="center"/>
            <w:hideMark/>
          </w:tcPr>
          <w:p w14:paraId="00916008"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COENERSA S.A.S E.S.P.</w:t>
            </w:r>
          </w:p>
        </w:tc>
        <w:tc>
          <w:tcPr>
            <w:tcW w:w="800" w:type="dxa"/>
            <w:tcBorders>
              <w:top w:val="nil"/>
              <w:left w:val="nil"/>
              <w:bottom w:val="single" w:sz="4" w:space="0" w:color="auto"/>
              <w:right w:val="single" w:sz="4" w:space="0" w:color="auto"/>
            </w:tcBorders>
            <w:shd w:val="clear" w:color="auto" w:fill="auto"/>
            <w:noWrap/>
            <w:vAlign w:val="center"/>
            <w:hideMark/>
          </w:tcPr>
          <w:p w14:paraId="641DC568"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Energia</w:t>
            </w:r>
          </w:p>
        </w:tc>
        <w:tc>
          <w:tcPr>
            <w:tcW w:w="1660" w:type="dxa"/>
            <w:tcBorders>
              <w:top w:val="nil"/>
              <w:left w:val="nil"/>
              <w:bottom w:val="single" w:sz="4" w:space="0" w:color="auto"/>
              <w:right w:val="single" w:sz="4" w:space="0" w:color="auto"/>
            </w:tcBorders>
            <w:shd w:val="clear" w:color="auto" w:fill="auto"/>
            <w:noWrap/>
            <w:vAlign w:val="center"/>
            <w:hideMark/>
          </w:tcPr>
          <w:p w14:paraId="652B10F4"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109,937,976,000</w:t>
            </w:r>
          </w:p>
        </w:tc>
        <w:tc>
          <w:tcPr>
            <w:tcW w:w="1720" w:type="dxa"/>
            <w:tcBorders>
              <w:top w:val="nil"/>
              <w:left w:val="nil"/>
              <w:bottom w:val="single" w:sz="4" w:space="0" w:color="auto"/>
              <w:right w:val="single" w:sz="4" w:space="0" w:color="auto"/>
            </w:tcBorders>
            <w:shd w:val="clear" w:color="auto" w:fill="auto"/>
            <w:noWrap/>
            <w:vAlign w:val="center"/>
            <w:hideMark/>
          </w:tcPr>
          <w:p w14:paraId="403654B4"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159,278,946</w:t>
            </w:r>
          </w:p>
        </w:tc>
      </w:tr>
      <w:tr w:rsidR="00117702" w:rsidRPr="00117702" w14:paraId="6CB380A7"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169F0C2F"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32</w:t>
            </w:r>
          </w:p>
        </w:tc>
        <w:tc>
          <w:tcPr>
            <w:tcW w:w="900" w:type="dxa"/>
            <w:tcBorders>
              <w:top w:val="nil"/>
              <w:left w:val="nil"/>
              <w:bottom w:val="single" w:sz="4" w:space="0" w:color="auto"/>
              <w:right w:val="single" w:sz="4" w:space="0" w:color="auto"/>
            </w:tcBorders>
            <w:shd w:val="clear" w:color="auto" w:fill="auto"/>
            <w:noWrap/>
            <w:vAlign w:val="center"/>
            <w:hideMark/>
          </w:tcPr>
          <w:p w14:paraId="6EA31F0B"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900100553</w:t>
            </w:r>
          </w:p>
        </w:tc>
        <w:tc>
          <w:tcPr>
            <w:tcW w:w="3660" w:type="dxa"/>
            <w:tcBorders>
              <w:top w:val="nil"/>
              <w:left w:val="nil"/>
              <w:bottom w:val="single" w:sz="4" w:space="0" w:color="auto"/>
              <w:right w:val="single" w:sz="4" w:space="0" w:color="auto"/>
            </w:tcBorders>
            <w:shd w:val="clear" w:color="auto" w:fill="auto"/>
            <w:vAlign w:val="center"/>
            <w:hideMark/>
          </w:tcPr>
          <w:p w14:paraId="02EADD24"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COINOBRAS GAS S.A. ESP</w:t>
            </w:r>
          </w:p>
        </w:tc>
        <w:tc>
          <w:tcPr>
            <w:tcW w:w="800" w:type="dxa"/>
            <w:tcBorders>
              <w:top w:val="nil"/>
              <w:left w:val="nil"/>
              <w:bottom w:val="single" w:sz="4" w:space="0" w:color="auto"/>
              <w:right w:val="single" w:sz="4" w:space="0" w:color="auto"/>
            </w:tcBorders>
            <w:shd w:val="clear" w:color="auto" w:fill="auto"/>
            <w:noWrap/>
            <w:vAlign w:val="center"/>
            <w:hideMark/>
          </w:tcPr>
          <w:p w14:paraId="0732502D"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GasNatural</w:t>
            </w:r>
          </w:p>
        </w:tc>
        <w:tc>
          <w:tcPr>
            <w:tcW w:w="1660" w:type="dxa"/>
            <w:tcBorders>
              <w:top w:val="nil"/>
              <w:left w:val="nil"/>
              <w:bottom w:val="single" w:sz="4" w:space="0" w:color="auto"/>
              <w:right w:val="single" w:sz="4" w:space="0" w:color="auto"/>
            </w:tcBorders>
            <w:shd w:val="clear" w:color="auto" w:fill="auto"/>
            <w:noWrap/>
            <w:vAlign w:val="center"/>
            <w:hideMark/>
          </w:tcPr>
          <w:p w14:paraId="303A7444"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3,574,876,328</w:t>
            </w:r>
          </w:p>
        </w:tc>
        <w:tc>
          <w:tcPr>
            <w:tcW w:w="1720" w:type="dxa"/>
            <w:tcBorders>
              <w:top w:val="nil"/>
              <w:left w:val="nil"/>
              <w:bottom w:val="single" w:sz="4" w:space="0" w:color="auto"/>
              <w:right w:val="single" w:sz="4" w:space="0" w:color="auto"/>
            </w:tcBorders>
            <w:shd w:val="clear" w:color="auto" w:fill="auto"/>
            <w:noWrap/>
            <w:vAlign w:val="center"/>
            <w:hideMark/>
          </w:tcPr>
          <w:p w14:paraId="4D8B1BBA"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647,839,087</w:t>
            </w:r>
          </w:p>
        </w:tc>
      </w:tr>
      <w:tr w:rsidR="00117702" w:rsidRPr="00117702" w14:paraId="617A9BE1"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3D5B732A"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33</w:t>
            </w:r>
          </w:p>
        </w:tc>
        <w:tc>
          <w:tcPr>
            <w:tcW w:w="900" w:type="dxa"/>
            <w:tcBorders>
              <w:top w:val="nil"/>
              <w:left w:val="nil"/>
              <w:bottom w:val="single" w:sz="4" w:space="0" w:color="auto"/>
              <w:right w:val="single" w:sz="4" w:space="0" w:color="auto"/>
            </w:tcBorders>
            <w:shd w:val="clear" w:color="auto" w:fill="auto"/>
            <w:noWrap/>
            <w:vAlign w:val="center"/>
            <w:hideMark/>
          </w:tcPr>
          <w:p w14:paraId="785DECB1"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900282813</w:t>
            </w:r>
          </w:p>
        </w:tc>
        <w:tc>
          <w:tcPr>
            <w:tcW w:w="3660" w:type="dxa"/>
            <w:tcBorders>
              <w:top w:val="nil"/>
              <w:left w:val="nil"/>
              <w:bottom w:val="single" w:sz="4" w:space="0" w:color="auto"/>
              <w:right w:val="single" w:sz="4" w:space="0" w:color="auto"/>
            </w:tcBorders>
            <w:shd w:val="clear" w:color="auto" w:fill="auto"/>
            <w:vAlign w:val="center"/>
            <w:hideMark/>
          </w:tcPr>
          <w:p w14:paraId="464E4BB8"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COLENERGIA S.A.  ESP</w:t>
            </w:r>
          </w:p>
        </w:tc>
        <w:tc>
          <w:tcPr>
            <w:tcW w:w="800" w:type="dxa"/>
            <w:tcBorders>
              <w:top w:val="nil"/>
              <w:left w:val="nil"/>
              <w:bottom w:val="single" w:sz="4" w:space="0" w:color="auto"/>
              <w:right w:val="single" w:sz="4" w:space="0" w:color="auto"/>
            </w:tcBorders>
            <w:shd w:val="clear" w:color="auto" w:fill="auto"/>
            <w:noWrap/>
            <w:vAlign w:val="center"/>
            <w:hideMark/>
          </w:tcPr>
          <w:p w14:paraId="44BBB0C7"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Energia</w:t>
            </w:r>
          </w:p>
        </w:tc>
        <w:tc>
          <w:tcPr>
            <w:tcW w:w="1660" w:type="dxa"/>
            <w:tcBorders>
              <w:top w:val="nil"/>
              <w:left w:val="nil"/>
              <w:bottom w:val="single" w:sz="4" w:space="0" w:color="auto"/>
              <w:right w:val="single" w:sz="4" w:space="0" w:color="auto"/>
            </w:tcBorders>
            <w:shd w:val="clear" w:color="auto" w:fill="auto"/>
            <w:noWrap/>
            <w:vAlign w:val="center"/>
            <w:hideMark/>
          </w:tcPr>
          <w:p w14:paraId="6F79A173"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3,854,524,906</w:t>
            </w:r>
          </w:p>
        </w:tc>
        <w:tc>
          <w:tcPr>
            <w:tcW w:w="1720" w:type="dxa"/>
            <w:tcBorders>
              <w:top w:val="nil"/>
              <w:left w:val="nil"/>
              <w:bottom w:val="single" w:sz="4" w:space="0" w:color="auto"/>
              <w:right w:val="single" w:sz="4" w:space="0" w:color="auto"/>
            </w:tcBorders>
            <w:shd w:val="clear" w:color="auto" w:fill="auto"/>
            <w:noWrap/>
            <w:vAlign w:val="center"/>
            <w:hideMark/>
          </w:tcPr>
          <w:p w14:paraId="2833ACD8"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372,975,858</w:t>
            </w:r>
          </w:p>
        </w:tc>
      </w:tr>
      <w:tr w:rsidR="00117702" w:rsidRPr="00117702" w14:paraId="6F2F23F4"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37BAF688"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34</w:t>
            </w:r>
          </w:p>
        </w:tc>
        <w:tc>
          <w:tcPr>
            <w:tcW w:w="900" w:type="dxa"/>
            <w:tcBorders>
              <w:top w:val="nil"/>
              <w:left w:val="nil"/>
              <w:bottom w:val="single" w:sz="4" w:space="0" w:color="auto"/>
              <w:right w:val="single" w:sz="4" w:space="0" w:color="auto"/>
            </w:tcBorders>
            <w:shd w:val="clear" w:color="auto" w:fill="auto"/>
            <w:noWrap/>
            <w:vAlign w:val="center"/>
            <w:hideMark/>
          </w:tcPr>
          <w:p w14:paraId="1A90998C"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900863649</w:t>
            </w:r>
          </w:p>
        </w:tc>
        <w:tc>
          <w:tcPr>
            <w:tcW w:w="3660" w:type="dxa"/>
            <w:tcBorders>
              <w:top w:val="nil"/>
              <w:left w:val="nil"/>
              <w:bottom w:val="single" w:sz="4" w:space="0" w:color="auto"/>
              <w:right w:val="single" w:sz="4" w:space="0" w:color="auto"/>
            </w:tcBorders>
            <w:shd w:val="clear" w:color="auto" w:fill="auto"/>
            <w:vAlign w:val="center"/>
            <w:hideMark/>
          </w:tcPr>
          <w:p w14:paraId="385F570B"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COLOMBOGAS S.A.S. E.S.P.</w:t>
            </w:r>
          </w:p>
        </w:tc>
        <w:tc>
          <w:tcPr>
            <w:tcW w:w="800" w:type="dxa"/>
            <w:tcBorders>
              <w:top w:val="nil"/>
              <w:left w:val="nil"/>
              <w:bottom w:val="single" w:sz="4" w:space="0" w:color="auto"/>
              <w:right w:val="single" w:sz="4" w:space="0" w:color="auto"/>
            </w:tcBorders>
            <w:shd w:val="clear" w:color="auto" w:fill="auto"/>
            <w:noWrap/>
            <w:vAlign w:val="center"/>
            <w:hideMark/>
          </w:tcPr>
          <w:p w14:paraId="3C9B09E7"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GLP</w:t>
            </w:r>
          </w:p>
        </w:tc>
        <w:tc>
          <w:tcPr>
            <w:tcW w:w="1660" w:type="dxa"/>
            <w:tcBorders>
              <w:top w:val="nil"/>
              <w:left w:val="nil"/>
              <w:bottom w:val="single" w:sz="4" w:space="0" w:color="auto"/>
              <w:right w:val="single" w:sz="4" w:space="0" w:color="auto"/>
            </w:tcBorders>
            <w:shd w:val="clear" w:color="auto" w:fill="auto"/>
            <w:noWrap/>
            <w:vAlign w:val="center"/>
            <w:hideMark/>
          </w:tcPr>
          <w:p w14:paraId="22D7B2A5"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1,994,857,000</w:t>
            </w:r>
          </w:p>
        </w:tc>
        <w:tc>
          <w:tcPr>
            <w:tcW w:w="1720" w:type="dxa"/>
            <w:tcBorders>
              <w:top w:val="nil"/>
              <w:left w:val="nil"/>
              <w:bottom w:val="single" w:sz="4" w:space="0" w:color="auto"/>
              <w:right w:val="single" w:sz="4" w:space="0" w:color="auto"/>
            </w:tcBorders>
            <w:shd w:val="clear" w:color="auto" w:fill="auto"/>
            <w:noWrap/>
            <w:vAlign w:val="center"/>
            <w:hideMark/>
          </w:tcPr>
          <w:p w14:paraId="47ED219B"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204,099,526</w:t>
            </w:r>
          </w:p>
        </w:tc>
      </w:tr>
      <w:tr w:rsidR="00117702" w:rsidRPr="00117702" w14:paraId="0F7CF580" w14:textId="77777777" w:rsidTr="00117702">
        <w:trPr>
          <w:trHeight w:val="46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7E833003"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35</w:t>
            </w:r>
          </w:p>
        </w:tc>
        <w:tc>
          <w:tcPr>
            <w:tcW w:w="900" w:type="dxa"/>
            <w:tcBorders>
              <w:top w:val="nil"/>
              <w:left w:val="nil"/>
              <w:bottom w:val="single" w:sz="4" w:space="0" w:color="auto"/>
              <w:right w:val="single" w:sz="4" w:space="0" w:color="auto"/>
            </w:tcBorders>
            <w:shd w:val="clear" w:color="auto" w:fill="auto"/>
            <w:noWrap/>
            <w:vAlign w:val="center"/>
            <w:hideMark/>
          </w:tcPr>
          <w:p w14:paraId="09D5E458"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900175830</w:t>
            </w:r>
          </w:p>
        </w:tc>
        <w:tc>
          <w:tcPr>
            <w:tcW w:w="3660" w:type="dxa"/>
            <w:tcBorders>
              <w:top w:val="nil"/>
              <w:left w:val="nil"/>
              <w:bottom w:val="single" w:sz="4" w:space="0" w:color="auto"/>
              <w:right w:val="single" w:sz="4" w:space="0" w:color="auto"/>
            </w:tcBorders>
            <w:shd w:val="clear" w:color="auto" w:fill="auto"/>
            <w:vAlign w:val="center"/>
            <w:hideMark/>
          </w:tcPr>
          <w:p w14:paraId="6DA5C42E"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 xml:space="preserve">COMBUSTIBLES LÍQUIDOS DE COLOMBIA S.A. E.S.P. </w:t>
            </w:r>
          </w:p>
        </w:tc>
        <w:tc>
          <w:tcPr>
            <w:tcW w:w="800" w:type="dxa"/>
            <w:tcBorders>
              <w:top w:val="nil"/>
              <w:left w:val="nil"/>
              <w:bottom w:val="single" w:sz="4" w:space="0" w:color="auto"/>
              <w:right w:val="single" w:sz="4" w:space="0" w:color="auto"/>
            </w:tcBorders>
            <w:shd w:val="clear" w:color="auto" w:fill="auto"/>
            <w:noWrap/>
            <w:vAlign w:val="center"/>
            <w:hideMark/>
          </w:tcPr>
          <w:p w14:paraId="0B640C1B"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GLP</w:t>
            </w:r>
          </w:p>
        </w:tc>
        <w:tc>
          <w:tcPr>
            <w:tcW w:w="1660" w:type="dxa"/>
            <w:tcBorders>
              <w:top w:val="nil"/>
              <w:left w:val="nil"/>
              <w:bottom w:val="single" w:sz="4" w:space="0" w:color="auto"/>
              <w:right w:val="single" w:sz="4" w:space="0" w:color="auto"/>
            </w:tcBorders>
            <w:shd w:val="clear" w:color="auto" w:fill="auto"/>
            <w:noWrap/>
            <w:vAlign w:val="center"/>
            <w:hideMark/>
          </w:tcPr>
          <w:p w14:paraId="183110CC"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49,957,067,000</w:t>
            </w:r>
          </w:p>
        </w:tc>
        <w:tc>
          <w:tcPr>
            <w:tcW w:w="1720" w:type="dxa"/>
            <w:tcBorders>
              <w:top w:val="nil"/>
              <w:left w:val="nil"/>
              <w:bottom w:val="single" w:sz="4" w:space="0" w:color="auto"/>
              <w:right w:val="single" w:sz="4" w:space="0" w:color="auto"/>
            </w:tcBorders>
            <w:shd w:val="clear" w:color="auto" w:fill="auto"/>
            <w:noWrap/>
            <w:vAlign w:val="center"/>
            <w:hideMark/>
          </w:tcPr>
          <w:p w14:paraId="2D5E234C"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141,698,690</w:t>
            </w:r>
          </w:p>
        </w:tc>
      </w:tr>
      <w:tr w:rsidR="00117702" w:rsidRPr="00117702" w14:paraId="6DFB2CC3" w14:textId="77777777" w:rsidTr="00117702">
        <w:trPr>
          <w:trHeight w:val="46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47E2EFA3"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36</w:t>
            </w:r>
          </w:p>
        </w:tc>
        <w:tc>
          <w:tcPr>
            <w:tcW w:w="900" w:type="dxa"/>
            <w:tcBorders>
              <w:top w:val="nil"/>
              <w:left w:val="nil"/>
              <w:bottom w:val="single" w:sz="4" w:space="0" w:color="auto"/>
              <w:right w:val="single" w:sz="4" w:space="0" w:color="auto"/>
            </w:tcBorders>
            <w:shd w:val="clear" w:color="auto" w:fill="auto"/>
            <w:noWrap/>
            <w:vAlign w:val="center"/>
            <w:hideMark/>
          </w:tcPr>
          <w:p w14:paraId="68102CA2"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900716800</w:t>
            </w:r>
          </w:p>
        </w:tc>
        <w:tc>
          <w:tcPr>
            <w:tcW w:w="3660" w:type="dxa"/>
            <w:tcBorders>
              <w:top w:val="nil"/>
              <w:left w:val="nil"/>
              <w:bottom w:val="single" w:sz="4" w:space="0" w:color="auto"/>
              <w:right w:val="single" w:sz="4" w:space="0" w:color="auto"/>
            </w:tcBorders>
            <w:shd w:val="clear" w:color="auto" w:fill="auto"/>
            <w:vAlign w:val="center"/>
            <w:hideMark/>
          </w:tcPr>
          <w:p w14:paraId="4F8D3CAF"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COMERCIALIZADORA CENTRO ORIENTE S.A. E.S.P.</w:t>
            </w:r>
          </w:p>
        </w:tc>
        <w:tc>
          <w:tcPr>
            <w:tcW w:w="800" w:type="dxa"/>
            <w:tcBorders>
              <w:top w:val="nil"/>
              <w:left w:val="nil"/>
              <w:bottom w:val="single" w:sz="4" w:space="0" w:color="auto"/>
              <w:right w:val="single" w:sz="4" w:space="0" w:color="auto"/>
            </w:tcBorders>
            <w:shd w:val="clear" w:color="auto" w:fill="auto"/>
            <w:noWrap/>
            <w:vAlign w:val="center"/>
            <w:hideMark/>
          </w:tcPr>
          <w:p w14:paraId="785DECBF"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GLP</w:t>
            </w:r>
          </w:p>
        </w:tc>
        <w:tc>
          <w:tcPr>
            <w:tcW w:w="1660" w:type="dxa"/>
            <w:tcBorders>
              <w:top w:val="nil"/>
              <w:left w:val="nil"/>
              <w:bottom w:val="single" w:sz="4" w:space="0" w:color="auto"/>
              <w:right w:val="single" w:sz="4" w:space="0" w:color="auto"/>
            </w:tcBorders>
            <w:shd w:val="clear" w:color="auto" w:fill="auto"/>
            <w:noWrap/>
            <w:vAlign w:val="center"/>
            <w:hideMark/>
          </w:tcPr>
          <w:p w14:paraId="46506029"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10,606,894,000</w:t>
            </w:r>
          </w:p>
        </w:tc>
        <w:tc>
          <w:tcPr>
            <w:tcW w:w="1720" w:type="dxa"/>
            <w:tcBorders>
              <w:top w:val="nil"/>
              <w:left w:val="nil"/>
              <w:bottom w:val="single" w:sz="4" w:space="0" w:color="auto"/>
              <w:right w:val="single" w:sz="4" w:space="0" w:color="auto"/>
            </w:tcBorders>
            <w:shd w:val="clear" w:color="auto" w:fill="auto"/>
            <w:noWrap/>
            <w:vAlign w:val="center"/>
            <w:hideMark/>
          </w:tcPr>
          <w:p w14:paraId="1485D9A4"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344,557,873</w:t>
            </w:r>
          </w:p>
        </w:tc>
      </w:tr>
      <w:tr w:rsidR="00117702" w:rsidRPr="00117702" w14:paraId="4D45710E" w14:textId="77777777" w:rsidTr="00117702">
        <w:trPr>
          <w:trHeight w:val="46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57F119EB"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37</w:t>
            </w:r>
          </w:p>
        </w:tc>
        <w:tc>
          <w:tcPr>
            <w:tcW w:w="900" w:type="dxa"/>
            <w:tcBorders>
              <w:top w:val="nil"/>
              <w:left w:val="nil"/>
              <w:bottom w:val="single" w:sz="4" w:space="0" w:color="auto"/>
              <w:right w:val="single" w:sz="4" w:space="0" w:color="auto"/>
            </w:tcBorders>
            <w:shd w:val="clear" w:color="auto" w:fill="auto"/>
            <w:noWrap/>
            <w:vAlign w:val="center"/>
            <w:hideMark/>
          </w:tcPr>
          <w:p w14:paraId="577C278F"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900572958</w:t>
            </w:r>
          </w:p>
        </w:tc>
        <w:tc>
          <w:tcPr>
            <w:tcW w:w="3660" w:type="dxa"/>
            <w:tcBorders>
              <w:top w:val="nil"/>
              <w:left w:val="nil"/>
              <w:bottom w:val="single" w:sz="4" w:space="0" w:color="auto"/>
              <w:right w:val="single" w:sz="4" w:space="0" w:color="auto"/>
            </w:tcBorders>
            <w:shd w:val="clear" w:color="auto" w:fill="auto"/>
            <w:vAlign w:val="center"/>
            <w:hideMark/>
          </w:tcPr>
          <w:p w14:paraId="510674F6"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COMERCIALIZADORA DE COMBUSTIBLES, ENERGIA Y GAS S.A.S.  E.S.P.</w:t>
            </w:r>
          </w:p>
        </w:tc>
        <w:tc>
          <w:tcPr>
            <w:tcW w:w="800" w:type="dxa"/>
            <w:tcBorders>
              <w:top w:val="nil"/>
              <w:left w:val="nil"/>
              <w:bottom w:val="single" w:sz="4" w:space="0" w:color="auto"/>
              <w:right w:val="single" w:sz="4" w:space="0" w:color="auto"/>
            </w:tcBorders>
            <w:shd w:val="clear" w:color="auto" w:fill="auto"/>
            <w:noWrap/>
            <w:vAlign w:val="center"/>
            <w:hideMark/>
          </w:tcPr>
          <w:p w14:paraId="7FC1DD4D"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GLP</w:t>
            </w:r>
          </w:p>
        </w:tc>
        <w:tc>
          <w:tcPr>
            <w:tcW w:w="1660" w:type="dxa"/>
            <w:tcBorders>
              <w:top w:val="nil"/>
              <w:left w:val="nil"/>
              <w:bottom w:val="single" w:sz="4" w:space="0" w:color="auto"/>
              <w:right w:val="single" w:sz="4" w:space="0" w:color="auto"/>
            </w:tcBorders>
            <w:shd w:val="clear" w:color="auto" w:fill="auto"/>
            <w:noWrap/>
            <w:vAlign w:val="center"/>
            <w:hideMark/>
          </w:tcPr>
          <w:p w14:paraId="4B53CE4E"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12,455,820,000</w:t>
            </w:r>
          </w:p>
        </w:tc>
        <w:tc>
          <w:tcPr>
            <w:tcW w:w="1720" w:type="dxa"/>
            <w:tcBorders>
              <w:top w:val="nil"/>
              <w:left w:val="nil"/>
              <w:bottom w:val="single" w:sz="4" w:space="0" w:color="auto"/>
              <w:right w:val="single" w:sz="4" w:space="0" w:color="auto"/>
            </w:tcBorders>
            <w:shd w:val="clear" w:color="auto" w:fill="auto"/>
            <w:noWrap/>
            <w:vAlign w:val="center"/>
            <w:hideMark/>
          </w:tcPr>
          <w:p w14:paraId="691E5F93"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294,886,583</w:t>
            </w:r>
          </w:p>
        </w:tc>
      </w:tr>
      <w:tr w:rsidR="00117702" w:rsidRPr="00117702" w14:paraId="4B090A58" w14:textId="77777777" w:rsidTr="00117702">
        <w:trPr>
          <w:trHeight w:val="46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7C0EFA14"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38</w:t>
            </w:r>
          </w:p>
        </w:tc>
        <w:tc>
          <w:tcPr>
            <w:tcW w:w="900" w:type="dxa"/>
            <w:tcBorders>
              <w:top w:val="nil"/>
              <w:left w:val="nil"/>
              <w:bottom w:val="single" w:sz="4" w:space="0" w:color="auto"/>
              <w:right w:val="single" w:sz="4" w:space="0" w:color="auto"/>
            </w:tcBorders>
            <w:shd w:val="clear" w:color="auto" w:fill="auto"/>
            <w:noWrap/>
            <w:vAlign w:val="center"/>
            <w:hideMark/>
          </w:tcPr>
          <w:p w14:paraId="659CC2DB"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900321520</w:t>
            </w:r>
          </w:p>
        </w:tc>
        <w:tc>
          <w:tcPr>
            <w:tcW w:w="3660" w:type="dxa"/>
            <w:tcBorders>
              <w:top w:val="nil"/>
              <w:left w:val="nil"/>
              <w:bottom w:val="single" w:sz="4" w:space="0" w:color="auto"/>
              <w:right w:val="single" w:sz="4" w:space="0" w:color="auto"/>
            </w:tcBorders>
            <w:shd w:val="clear" w:color="auto" w:fill="auto"/>
            <w:vAlign w:val="center"/>
            <w:hideMark/>
          </w:tcPr>
          <w:p w14:paraId="49EC337C"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COMERCIALIZADORA DE GASES NATURALES SAS ESP</w:t>
            </w:r>
          </w:p>
        </w:tc>
        <w:tc>
          <w:tcPr>
            <w:tcW w:w="800" w:type="dxa"/>
            <w:tcBorders>
              <w:top w:val="nil"/>
              <w:left w:val="nil"/>
              <w:bottom w:val="single" w:sz="4" w:space="0" w:color="auto"/>
              <w:right w:val="single" w:sz="4" w:space="0" w:color="auto"/>
            </w:tcBorders>
            <w:shd w:val="clear" w:color="auto" w:fill="auto"/>
            <w:noWrap/>
            <w:vAlign w:val="center"/>
            <w:hideMark/>
          </w:tcPr>
          <w:p w14:paraId="057FF36B"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GasNatural</w:t>
            </w:r>
          </w:p>
        </w:tc>
        <w:tc>
          <w:tcPr>
            <w:tcW w:w="1660" w:type="dxa"/>
            <w:tcBorders>
              <w:top w:val="nil"/>
              <w:left w:val="nil"/>
              <w:bottom w:val="single" w:sz="4" w:space="0" w:color="auto"/>
              <w:right w:val="single" w:sz="4" w:space="0" w:color="auto"/>
            </w:tcBorders>
            <w:shd w:val="clear" w:color="auto" w:fill="auto"/>
            <w:noWrap/>
            <w:vAlign w:val="center"/>
            <w:hideMark/>
          </w:tcPr>
          <w:p w14:paraId="18A9FB68"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8,316,914,000</w:t>
            </w:r>
          </w:p>
        </w:tc>
        <w:tc>
          <w:tcPr>
            <w:tcW w:w="1720" w:type="dxa"/>
            <w:tcBorders>
              <w:top w:val="nil"/>
              <w:left w:val="nil"/>
              <w:bottom w:val="single" w:sz="4" w:space="0" w:color="auto"/>
              <w:right w:val="single" w:sz="4" w:space="0" w:color="auto"/>
            </w:tcBorders>
            <w:shd w:val="clear" w:color="auto" w:fill="auto"/>
            <w:noWrap/>
            <w:vAlign w:val="center"/>
            <w:hideMark/>
          </w:tcPr>
          <w:p w14:paraId="4C1E8CB6"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835,841,000</w:t>
            </w:r>
          </w:p>
        </w:tc>
      </w:tr>
      <w:tr w:rsidR="00117702" w:rsidRPr="00117702" w14:paraId="38F58EA1"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34DE9ED9"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39</w:t>
            </w:r>
          </w:p>
        </w:tc>
        <w:tc>
          <w:tcPr>
            <w:tcW w:w="900" w:type="dxa"/>
            <w:tcBorders>
              <w:top w:val="nil"/>
              <w:left w:val="nil"/>
              <w:bottom w:val="single" w:sz="4" w:space="0" w:color="auto"/>
              <w:right w:val="single" w:sz="4" w:space="0" w:color="auto"/>
            </w:tcBorders>
            <w:shd w:val="clear" w:color="auto" w:fill="auto"/>
            <w:noWrap/>
            <w:vAlign w:val="center"/>
            <w:hideMark/>
          </w:tcPr>
          <w:p w14:paraId="5B80AC3E"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830147341</w:t>
            </w:r>
          </w:p>
        </w:tc>
        <w:tc>
          <w:tcPr>
            <w:tcW w:w="3660" w:type="dxa"/>
            <w:tcBorders>
              <w:top w:val="nil"/>
              <w:left w:val="nil"/>
              <w:bottom w:val="single" w:sz="4" w:space="0" w:color="auto"/>
              <w:right w:val="single" w:sz="4" w:space="0" w:color="auto"/>
            </w:tcBorders>
            <w:shd w:val="clear" w:color="auto" w:fill="auto"/>
            <w:vAlign w:val="center"/>
            <w:hideMark/>
          </w:tcPr>
          <w:p w14:paraId="725CB650"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COMERCIALIZADORA DEL CAFE S.A.S. E.S.P.</w:t>
            </w:r>
          </w:p>
        </w:tc>
        <w:tc>
          <w:tcPr>
            <w:tcW w:w="800" w:type="dxa"/>
            <w:tcBorders>
              <w:top w:val="nil"/>
              <w:left w:val="nil"/>
              <w:bottom w:val="single" w:sz="4" w:space="0" w:color="auto"/>
              <w:right w:val="single" w:sz="4" w:space="0" w:color="auto"/>
            </w:tcBorders>
            <w:shd w:val="clear" w:color="auto" w:fill="auto"/>
            <w:noWrap/>
            <w:vAlign w:val="center"/>
            <w:hideMark/>
          </w:tcPr>
          <w:p w14:paraId="69CB1B90"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Energia</w:t>
            </w:r>
          </w:p>
        </w:tc>
        <w:tc>
          <w:tcPr>
            <w:tcW w:w="1660" w:type="dxa"/>
            <w:tcBorders>
              <w:top w:val="nil"/>
              <w:left w:val="nil"/>
              <w:bottom w:val="single" w:sz="4" w:space="0" w:color="auto"/>
              <w:right w:val="single" w:sz="4" w:space="0" w:color="auto"/>
            </w:tcBorders>
            <w:shd w:val="clear" w:color="auto" w:fill="auto"/>
            <w:noWrap/>
            <w:vAlign w:val="center"/>
            <w:hideMark/>
          </w:tcPr>
          <w:p w14:paraId="2FED50EF"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642,028,000</w:t>
            </w:r>
          </w:p>
        </w:tc>
        <w:tc>
          <w:tcPr>
            <w:tcW w:w="1720" w:type="dxa"/>
            <w:tcBorders>
              <w:top w:val="nil"/>
              <w:left w:val="nil"/>
              <w:bottom w:val="single" w:sz="4" w:space="0" w:color="auto"/>
              <w:right w:val="single" w:sz="4" w:space="0" w:color="auto"/>
            </w:tcBorders>
            <w:shd w:val="clear" w:color="auto" w:fill="auto"/>
            <w:noWrap/>
            <w:vAlign w:val="center"/>
            <w:hideMark/>
          </w:tcPr>
          <w:p w14:paraId="3E46B0B3"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62,438,000</w:t>
            </w:r>
          </w:p>
        </w:tc>
      </w:tr>
      <w:tr w:rsidR="00117702" w:rsidRPr="00117702" w14:paraId="1F74D6A3" w14:textId="77777777" w:rsidTr="00117702">
        <w:trPr>
          <w:trHeight w:val="46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3F6D9AE4"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40</w:t>
            </w:r>
          </w:p>
        </w:tc>
        <w:tc>
          <w:tcPr>
            <w:tcW w:w="900" w:type="dxa"/>
            <w:tcBorders>
              <w:top w:val="nil"/>
              <w:left w:val="nil"/>
              <w:bottom w:val="single" w:sz="4" w:space="0" w:color="auto"/>
              <w:right w:val="single" w:sz="4" w:space="0" w:color="auto"/>
            </w:tcBorders>
            <w:shd w:val="clear" w:color="auto" w:fill="auto"/>
            <w:noWrap/>
            <w:vAlign w:val="center"/>
            <w:hideMark/>
          </w:tcPr>
          <w:p w14:paraId="6ADC05F3"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860508892</w:t>
            </w:r>
          </w:p>
        </w:tc>
        <w:tc>
          <w:tcPr>
            <w:tcW w:w="3660" w:type="dxa"/>
            <w:tcBorders>
              <w:top w:val="nil"/>
              <w:left w:val="nil"/>
              <w:bottom w:val="single" w:sz="4" w:space="0" w:color="auto"/>
              <w:right w:val="single" w:sz="4" w:space="0" w:color="auto"/>
            </w:tcBorders>
            <w:shd w:val="clear" w:color="auto" w:fill="auto"/>
            <w:vAlign w:val="center"/>
            <w:hideMark/>
          </w:tcPr>
          <w:p w14:paraId="15DD356A"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COMPAÑIA DE ALMACENAMIENTO DE GAS S.A. ESP</w:t>
            </w:r>
          </w:p>
        </w:tc>
        <w:tc>
          <w:tcPr>
            <w:tcW w:w="800" w:type="dxa"/>
            <w:tcBorders>
              <w:top w:val="nil"/>
              <w:left w:val="nil"/>
              <w:bottom w:val="single" w:sz="4" w:space="0" w:color="auto"/>
              <w:right w:val="single" w:sz="4" w:space="0" w:color="auto"/>
            </w:tcBorders>
            <w:shd w:val="clear" w:color="auto" w:fill="auto"/>
            <w:noWrap/>
            <w:vAlign w:val="center"/>
            <w:hideMark/>
          </w:tcPr>
          <w:p w14:paraId="6256D9FB"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GLP</w:t>
            </w:r>
          </w:p>
        </w:tc>
        <w:tc>
          <w:tcPr>
            <w:tcW w:w="1660" w:type="dxa"/>
            <w:tcBorders>
              <w:top w:val="nil"/>
              <w:left w:val="nil"/>
              <w:bottom w:val="single" w:sz="4" w:space="0" w:color="auto"/>
              <w:right w:val="single" w:sz="4" w:space="0" w:color="auto"/>
            </w:tcBorders>
            <w:shd w:val="clear" w:color="auto" w:fill="auto"/>
            <w:noWrap/>
            <w:vAlign w:val="center"/>
            <w:hideMark/>
          </w:tcPr>
          <w:p w14:paraId="38F54E0C"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41,314,571,757</w:t>
            </w:r>
          </w:p>
        </w:tc>
        <w:tc>
          <w:tcPr>
            <w:tcW w:w="1720" w:type="dxa"/>
            <w:tcBorders>
              <w:top w:val="nil"/>
              <w:left w:val="nil"/>
              <w:bottom w:val="single" w:sz="4" w:space="0" w:color="auto"/>
              <w:right w:val="single" w:sz="4" w:space="0" w:color="auto"/>
            </w:tcBorders>
            <w:shd w:val="clear" w:color="auto" w:fill="auto"/>
            <w:noWrap/>
            <w:vAlign w:val="center"/>
            <w:hideMark/>
          </w:tcPr>
          <w:p w14:paraId="35BFF05C"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2,079,005,582</w:t>
            </w:r>
          </w:p>
        </w:tc>
      </w:tr>
      <w:tr w:rsidR="00117702" w:rsidRPr="00117702" w14:paraId="09F89472" w14:textId="77777777" w:rsidTr="00117702">
        <w:trPr>
          <w:trHeight w:val="46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605ADD31"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41</w:t>
            </w:r>
          </w:p>
        </w:tc>
        <w:tc>
          <w:tcPr>
            <w:tcW w:w="900" w:type="dxa"/>
            <w:tcBorders>
              <w:top w:val="nil"/>
              <w:left w:val="nil"/>
              <w:bottom w:val="single" w:sz="4" w:space="0" w:color="auto"/>
              <w:right w:val="single" w:sz="4" w:space="0" w:color="auto"/>
            </w:tcBorders>
            <w:shd w:val="clear" w:color="auto" w:fill="auto"/>
            <w:noWrap/>
            <w:vAlign w:val="center"/>
            <w:hideMark/>
          </w:tcPr>
          <w:p w14:paraId="18E48090"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891900101</w:t>
            </w:r>
          </w:p>
        </w:tc>
        <w:tc>
          <w:tcPr>
            <w:tcW w:w="3660" w:type="dxa"/>
            <w:tcBorders>
              <w:top w:val="nil"/>
              <w:left w:val="nil"/>
              <w:bottom w:val="single" w:sz="4" w:space="0" w:color="auto"/>
              <w:right w:val="single" w:sz="4" w:space="0" w:color="auto"/>
            </w:tcBorders>
            <w:shd w:val="clear" w:color="auto" w:fill="auto"/>
            <w:vAlign w:val="center"/>
            <w:hideMark/>
          </w:tcPr>
          <w:p w14:paraId="1124CD09"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COMPAÑÍA DE ELECTRICIDAD DE TULUÁ S.A. E.S.P.</w:t>
            </w:r>
          </w:p>
        </w:tc>
        <w:tc>
          <w:tcPr>
            <w:tcW w:w="800" w:type="dxa"/>
            <w:tcBorders>
              <w:top w:val="nil"/>
              <w:left w:val="nil"/>
              <w:bottom w:val="single" w:sz="4" w:space="0" w:color="auto"/>
              <w:right w:val="single" w:sz="4" w:space="0" w:color="auto"/>
            </w:tcBorders>
            <w:shd w:val="clear" w:color="auto" w:fill="auto"/>
            <w:noWrap/>
            <w:vAlign w:val="center"/>
            <w:hideMark/>
          </w:tcPr>
          <w:p w14:paraId="4BDA9900"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Energia</w:t>
            </w:r>
          </w:p>
        </w:tc>
        <w:tc>
          <w:tcPr>
            <w:tcW w:w="1660" w:type="dxa"/>
            <w:tcBorders>
              <w:top w:val="nil"/>
              <w:left w:val="nil"/>
              <w:bottom w:val="single" w:sz="4" w:space="0" w:color="auto"/>
              <w:right w:val="single" w:sz="4" w:space="0" w:color="auto"/>
            </w:tcBorders>
            <w:shd w:val="clear" w:color="auto" w:fill="auto"/>
            <w:noWrap/>
            <w:vAlign w:val="center"/>
            <w:hideMark/>
          </w:tcPr>
          <w:p w14:paraId="1C2C80D3"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78,802,577,380</w:t>
            </w:r>
          </w:p>
        </w:tc>
        <w:tc>
          <w:tcPr>
            <w:tcW w:w="1720" w:type="dxa"/>
            <w:tcBorders>
              <w:top w:val="nil"/>
              <w:left w:val="nil"/>
              <w:bottom w:val="single" w:sz="4" w:space="0" w:color="auto"/>
              <w:right w:val="single" w:sz="4" w:space="0" w:color="auto"/>
            </w:tcBorders>
            <w:shd w:val="clear" w:color="auto" w:fill="auto"/>
            <w:noWrap/>
            <w:vAlign w:val="center"/>
            <w:hideMark/>
          </w:tcPr>
          <w:p w14:paraId="7256E0BD"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2,629,654,454</w:t>
            </w:r>
          </w:p>
        </w:tc>
      </w:tr>
      <w:tr w:rsidR="00117702" w:rsidRPr="00117702" w14:paraId="2E418DE9" w14:textId="77777777" w:rsidTr="00117702">
        <w:trPr>
          <w:trHeight w:val="46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20638E8A"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42</w:t>
            </w:r>
          </w:p>
        </w:tc>
        <w:tc>
          <w:tcPr>
            <w:tcW w:w="900" w:type="dxa"/>
            <w:tcBorders>
              <w:top w:val="nil"/>
              <w:left w:val="nil"/>
              <w:bottom w:val="single" w:sz="4" w:space="0" w:color="auto"/>
              <w:right w:val="single" w:sz="4" w:space="0" w:color="auto"/>
            </w:tcBorders>
            <w:shd w:val="clear" w:color="auto" w:fill="auto"/>
            <w:noWrap/>
            <w:vAlign w:val="center"/>
            <w:hideMark/>
          </w:tcPr>
          <w:p w14:paraId="266015A8"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900519539</w:t>
            </w:r>
          </w:p>
        </w:tc>
        <w:tc>
          <w:tcPr>
            <w:tcW w:w="3660" w:type="dxa"/>
            <w:tcBorders>
              <w:top w:val="nil"/>
              <w:left w:val="nil"/>
              <w:bottom w:val="single" w:sz="4" w:space="0" w:color="auto"/>
              <w:right w:val="single" w:sz="4" w:space="0" w:color="auto"/>
            </w:tcBorders>
            <w:shd w:val="clear" w:color="auto" w:fill="auto"/>
            <w:vAlign w:val="center"/>
            <w:hideMark/>
          </w:tcPr>
          <w:p w14:paraId="4F2B997C"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COMPAÑIA DE SERVICIOS PUBLICOS DOMICILIARIOS DE BOJAYA S.A E.S.P.</w:t>
            </w:r>
          </w:p>
        </w:tc>
        <w:tc>
          <w:tcPr>
            <w:tcW w:w="800" w:type="dxa"/>
            <w:tcBorders>
              <w:top w:val="nil"/>
              <w:left w:val="nil"/>
              <w:bottom w:val="single" w:sz="4" w:space="0" w:color="auto"/>
              <w:right w:val="single" w:sz="4" w:space="0" w:color="auto"/>
            </w:tcBorders>
            <w:shd w:val="clear" w:color="auto" w:fill="auto"/>
            <w:noWrap/>
            <w:vAlign w:val="center"/>
            <w:hideMark/>
          </w:tcPr>
          <w:p w14:paraId="56AC0083"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Energia</w:t>
            </w:r>
          </w:p>
        </w:tc>
        <w:tc>
          <w:tcPr>
            <w:tcW w:w="1660" w:type="dxa"/>
            <w:tcBorders>
              <w:top w:val="nil"/>
              <w:left w:val="nil"/>
              <w:bottom w:val="single" w:sz="4" w:space="0" w:color="auto"/>
              <w:right w:val="single" w:sz="4" w:space="0" w:color="auto"/>
            </w:tcBorders>
            <w:shd w:val="clear" w:color="auto" w:fill="auto"/>
            <w:noWrap/>
            <w:vAlign w:val="center"/>
            <w:hideMark/>
          </w:tcPr>
          <w:p w14:paraId="1F9C92F5"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741,726,822</w:t>
            </w:r>
          </w:p>
        </w:tc>
        <w:tc>
          <w:tcPr>
            <w:tcW w:w="1720" w:type="dxa"/>
            <w:tcBorders>
              <w:top w:val="nil"/>
              <w:left w:val="nil"/>
              <w:bottom w:val="single" w:sz="4" w:space="0" w:color="auto"/>
              <w:right w:val="single" w:sz="4" w:space="0" w:color="auto"/>
            </w:tcBorders>
            <w:shd w:val="clear" w:color="auto" w:fill="auto"/>
            <w:noWrap/>
            <w:vAlign w:val="center"/>
            <w:hideMark/>
          </w:tcPr>
          <w:p w14:paraId="54BE9406"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39,769,868</w:t>
            </w:r>
          </w:p>
        </w:tc>
      </w:tr>
      <w:tr w:rsidR="00117702" w:rsidRPr="00117702" w14:paraId="60A2B6AA" w14:textId="77777777" w:rsidTr="00117702">
        <w:trPr>
          <w:trHeight w:val="46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23EDF46B"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43</w:t>
            </w:r>
          </w:p>
        </w:tc>
        <w:tc>
          <w:tcPr>
            <w:tcW w:w="900" w:type="dxa"/>
            <w:tcBorders>
              <w:top w:val="nil"/>
              <w:left w:val="nil"/>
              <w:bottom w:val="single" w:sz="4" w:space="0" w:color="auto"/>
              <w:right w:val="single" w:sz="4" w:space="0" w:color="auto"/>
            </w:tcBorders>
            <w:shd w:val="clear" w:color="auto" w:fill="auto"/>
            <w:noWrap/>
            <w:vAlign w:val="center"/>
            <w:hideMark/>
          </w:tcPr>
          <w:p w14:paraId="7AC67F5D"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800219925</w:t>
            </w:r>
          </w:p>
        </w:tc>
        <w:tc>
          <w:tcPr>
            <w:tcW w:w="3660" w:type="dxa"/>
            <w:tcBorders>
              <w:top w:val="nil"/>
              <w:left w:val="nil"/>
              <w:bottom w:val="single" w:sz="4" w:space="0" w:color="auto"/>
              <w:right w:val="single" w:sz="4" w:space="0" w:color="auto"/>
            </w:tcBorders>
            <w:shd w:val="clear" w:color="auto" w:fill="auto"/>
            <w:vAlign w:val="center"/>
            <w:hideMark/>
          </w:tcPr>
          <w:p w14:paraId="2C111277"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COMPAÑIA ELECTRICA DE SOCHAGOTA S.A. E.S.P.</w:t>
            </w:r>
          </w:p>
        </w:tc>
        <w:tc>
          <w:tcPr>
            <w:tcW w:w="800" w:type="dxa"/>
            <w:tcBorders>
              <w:top w:val="nil"/>
              <w:left w:val="nil"/>
              <w:bottom w:val="single" w:sz="4" w:space="0" w:color="auto"/>
              <w:right w:val="single" w:sz="4" w:space="0" w:color="auto"/>
            </w:tcBorders>
            <w:shd w:val="clear" w:color="auto" w:fill="auto"/>
            <w:noWrap/>
            <w:vAlign w:val="center"/>
            <w:hideMark/>
          </w:tcPr>
          <w:p w14:paraId="25FE267D"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Energia</w:t>
            </w:r>
          </w:p>
        </w:tc>
        <w:tc>
          <w:tcPr>
            <w:tcW w:w="1660" w:type="dxa"/>
            <w:tcBorders>
              <w:top w:val="nil"/>
              <w:left w:val="nil"/>
              <w:bottom w:val="single" w:sz="4" w:space="0" w:color="auto"/>
              <w:right w:val="single" w:sz="4" w:space="0" w:color="auto"/>
            </w:tcBorders>
            <w:shd w:val="clear" w:color="auto" w:fill="auto"/>
            <w:noWrap/>
            <w:vAlign w:val="center"/>
            <w:hideMark/>
          </w:tcPr>
          <w:p w14:paraId="22175949"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231,705,634,000</w:t>
            </w:r>
          </w:p>
        </w:tc>
        <w:tc>
          <w:tcPr>
            <w:tcW w:w="1720" w:type="dxa"/>
            <w:tcBorders>
              <w:top w:val="nil"/>
              <w:left w:val="nil"/>
              <w:bottom w:val="single" w:sz="4" w:space="0" w:color="auto"/>
              <w:right w:val="single" w:sz="4" w:space="0" w:color="auto"/>
            </w:tcBorders>
            <w:shd w:val="clear" w:color="auto" w:fill="auto"/>
            <w:noWrap/>
            <w:vAlign w:val="center"/>
            <w:hideMark/>
          </w:tcPr>
          <w:p w14:paraId="74C9111F"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5,230,686,484</w:t>
            </w:r>
          </w:p>
        </w:tc>
      </w:tr>
      <w:tr w:rsidR="00117702" w:rsidRPr="00117702" w14:paraId="0C52DFE7" w14:textId="77777777" w:rsidTr="00117702">
        <w:trPr>
          <w:trHeight w:val="46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5D4680E1"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44</w:t>
            </w:r>
          </w:p>
        </w:tc>
        <w:tc>
          <w:tcPr>
            <w:tcW w:w="900" w:type="dxa"/>
            <w:tcBorders>
              <w:top w:val="nil"/>
              <w:left w:val="nil"/>
              <w:bottom w:val="single" w:sz="4" w:space="0" w:color="auto"/>
              <w:right w:val="single" w:sz="4" w:space="0" w:color="auto"/>
            </w:tcBorders>
            <w:shd w:val="clear" w:color="auto" w:fill="auto"/>
            <w:noWrap/>
            <w:vAlign w:val="center"/>
            <w:hideMark/>
          </w:tcPr>
          <w:p w14:paraId="74CB31DE"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900366010</w:t>
            </w:r>
          </w:p>
        </w:tc>
        <w:tc>
          <w:tcPr>
            <w:tcW w:w="3660" w:type="dxa"/>
            <w:tcBorders>
              <w:top w:val="nil"/>
              <w:left w:val="nil"/>
              <w:bottom w:val="single" w:sz="4" w:space="0" w:color="auto"/>
              <w:right w:val="single" w:sz="4" w:space="0" w:color="auto"/>
            </w:tcBorders>
            <w:shd w:val="clear" w:color="auto" w:fill="auto"/>
            <w:vAlign w:val="center"/>
            <w:hideMark/>
          </w:tcPr>
          <w:p w14:paraId="324514B3"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COMPAÑIA ENERGETICA DE OCCIDENTE S.A.S.  E.S.P.</w:t>
            </w:r>
          </w:p>
        </w:tc>
        <w:tc>
          <w:tcPr>
            <w:tcW w:w="800" w:type="dxa"/>
            <w:tcBorders>
              <w:top w:val="nil"/>
              <w:left w:val="nil"/>
              <w:bottom w:val="single" w:sz="4" w:space="0" w:color="auto"/>
              <w:right w:val="single" w:sz="4" w:space="0" w:color="auto"/>
            </w:tcBorders>
            <w:shd w:val="clear" w:color="auto" w:fill="auto"/>
            <w:noWrap/>
            <w:vAlign w:val="center"/>
            <w:hideMark/>
          </w:tcPr>
          <w:p w14:paraId="1F37E508"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Energia</w:t>
            </w:r>
          </w:p>
        </w:tc>
        <w:tc>
          <w:tcPr>
            <w:tcW w:w="1660" w:type="dxa"/>
            <w:tcBorders>
              <w:top w:val="nil"/>
              <w:left w:val="nil"/>
              <w:bottom w:val="single" w:sz="4" w:space="0" w:color="auto"/>
              <w:right w:val="single" w:sz="4" w:space="0" w:color="auto"/>
            </w:tcBorders>
            <w:shd w:val="clear" w:color="auto" w:fill="auto"/>
            <w:noWrap/>
            <w:vAlign w:val="center"/>
            <w:hideMark/>
          </w:tcPr>
          <w:p w14:paraId="3E5A1AC1"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361,085,692,053</w:t>
            </w:r>
          </w:p>
        </w:tc>
        <w:tc>
          <w:tcPr>
            <w:tcW w:w="1720" w:type="dxa"/>
            <w:tcBorders>
              <w:top w:val="nil"/>
              <w:left w:val="nil"/>
              <w:bottom w:val="single" w:sz="4" w:space="0" w:color="auto"/>
              <w:right w:val="single" w:sz="4" w:space="0" w:color="auto"/>
            </w:tcBorders>
            <w:shd w:val="clear" w:color="auto" w:fill="auto"/>
            <w:noWrap/>
            <w:vAlign w:val="center"/>
            <w:hideMark/>
          </w:tcPr>
          <w:p w14:paraId="21C13675"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22,577,918,491</w:t>
            </w:r>
          </w:p>
        </w:tc>
      </w:tr>
      <w:tr w:rsidR="00117702" w:rsidRPr="00117702" w14:paraId="4856E0EC"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626459A3"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45</w:t>
            </w:r>
          </w:p>
        </w:tc>
        <w:tc>
          <w:tcPr>
            <w:tcW w:w="900" w:type="dxa"/>
            <w:tcBorders>
              <w:top w:val="nil"/>
              <w:left w:val="nil"/>
              <w:bottom w:val="single" w:sz="4" w:space="0" w:color="auto"/>
              <w:right w:val="single" w:sz="4" w:space="0" w:color="auto"/>
            </w:tcBorders>
            <w:shd w:val="clear" w:color="auto" w:fill="auto"/>
            <w:noWrap/>
            <w:vAlign w:val="center"/>
            <w:hideMark/>
          </w:tcPr>
          <w:p w14:paraId="3ECFAF50"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815001901</w:t>
            </w:r>
          </w:p>
        </w:tc>
        <w:tc>
          <w:tcPr>
            <w:tcW w:w="3660" w:type="dxa"/>
            <w:tcBorders>
              <w:top w:val="nil"/>
              <w:left w:val="nil"/>
              <w:bottom w:val="single" w:sz="4" w:space="0" w:color="auto"/>
              <w:right w:val="single" w:sz="4" w:space="0" w:color="auto"/>
            </w:tcBorders>
            <w:shd w:val="clear" w:color="auto" w:fill="auto"/>
            <w:vAlign w:val="center"/>
            <w:hideMark/>
          </w:tcPr>
          <w:p w14:paraId="40855585"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DICELER S.A E.S.P.</w:t>
            </w:r>
          </w:p>
        </w:tc>
        <w:tc>
          <w:tcPr>
            <w:tcW w:w="800" w:type="dxa"/>
            <w:tcBorders>
              <w:top w:val="nil"/>
              <w:left w:val="nil"/>
              <w:bottom w:val="single" w:sz="4" w:space="0" w:color="auto"/>
              <w:right w:val="single" w:sz="4" w:space="0" w:color="auto"/>
            </w:tcBorders>
            <w:shd w:val="clear" w:color="auto" w:fill="auto"/>
            <w:noWrap/>
            <w:vAlign w:val="center"/>
            <w:hideMark/>
          </w:tcPr>
          <w:p w14:paraId="562EB7C4"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Energia</w:t>
            </w:r>
          </w:p>
        </w:tc>
        <w:tc>
          <w:tcPr>
            <w:tcW w:w="1660" w:type="dxa"/>
            <w:tcBorders>
              <w:top w:val="nil"/>
              <w:left w:val="nil"/>
              <w:bottom w:val="single" w:sz="4" w:space="0" w:color="auto"/>
              <w:right w:val="single" w:sz="4" w:space="0" w:color="auto"/>
            </w:tcBorders>
            <w:shd w:val="clear" w:color="auto" w:fill="auto"/>
            <w:noWrap/>
            <w:vAlign w:val="center"/>
            <w:hideMark/>
          </w:tcPr>
          <w:p w14:paraId="594CBBFC"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1,386,463,000</w:t>
            </w:r>
          </w:p>
        </w:tc>
        <w:tc>
          <w:tcPr>
            <w:tcW w:w="1720" w:type="dxa"/>
            <w:tcBorders>
              <w:top w:val="nil"/>
              <w:left w:val="nil"/>
              <w:bottom w:val="single" w:sz="4" w:space="0" w:color="auto"/>
              <w:right w:val="single" w:sz="4" w:space="0" w:color="auto"/>
            </w:tcBorders>
            <w:shd w:val="clear" w:color="auto" w:fill="auto"/>
            <w:noWrap/>
            <w:vAlign w:val="center"/>
            <w:hideMark/>
          </w:tcPr>
          <w:p w14:paraId="6FD48DF5"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363,998,554</w:t>
            </w:r>
          </w:p>
        </w:tc>
      </w:tr>
      <w:tr w:rsidR="00117702" w:rsidRPr="00117702" w14:paraId="5F4C1077"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47FF8D62"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46</w:t>
            </w:r>
          </w:p>
        </w:tc>
        <w:tc>
          <w:tcPr>
            <w:tcW w:w="900" w:type="dxa"/>
            <w:tcBorders>
              <w:top w:val="nil"/>
              <w:left w:val="nil"/>
              <w:bottom w:val="single" w:sz="4" w:space="0" w:color="auto"/>
              <w:right w:val="single" w:sz="4" w:space="0" w:color="auto"/>
            </w:tcBorders>
            <w:shd w:val="clear" w:color="auto" w:fill="auto"/>
            <w:noWrap/>
            <w:vAlign w:val="center"/>
            <w:hideMark/>
          </w:tcPr>
          <w:p w14:paraId="31DFC5AA"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830055402</w:t>
            </w:r>
          </w:p>
        </w:tc>
        <w:tc>
          <w:tcPr>
            <w:tcW w:w="3660" w:type="dxa"/>
            <w:tcBorders>
              <w:top w:val="nil"/>
              <w:left w:val="nil"/>
              <w:bottom w:val="single" w:sz="4" w:space="0" w:color="auto"/>
              <w:right w:val="single" w:sz="4" w:space="0" w:color="auto"/>
            </w:tcBorders>
            <w:shd w:val="clear" w:color="auto" w:fill="auto"/>
            <w:vAlign w:val="center"/>
            <w:hideMark/>
          </w:tcPr>
          <w:p w14:paraId="70AED529"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DINAGAS S.A. E.S.P.</w:t>
            </w:r>
          </w:p>
        </w:tc>
        <w:tc>
          <w:tcPr>
            <w:tcW w:w="800" w:type="dxa"/>
            <w:tcBorders>
              <w:top w:val="nil"/>
              <w:left w:val="nil"/>
              <w:bottom w:val="single" w:sz="4" w:space="0" w:color="auto"/>
              <w:right w:val="single" w:sz="4" w:space="0" w:color="auto"/>
            </w:tcBorders>
            <w:shd w:val="clear" w:color="auto" w:fill="auto"/>
            <w:noWrap/>
            <w:vAlign w:val="center"/>
            <w:hideMark/>
          </w:tcPr>
          <w:p w14:paraId="7E346DE4"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GasNatural</w:t>
            </w:r>
          </w:p>
        </w:tc>
        <w:tc>
          <w:tcPr>
            <w:tcW w:w="1660" w:type="dxa"/>
            <w:tcBorders>
              <w:top w:val="nil"/>
              <w:left w:val="nil"/>
              <w:bottom w:val="single" w:sz="4" w:space="0" w:color="auto"/>
              <w:right w:val="single" w:sz="4" w:space="0" w:color="auto"/>
            </w:tcBorders>
            <w:shd w:val="clear" w:color="auto" w:fill="auto"/>
            <w:noWrap/>
            <w:vAlign w:val="center"/>
            <w:hideMark/>
          </w:tcPr>
          <w:p w14:paraId="3C68C887"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66,353,613,000</w:t>
            </w:r>
          </w:p>
        </w:tc>
        <w:tc>
          <w:tcPr>
            <w:tcW w:w="1720" w:type="dxa"/>
            <w:tcBorders>
              <w:top w:val="nil"/>
              <w:left w:val="nil"/>
              <w:bottom w:val="single" w:sz="4" w:space="0" w:color="auto"/>
              <w:right w:val="single" w:sz="4" w:space="0" w:color="auto"/>
            </w:tcBorders>
            <w:shd w:val="clear" w:color="auto" w:fill="auto"/>
            <w:noWrap/>
            <w:vAlign w:val="center"/>
            <w:hideMark/>
          </w:tcPr>
          <w:p w14:paraId="1AE1B0E5"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3,612,703,401</w:t>
            </w:r>
          </w:p>
        </w:tc>
      </w:tr>
      <w:tr w:rsidR="00117702" w:rsidRPr="00117702" w14:paraId="0D765901"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042085D1"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47</w:t>
            </w:r>
          </w:p>
        </w:tc>
        <w:tc>
          <w:tcPr>
            <w:tcW w:w="900" w:type="dxa"/>
            <w:tcBorders>
              <w:top w:val="nil"/>
              <w:left w:val="nil"/>
              <w:bottom w:val="single" w:sz="4" w:space="0" w:color="auto"/>
              <w:right w:val="single" w:sz="4" w:space="0" w:color="auto"/>
            </w:tcBorders>
            <w:shd w:val="clear" w:color="auto" w:fill="auto"/>
            <w:noWrap/>
            <w:vAlign w:val="center"/>
            <w:hideMark/>
          </w:tcPr>
          <w:p w14:paraId="6EBA5B92"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807001845</w:t>
            </w:r>
          </w:p>
        </w:tc>
        <w:tc>
          <w:tcPr>
            <w:tcW w:w="3660" w:type="dxa"/>
            <w:tcBorders>
              <w:top w:val="nil"/>
              <w:left w:val="nil"/>
              <w:bottom w:val="single" w:sz="4" w:space="0" w:color="auto"/>
              <w:right w:val="single" w:sz="4" w:space="0" w:color="auto"/>
            </w:tcBorders>
            <w:shd w:val="clear" w:color="auto" w:fill="auto"/>
            <w:vAlign w:val="center"/>
            <w:hideMark/>
          </w:tcPr>
          <w:p w14:paraId="7E57D62A"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DISTASA S.A. E.S.P.</w:t>
            </w:r>
          </w:p>
        </w:tc>
        <w:tc>
          <w:tcPr>
            <w:tcW w:w="800" w:type="dxa"/>
            <w:tcBorders>
              <w:top w:val="nil"/>
              <w:left w:val="nil"/>
              <w:bottom w:val="single" w:sz="4" w:space="0" w:color="auto"/>
              <w:right w:val="single" w:sz="4" w:space="0" w:color="auto"/>
            </w:tcBorders>
            <w:shd w:val="clear" w:color="auto" w:fill="auto"/>
            <w:noWrap/>
            <w:vAlign w:val="center"/>
            <w:hideMark/>
          </w:tcPr>
          <w:p w14:paraId="0ABFF947"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Energia</w:t>
            </w:r>
          </w:p>
        </w:tc>
        <w:tc>
          <w:tcPr>
            <w:tcW w:w="1660" w:type="dxa"/>
            <w:tcBorders>
              <w:top w:val="nil"/>
              <w:left w:val="nil"/>
              <w:bottom w:val="single" w:sz="4" w:space="0" w:color="auto"/>
              <w:right w:val="single" w:sz="4" w:space="0" w:color="auto"/>
            </w:tcBorders>
            <w:shd w:val="clear" w:color="auto" w:fill="auto"/>
            <w:noWrap/>
            <w:vAlign w:val="center"/>
            <w:hideMark/>
          </w:tcPr>
          <w:p w14:paraId="01CAE18D"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5,209,482,438</w:t>
            </w:r>
          </w:p>
        </w:tc>
        <w:tc>
          <w:tcPr>
            <w:tcW w:w="1720" w:type="dxa"/>
            <w:tcBorders>
              <w:top w:val="nil"/>
              <w:left w:val="nil"/>
              <w:bottom w:val="single" w:sz="4" w:space="0" w:color="auto"/>
              <w:right w:val="single" w:sz="4" w:space="0" w:color="auto"/>
            </w:tcBorders>
            <w:shd w:val="clear" w:color="auto" w:fill="auto"/>
            <w:noWrap/>
            <w:vAlign w:val="center"/>
            <w:hideMark/>
          </w:tcPr>
          <w:p w14:paraId="5F3BA002"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2,199,272,287</w:t>
            </w:r>
          </w:p>
        </w:tc>
      </w:tr>
      <w:tr w:rsidR="00117702" w:rsidRPr="00117702" w14:paraId="30DD50F4"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1041318A"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48</w:t>
            </w:r>
          </w:p>
        </w:tc>
        <w:tc>
          <w:tcPr>
            <w:tcW w:w="900" w:type="dxa"/>
            <w:tcBorders>
              <w:top w:val="nil"/>
              <w:left w:val="nil"/>
              <w:bottom w:val="single" w:sz="4" w:space="0" w:color="auto"/>
              <w:right w:val="single" w:sz="4" w:space="0" w:color="auto"/>
            </w:tcBorders>
            <w:shd w:val="clear" w:color="auto" w:fill="auto"/>
            <w:noWrap/>
            <w:vAlign w:val="center"/>
            <w:hideMark/>
          </w:tcPr>
          <w:p w14:paraId="30163B1F"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830046209</w:t>
            </w:r>
          </w:p>
        </w:tc>
        <w:tc>
          <w:tcPr>
            <w:tcW w:w="3660" w:type="dxa"/>
            <w:tcBorders>
              <w:top w:val="nil"/>
              <w:left w:val="nil"/>
              <w:bottom w:val="single" w:sz="4" w:space="0" w:color="auto"/>
              <w:right w:val="single" w:sz="4" w:space="0" w:color="auto"/>
            </w:tcBorders>
            <w:shd w:val="clear" w:color="auto" w:fill="auto"/>
            <w:vAlign w:val="center"/>
            <w:hideMark/>
          </w:tcPr>
          <w:p w14:paraId="5FE6F2BF"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DISTRIBUIDORA CENTRAL DE GAS SA ESP</w:t>
            </w:r>
          </w:p>
        </w:tc>
        <w:tc>
          <w:tcPr>
            <w:tcW w:w="800" w:type="dxa"/>
            <w:tcBorders>
              <w:top w:val="nil"/>
              <w:left w:val="nil"/>
              <w:bottom w:val="single" w:sz="4" w:space="0" w:color="auto"/>
              <w:right w:val="single" w:sz="4" w:space="0" w:color="auto"/>
            </w:tcBorders>
            <w:shd w:val="clear" w:color="auto" w:fill="auto"/>
            <w:noWrap/>
            <w:vAlign w:val="center"/>
            <w:hideMark/>
          </w:tcPr>
          <w:p w14:paraId="39FB651A"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GLP</w:t>
            </w:r>
          </w:p>
        </w:tc>
        <w:tc>
          <w:tcPr>
            <w:tcW w:w="1660" w:type="dxa"/>
            <w:tcBorders>
              <w:top w:val="nil"/>
              <w:left w:val="nil"/>
              <w:bottom w:val="single" w:sz="4" w:space="0" w:color="auto"/>
              <w:right w:val="single" w:sz="4" w:space="0" w:color="auto"/>
            </w:tcBorders>
            <w:shd w:val="clear" w:color="auto" w:fill="auto"/>
            <w:noWrap/>
            <w:vAlign w:val="center"/>
            <w:hideMark/>
          </w:tcPr>
          <w:p w14:paraId="7C625681"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3,202,171,578</w:t>
            </w:r>
          </w:p>
        </w:tc>
        <w:tc>
          <w:tcPr>
            <w:tcW w:w="1720" w:type="dxa"/>
            <w:tcBorders>
              <w:top w:val="nil"/>
              <w:left w:val="nil"/>
              <w:bottom w:val="single" w:sz="4" w:space="0" w:color="auto"/>
              <w:right w:val="single" w:sz="4" w:space="0" w:color="auto"/>
            </w:tcBorders>
            <w:shd w:val="clear" w:color="auto" w:fill="auto"/>
            <w:noWrap/>
            <w:vAlign w:val="center"/>
            <w:hideMark/>
          </w:tcPr>
          <w:p w14:paraId="639D9EAD"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477,606,552</w:t>
            </w:r>
          </w:p>
        </w:tc>
      </w:tr>
      <w:tr w:rsidR="00117702" w:rsidRPr="00117702" w14:paraId="0E87D672" w14:textId="77777777" w:rsidTr="00117702">
        <w:trPr>
          <w:trHeight w:val="46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35776F04"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49</w:t>
            </w:r>
          </w:p>
        </w:tc>
        <w:tc>
          <w:tcPr>
            <w:tcW w:w="900" w:type="dxa"/>
            <w:tcBorders>
              <w:top w:val="nil"/>
              <w:left w:val="nil"/>
              <w:bottom w:val="single" w:sz="4" w:space="0" w:color="auto"/>
              <w:right w:val="single" w:sz="4" w:space="0" w:color="auto"/>
            </w:tcBorders>
            <w:shd w:val="clear" w:color="auto" w:fill="auto"/>
            <w:noWrap/>
            <w:vAlign w:val="center"/>
            <w:hideMark/>
          </w:tcPr>
          <w:p w14:paraId="41EAC624"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900428208</w:t>
            </w:r>
          </w:p>
        </w:tc>
        <w:tc>
          <w:tcPr>
            <w:tcW w:w="3660" w:type="dxa"/>
            <w:tcBorders>
              <w:top w:val="nil"/>
              <w:left w:val="nil"/>
              <w:bottom w:val="single" w:sz="4" w:space="0" w:color="auto"/>
              <w:right w:val="single" w:sz="4" w:space="0" w:color="auto"/>
            </w:tcBorders>
            <w:shd w:val="clear" w:color="auto" w:fill="auto"/>
            <w:vAlign w:val="center"/>
            <w:hideMark/>
          </w:tcPr>
          <w:p w14:paraId="66C03D2D"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DISTRIBUIDORA DE GAS DEL PACIFICO DIGAS SAS ESP</w:t>
            </w:r>
          </w:p>
        </w:tc>
        <w:tc>
          <w:tcPr>
            <w:tcW w:w="800" w:type="dxa"/>
            <w:tcBorders>
              <w:top w:val="nil"/>
              <w:left w:val="nil"/>
              <w:bottom w:val="single" w:sz="4" w:space="0" w:color="auto"/>
              <w:right w:val="single" w:sz="4" w:space="0" w:color="auto"/>
            </w:tcBorders>
            <w:shd w:val="clear" w:color="auto" w:fill="auto"/>
            <w:noWrap/>
            <w:vAlign w:val="center"/>
            <w:hideMark/>
          </w:tcPr>
          <w:p w14:paraId="77F7C8FA"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GLP</w:t>
            </w:r>
          </w:p>
        </w:tc>
        <w:tc>
          <w:tcPr>
            <w:tcW w:w="1660" w:type="dxa"/>
            <w:tcBorders>
              <w:top w:val="nil"/>
              <w:left w:val="nil"/>
              <w:bottom w:val="single" w:sz="4" w:space="0" w:color="auto"/>
              <w:right w:val="single" w:sz="4" w:space="0" w:color="auto"/>
            </w:tcBorders>
            <w:shd w:val="clear" w:color="auto" w:fill="auto"/>
            <w:noWrap/>
            <w:vAlign w:val="center"/>
            <w:hideMark/>
          </w:tcPr>
          <w:p w14:paraId="77E612A8"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6,918,663,000</w:t>
            </w:r>
          </w:p>
        </w:tc>
        <w:tc>
          <w:tcPr>
            <w:tcW w:w="1720" w:type="dxa"/>
            <w:tcBorders>
              <w:top w:val="nil"/>
              <w:left w:val="nil"/>
              <w:bottom w:val="single" w:sz="4" w:space="0" w:color="auto"/>
              <w:right w:val="single" w:sz="4" w:space="0" w:color="auto"/>
            </w:tcBorders>
            <w:shd w:val="clear" w:color="auto" w:fill="auto"/>
            <w:noWrap/>
            <w:vAlign w:val="center"/>
            <w:hideMark/>
          </w:tcPr>
          <w:p w14:paraId="5066B057"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1,314,316,021</w:t>
            </w:r>
          </w:p>
        </w:tc>
      </w:tr>
      <w:tr w:rsidR="00117702" w:rsidRPr="00117702" w14:paraId="2AC7B8AF"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0C3A88EB"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lastRenderedPageBreak/>
              <w:t>50</w:t>
            </w:r>
          </w:p>
        </w:tc>
        <w:tc>
          <w:tcPr>
            <w:tcW w:w="900" w:type="dxa"/>
            <w:tcBorders>
              <w:top w:val="nil"/>
              <w:left w:val="nil"/>
              <w:bottom w:val="single" w:sz="4" w:space="0" w:color="auto"/>
              <w:right w:val="single" w:sz="4" w:space="0" w:color="auto"/>
            </w:tcBorders>
            <w:shd w:val="clear" w:color="auto" w:fill="auto"/>
            <w:noWrap/>
            <w:vAlign w:val="center"/>
            <w:hideMark/>
          </w:tcPr>
          <w:p w14:paraId="3CA34702"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834001051</w:t>
            </w:r>
          </w:p>
        </w:tc>
        <w:tc>
          <w:tcPr>
            <w:tcW w:w="3660" w:type="dxa"/>
            <w:tcBorders>
              <w:top w:val="nil"/>
              <w:left w:val="nil"/>
              <w:bottom w:val="single" w:sz="4" w:space="0" w:color="auto"/>
              <w:right w:val="single" w:sz="4" w:space="0" w:color="auto"/>
            </w:tcBorders>
            <w:shd w:val="clear" w:color="auto" w:fill="auto"/>
            <w:vAlign w:val="center"/>
            <w:hideMark/>
          </w:tcPr>
          <w:p w14:paraId="5EE7F4F0"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DISTRIBUIDORA DE GAS MONZAGAS S.A. E.S.P.</w:t>
            </w:r>
          </w:p>
        </w:tc>
        <w:tc>
          <w:tcPr>
            <w:tcW w:w="800" w:type="dxa"/>
            <w:tcBorders>
              <w:top w:val="nil"/>
              <w:left w:val="nil"/>
              <w:bottom w:val="single" w:sz="4" w:space="0" w:color="auto"/>
              <w:right w:val="single" w:sz="4" w:space="0" w:color="auto"/>
            </w:tcBorders>
            <w:shd w:val="clear" w:color="auto" w:fill="auto"/>
            <w:noWrap/>
            <w:vAlign w:val="center"/>
            <w:hideMark/>
          </w:tcPr>
          <w:p w14:paraId="03AC7388"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GLP</w:t>
            </w:r>
          </w:p>
        </w:tc>
        <w:tc>
          <w:tcPr>
            <w:tcW w:w="1660" w:type="dxa"/>
            <w:tcBorders>
              <w:top w:val="nil"/>
              <w:left w:val="nil"/>
              <w:bottom w:val="single" w:sz="4" w:space="0" w:color="auto"/>
              <w:right w:val="single" w:sz="4" w:space="0" w:color="auto"/>
            </w:tcBorders>
            <w:shd w:val="clear" w:color="auto" w:fill="auto"/>
            <w:noWrap/>
            <w:vAlign w:val="center"/>
            <w:hideMark/>
          </w:tcPr>
          <w:p w14:paraId="09D8E1CE"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2,434,204,333</w:t>
            </w:r>
          </w:p>
        </w:tc>
        <w:tc>
          <w:tcPr>
            <w:tcW w:w="1720" w:type="dxa"/>
            <w:tcBorders>
              <w:top w:val="nil"/>
              <w:left w:val="nil"/>
              <w:bottom w:val="single" w:sz="4" w:space="0" w:color="auto"/>
              <w:right w:val="single" w:sz="4" w:space="0" w:color="auto"/>
            </w:tcBorders>
            <w:shd w:val="clear" w:color="auto" w:fill="auto"/>
            <w:noWrap/>
            <w:vAlign w:val="center"/>
            <w:hideMark/>
          </w:tcPr>
          <w:p w14:paraId="605B548E"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107,354,487</w:t>
            </w:r>
          </w:p>
        </w:tc>
      </w:tr>
      <w:tr w:rsidR="00117702" w:rsidRPr="00117702" w14:paraId="7E99FB95" w14:textId="77777777" w:rsidTr="00117702">
        <w:trPr>
          <w:trHeight w:val="46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4B04D708"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51</w:t>
            </w:r>
          </w:p>
        </w:tc>
        <w:tc>
          <w:tcPr>
            <w:tcW w:w="900" w:type="dxa"/>
            <w:tcBorders>
              <w:top w:val="nil"/>
              <w:left w:val="nil"/>
              <w:bottom w:val="single" w:sz="4" w:space="0" w:color="auto"/>
              <w:right w:val="single" w:sz="4" w:space="0" w:color="auto"/>
            </w:tcBorders>
            <w:shd w:val="clear" w:color="auto" w:fill="auto"/>
            <w:noWrap/>
            <w:vAlign w:val="center"/>
            <w:hideMark/>
          </w:tcPr>
          <w:p w14:paraId="13BA365C"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815000896</w:t>
            </w:r>
          </w:p>
        </w:tc>
        <w:tc>
          <w:tcPr>
            <w:tcW w:w="3660" w:type="dxa"/>
            <w:tcBorders>
              <w:top w:val="nil"/>
              <w:left w:val="nil"/>
              <w:bottom w:val="single" w:sz="4" w:space="0" w:color="auto"/>
              <w:right w:val="single" w:sz="4" w:space="0" w:color="auto"/>
            </w:tcBorders>
            <w:shd w:val="clear" w:color="auto" w:fill="auto"/>
            <w:vAlign w:val="center"/>
            <w:hideMark/>
          </w:tcPr>
          <w:p w14:paraId="69C422D6"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DISTRIBUIDORA Y COMERCIALIZADORA DE ENERGIA ELECTRICA S.A. E.S.P.</w:t>
            </w:r>
          </w:p>
        </w:tc>
        <w:tc>
          <w:tcPr>
            <w:tcW w:w="800" w:type="dxa"/>
            <w:tcBorders>
              <w:top w:val="nil"/>
              <w:left w:val="nil"/>
              <w:bottom w:val="single" w:sz="4" w:space="0" w:color="auto"/>
              <w:right w:val="single" w:sz="4" w:space="0" w:color="auto"/>
            </w:tcBorders>
            <w:shd w:val="clear" w:color="auto" w:fill="auto"/>
            <w:noWrap/>
            <w:vAlign w:val="center"/>
            <w:hideMark/>
          </w:tcPr>
          <w:p w14:paraId="24796D85"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Energia</w:t>
            </w:r>
          </w:p>
        </w:tc>
        <w:tc>
          <w:tcPr>
            <w:tcW w:w="1660" w:type="dxa"/>
            <w:tcBorders>
              <w:top w:val="nil"/>
              <w:left w:val="nil"/>
              <w:bottom w:val="single" w:sz="4" w:space="0" w:color="auto"/>
              <w:right w:val="single" w:sz="4" w:space="0" w:color="auto"/>
            </w:tcBorders>
            <w:shd w:val="clear" w:color="auto" w:fill="auto"/>
            <w:noWrap/>
            <w:vAlign w:val="center"/>
            <w:hideMark/>
          </w:tcPr>
          <w:p w14:paraId="616B51DE"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50,205,918,000</w:t>
            </w:r>
          </w:p>
        </w:tc>
        <w:tc>
          <w:tcPr>
            <w:tcW w:w="1720" w:type="dxa"/>
            <w:tcBorders>
              <w:top w:val="nil"/>
              <w:left w:val="nil"/>
              <w:bottom w:val="single" w:sz="4" w:space="0" w:color="auto"/>
              <w:right w:val="single" w:sz="4" w:space="0" w:color="auto"/>
            </w:tcBorders>
            <w:shd w:val="clear" w:color="auto" w:fill="auto"/>
            <w:noWrap/>
            <w:vAlign w:val="center"/>
            <w:hideMark/>
          </w:tcPr>
          <w:p w14:paraId="6D30A795"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3,442,783,884</w:t>
            </w:r>
          </w:p>
        </w:tc>
      </w:tr>
      <w:tr w:rsidR="00117702" w:rsidRPr="00117702" w14:paraId="2AE96EA8"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74557817"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52</w:t>
            </w:r>
          </w:p>
        </w:tc>
        <w:tc>
          <w:tcPr>
            <w:tcW w:w="900" w:type="dxa"/>
            <w:tcBorders>
              <w:top w:val="nil"/>
              <w:left w:val="nil"/>
              <w:bottom w:val="single" w:sz="4" w:space="0" w:color="auto"/>
              <w:right w:val="single" w:sz="4" w:space="0" w:color="auto"/>
            </w:tcBorders>
            <w:shd w:val="clear" w:color="auto" w:fill="auto"/>
            <w:noWrap/>
            <w:vAlign w:val="center"/>
            <w:hideMark/>
          </w:tcPr>
          <w:p w14:paraId="0DECF907"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802025052</w:t>
            </w:r>
          </w:p>
        </w:tc>
        <w:tc>
          <w:tcPr>
            <w:tcW w:w="3660" w:type="dxa"/>
            <w:tcBorders>
              <w:top w:val="nil"/>
              <w:left w:val="nil"/>
              <w:bottom w:val="single" w:sz="4" w:space="0" w:color="auto"/>
              <w:right w:val="single" w:sz="4" w:space="0" w:color="auto"/>
            </w:tcBorders>
            <w:shd w:val="clear" w:color="auto" w:fill="auto"/>
            <w:vAlign w:val="center"/>
            <w:hideMark/>
          </w:tcPr>
          <w:p w14:paraId="571A3FF5"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E2 ENERGIA EFICIENTE S.A. E.S.P.</w:t>
            </w:r>
          </w:p>
        </w:tc>
        <w:tc>
          <w:tcPr>
            <w:tcW w:w="800" w:type="dxa"/>
            <w:tcBorders>
              <w:top w:val="nil"/>
              <w:left w:val="nil"/>
              <w:bottom w:val="single" w:sz="4" w:space="0" w:color="auto"/>
              <w:right w:val="single" w:sz="4" w:space="0" w:color="auto"/>
            </w:tcBorders>
            <w:shd w:val="clear" w:color="auto" w:fill="auto"/>
            <w:noWrap/>
            <w:vAlign w:val="center"/>
            <w:hideMark/>
          </w:tcPr>
          <w:p w14:paraId="25147F9C"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GasNatural</w:t>
            </w:r>
          </w:p>
        </w:tc>
        <w:tc>
          <w:tcPr>
            <w:tcW w:w="1660" w:type="dxa"/>
            <w:tcBorders>
              <w:top w:val="nil"/>
              <w:left w:val="nil"/>
              <w:bottom w:val="single" w:sz="4" w:space="0" w:color="auto"/>
              <w:right w:val="single" w:sz="4" w:space="0" w:color="auto"/>
            </w:tcBorders>
            <w:shd w:val="clear" w:color="auto" w:fill="auto"/>
            <w:noWrap/>
            <w:vAlign w:val="center"/>
            <w:hideMark/>
          </w:tcPr>
          <w:p w14:paraId="1E7042D7"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252,971,974,360</w:t>
            </w:r>
          </w:p>
        </w:tc>
        <w:tc>
          <w:tcPr>
            <w:tcW w:w="1720" w:type="dxa"/>
            <w:tcBorders>
              <w:top w:val="nil"/>
              <w:left w:val="nil"/>
              <w:bottom w:val="single" w:sz="4" w:space="0" w:color="auto"/>
              <w:right w:val="single" w:sz="4" w:space="0" w:color="auto"/>
            </w:tcBorders>
            <w:shd w:val="clear" w:color="auto" w:fill="auto"/>
            <w:noWrap/>
            <w:vAlign w:val="center"/>
            <w:hideMark/>
          </w:tcPr>
          <w:p w14:paraId="53C0EA4D"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2,228,335,985</w:t>
            </w:r>
          </w:p>
        </w:tc>
      </w:tr>
      <w:tr w:rsidR="00117702" w:rsidRPr="00117702" w14:paraId="36BA6C65"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5846DEF9"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53</w:t>
            </w:r>
          </w:p>
        </w:tc>
        <w:tc>
          <w:tcPr>
            <w:tcW w:w="900" w:type="dxa"/>
            <w:tcBorders>
              <w:top w:val="nil"/>
              <w:left w:val="nil"/>
              <w:bottom w:val="single" w:sz="4" w:space="0" w:color="auto"/>
              <w:right w:val="single" w:sz="4" w:space="0" w:color="auto"/>
            </w:tcBorders>
            <w:shd w:val="clear" w:color="auto" w:fill="auto"/>
            <w:noWrap/>
            <w:vAlign w:val="center"/>
            <w:hideMark/>
          </w:tcPr>
          <w:p w14:paraId="31E4DC49"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900499252</w:t>
            </w:r>
          </w:p>
        </w:tc>
        <w:tc>
          <w:tcPr>
            <w:tcW w:w="3660" w:type="dxa"/>
            <w:tcBorders>
              <w:top w:val="nil"/>
              <w:left w:val="nil"/>
              <w:bottom w:val="single" w:sz="4" w:space="0" w:color="auto"/>
              <w:right w:val="single" w:sz="4" w:space="0" w:color="auto"/>
            </w:tcBorders>
            <w:shd w:val="clear" w:color="auto" w:fill="auto"/>
            <w:vAlign w:val="center"/>
            <w:hideMark/>
          </w:tcPr>
          <w:p w14:paraId="33E3B097"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ECOMMERCIAL SAS ESP</w:t>
            </w:r>
          </w:p>
        </w:tc>
        <w:tc>
          <w:tcPr>
            <w:tcW w:w="800" w:type="dxa"/>
            <w:tcBorders>
              <w:top w:val="nil"/>
              <w:left w:val="nil"/>
              <w:bottom w:val="single" w:sz="4" w:space="0" w:color="auto"/>
              <w:right w:val="single" w:sz="4" w:space="0" w:color="auto"/>
            </w:tcBorders>
            <w:shd w:val="clear" w:color="auto" w:fill="auto"/>
            <w:noWrap/>
            <w:vAlign w:val="center"/>
            <w:hideMark/>
          </w:tcPr>
          <w:p w14:paraId="40FA630D"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Energia</w:t>
            </w:r>
          </w:p>
        </w:tc>
        <w:tc>
          <w:tcPr>
            <w:tcW w:w="1660" w:type="dxa"/>
            <w:tcBorders>
              <w:top w:val="nil"/>
              <w:left w:val="nil"/>
              <w:bottom w:val="single" w:sz="4" w:space="0" w:color="auto"/>
              <w:right w:val="single" w:sz="4" w:space="0" w:color="auto"/>
            </w:tcBorders>
            <w:shd w:val="clear" w:color="auto" w:fill="auto"/>
            <w:noWrap/>
            <w:vAlign w:val="center"/>
            <w:hideMark/>
          </w:tcPr>
          <w:p w14:paraId="60B6CD87"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2,776,408,000</w:t>
            </w:r>
          </w:p>
        </w:tc>
        <w:tc>
          <w:tcPr>
            <w:tcW w:w="1720" w:type="dxa"/>
            <w:tcBorders>
              <w:top w:val="nil"/>
              <w:left w:val="nil"/>
              <w:bottom w:val="single" w:sz="4" w:space="0" w:color="auto"/>
              <w:right w:val="single" w:sz="4" w:space="0" w:color="auto"/>
            </w:tcBorders>
            <w:shd w:val="clear" w:color="auto" w:fill="auto"/>
            <w:noWrap/>
            <w:vAlign w:val="center"/>
            <w:hideMark/>
          </w:tcPr>
          <w:p w14:paraId="5FF78BC8"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778,071,172</w:t>
            </w:r>
          </w:p>
        </w:tc>
      </w:tr>
      <w:tr w:rsidR="00117702" w:rsidRPr="00117702" w14:paraId="2FDA8D38"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28DD3862"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54</w:t>
            </w:r>
          </w:p>
        </w:tc>
        <w:tc>
          <w:tcPr>
            <w:tcW w:w="900" w:type="dxa"/>
            <w:tcBorders>
              <w:top w:val="nil"/>
              <w:left w:val="nil"/>
              <w:bottom w:val="single" w:sz="4" w:space="0" w:color="auto"/>
              <w:right w:val="single" w:sz="4" w:space="0" w:color="auto"/>
            </w:tcBorders>
            <w:shd w:val="clear" w:color="auto" w:fill="auto"/>
            <w:noWrap/>
            <w:vAlign w:val="center"/>
            <w:hideMark/>
          </w:tcPr>
          <w:p w14:paraId="49C8CB56"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901165502</w:t>
            </w:r>
          </w:p>
        </w:tc>
        <w:tc>
          <w:tcPr>
            <w:tcW w:w="3660" w:type="dxa"/>
            <w:tcBorders>
              <w:top w:val="nil"/>
              <w:left w:val="nil"/>
              <w:bottom w:val="single" w:sz="4" w:space="0" w:color="auto"/>
              <w:right w:val="single" w:sz="4" w:space="0" w:color="auto"/>
            </w:tcBorders>
            <w:shd w:val="clear" w:color="auto" w:fill="auto"/>
            <w:vAlign w:val="center"/>
            <w:hideMark/>
          </w:tcPr>
          <w:p w14:paraId="372D83E0"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ECOPETROL ENERGÍA S.A.S. E.S.P.</w:t>
            </w:r>
          </w:p>
        </w:tc>
        <w:tc>
          <w:tcPr>
            <w:tcW w:w="800" w:type="dxa"/>
            <w:tcBorders>
              <w:top w:val="nil"/>
              <w:left w:val="nil"/>
              <w:bottom w:val="single" w:sz="4" w:space="0" w:color="auto"/>
              <w:right w:val="single" w:sz="4" w:space="0" w:color="auto"/>
            </w:tcBorders>
            <w:shd w:val="clear" w:color="auto" w:fill="auto"/>
            <w:noWrap/>
            <w:vAlign w:val="center"/>
            <w:hideMark/>
          </w:tcPr>
          <w:p w14:paraId="6828F5D9"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Energia</w:t>
            </w:r>
          </w:p>
        </w:tc>
        <w:tc>
          <w:tcPr>
            <w:tcW w:w="1660" w:type="dxa"/>
            <w:tcBorders>
              <w:top w:val="nil"/>
              <w:left w:val="nil"/>
              <w:bottom w:val="single" w:sz="4" w:space="0" w:color="auto"/>
              <w:right w:val="single" w:sz="4" w:space="0" w:color="auto"/>
            </w:tcBorders>
            <w:shd w:val="clear" w:color="auto" w:fill="auto"/>
            <w:noWrap/>
            <w:vAlign w:val="center"/>
            <w:hideMark/>
          </w:tcPr>
          <w:p w14:paraId="066C7EFF"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4,466,501,668</w:t>
            </w:r>
          </w:p>
        </w:tc>
        <w:tc>
          <w:tcPr>
            <w:tcW w:w="1720" w:type="dxa"/>
            <w:tcBorders>
              <w:top w:val="nil"/>
              <w:left w:val="nil"/>
              <w:bottom w:val="single" w:sz="4" w:space="0" w:color="auto"/>
              <w:right w:val="single" w:sz="4" w:space="0" w:color="auto"/>
            </w:tcBorders>
            <w:shd w:val="clear" w:color="auto" w:fill="auto"/>
            <w:noWrap/>
            <w:vAlign w:val="center"/>
            <w:hideMark/>
          </w:tcPr>
          <w:p w14:paraId="0B50A51A"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5,299,561,901</w:t>
            </w:r>
          </w:p>
        </w:tc>
      </w:tr>
      <w:tr w:rsidR="00117702" w:rsidRPr="00117702" w14:paraId="66BFE1C0"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6E686EB7"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55</w:t>
            </w:r>
          </w:p>
        </w:tc>
        <w:tc>
          <w:tcPr>
            <w:tcW w:w="900" w:type="dxa"/>
            <w:tcBorders>
              <w:top w:val="nil"/>
              <w:left w:val="nil"/>
              <w:bottom w:val="single" w:sz="4" w:space="0" w:color="auto"/>
              <w:right w:val="single" w:sz="4" w:space="0" w:color="auto"/>
            </w:tcBorders>
            <w:shd w:val="clear" w:color="auto" w:fill="auto"/>
            <w:noWrap/>
            <w:vAlign w:val="center"/>
            <w:hideMark/>
          </w:tcPr>
          <w:p w14:paraId="376C465C"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899999068</w:t>
            </w:r>
          </w:p>
        </w:tc>
        <w:tc>
          <w:tcPr>
            <w:tcW w:w="3660" w:type="dxa"/>
            <w:tcBorders>
              <w:top w:val="nil"/>
              <w:left w:val="nil"/>
              <w:bottom w:val="single" w:sz="4" w:space="0" w:color="auto"/>
              <w:right w:val="single" w:sz="4" w:space="0" w:color="auto"/>
            </w:tcBorders>
            <w:shd w:val="clear" w:color="auto" w:fill="auto"/>
            <w:vAlign w:val="center"/>
            <w:hideMark/>
          </w:tcPr>
          <w:p w14:paraId="4FD41635"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ECOPETROL S.A.</w:t>
            </w:r>
          </w:p>
        </w:tc>
        <w:tc>
          <w:tcPr>
            <w:tcW w:w="800" w:type="dxa"/>
            <w:tcBorders>
              <w:top w:val="nil"/>
              <w:left w:val="nil"/>
              <w:bottom w:val="single" w:sz="4" w:space="0" w:color="auto"/>
              <w:right w:val="single" w:sz="4" w:space="0" w:color="auto"/>
            </w:tcBorders>
            <w:shd w:val="clear" w:color="auto" w:fill="auto"/>
            <w:noWrap/>
            <w:vAlign w:val="center"/>
            <w:hideMark/>
          </w:tcPr>
          <w:p w14:paraId="1664C07B"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GasNatural</w:t>
            </w:r>
          </w:p>
        </w:tc>
        <w:tc>
          <w:tcPr>
            <w:tcW w:w="1660" w:type="dxa"/>
            <w:tcBorders>
              <w:top w:val="nil"/>
              <w:left w:val="nil"/>
              <w:bottom w:val="single" w:sz="4" w:space="0" w:color="auto"/>
              <w:right w:val="single" w:sz="4" w:space="0" w:color="auto"/>
            </w:tcBorders>
            <w:shd w:val="clear" w:color="auto" w:fill="auto"/>
            <w:noWrap/>
            <w:vAlign w:val="center"/>
            <w:hideMark/>
          </w:tcPr>
          <w:p w14:paraId="3238DE44"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2,322,040,936,308</w:t>
            </w:r>
          </w:p>
        </w:tc>
        <w:tc>
          <w:tcPr>
            <w:tcW w:w="1720" w:type="dxa"/>
            <w:tcBorders>
              <w:top w:val="nil"/>
              <w:left w:val="nil"/>
              <w:bottom w:val="single" w:sz="4" w:space="0" w:color="auto"/>
              <w:right w:val="single" w:sz="4" w:space="0" w:color="auto"/>
            </w:tcBorders>
            <w:shd w:val="clear" w:color="auto" w:fill="auto"/>
            <w:noWrap/>
            <w:vAlign w:val="center"/>
            <w:hideMark/>
          </w:tcPr>
          <w:p w14:paraId="4AB3974A"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248,478,014,677</w:t>
            </w:r>
          </w:p>
        </w:tc>
      </w:tr>
      <w:tr w:rsidR="00117702" w:rsidRPr="00117702" w14:paraId="290A920D"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6A4463DB"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56</w:t>
            </w:r>
          </w:p>
        </w:tc>
        <w:tc>
          <w:tcPr>
            <w:tcW w:w="900" w:type="dxa"/>
            <w:tcBorders>
              <w:top w:val="nil"/>
              <w:left w:val="nil"/>
              <w:bottom w:val="single" w:sz="4" w:space="0" w:color="auto"/>
              <w:right w:val="single" w:sz="4" w:space="0" w:color="auto"/>
            </w:tcBorders>
            <w:shd w:val="clear" w:color="auto" w:fill="auto"/>
            <w:noWrap/>
            <w:vAlign w:val="center"/>
            <w:hideMark/>
          </w:tcPr>
          <w:p w14:paraId="5CB7B1FB"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800202395</w:t>
            </w:r>
          </w:p>
        </w:tc>
        <w:tc>
          <w:tcPr>
            <w:tcW w:w="3660" w:type="dxa"/>
            <w:tcBorders>
              <w:top w:val="nil"/>
              <w:left w:val="nil"/>
              <w:bottom w:val="single" w:sz="4" w:space="0" w:color="auto"/>
              <w:right w:val="single" w:sz="4" w:space="0" w:color="auto"/>
            </w:tcBorders>
            <w:shd w:val="clear" w:color="auto" w:fill="auto"/>
            <w:vAlign w:val="center"/>
            <w:hideMark/>
          </w:tcPr>
          <w:p w14:paraId="0E33D9D5"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 xml:space="preserve">EFIGAS GAS NATURAL S.A E.S.P </w:t>
            </w:r>
          </w:p>
        </w:tc>
        <w:tc>
          <w:tcPr>
            <w:tcW w:w="800" w:type="dxa"/>
            <w:tcBorders>
              <w:top w:val="nil"/>
              <w:left w:val="nil"/>
              <w:bottom w:val="single" w:sz="4" w:space="0" w:color="auto"/>
              <w:right w:val="single" w:sz="4" w:space="0" w:color="auto"/>
            </w:tcBorders>
            <w:shd w:val="clear" w:color="auto" w:fill="auto"/>
            <w:noWrap/>
            <w:vAlign w:val="center"/>
            <w:hideMark/>
          </w:tcPr>
          <w:p w14:paraId="76386637"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GasNatural</w:t>
            </w:r>
          </w:p>
        </w:tc>
        <w:tc>
          <w:tcPr>
            <w:tcW w:w="1660" w:type="dxa"/>
            <w:tcBorders>
              <w:top w:val="nil"/>
              <w:left w:val="nil"/>
              <w:bottom w:val="single" w:sz="4" w:space="0" w:color="auto"/>
              <w:right w:val="single" w:sz="4" w:space="0" w:color="auto"/>
            </w:tcBorders>
            <w:shd w:val="clear" w:color="auto" w:fill="auto"/>
            <w:noWrap/>
            <w:vAlign w:val="center"/>
            <w:hideMark/>
          </w:tcPr>
          <w:p w14:paraId="6CB641C4"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288,616,708,417</w:t>
            </w:r>
          </w:p>
        </w:tc>
        <w:tc>
          <w:tcPr>
            <w:tcW w:w="1720" w:type="dxa"/>
            <w:tcBorders>
              <w:top w:val="nil"/>
              <w:left w:val="nil"/>
              <w:bottom w:val="single" w:sz="4" w:space="0" w:color="auto"/>
              <w:right w:val="single" w:sz="4" w:space="0" w:color="auto"/>
            </w:tcBorders>
            <w:shd w:val="clear" w:color="auto" w:fill="auto"/>
            <w:noWrap/>
            <w:vAlign w:val="center"/>
            <w:hideMark/>
          </w:tcPr>
          <w:p w14:paraId="2705EAB9"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12,911,983,881</w:t>
            </w:r>
          </w:p>
        </w:tc>
      </w:tr>
      <w:tr w:rsidR="00117702" w:rsidRPr="00117702" w14:paraId="335A1678"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1591C435"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57</w:t>
            </w:r>
          </w:p>
        </w:tc>
        <w:tc>
          <w:tcPr>
            <w:tcW w:w="900" w:type="dxa"/>
            <w:tcBorders>
              <w:top w:val="nil"/>
              <w:left w:val="nil"/>
              <w:bottom w:val="single" w:sz="4" w:space="0" w:color="auto"/>
              <w:right w:val="single" w:sz="4" w:space="0" w:color="auto"/>
            </w:tcBorders>
            <w:shd w:val="clear" w:color="auto" w:fill="auto"/>
            <w:noWrap/>
            <w:vAlign w:val="center"/>
            <w:hideMark/>
          </w:tcPr>
          <w:p w14:paraId="1420E3AC"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900432368</w:t>
            </w:r>
          </w:p>
        </w:tc>
        <w:tc>
          <w:tcPr>
            <w:tcW w:w="3660" w:type="dxa"/>
            <w:tcBorders>
              <w:top w:val="nil"/>
              <w:left w:val="nil"/>
              <w:bottom w:val="single" w:sz="4" w:space="0" w:color="auto"/>
              <w:right w:val="single" w:sz="4" w:space="0" w:color="auto"/>
            </w:tcBorders>
            <w:shd w:val="clear" w:color="auto" w:fill="auto"/>
            <w:vAlign w:val="center"/>
            <w:hideMark/>
          </w:tcPr>
          <w:p w14:paraId="4CCAFCB9"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ELECTRIFICADORA DE MAPIRIPÁN S.A. E.S.P.</w:t>
            </w:r>
          </w:p>
        </w:tc>
        <w:tc>
          <w:tcPr>
            <w:tcW w:w="800" w:type="dxa"/>
            <w:tcBorders>
              <w:top w:val="nil"/>
              <w:left w:val="nil"/>
              <w:bottom w:val="single" w:sz="4" w:space="0" w:color="auto"/>
              <w:right w:val="single" w:sz="4" w:space="0" w:color="auto"/>
            </w:tcBorders>
            <w:shd w:val="clear" w:color="auto" w:fill="auto"/>
            <w:noWrap/>
            <w:vAlign w:val="center"/>
            <w:hideMark/>
          </w:tcPr>
          <w:p w14:paraId="224E2ABD"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Energia</w:t>
            </w:r>
          </w:p>
        </w:tc>
        <w:tc>
          <w:tcPr>
            <w:tcW w:w="1660" w:type="dxa"/>
            <w:tcBorders>
              <w:top w:val="nil"/>
              <w:left w:val="nil"/>
              <w:bottom w:val="single" w:sz="4" w:space="0" w:color="auto"/>
              <w:right w:val="single" w:sz="4" w:space="0" w:color="auto"/>
            </w:tcBorders>
            <w:shd w:val="clear" w:color="auto" w:fill="auto"/>
            <w:noWrap/>
            <w:vAlign w:val="center"/>
            <w:hideMark/>
          </w:tcPr>
          <w:p w14:paraId="2BCA4CDC"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1,735,818,000</w:t>
            </w:r>
          </w:p>
        </w:tc>
        <w:tc>
          <w:tcPr>
            <w:tcW w:w="1720" w:type="dxa"/>
            <w:tcBorders>
              <w:top w:val="nil"/>
              <w:left w:val="nil"/>
              <w:bottom w:val="single" w:sz="4" w:space="0" w:color="auto"/>
              <w:right w:val="single" w:sz="4" w:space="0" w:color="auto"/>
            </w:tcBorders>
            <w:shd w:val="clear" w:color="auto" w:fill="auto"/>
            <w:noWrap/>
            <w:vAlign w:val="center"/>
            <w:hideMark/>
          </w:tcPr>
          <w:p w14:paraId="0AF3503E"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192,238,771</w:t>
            </w:r>
          </w:p>
        </w:tc>
      </w:tr>
      <w:tr w:rsidR="00117702" w:rsidRPr="00117702" w14:paraId="7C938796"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221CB90F"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58</w:t>
            </w:r>
          </w:p>
        </w:tc>
        <w:tc>
          <w:tcPr>
            <w:tcW w:w="900" w:type="dxa"/>
            <w:tcBorders>
              <w:top w:val="nil"/>
              <w:left w:val="nil"/>
              <w:bottom w:val="single" w:sz="4" w:space="0" w:color="auto"/>
              <w:right w:val="single" w:sz="4" w:space="0" w:color="auto"/>
            </w:tcBorders>
            <w:shd w:val="clear" w:color="auto" w:fill="auto"/>
            <w:noWrap/>
            <w:vAlign w:val="center"/>
            <w:hideMark/>
          </w:tcPr>
          <w:p w14:paraId="42F44885"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890201230</w:t>
            </w:r>
          </w:p>
        </w:tc>
        <w:tc>
          <w:tcPr>
            <w:tcW w:w="3660" w:type="dxa"/>
            <w:tcBorders>
              <w:top w:val="nil"/>
              <w:left w:val="nil"/>
              <w:bottom w:val="single" w:sz="4" w:space="0" w:color="auto"/>
              <w:right w:val="single" w:sz="4" w:space="0" w:color="auto"/>
            </w:tcBorders>
            <w:shd w:val="clear" w:color="auto" w:fill="auto"/>
            <w:vAlign w:val="center"/>
            <w:hideMark/>
          </w:tcPr>
          <w:p w14:paraId="308EE884"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ELECTRIFICADORA DE SANTANDER S.A. E.S.P.</w:t>
            </w:r>
          </w:p>
        </w:tc>
        <w:tc>
          <w:tcPr>
            <w:tcW w:w="800" w:type="dxa"/>
            <w:tcBorders>
              <w:top w:val="nil"/>
              <w:left w:val="nil"/>
              <w:bottom w:val="single" w:sz="4" w:space="0" w:color="auto"/>
              <w:right w:val="single" w:sz="4" w:space="0" w:color="auto"/>
            </w:tcBorders>
            <w:shd w:val="clear" w:color="auto" w:fill="auto"/>
            <w:noWrap/>
            <w:vAlign w:val="center"/>
            <w:hideMark/>
          </w:tcPr>
          <w:p w14:paraId="757ACD64"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Energia</w:t>
            </w:r>
          </w:p>
        </w:tc>
        <w:tc>
          <w:tcPr>
            <w:tcW w:w="1660" w:type="dxa"/>
            <w:tcBorders>
              <w:top w:val="nil"/>
              <w:left w:val="nil"/>
              <w:bottom w:val="single" w:sz="4" w:space="0" w:color="auto"/>
              <w:right w:val="single" w:sz="4" w:space="0" w:color="auto"/>
            </w:tcBorders>
            <w:shd w:val="clear" w:color="auto" w:fill="auto"/>
            <w:noWrap/>
            <w:vAlign w:val="center"/>
            <w:hideMark/>
          </w:tcPr>
          <w:p w14:paraId="03267370"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953,199,182,000</w:t>
            </w:r>
          </w:p>
        </w:tc>
        <w:tc>
          <w:tcPr>
            <w:tcW w:w="1720" w:type="dxa"/>
            <w:tcBorders>
              <w:top w:val="nil"/>
              <w:left w:val="nil"/>
              <w:bottom w:val="single" w:sz="4" w:space="0" w:color="auto"/>
              <w:right w:val="single" w:sz="4" w:space="0" w:color="auto"/>
            </w:tcBorders>
            <w:shd w:val="clear" w:color="auto" w:fill="auto"/>
            <w:noWrap/>
            <w:vAlign w:val="center"/>
            <w:hideMark/>
          </w:tcPr>
          <w:p w14:paraId="752737C5"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54,541,611,145</w:t>
            </w:r>
          </w:p>
        </w:tc>
      </w:tr>
      <w:tr w:rsidR="00117702" w:rsidRPr="00117702" w14:paraId="1236730D"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42C5828C"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59</w:t>
            </w:r>
          </w:p>
        </w:tc>
        <w:tc>
          <w:tcPr>
            <w:tcW w:w="900" w:type="dxa"/>
            <w:tcBorders>
              <w:top w:val="nil"/>
              <w:left w:val="nil"/>
              <w:bottom w:val="single" w:sz="4" w:space="0" w:color="auto"/>
              <w:right w:val="single" w:sz="4" w:space="0" w:color="auto"/>
            </w:tcBorders>
            <w:shd w:val="clear" w:color="auto" w:fill="auto"/>
            <w:noWrap/>
            <w:vAlign w:val="center"/>
            <w:hideMark/>
          </w:tcPr>
          <w:p w14:paraId="2E2E14D8"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891190127</w:t>
            </w:r>
          </w:p>
        </w:tc>
        <w:tc>
          <w:tcPr>
            <w:tcW w:w="3660" w:type="dxa"/>
            <w:tcBorders>
              <w:top w:val="nil"/>
              <w:left w:val="nil"/>
              <w:bottom w:val="single" w:sz="4" w:space="0" w:color="auto"/>
              <w:right w:val="single" w:sz="4" w:space="0" w:color="auto"/>
            </w:tcBorders>
            <w:shd w:val="clear" w:color="auto" w:fill="auto"/>
            <w:vAlign w:val="center"/>
            <w:hideMark/>
          </w:tcPr>
          <w:p w14:paraId="38E27018"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ELECTRIFICADORA DEL CAQUETA S.A. ESP</w:t>
            </w:r>
          </w:p>
        </w:tc>
        <w:tc>
          <w:tcPr>
            <w:tcW w:w="800" w:type="dxa"/>
            <w:tcBorders>
              <w:top w:val="nil"/>
              <w:left w:val="nil"/>
              <w:bottom w:val="single" w:sz="4" w:space="0" w:color="auto"/>
              <w:right w:val="single" w:sz="4" w:space="0" w:color="auto"/>
            </w:tcBorders>
            <w:shd w:val="clear" w:color="auto" w:fill="auto"/>
            <w:noWrap/>
            <w:vAlign w:val="center"/>
            <w:hideMark/>
          </w:tcPr>
          <w:p w14:paraId="61F32973"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Energia</w:t>
            </w:r>
          </w:p>
        </w:tc>
        <w:tc>
          <w:tcPr>
            <w:tcW w:w="1660" w:type="dxa"/>
            <w:tcBorders>
              <w:top w:val="nil"/>
              <w:left w:val="nil"/>
              <w:bottom w:val="single" w:sz="4" w:space="0" w:color="auto"/>
              <w:right w:val="single" w:sz="4" w:space="0" w:color="auto"/>
            </w:tcBorders>
            <w:shd w:val="clear" w:color="auto" w:fill="auto"/>
            <w:noWrap/>
            <w:vAlign w:val="center"/>
            <w:hideMark/>
          </w:tcPr>
          <w:p w14:paraId="488A0DB9"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119,445,723,000</w:t>
            </w:r>
          </w:p>
        </w:tc>
        <w:tc>
          <w:tcPr>
            <w:tcW w:w="1720" w:type="dxa"/>
            <w:tcBorders>
              <w:top w:val="nil"/>
              <w:left w:val="nil"/>
              <w:bottom w:val="single" w:sz="4" w:space="0" w:color="auto"/>
              <w:right w:val="single" w:sz="4" w:space="0" w:color="auto"/>
            </w:tcBorders>
            <w:shd w:val="clear" w:color="auto" w:fill="auto"/>
            <w:noWrap/>
            <w:vAlign w:val="center"/>
            <w:hideMark/>
          </w:tcPr>
          <w:p w14:paraId="733D5017"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6,544,697,480</w:t>
            </w:r>
          </w:p>
        </w:tc>
      </w:tr>
      <w:tr w:rsidR="00117702" w:rsidRPr="00117702" w14:paraId="2786310E"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4DE87464"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60</w:t>
            </w:r>
          </w:p>
        </w:tc>
        <w:tc>
          <w:tcPr>
            <w:tcW w:w="900" w:type="dxa"/>
            <w:tcBorders>
              <w:top w:val="nil"/>
              <w:left w:val="nil"/>
              <w:bottom w:val="single" w:sz="4" w:space="0" w:color="auto"/>
              <w:right w:val="single" w:sz="4" w:space="0" w:color="auto"/>
            </w:tcBorders>
            <w:shd w:val="clear" w:color="auto" w:fill="auto"/>
            <w:noWrap/>
            <w:vAlign w:val="center"/>
            <w:hideMark/>
          </w:tcPr>
          <w:p w14:paraId="69C602C8"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891180001</w:t>
            </w:r>
          </w:p>
        </w:tc>
        <w:tc>
          <w:tcPr>
            <w:tcW w:w="3660" w:type="dxa"/>
            <w:tcBorders>
              <w:top w:val="nil"/>
              <w:left w:val="nil"/>
              <w:bottom w:val="single" w:sz="4" w:space="0" w:color="auto"/>
              <w:right w:val="single" w:sz="4" w:space="0" w:color="auto"/>
            </w:tcBorders>
            <w:shd w:val="clear" w:color="auto" w:fill="auto"/>
            <w:vAlign w:val="center"/>
            <w:hideMark/>
          </w:tcPr>
          <w:p w14:paraId="6C65A66B"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ELECTRIFICADORA DEL HUILA S.A. E.S.P.</w:t>
            </w:r>
          </w:p>
        </w:tc>
        <w:tc>
          <w:tcPr>
            <w:tcW w:w="800" w:type="dxa"/>
            <w:tcBorders>
              <w:top w:val="nil"/>
              <w:left w:val="nil"/>
              <w:bottom w:val="single" w:sz="4" w:space="0" w:color="auto"/>
              <w:right w:val="single" w:sz="4" w:space="0" w:color="auto"/>
            </w:tcBorders>
            <w:shd w:val="clear" w:color="auto" w:fill="auto"/>
            <w:noWrap/>
            <w:vAlign w:val="center"/>
            <w:hideMark/>
          </w:tcPr>
          <w:p w14:paraId="12AE4911"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Energia</w:t>
            </w:r>
          </w:p>
        </w:tc>
        <w:tc>
          <w:tcPr>
            <w:tcW w:w="1660" w:type="dxa"/>
            <w:tcBorders>
              <w:top w:val="nil"/>
              <w:left w:val="nil"/>
              <w:bottom w:val="single" w:sz="4" w:space="0" w:color="auto"/>
              <w:right w:val="single" w:sz="4" w:space="0" w:color="auto"/>
            </w:tcBorders>
            <w:shd w:val="clear" w:color="auto" w:fill="auto"/>
            <w:noWrap/>
            <w:vAlign w:val="center"/>
            <w:hideMark/>
          </w:tcPr>
          <w:p w14:paraId="4335BDC2"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461,087,593,363</w:t>
            </w:r>
          </w:p>
        </w:tc>
        <w:tc>
          <w:tcPr>
            <w:tcW w:w="1720" w:type="dxa"/>
            <w:tcBorders>
              <w:top w:val="nil"/>
              <w:left w:val="nil"/>
              <w:bottom w:val="single" w:sz="4" w:space="0" w:color="auto"/>
              <w:right w:val="single" w:sz="4" w:space="0" w:color="auto"/>
            </w:tcBorders>
            <w:shd w:val="clear" w:color="auto" w:fill="auto"/>
            <w:noWrap/>
            <w:vAlign w:val="center"/>
            <w:hideMark/>
          </w:tcPr>
          <w:p w14:paraId="7FBD983C"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25,246,897,590</w:t>
            </w:r>
          </w:p>
        </w:tc>
      </w:tr>
      <w:tr w:rsidR="00117702" w:rsidRPr="00117702" w14:paraId="23A9A682"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6214B848"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61</w:t>
            </w:r>
          </w:p>
        </w:tc>
        <w:tc>
          <w:tcPr>
            <w:tcW w:w="900" w:type="dxa"/>
            <w:tcBorders>
              <w:top w:val="nil"/>
              <w:left w:val="nil"/>
              <w:bottom w:val="single" w:sz="4" w:space="0" w:color="auto"/>
              <w:right w:val="single" w:sz="4" w:space="0" w:color="auto"/>
            </w:tcBorders>
            <w:shd w:val="clear" w:color="auto" w:fill="auto"/>
            <w:noWrap/>
            <w:vAlign w:val="center"/>
            <w:hideMark/>
          </w:tcPr>
          <w:p w14:paraId="4FEE85F6"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892002210</w:t>
            </w:r>
          </w:p>
        </w:tc>
        <w:tc>
          <w:tcPr>
            <w:tcW w:w="3660" w:type="dxa"/>
            <w:tcBorders>
              <w:top w:val="nil"/>
              <w:left w:val="nil"/>
              <w:bottom w:val="single" w:sz="4" w:space="0" w:color="auto"/>
              <w:right w:val="single" w:sz="4" w:space="0" w:color="auto"/>
            </w:tcBorders>
            <w:shd w:val="clear" w:color="auto" w:fill="auto"/>
            <w:vAlign w:val="center"/>
            <w:hideMark/>
          </w:tcPr>
          <w:p w14:paraId="0C96061D"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ELECTRIFICADORA DEL META S.A. E.S.P.</w:t>
            </w:r>
          </w:p>
        </w:tc>
        <w:tc>
          <w:tcPr>
            <w:tcW w:w="800" w:type="dxa"/>
            <w:tcBorders>
              <w:top w:val="nil"/>
              <w:left w:val="nil"/>
              <w:bottom w:val="single" w:sz="4" w:space="0" w:color="auto"/>
              <w:right w:val="single" w:sz="4" w:space="0" w:color="auto"/>
            </w:tcBorders>
            <w:shd w:val="clear" w:color="auto" w:fill="auto"/>
            <w:noWrap/>
            <w:vAlign w:val="center"/>
            <w:hideMark/>
          </w:tcPr>
          <w:p w14:paraId="72752E8B"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Energia</w:t>
            </w:r>
          </w:p>
        </w:tc>
        <w:tc>
          <w:tcPr>
            <w:tcW w:w="1660" w:type="dxa"/>
            <w:tcBorders>
              <w:top w:val="nil"/>
              <w:left w:val="nil"/>
              <w:bottom w:val="single" w:sz="4" w:space="0" w:color="auto"/>
              <w:right w:val="single" w:sz="4" w:space="0" w:color="auto"/>
            </w:tcBorders>
            <w:shd w:val="clear" w:color="auto" w:fill="auto"/>
            <w:noWrap/>
            <w:vAlign w:val="center"/>
            <w:hideMark/>
          </w:tcPr>
          <w:p w14:paraId="14878A8D"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449,360,370,000</w:t>
            </w:r>
          </w:p>
        </w:tc>
        <w:tc>
          <w:tcPr>
            <w:tcW w:w="1720" w:type="dxa"/>
            <w:tcBorders>
              <w:top w:val="nil"/>
              <w:left w:val="nil"/>
              <w:bottom w:val="single" w:sz="4" w:space="0" w:color="auto"/>
              <w:right w:val="single" w:sz="4" w:space="0" w:color="auto"/>
            </w:tcBorders>
            <w:shd w:val="clear" w:color="auto" w:fill="auto"/>
            <w:noWrap/>
            <w:vAlign w:val="center"/>
            <w:hideMark/>
          </w:tcPr>
          <w:p w14:paraId="2EDB0709"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17,515,534,271</w:t>
            </w:r>
          </w:p>
        </w:tc>
      </w:tr>
      <w:tr w:rsidR="00117702" w:rsidRPr="00117702" w14:paraId="563DA2ED"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3E659295"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62</w:t>
            </w:r>
          </w:p>
        </w:tc>
        <w:tc>
          <w:tcPr>
            <w:tcW w:w="900" w:type="dxa"/>
            <w:tcBorders>
              <w:top w:val="nil"/>
              <w:left w:val="nil"/>
              <w:bottom w:val="single" w:sz="4" w:space="0" w:color="auto"/>
              <w:right w:val="single" w:sz="4" w:space="0" w:color="auto"/>
            </w:tcBorders>
            <w:shd w:val="clear" w:color="auto" w:fill="auto"/>
            <w:noWrap/>
            <w:vAlign w:val="center"/>
            <w:hideMark/>
          </w:tcPr>
          <w:p w14:paraId="59B5314C"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891400900</w:t>
            </w:r>
          </w:p>
        </w:tc>
        <w:tc>
          <w:tcPr>
            <w:tcW w:w="3660" w:type="dxa"/>
            <w:tcBorders>
              <w:top w:val="nil"/>
              <w:left w:val="nil"/>
              <w:bottom w:val="single" w:sz="4" w:space="0" w:color="auto"/>
              <w:right w:val="single" w:sz="4" w:space="0" w:color="auto"/>
            </w:tcBorders>
            <w:shd w:val="clear" w:color="auto" w:fill="auto"/>
            <w:vAlign w:val="center"/>
            <w:hideMark/>
          </w:tcPr>
          <w:p w14:paraId="17312247"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ELECTROGAS SA ESP</w:t>
            </w:r>
          </w:p>
        </w:tc>
        <w:tc>
          <w:tcPr>
            <w:tcW w:w="800" w:type="dxa"/>
            <w:tcBorders>
              <w:top w:val="nil"/>
              <w:left w:val="nil"/>
              <w:bottom w:val="single" w:sz="4" w:space="0" w:color="auto"/>
              <w:right w:val="single" w:sz="4" w:space="0" w:color="auto"/>
            </w:tcBorders>
            <w:shd w:val="clear" w:color="auto" w:fill="auto"/>
            <w:noWrap/>
            <w:vAlign w:val="center"/>
            <w:hideMark/>
          </w:tcPr>
          <w:p w14:paraId="52FCC653"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GLP</w:t>
            </w:r>
          </w:p>
        </w:tc>
        <w:tc>
          <w:tcPr>
            <w:tcW w:w="1660" w:type="dxa"/>
            <w:tcBorders>
              <w:top w:val="nil"/>
              <w:left w:val="nil"/>
              <w:bottom w:val="single" w:sz="4" w:space="0" w:color="auto"/>
              <w:right w:val="single" w:sz="4" w:space="0" w:color="auto"/>
            </w:tcBorders>
            <w:shd w:val="clear" w:color="auto" w:fill="auto"/>
            <w:noWrap/>
            <w:vAlign w:val="center"/>
            <w:hideMark/>
          </w:tcPr>
          <w:p w14:paraId="46513166"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2,743,869,000</w:t>
            </w:r>
          </w:p>
        </w:tc>
        <w:tc>
          <w:tcPr>
            <w:tcW w:w="1720" w:type="dxa"/>
            <w:tcBorders>
              <w:top w:val="nil"/>
              <w:left w:val="nil"/>
              <w:bottom w:val="single" w:sz="4" w:space="0" w:color="auto"/>
              <w:right w:val="single" w:sz="4" w:space="0" w:color="auto"/>
            </w:tcBorders>
            <w:shd w:val="clear" w:color="auto" w:fill="auto"/>
            <w:noWrap/>
            <w:vAlign w:val="center"/>
            <w:hideMark/>
          </w:tcPr>
          <w:p w14:paraId="33E0E854"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368,246,000</w:t>
            </w:r>
          </w:p>
        </w:tc>
      </w:tr>
      <w:tr w:rsidR="00117702" w:rsidRPr="00117702" w14:paraId="5DE131DD"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15A031B8"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63</w:t>
            </w:r>
          </w:p>
        </w:tc>
        <w:tc>
          <w:tcPr>
            <w:tcW w:w="900" w:type="dxa"/>
            <w:tcBorders>
              <w:top w:val="nil"/>
              <w:left w:val="nil"/>
              <w:bottom w:val="single" w:sz="4" w:space="0" w:color="auto"/>
              <w:right w:val="single" w:sz="4" w:space="0" w:color="auto"/>
            </w:tcBorders>
            <w:shd w:val="clear" w:color="auto" w:fill="auto"/>
            <w:noWrap/>
            <w:vAlign w:val="center"/>
            <w:hideMark/>
          </w:tcPr>
          <w:p w14:paraId="3DA02E98"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860063875</w:t>
            </w:r>
          </w:p>
        </w:tc>
        <w:tc>
          <w:tcPr>
            <w:tcW w:w="3660" w:type="dxa"/>
            <w:tcBorders>
              <w:top w:val="nil"/>
              <w:left w:val="nil"/>
              <w:bottom w:val="single" w:sz="4" w:space="0" w:color="auto"/>
              <w:right w:val="single" w:sz="4" w:space="0" w:color="auto"/>
            </w:tcBorders>
            <w:shd w:val="clear" w:color="auto" w:fill="auto"/>
            <w:vAlign w:val="center"/>
            <w:hideMark/>
          </w:tcPr>
          <w:p w14:paraId="45285363"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EMGESA S.A. E.S.P.</w:t>
            </w:r>
          </w:p>
        </w:tc>
        <w:tc>
          <w:tcPr>
            <w:tcW w:w="800" w:type="dxa"/>
            <w:tcBorders>
              <w:top w:val="nil"/>
              <w:left w:val="nil"/>
              <w:bottom w:val="single" w:sz="4" w:space="0" w:color="auto"/>
              <w:right w:val="single" w:sz="4" w:space="0" w:color="auto"/>
            </w:tcBorders>
            <w:shd w:val="clear" w:color="auto" w:fill="auto"/>
            <w:noWrap/>
            <w:vAlign w:val="center"/>
            <w:hideMark/>
          </w:tcPr>
          <w:p w14:paraId="3713D275"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Energia</w:t>
            </w:r>
          </w:p>
        </w:tc>
        <w:tc>
          <w:tcPr>
            <w:tcW w:w="1660" w:type="dxa"/>
            <w:tcBorders>
              <w:top w:val="nil"/>
              <w:left w:val="nil"/>
              <w:bottom w:val="single" w:sz="4" w:space="0" w:color="auto"/>
              <w:right w:val="single" w:sz="4" w:space="0" w:color="auto"/>
            </w:tcBorders>
            <w:shd w:val="clear" w:color="auto" w:fill="auto"/>
            <w:noWrap/>
            <w:vAlign w:val="center"/>
            <w:hideMark/>
          </w:tcPr>
          <w:p w14:paraId="0E7DB603"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2,141,867,997,114</w:t>
            </w:r>
          </w:p>
        </w:tc>
        <w:tc>
          <w:tcPr>
            <w:tcW w:w="1720" w:type="dxa"/>
            <w:tcBorders>
              <w:top w:val="nil"/>
              <w:left w:val="nil"/>
              <w:bottom w:val="single" w:sz="4" w:space="0" w:color="auto"/>
              <w:right w:val="single" w:sz="4" w:space="0" w:color="auto"/>
            </w:tcBorders>
            <w:shd w:val="clear" w:color="auto" w:fill="auto"/>
            <w:noWrap/>
            <w:vAlign w:val="center"/>
            <w:hideMark/>
          </w:tcPr>
          <w:p w14:paraId="07BC4CF6"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84,869,699,360</w:t>
            </w:r>
          </w:p>
        </w:tc>
      </w:tr>
      <w:tr w:rsidR="00117702" w:rsidRPr="00117702" w14:paraId="3359C4F9" w14:textId="77777777" w:rsidTr="00117702">
        <w:trPr>
          <w:trHeight w:val="46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2342C37A"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64</w:t>
            </w:r>
          </w:p>
        </w:tc>
        <w:tc>
          <w:tcPr>
            <w:tcW w:w="900" w:type="dxa"/>
            <w:tcBorders>
              <w:top w:val="nil"/>
              <w:left w:val="nil"/>
              <w:bottom w:val="single" w:sz="4" w:space="0" w:color="auto"/>
              <w:right w:val="single" w:sz="4" w:space="0" w:color="auto"/>
            </w:tcBorders>
            <w:shd w:val="clear" w:color="auto" w:fill="auto"/>
            <w:noWrap/>
            <w:vAlign w:val="center"/>
            <w:hideMark/>
          </w:tcPr>
          <w:p w14:paraId="5351F124"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900963765</w:t>
            </w:r>
          </w:p>
        </w:tc>
        <w:tc>
          <w:tcPr>
            <w:tcW w:w="3660" w:type="dxa"/>
            <w:tcBorders>
              <w:top w:val="nil"/>
              <w:left w:val="nil"/>
              <w:bottom w:val="single" w:sz="4" w:space="0" w:color="auto"/>
              <w:right w:val="single" w:sz="4" w:space="0" w:color="auto"/>
            </w:tcBorders>
            <w:shd w:val="clear" w:color="auto" w:fill="auto"/>
            <w:vAlign w:val="center"/>
            <w:hideMark/>
          </w:tcPr>
          <w:p w14:paraId="099CD968"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EMPRESA ASOCIATIVA DE TRABAJO ELECTRIFICADORA DEL PACIFICO SUR</w:t>
            </w:r>
          </w:p>
        </w:tc>
        <w:tc>
          <w:tcPr>
            <w:tcW w:w="800" w:type="dxa"/>
            <w:tcBorders>
              <w:top w:val="nil"/>
              <w:left w:val="nil"/>
              <w:bottom w:val="single" w:sz="4" w:space="0" w:color="auto"/>
              <w:right w:val="single" w:sz="4" w:space="0" w:color="auto"/>
            </w:tcBorders>
            <w:shd w:val="clear" w:color="auto" w:fill="auto"/>
            <w:noWrap/>
            <w:vAlign w:val="center"/>
            <w:hideMark/>
          </w:tcPr>
          <w:p w14:paraId="614D30C3"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Energia</w:t>
            </w:r>
          </w:p>
        </w:tc>
        <w:tc>
          <w:tcPr>
            <w:tcW w:w="1660" w:type="dxa"/>
            <w:tcBorders>
              <w:top w:val="nil"/>
              <w:left w:val="nil"/>
              <w:bottom w:val="single" w:sz="4" w:space="0" w:color="auto"/>
              <w:right w:val="single" w:sz="4" w:space="0" w:color="auto"/>
            </w:tcBorders>
            <w:shd w:val="clear" w:color="auto" w:fill="auto"/>
            <w:noWrap/>
            <w:vAlign w:val="center"/>
            <w:hideMark/>
          </w:tcPr>
          <w:p w14:paraId="69549BB4"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3,190,188,926</w:t>
            </w:r>
          </w:p>
        </w:tc>
        <w:tc>
          <w:tcPr>
            <w:tcW w:w="1720" w:type="dxa"/>
            <w:tcBorders>
              <w:top w:val="nil"/>
              <w:left w:val="nil"/>
              <w:bottom w:val="single" w:sz="4" w:space="0" w:color="auto"/>
              <w:right w:val="single" w:sz="4" w:space="0" w:color="auto"/>
            </w:tcBorders>
            <w:shd w:val="clear" w:color="auto" w:fill="auto"/>
            <w:noWrap/>
            <w:vAlign w:val="center"/>
            <w:hideMark/>
          </w:tcPr>
          <w:p w14:paraId="6DE633AF"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325,331,052</w:t>
            </w:r>
          </w:p>
        </w:tc>
      </w:tr>
      <w:tr w:rsidR="00117702" w:rsidRPr="00117702" w14:paraId="6BCCFA93" w14:textId="77777777" w:rsidTr="00117702">
        <w:trPr>
          <w:trHeight w:val="46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15E65CCD"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65</w:t>
            </w:r>
          </w:p>
        </w:tc>
        <w:tc>
          <w:tcPr>
            <w:tcW w:w="900" w:type="dxa"/>
            <w:tcBorders>
              <w:top w:val="nil"/>
              <w:left w:val="nil"/>
              <w:bottom w:val="single" w:sz="4" w:space="0" w:color="auto"/>
              <w:right w:val="single" w:sz="4" w:space="0" w:color="auto"/>
            </w:tcBorders>
            <w:shd w:val="clear" w:color="auto" w:fill="auto"/>
            <w:noWrap/>
            <w:vAlign w:val="center"/>
            <w:hideMark/>
          </w:tcPr>
          <w:p w14:paraId="4182DDDE"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900470256</w:t>
            </w:r>
          </w:p>
        </w:tc>
        <w:tc>
          <w:tcPr>
            <w:tcW w:w="3660" w:type="dxa"/>
            <w:tcBorders>
              <w:top w:val="nil"/>
              <w:left w:val="nil"/>
              <w:bottom w:val="single" w:sz="4" w:space="0" w:color="auto"/>
              <w:right w:val="single" w:sz="4" w:space="0" w:color="auto"/>
            </w:tcBorders>
            <w:shd w:val="clear" w:color="auto" w:fill="auto"/>
            <w:vAlign w:val="center"/>
            <w:hideMark/>
          </w:tcPr>
          <w:p w14:paraId="54866CBB"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 xml:space="preserve">EMPRESA ASOCIATIVA DE TRABAJO ELECTROSOLEDAD DE ISCUANDE </w:t>
            </w:r>
          </w:p>
        </w:tc>
        <w:tc>
          <w:tcPr>
            <w:tcW w:w="800" w:type="dxa"/>
            <w:tcBorders>
              <w:top w:val="nil"/>
              <w:left w:val="nil"/>
              <w:bottom w:val="single" w:sz="4" w:space="0" w:color="auto"/>
              <w:right w:val="single" w:sz="4" w:space="0" w:color="auto"/>
            </w:tcBorders>
            <w:shd w:val="clear" w:color="auto" w:fill="auto"/>
            <w:noWrap/>
            <w:vAlign w:val="center"/>
            <w:hideMark/>
          </w:tcPr>
          <w:p w14:paraId="44062F07"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Energia</w:t>
            </w:r>
          </w:p>
        </w:tc>
        <w:tc>
          <w:tcPr>
            <w:tcW w:w="1660" w:type="dxa"/>
            <w:tcBorders>
              <w:top w:val="nil"/>
              <w:left w:val="nil"/>
              <w:bottom w:val="single" w:sz="4" w:space="0" w:color="auto"/>
              <w:right w:val="single" w:sz="4" w:space="0" w:color="auto"/>
            </w:tcBorders>
            <w:shd w:val="clear" w:color="auto" w:fill="auto"/>
            <w:noWrap/>
            <w:vAlign w:val="center"/>
            <w:hideMark/>
          </w:tcPr>
          <w:p w14:paraId="3C470B5E"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2,111,960,893</w:t>
            </w:r>
          </w:p>
        </w:tc>
        <w:tc>
          <w:tcPr>
            <w:tcW w:w="1720" w:type="dxa"/>
            <w:tcBorders>
              <w:top w:val="nil"/>
              <w:left w:val="nil"/>
              <w:bottom w:val="single" w:sz="4" w:space="0" w:color="auto"/>
              <w:right w:val="single" w:sz="4" w:space="0" w:color="auto"/>
            </w:tcBorders>
            <w:shd w:val="clear" w:color="auto" w:fill="auto"/>
            <w:noWrap/>
            <w:vAlign w:val="center"/>
            <w:hideMark/>
          </w:tcPr>
          <w:p w14:paraId="0C8BD73D"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49,907,609</w:t>
            </w:r>
          </w:p>
        </w:tc>
      </w:tr>
      <w:tr w:rsidR="00117702" w:rsidRPr="00117702" w14:paraId="719DFBB3" w14:textId="77777777" w:rsidTr="00117702">
        <w:trPr>
          <w:trHeight w:val="6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31B5DB2E"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66</w:t>
            </w:r>
          </w:p>
        </w:tc>
        <w:tc>
          <w:tcPr>
            <w:tcW w:w="900" w:type="dxa"/>
            <w:tcBorders>
              <w:top w:val="nil"/>
              <w:left w:val="nil"/>
              <w:bottom w:val="single" w:sz="4" w:space="0" w:color="auto"/>
              <w:right w:val="single" w:sz="4" w:space="0" w:color="auto"/>
            </w:tcBorders>
            <w:shd w:val="clear" w:color="auto" w:fill="auto"/>
            <w:noWrap/>
            <w:vAlign w:val="center"/>
            <w:hideMark/>
          </w:tcPr>
          <w:p w14:paraId="28A63E44"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900702684</w:t>
            </w:r>
          </w:p>
        </w:tc>
        <w:tc>
          <w:tcPr>
            <w:tcW w:w="3660" w:type="dxa"/>
            <w:tcBorders>
              <w:top w:val="nil"/>
              <w:left w:val="nil"/>
              <w:bottom w:val="single" w:sz="4" w:space="0" w:color="auto"/>
              <w:right w:val="single" w:sz="4" w:space="0" w:color="auto"/>
            </w:tcBorders>
            <w:shd w:val="clear" w:color="auto" w:fill="auto"/>
            <w:vAlign w:val="center"/>
            <w:hideMark/>
          </w:tcPr>
          <w:p w14:paraId="0CAF8648"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EMPRESA ASOCIATIVA DE TRABAJO ENERGIA DE OLAYA HERRERA EAT ENEROLAYAHERRERA E.S.P.</w:t>
            </w:r>
          </w:p>
        </w:tc>
        <w:tc>
          <w:tcPr>
            <w:tcW w:w="800" w:type="dxa"/>
            <w:tcBorders>
              <w:top w:val="nil"/>
              <w:left w:val="nil"/>
              <w:bottom w:val="single" w:sz="4" w:space="0" w:color="auto"/>
              <w:right w:val="single" w:sz="4" w:space="0" w:color="auto"/>
            </w:tcBorders>
            <w:shd w:val="clear" w:color="auto" w:fill="auto"/>
            <w:noWrap/>
            <w:vAlign w:val="center"/>
            <w:hideMark/>
          </w:tcPr>
          <w:p w14:paraId="44BF27E3"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Energia</w:t>
            </w:r>
          </w:p>
        </w:tc>
        <w:tc>
          <w:tcPr>
            <w:tcW w:w="1660" w:type="dxa"/>
            <w:tcBorders>
              <w:top w:val="nil"/>
              <w:left w:val="nil"/>
              <w:bottom w:val="single" w:sz="4" w:space="0" w:color="auto"/>
              <w:right w:val="single" w:sz="4" w:space="0" w:color="auto"/>
            </w:tcBorders>
            <w:shd w:val="clear" w:color="auto" w:fill="auto"/>
            <w:noWrap/>
            <w:vAlign w:val="center"/>
            <w:hideMark/>
          </w:tcPr>
          <w:p w14:paraId="7469FDFD"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1,894,936,000</w:t>
            </w:r>
          </w:p>
        </w:tc>
        <w:tc>
          <w:tcPr>
            <w:tcW w:w="1720" w:type="dxa"/>
            <w:tcBorders>
              <w:top w:val="nil"/>
              <w:left w:val="nil"/>
              <w:bottom w:val="single" w:sz="4" w:space="0" w:color="auto"/>
              <w:right w:val="single" w:sz="4" w:space="0" w:color="auto"/>
            </w:tcBorders>
            <w:shd w:val="clear" w:color="auto" w:fill="auto"/>
            <w:noWrap/>
            <w:vAlign w:val="center"/>
            <w:hideMark/>
          </w:tcPr>
          <w:p w14:paraId="2141BA8A"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621,213,875</w:t>
            </w:r>
          </w:p>
        </w:tc>
      </w:tr>
      <w:tr w:rsidR="00117702" w:rsidRPr="00117702" w14:paraId="645DB0E0" w14:textId="77777777" w:rsidTr="00117702">
        <w:trPr>
          <w:trHeight w:val="46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54CDEB60"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67</w:t>
            </w:r>
          </w:p>
        </w:tc>
        <w:tc>
          <w:tcPr>
            <w:tcW w:w="900" w:type="dxa"/>
            <w:tcBorders>
              <w:top w:val="nil"/>
              <w:left w:val="nil"/>
              <w:bottom w:val="single" w:sz="4" w:space="0" w:color="auto"/>
              <w:right w:val="single" w:sz="4" w:space="0" w:color="auto"/>
            </w:tcBorders>
            <w:shd w:val="clear" w:color="auto" w:fill="auto"/>
            <w:noWrap/>
            <w:vAlign w:val="center"/>
            <w:hideMark/>
          </w:tcPr>
          <w:p w14:paraId="7ACBAAB2"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900352055</w:t>
            </w:r>
          </w:p>
        </w:tc>
        <w:tc>
          <w:tcPr>
            <w:tcW w:w="3660" w:type="dxa"/>
            <w:tcBorders>
              <w:top w:val="nil"/>
              <w:left w:val="nil"/>
              <w:bottom w:val="single" w:sz="4" w:space="0" w:color="auto"/>
              <w:right w:val="single" w:sz="4" w:space="0" w:color="auto"/>
            </w:tcBorders>
            <w:shd w:val="clear" w:color="auto" w:fill="auto"/>
            <w:vAlign w:val="center"/>
            <w:hideMark/>
          </w:tcPr>
          <w:p w14:paraId="72607349"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EMPRESA ASOCIATIVA DE TRABAJO ENERGIA DEL SUR</w:t>
            </w:r>
          </w:p>
        </w:tc>
        <w:tc>
          <w:tcPr>
            <w:tcW w:w="800" w:type="dxa"/>
            <w:tcBorders>
              <w:top w:val="nil"/>
              <w:left w:val="nil"/>
              <w:bottom w:val="single" w:sz="4" w:space="0" w:color="auto"/>
              <w:right w:val="single" w:sz="4" w:space="0" w:color="auto"/>
            </w:tcBorders>
            <w:shd w:val="clear" w:color="auto" w:fill="auto"/>
            <w:noWrap/>
            <w:vAlign w:val="center"/>
            <w:hideMark/>
          </w:tcPr>
          <w:p w14:paraId="7933A4D6"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Energia</w:t>
            </w:r>
          </w:p>
        </w:tc>
        <w:tc>
          <w:tcPr>
            <w:tcW w:w="1660" w:type="dxa"/>
            <w:tcBorders>
              <w:top w:val="nil"/>
              <w:left w:val="nil"/>
              <w:bottom w:val="single" w:sz="4" w:space="0" w:color="auto"/>
              <w:right w:val="single" w:sz="4" w:space="0" w:color="auto"/>
            </w:tcBorders>
            <w:shd w:val="clear" w:color="auto" w:fill="auto"/>
            <w:noWrap/>
            <w:vAlign w:val="center"/>
            <w:hideMark/>
          </w:tcPr>
          <w:p w14:paraId="4D47A68B"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2,984,046,942</w:t>
            </w:r>
          </w:p>
        </w:tc>
        <w:tc>
          <w:tcPr>
            <w:tcW w:w="1720" w:type="dxa"/>
            <w:tcBorders>
              <w:top w:val="nil"/>
              <w:left w:val="nil"/>
              <w:bottom w:val="single" w:sz="4" w:space="0" w:color="auto"/>
              <w:right w:val="single" w:sz="4" w:space="0" w:color="auto"/>
            </w:tcBorders>
            <w:shd w:val="clear" w:color="auto" w:fill="auto"/>
            <w:noWrap/>
            <w:vAlign w:val="center"/>
            <w:hideMark/>
          </w:tcPr>
          <w:p w14:paraId="50CD05A0"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182,666,941</w:t>
            </w:r>
          </w:p>
        </w:tc>
      </w:tr>
      <w:tr w:rsidR="00117702" w:rsidRPr="00117702" w14:paraId="24C35571"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795774D6"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68</w:t>
            </w:r>
          </w:p>
        </w:tc>
        <w:tc>
          <w:tcPr>
            <w:tcW w:w="900" w:type="dxa"/>
            <w:tcBorders>
              <w:top w:val="nil"/>
              <w:left w:val="nil"/>
              <w:bottom w:val="single" w:sz="4" w:space="0" w:color="auto"/>
              <w:right w:val="single" w:sz="4" w:space="0" w:color="auto"/>
            </w:tcBorders>
            <w:shd w:val="clear" w:color="auto" w:fill="auto"/>
            <w:noWrap/>
            <w:vAlign w:val="center"/>
            <w:hideMark/>
          </w:tcPr>
          <w:p w14:paraId="2B2A326D"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892099499</w:t>
            </w:r>
          </w:p>
        </w:tc>
        <w:tc>
          <w:tcPr>
            <w:tcW w:w="3660" w:type="dxa"/>
            <w:tcBorders>
              <w:top w:val="nil"/>
              <w:left w:val="nil"/>
              <w:bottom w:val="single" w:sz="4" w:space="0" w:color="auto"/>
              <w:right w:val="single" w:sz="4" w:space="0" w:color="auto"/>
            </w:tcBorders>
            <w:shd w:val="clear" w:color="auto" w:fill="auto"/>
            <w:vAlign w:val="center"/>
            <w:hideMark/>
          </w:tcPr>
          <w:p w14:paraId="0CDD3CAB"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EMPRESA DE ENERGIA DE ARAUCA</w:t>
            </w:r>
          </w:p>
        </w:tc>
        <w:tc>
          <w:tcPr>
            <w:tcW w:w="800" w:type="dxa"/>
            <w:tcBorders>
              <w:top w:val="nil"/>
              <w:left w:val="nil"/>
              <w:bottom w:val="single" w:sz="4" w:space="0" w:color="auto"/>
              <w:right w:val="single" w:sz="4" w:space="0" w:color="auto"/>
            </w:tcBorders>
            <w:shd w:val="clear" w:color="auto" w:fill="auto"/>
            <w:noWrap/>
            <w:vAlign w:val="center"/>
            <w:hideMark/>
          </w:tcPr>
          <w:p w14:paraId="1E6D2106"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Energia</w:t>
            </w:r>
          </w:p>
        </w:tc>
        <w:tc>
          <w:tcPr>
            <w:tcW w:w="1660" w:type="dxa"/>
            <w:tcBorders>
              <w:top w:val="nil"/>
              <w:left w:val="nil"/>
              <w:bottom w:val="single" w:sz="4" w:space="0" w:color="auto"/>
              <w:right w:val="single" w:sz="4" w:space="0" w:color="auto"/>
            </w:tcBorders>
            <w:shd w:val="clear" w:color="auto" w:fill="auto"/>
            <w:noWrap/>
            <w:vAlign w:val="center"/>
            <w:hideMark/>
          </w:tcPr>
          <w:p w14:paraId="5B989FCC"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147,411,397,000</w:t>
            </w:r>
          </w:p>
        </w:tc>
        <w:tc>
          <w:tcPr>
            <w:tcW w:w="1720" w:type="dxa"/>
            <w:tcBorders>
              <w:top w:val="nil"/>
              <w:left w:val="nil"/>
              <w:bottom w:val="single" w:sz="4" w:space="0" w:color="auto"/>
              <w:right w:val="single" w:sz="4" w:space="0" w:color="auto"/>
            </w:tcBorders>
            <w:shd w:val="clear" w:color="auto" w:fill="auto"/>
            <w:noWrap/>
            <w:vAlign w:val="center"/>
            <w:hideMark/>
          </w:tcPr>
          <w:p w14:paraId="09372CEE"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8,497,271,737</w:t>
            </w:r>
          </w:p>
        </w:tc>
      </w:tr>
      <w:tr w:rsidR="00117702" w:rsidRPr="00117702" w14:paraId="7DABEE13"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74B1A59E"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69</w:t>
            </w:r>
          </w:p>
        </w:tc>
        <w:tc>
          <w:tcPr>
            <w:tcW w:w="900" w:type="dxa"/>
            <w:tcBorders>
              <w:top w:val="nil"/>
              <w:left w:val="nil"/>
              <w:bottom w:val="single" w:sz="4" w:space="0" w:color="auto"/>
              <w:right w:val="single" w:sz="4" w:space="0" w:color="auto"/>
            </w:tcBorders>
            <w:shd w:val="clear" w:color="auto" w:fill="auto"/>
            <w:noWrap/>
            <w:vAlign w:val="center"/>
            <w:hideMark/>
          </w:tcPr>
          <w:p w14:paraId="5E2B88DF"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899999082</w:t>
            </w:r>
          </w:p>
        </w:tc>
        <w:tc>
          <w:tcPr>
            <w:tcW w:w="3660" w:type="dxa"/>
            <w:tcBorders>
              <w:top w:val="nil"/>
              <w:left w:val="nil"/>
              <w:bottom w:val="single" w:sz="4" w:space="0" w:color="auto"/>
              <w:right w:val="single" w:sz="4" w:space="0" w:color="auto"/>
            </w:tcBorders>
            <w:shd w:val="clear" w:color="auto" w:fill="auto"/>
            <w:vAlign w:val="center"/>
            <w:hideMark/>
          </w:tcPr>
          <w:p w14:paraId="472EB132"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EMPRESA DE ENERGIA DE BOGOTA S.A. ESP.</w:t>
            </w:r>
          </w:p>
        </w:tc>
        <w:tc>
          <w:tcPr>
            <w:tcW w:w="800" w:type="dxa"/>
            <w:tcBorders>
              <w:top w:val="nil"/>
              <w:left w:val="nil"/>
              <w:bottom w:val="single" w:sz="4" w:space="0" w:color="auto"/>
              <w:right w:val="single" w:sz="4" w:space="0" w:color="auto"/>
            </w:tcBorders>
            <w:shd w:val="clear" w:color="auto" w:fill="auto"/>
            <w:noWrap/>
            <w:vAlign w:val="center"/>
            <w:hideMark/>
          </w:tcPr>
          <w:p w14:paraId="6550B15D"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Energia</w:t>
            </w:r>
          </w:p>
        </w:tc>
        <w:tc>
          <w:tcPr>
            <w:tcW w:w="1660" w:type="dxa"/>
            <w:tcBorders>
              <w:top w:val="nil"/>
              <w:left w:val="nil"/>
              <w:bottom w:val="single" w:sz="4" w:space="0" w:color="auto"/>
              <w:right w:val="single" w:sz="4" w:space="0" w:color="auto"/>
            </w:tcBorders>
            <w:shd w:val="clear" w:color="auto" w:fill="auto"/>
            <w:noWrap/>
            <w:vAlign w:val="center"/>
            <w:hideMark/>
          </w:tcPr>
          <w:p w14:paraId="63B133B2"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105,902,851,411</w:t>
            </w:r>
          </w:p>
        </w:tc>
        <w:tc>
          <w:tcPr>
            <w:tcW w:w="1720" w:type="dxa"/>
            <w:tcBorders>
              <w:top w:val="nil"/>
              <w:left w:val="nil"/>
              <w:bottom w:val="single" w:sz="4" w:space="0" w:color="auto"/>
              <w:right w:val="single" w:sz="4" w:space="0" w:color="auto"/>
            </w:tcBorders>
            <w:shd w:val="clear" w:color="auto" w:fill="auto"/>
            <w:noWrap/>
            <w:vAlign w:val="center"/>
            <w:hideMark/>
          </w:tcPr>
          <w:p w14:paraId="2019179F"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25,669,704,863</w:t>
            </w:r>
          </w:p>
        </w:tc>
      </w:tr>
      <w:tr w:rsidR="00117702" w:rsidRPr="00117702" w14:paraId="5FE6538E"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47D93B66"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70</w:t>
            </w:r>
          </w:p>
        </w:tc>
        <w:tc>
          <w:tcPr>
            <w:tcW w:w="900" w:type="dxa"/>
            <w:tcBorders>
              <w:top w:val="nil"/>
              <w:left w:val="nil"/>
              <w:bottom w:val="single" w:sz="4" w:space="0" w:color="auto"/>
              <w:right w:val="single" w:sz="4" w:space="0" w:color="auto"/>
            </w:tcBorders>
            <w:shd w:val="clear" w:color="auto" w:fill="auto"/>
            <w:noWrap/>
            <w:vAlign w:val="center"/>
            <w:hideMark/>
          </w:tcPr>
          <w:p w14:paraId="73C8927E"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891800219</w:t>
            </w:r>
          </w:p>
        </w:tc>
        <w:tc>
          <w:tcPr>
            <w:tcW w:w="3660" w:type="dxa"/>
            <w:tcBorders>
              <w:top w:val="nil"/>
              <w:left w:val="nil"/>
              <w:bottom w:val="single" w:sz="4" w:space="0" w:color="auto"/>
              <w:right w:val="single" w:sz="4" w:space="0" w:color="auto"/>
            </w:tcBorders>
            <w:shd w:val="clear" w:color="auto" w:fill="auto"/>
            <w:vAlign w:val="center"/>
            <w:hideMark/>
          </w:tcPr>
          <w:p w14:paraId="70A8CED3"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EMPRESA DE ENERGIA DE BOYACA S.A. ESP</w:t>
            </w:r>
          </w:p>
        </w:tc>
        <w:tc>
          <w:tcPr>
            <w:tcW w:w="800" w:type="dxa"/>
            <w:tcBorders>
              <w:top w:val="nil"/>
              <w:left w:val="nil"/>
              <w:bottom w:val="single" w:sz="4" w:space="0" w:color="auto"/>
              <w:right w:val="single" w:sz="4" w:space="0" w:color="auto"/>
            </w:tcBorders>
            <w:shd w:val="clear" w:color="auto" w:fill="auto"/>
            <w:noWrap/>
            <w:vAlign w:val="center"/>
            <w:hideMark/>
          </w:tcPr>
          <w:p w14:paraId="171379F4"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Energia</w:t>
            </w:r>
          </w:p>
        </w:tc>
        <w:tc>
          <w:tcPr>
            <w:tcW w:w="1660" w:type="dxa"/>
            <w:tcBorders>
              <w:top w:val="nil"/>
              <w:left w:val="nil"/>
              <w:bottom w:val="single" w:sz="4" w:space="0" w:color="auto"/>
              <w:right w:val="single" w:sz="4" w:space="0" w:color="auto"/>
            </w:tcBorders>
            <w:shd w:val="clear" w:color="auto" w:fill="auto"/>
            <w:noWrap/>
            <w:vAlign w:val="center"/>
            <w:hideMark/>
          </w:tcPr>
          <w:p w14:paraId="613A3E82"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429,078,327,000</w:t>
            </w:r>
          </w:p>
        </w:tc>
        <w:tc>
          <w:tcPr>
            <w:tcW w:w="1720" w:type="dxa"/>
            <w:tcBorders>
              <w:top w:val="nil"/>
              <w:left w:val="nil"/>
              <w:bottom w:val="single" w:sz="4" w:space="0" w:color="auto"/>
              <w:right w:val="single" w:sz="4" w:space="0" w:color="auto"/>
            </w:tcBorders>
            <w:shd w:val="clear" w:color="auto" w:fill="auto"/>
            <w:noWrap/>
            <w:vAlign w:val="center"/>
            <w:hideMark/>
          </w:tcPr>
          <w:p w14:paraId="127CFC43"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15,817,573,055</w:t>
            </w:r>
          </w:p>
        </w:tc>
      </w:tr>
      <w:tr w:rsidR="00117702" w:rsidRPr="00117702" w14:paraId="3657F472"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222057CA"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71</w:t>
            </w:r>
          </w:p>
        </w:tc>
        <w:tc>
          <w:tcPr>
            <w:tcW w:w="900" w:type="dxa"/>
            <w:tcBorders>
              <w:top w:val="nil"/>
              <w:left w:val="nil"/>
              <w:bottom w:val="single" w:sz="4" w:space="0" w:color="auto"/>
              <w:right w:val="single" w:sz="4" w:space="0" w:color="auto"/>
            </w:tcBorders>
            <w:shd w:val="clear" w:color="auto" w:fill="auto"/>
            <w:noWrap/>
            <w:vAlign w:val="center"/>
            <w:hideMark/>
          </w:tcPr>
          <w:p w14:paraId="4DD494C2"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844004576</w:t>
            </w:r>
          </w:p>
        </w:tc>
        <w:tc>
          <w:tcPr>
            <w:tcW w:w="3660" w:type="dxa"/>
            <w:tcBorders>
              <w:top w:val="nil"/>
              <w:left w:val="nil"/>
              <w:bottom w:val="single" w:sz="4" w:space="0" w:color="auto"/>
              <w:right w:val="single" w:sz="4" w:space="0" w:color="auto"/>
            </w:tcBorders>
            <w:shd w:val="clear" w:color="auto" w:fill="auto"/>
            <w:vAlign w:val="center"/>
            <w:hideMark/>
          </w:tcPr>
          <w:p w14:paraId="6F5BAF0A"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EMPRESA DE ENERGIA DE CASANARE SA ESP</w:t>
            </w:r>
          </w:p>
        </w:tc>
        <w:tc>
          <w:tcPr>
            <w:tcW w:w="800" w:type="dxa"/>
            <w:tcBorders>
              <w:top w:val="nil"/>
              <w:left w:val="nil"/>
              <w:bottom w:val="single" w:sz="4" w:space="0" w:color="auto"/>
              <w:right w:val="single" w:sz="4" w:space="0" w:color="auto"/>
            </w:tcBorders>
            <w:shd w:val="clear" w:color="auto" w:fill="auto"/>
            <w:noWrap/>
            <w:vAlign w:val="center"/>
            <w:hideMark/>
          </w:tcPr>
          <w:p w14:paraId="2B57074C"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Energia</w:t>
            </w:r>
          </w:p>
        </w:tc>
        <w:tc>
          <w:tcPr>
            <w:tcW w:w="1660" w:type="dxa"/>
            <w:tcBorders>
              <w:top w:val="nil"/>
              <w:left w:val="nil"/>
              <w:bottom w:val="single" w:sz="4" w:space="0" w:color="auto"/>
              <w:right w:val="single" w:sz="4" w:space="0" w:color="auto"/>
            </w:tcBorders>
            <w:shd w:val="clear" w:color="auto" w:fill="auto"/>
            <w:noWrap/>
            <w:vAlign w:val="center"/>
            <w:hideMark/>
          </w:tcPr>
          <w:p w14:paraId="44BFC168"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199,050,378,061</w:t>
            </w:r>
          </w:p>
        </w:tc>
        <w:tc>
          <w:tcPr>
            <w:tcW w:w="1720" w:type="dxa"/>
            <w:tcBorders>
              <w:top w:val="nil"/>
              <w:left w:val="nil"/>
              <w:bottom w:val="single" w:sz="4" w:space="0" w:color="auto"/>
              <w:right w:val="single" w:sz="4" w:space="0" w:color="auto"/>
            </w:tcBorders>
            <w:shd w:val="clear" w:color="auto" w:fill="auto"/>
            <w:noWrap/>
            <w:vAlign w:val="center"/>
            <w:hideMark/>
          </w:tcPr>
          <w:p w14:paraId="0B6B819C"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4,956,160,466</w:t>
            </w:r>
          </w:p>
        </w:tc>
      </w:tr>
      <w:tr w:rsidR="00117702" w:rsidRPr="00117702" w14:paraId="02436825"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67498AC9"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72</w:t>
            </w:r>
          </w:p>
        </w:tc>
        <w:tc>
          <w:tcPr>
            <w:tcW w:w="900" w:type="dxa"/>
            <w:tcBorders>
              <w:top w:val="nil"/>
              <w:left w:val="nil"/>
              <w:bottom w:val="single" w:sz="4" w:space="0" w:color="auto"/>
              <w:right w:val="single" w:sz="4" w:space="0" w:color="auto"/>
            </w:tcBorders>
            <w:shd w:val="clear" w:color="auto" w:fill="auto"/>
            <w:noWrap/>
            <w:vAlign w:val="center"/>
            <w:hideMark/>
          </w:tcPr>
          <w:p w14:paraId="0B5E24E7"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816002019</w:t>
            </w:r>
          </w:p>
        </w:tc>
        <w:tc>
          <w:tcPr>
            <w:tcW w:w="3660" w:type="dxa"/>
            <w:tcBorders>
              <w:top w:val="nil"/>
              <w:left w:val="nil"/>
              <w:bottom w:val="single" w:sz="4" w:space="0" w:color="auto"/>
              <w:right w:val="single" w:sz="4" w:space="0" w:color="auto"/>
            </w:tcBorders>
            <w:shd w:val="clear" w:color="auto" w:fill="auto"/>
            <w:vAlign w:val="center"/>
            <w:hideMark/>
          </w:tcPr>
          <w:p w14:paraId="35BA6A44"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EMPRESA DE ENERGÍA DE PEREIRA S.A. ESP.</w:t>
            </w:r>
          </w:p>
        </w:tc>
        <w:tc>
          <w:tcPr>
            <w:tcW w:w="800" w:type="dxa"/>
            <w:tcBorders>
              <w:top w:val="nil"/>
              <w:left w:val="nil"/>
              <w:bottom w:val="single" w:sz="4" w:space="0" w:color="auto"/>
              <w:right w:val="single" w:sz="4" w:space="0" w:color="auto"/>
            </w:tcBorders>
            <w:shd w:val="clear" w:color="auto" w:fill="auto"/>
            <w:noWrap/>
            <w:vAlign w:val="center"/>
            <w:hideMark/>
          </w:tcPr>
          <w:p w14:paraId="4B8B7CF5"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Energia</w:t>
            </w:r>
          </w:p>
        </w:tc>
        <w:tc>
          <w:tcPr>
            <w:tcW w:w="1660" w:type="dxa"/>
            <w:tcBorders>
              <w:top w:val="nil"/>
              <w:left w:val="nil"/>
              <w:bottom w:val="single" w:sz="4" w:space="0" w:color="auto"/>
              <w:right w:val="single" w:sz="4" w:space="0" w:color="auto"/>
            </w:tcBorders>
            <w:shd w:val="clear" w:color="auto" w:fill="auto"/>
            <w:noWrap/>
            <w:vAlign w:val="center"/>
            <w:hideMark/>
          </w:tcPr>
          <w:p w14:paraId="41459D11"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209,795,823,746</w:t>
            </w:r>
          </w:p>
        </w:tc>
        <w:tc>
          <w:tcPr>
            <w:tcW w:w="1720" w:type="dxa"/>
            <w:tcBorders>
              <w:top w:val="nil"/>
              <w:left w:val="nil"/>
              <w:bottom w:val="single" w:sz="4" w:space="0" w:color="auto"/>
              <w:right w:val="single" w:sz="4" w:space="0" w:color="auto"/>
            </w:tcBorders>
            <w:shd w:val="clear" w:color="auto" w:fill="auto"/>
            <w:noWrap/>
            <w:vAlign w:val="center"/>
            <w:hideMark/>
          </w:tcPr>
          <w:p w14:paraId="26A77BC1"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11,564,562,359</w:t>
            </w:r>
          </w:p>
        </w:tc>
      </w:tr>
      <w:tr w:rsidR="00117702" w:rsidRPr="00117702" w14:paraId="3E9AAD39"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6EFEFC6D"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73</w:t>
            </w:r>
          </w:p>
        </w:tc>
        <w:tc>
          <w:tcPr>
            <w:tcW w:w="900" w:type="dxa"/>
            <w:tcBorders>
              <w:top w:val="nil"/>
              <w:left w:val="nil"/>
              <w:bottom w:val="single" w:sz="4" w:space="0" w:color="auto"/>
              <w:right w:val="single" w:sz="4" w:space="0" w:color="auto"/>
            </w:tcBorders>
            <w:shd w:val="clear" w:color="auto" w:fill="auto"/>
            <w:noWrap/>
            <w:vAlign w:val="center"/>
            <w:hideMark/>
          </w:tcPr>
          <w:p w14:paraId="4726C927"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800052640</w:t>
            </w:r>
          </w:p>
        </w:tc>
        <w:tc>
          <w:tcPr>
            <w:tcW w:w="3660" w:type="dxa"/>
            <w:tcBorders>
              <w:top w:val="nil"/>
              <w:left w:val="nil"/>
              <w:bottom w:val="single" w:sz="4" w:space="0" w:color="auto"/>
              <w:right w:val="single" w:sz="4" w:space="0" w:color="auto"/>
            </w:tcBorders>
            <w:shd w:val="clear" w:color="auto" w:fill="auto"/>
            <w:vAlign w:val="center"/>
            <w:hideMark/>
          </w:tcPr>
          <w:p w14:paraId="35FFA8C6"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EMPRESA DE ENERGIA DEL  QUINDIO S.A.E.S.P.</w:t>
            </w:r>
          </w:p>
        </w:tc>
        <w:tc>
          <w:tcPr>
            <w:tcW w:w="800" w:type="dxa"/>
            <w:tcBorders>
              <w:top w:val="nil"/>
              <w:left w:val="nil"/>
              <w:bottom w:val="single" w:sz="4" w:space="0" w:color="auto"/>
              <w:right w:val="single" w:sz="4" w:space="0" w:color="auto"/>
            </w:tcBorders>
            <w:shd w:val="clear" w:color="auto" w:fill="auto"/>
            <w:noWrap/>
            <w:vAlign w:val="center"/>
            <w:hideMark/>
          </w:tcPr>
          <w:p w14:paraId="2BFA71F9"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Energia</w:t>
            </w:r>
          </w:p>
        </w:tc>
        <w:tc>
          <w:tcPr>
            <w:tcW w:w="1660" w:type="dxa"/>
            <w:tcBorders>
              <w:top w:val="nil"/>
              <w:left w:val="nil"/>
              <w:bottom w:val="single" w:sz="4" w:space="0" w:color="auto"/>
              <w:right w:val="single" w:sz="4" w:space="0" w:color="auto"/>
            </w:tcBorders>
            <w:shd w:val="clear" w:color="auto" w:fill="auto"/>
            <w:noWrap/>
            <w:vAlign w:val="center"/>
            <w:hideMark/>
          </w:tcPr>
          <w:p w14:paraId="41F32038"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191,942,826,000</w:t>
            </w:r>
          </w:p>
        </w:tc>
        <w:tc>
          <w:tcPr>
            <w:tcW w:w="1720" w:type="dxa"/>
            <w:tcBorders>
              <w:top w:val="nil"/>
              <w:left w:val="nil"/>
              <w:bottom w:val="single" w:sz="4" w:space="0" w:color="auto"/>
              <w:right w:val="single" w:sz="4" w:space="0" w:color="auto"/>
            </w:tcBorders>
            <w:shd w:val="clear" w:color="auto" w:fill="auto"/>
            <w:noWrap/>
            <w:vAlign w:val="center"/>
            <w:hideMark/>
          </w:tcPr>
          <w:p w14:paraId="2727D81E"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19,820,096,837</w:t>
            </w:r>
          </w:p>
        </w:tc>
      </w:tr>
      <w:tr w:rsidR="00117702" w:rsidRPr="00117702" w14:paraId="6B87725B" w14:textId="77777777" w:rsidTr="00117702">
        <w:trPr>
          <w:trHeight w:val="46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4EF431A2"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74</w:t>
            </w:r>
          </w:p>
        </w:tc>
        <w:tc>
          <w:tcPr>
            <w:tcW w:w="900" w:type="dxa"/>
            <w:tcBorders>
              <w:top w:val="nil"/>
              <w:left w:val="nil"/>
              <w:bottom w:val="single" w:sz="4" w:space="0" w:color="auto"/>
              <w:right w:val="single" w:sz="4" w:space="0" w:color="auto"/>
            </w:tcBorders>
            <w:shd w:val="clear" w:color="auto" w:fill="auto"/>
            <w:noWrap/>
            <w:vAlign w:val="center"/>
            <w:hideMark/>
          </w:tcPr>
          <w:p w14:paraId="0920EA19"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846000553</w:t>
            </w:r>
          </w:p>
        </w:tc>
        <w:tc>
          <w:tcPr>
            <w:tcW w:w="3660" w:type="dxa"/>
            <w:tcBorders>
              <w:top w:val="nil"/>
              <w:left w:val="nil"/>
              <w:bottom w:val="single" w:sz="4" w:space="0" w:color="auto"/>
              <w:right w:val="single" w:sz="4" w:space="0" w:color="auto"/>
            </w:tcBorders>
            <w:shd w:val="clear" w:color="auto" w:fill="auto"/>
            <w:vAlign w:val="center"/>
            <w:hideMark/>
          </w:tcPr>
          <w:p w14:paraId="4EC1772E"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EMPRESA DE ENERGIA DEL BAJO PUTUMAYO  S.A.  E.S.P.</w:t>
            </w:r>
          </w:p>
        </w:tc>
        <w:tc>
          <w:tcPr>
            <w:tcW w:w="800" w:type="dxa"/>
            <w:tcBorders>
              <w:top w:val="nil"/>
              <w:left w:val="nil"/>
              <w:bottom w:val="single" w:sz="4" w:space="0" w:color="auto"/>
              <w:right w:val="single" w:sz="4" w:space="0" w:color="auto"/>
            </w:tcBorders>
            <w:shd w:val="clear" w:color="auto" w:fill="auto"/>
            <w:noWrap/>
            <w:vAlign w:val="center"/>
            <w:hideMark/>
          </w:tcPr>
          <w:p w14:paraId="6F05FF18"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Energia</w:t>
            </w:r>
          </w:p>
        </w:tc>
        <w:tc>
          <w:tcPr>
            <w:tcW w:w="1660" w:type="dxa"/>
            <w:tcBorders>
              <w:top w:val="nil"/>
              <w:left w:val="nil"/>
              <w:bottom w:val="single" w:sz="4" w:space="0" w:color="auto"/>
              <w:right w:val="single" w:sz="4" w:space="0" w:color="auto"/>
            </w:tcBorders>
            <w:shd w:val="clear" w:color="auto" w:fill="auto"/>
            <w:noWrap/>
            <w:vAlign w:val="center"/>
            <w:hideMark/>
          </w:tcPr>
          <w:p w14:paraId="54181E53"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37,496,071,468</w:t>
            </w:r>
          </w:p>
        </w:tc>
        <w:tc>
          <w:tcPr>
            <w:tcW w:w="1720" w:type="dxa"/>
            <w:tcBorders>
              <w:top w:val="nil"/>
              <w:left w:val="nil"/>
              <w:bottom w:val="single" w:sz="4" w:space="0" w:color="auto"/>
              <w:right w:val="single" w:sz="4" w:space="0" w:color="auto"/>
            </w:tcBorders>
            <w:shd w:val="clear" w:color="auto" w:fill="auto"/>
            <w:noWrap/>
            <w:vAlign w:val="center"/>
            <w:hideMark/>
          </w:tcPr>
          <w:p w14:paraId="3C50317E"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3,668,135,272</w:t>
            </w:r>
          </w:p>
        </w:tc>
      </w:tr>
      <w:tr w:rsidR="00117702" w:rsidRPr="00117702" w14:paraId="1433E3EC" w14:textId="77777777" w:rsidTr="00117702">
        <w:trPr>
          <w:trHeight w:val="46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463B071E"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75</w:t>
            </w:r>
          </w:p>
        </w:tc>
        <w:tc>
          <w:tcPr>
            <w:tcW w:w="900" w:type="dxa"/>
            <w:tcBorders>
              <w:top w:val="nil"/>
              <w:left w:val="nil"/>
              <w:bottom w:val="single" w:sz="4" w:space="0" w:color="auto"/>
              <w:right w:val="single" w:sz="4" w:space="0" w:color="auto"/>
            </w:tcBorders>
            <w:shd w:val="clear" w:color="auto" w:fill="auto"/>
            <w:noWrap/>
            <w:vAlign w:val="center"/>
            <w:hideMark/>
          </w:tcPr>
          <w:p w14:paraId="618CDFB1"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843000057</w:t>
            </w:r>
          </w:p>
        </w:tc>
        <w:tc>
          <w:tcPr>
            <w:tcW w:w="3660" w:type="dxa"/>
            <w:tcBorders>
              <w:top w:val="nil"/>
              <w:left w:val="nil"/>
              <w:bottom w:val="single" w:sz="4" w:space="0" w:color="auto"/>
              <w:right w:val="single" w:sz="4" w:space="0" w:color="auto"/>
            </w:tcBorders>
            <w:shd w:val="clear" w:color="auto" w:fill="auto"/>
            <w:vAlign w:val="center"/>
            <w:hideMark/>
          </w:tcPr>
          <w:p w14:paraId="746E6250"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EMPRESA DE ENERGIA DEL GUAINIA LA CEIBA S.A. E.S.P.</w:t>
            </w:r>
          </w:p>
        </w:tc>
        <w:tc>
          <w:tcPr>
            <w:tcW w:w="800" w:type="dxa"/>
            <w:tcBorders>
              <w:top w:val="nil"/>
              <w:left w:val="nil"/>
              <w:bottom w:val="single" w:sz="4" w:space="0" w:color="auto"/>
              <w:right w:val="single" w:sz="4" w:space="0" w:color="auto"/>
            </w:tcBorders>
            <w:shd w:val="clear" w:color="auto" w:fill="auto"/>
            <w:noWrap/>
            <w:vAlign w:val="center"/>
            <w:hideMark/>
          </w:tcPr>
          <w:p w14:paraId="49BE8F2C"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Energia</w:t>
            </w:r>
          </w:p>
        </w:tc>
        <w:tc>
          <w:tcPr>
            <w:tcW w:w="1660" w:type="dxa"/>
            <w:tcBorders>
              <w:top w:val="nil"/>
              <w:left w:val="nil"/>
              <w:bottom w:val="single" w:sz="4" w:space="0" w:color="auto"/>
              <w:right w:val="single" w:sz="4" w:space="0" w:color="auto"/>
            </w:tcBorders>
            <w:shd w:val="clear" w:color="auto" w:fill="auto"/>
            <w:noWrap/>
            <w:vAlign w:val="center"/>
            <w:hideMark/>
          </w:tcPr>
          <w:p w14:paraId="2E876B6B"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31,676,452,016</w:t>
            </w:r>
          </w:p>
        </w:tc>
        <w:tc>
          <w:tcPr>
            <w:tcW w:w="1720" w:type="dxa"/>
            <w:tcBorders>
              <w:top w:val="nil"/>
              <w:left w:val="nil"/>
              <w:bottom w:val="single" w:sz="4" w:space="0" w:color="auto"/>
              <w:right w:val="single" w:sz="4" w:space="0" w:color="auto"/>
            </w:tcBorders>
            <w:shd w:val="clear" w:color="auto" w:fill="auto"/>
            <w:noWrap/>
            <w:vAlign w:val="center"/>
            <w:hideMark/>
          </w:tcPr>
          <w:p w14:paraId="1C30B8F2"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1,042,183,575</w:t>
            </w:r>
          </w:p>
        </w:tc>
      </w:tr>
      <w:tr w:rsidR="00117702" w:rsidRPr="00117702" w14:paraId="0BF7219E"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25BB9D91"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76</w:t>
            </w:r>
          </w:p>
        </w:tc>
        <w:tc>
          <w:tcPr>
            <w:tcW w:w="900" w:type="dxa"/>
            <w:tcBorders>
              <w:top w:val="nil"/>
              <w:left w:val="nil"/>
              <w:bottom w:val="single" w:sz="4" w:space="0" w:color="auto"/>
              <w:right w:val="single" w:sz="4" w:space="0" w:color="auto"/>
            </w:tcBorders>
            <w:shd w:val="clear" w:color="auto" w:fill="auto"/>
            <w:noWrap/>
            <w:vAlign w:val="center"/>
            <w:hideMark/>
          </w:tcPr>
          <w:p w14:paraId="29988C6F"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800249860</w:t>
            </w:r>
          </w:p>
        </w:tc>
        <w:tc>
          <w:tcPr>
            <w:tcW w:w="3660" w:type="dxa"/>
            <w:tcBorders>
              <w:top w:val="nil"/>
              <w:left w:val="nil"/>
              <w:bottom w:val="single" w:sz="4" w:space="0" w:color="auto"/>
              <w:right w:val="single" w:sz="4" w:space="0" w:color="auto"/>
            </w:tcBorders>
            <w:shd w:val="clear" w:color="auto" w:fill="auto"/>
            <w:vAlign w:val="center"/>
            <w:hideMark/>
          </w:tcPr>
          <w:p w14:paraId="5C50401C"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EMPRESA DE ENERGÍA DEL PACÍFICO S.A. E.S.P.</w:t>
            </w:r>
          </w:p>
        </w:tc>
        <w:tc>
          <w:tcPr>
            <w:tcW w:w="800" w:type="dxa"/>
            <w:tcBorders>
              <w:top w:val="nil"/>
              <w:left w:val="nil"/>
              <w:bottom w:val="single" w:sz="4" w:space="0" w:color="auto"/>
              <w:right w:val="single" w:sz="4" w:space="0" w:color="auto"/>
            </w:tcBorders>
            <w:shd w:val="clear" w:color="auto" w:fill="auto"/>
            <w:noWrap/>
            <w:vAlign w:val="center"/>
            <w:hideMark/>
          </w:tcPr>
          <w:p w14:paraId="0DB85E72"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Energia</w:t>
            </w:r>
          </w:p>
        </w:tc>
        <w:tc>
          <w:tcPr>
            <w:tcW w:w="1660" w:type="dxa"/>
            <w:tcBorders>
              <w:top w:val="nil"/>
              <w:left w:val="nil"/>
              <w:bottom w:val="single" w:sz="4" w:space="0" w:color="auto"/>
              <w:right w:val="single" w:sz="4" w:space="0" w:color="auto"/>
            </w:tcBorders>
            <w:shd w:val="clear" w:color="auto" w:fill="auto"/>
            <w:noWrap/>
            <w:vAlign w:val="center"/>
            <w:hideMark/>
          </w:tcPr>
          <w:p w14:paraId="750C00F2"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1,639,490,839,470</w:t>
            </w:r>
          </w:p>
        </w:tc>
        <w:tc>
          <w:tcPr>
            <w:tcW w:w="1720" w:type="dxa"/>
            <w:tcBorders>
              <w:top w:val="nil"/>
              <w:left w:val="nil"/>
              <w:bottom w:val="single" w:sz="4" w:space="0" w:color="auto"/>
              <w:right w:val="single" w:sz="4" w:space="0" w:color="auto"/>
            </w:tcBorders>
            <w:shd w:val="clear" w:color="auto" w:fill="auto"/>
            <w:noWrap/>
            <w:vAlign w:val="center"/>
            <w:hideMark/>
          </w:tcPr>
          <w:p w14:paraId="688D3355"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150,252,104,436</w:t>
            </w:r>
          </w:p>
        </w:tc>
      </w:tr>
      <w:tr w:rsidR="00117702" w:rsidRPr="00117702" w14:paraId="18D9CF44"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22D166CB"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77</w:t>
            </w:r>
          </w:p>
        </w:tc>
        <w:tc>
          <w:tcPr>
            <w:tcW w:w="900" w:type="dxa"/>
            <w:tcBorders>
              <w:top w:val="nil"/>
              <w:left w:val="nil"/>
              <w:bottom w:val="single" w:sz="4" w:space="0" w:color="auto"/>
              <w:right w:val="single" w:sz="4" w:space="0" w:color="auto"/>
            </w:tcBorders>
            <w:shd w:val="clear" w:color="auto" w:fill="auto"/>
            <w:noWrap/>
            <w:vAlign w:val="center"/>
            <w:hideMark/>
          </w:tcPr>
          <w:p w14:paraId="56613CA8"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846000241</w:t>
            </w:r>
          </w:p>
        </w:tc>
        <w:tc>
          <w:tcPr>
            <w:tcW w:w="3660" w:type="dxa"/>
            <w:tcBorders>
              <w:top w:val="nil"/>
              <w:left w:val="nil"/>
              <w:bottom w:val="single" w:sz="4" w:space="0" w:color="auto"/>
              <w:right w:val="single" w:sz="4" w:space="0" w:color="auto"/>
            </w:tcBorders>
            <w:shd w:val="clear" w:color="auto" w:fill="auto"/>
            <w:vAlign w:val="center"/>
            <w:hideMark/>
          </w:tcPr>
          <w:p w14:paraId="6B60DABC"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EMPRESA DE ENERGIA DEL PUTUMAYO S.A. ESP</w:t>
            </w:r>
          </w:p>
        </w:tc>
        <w:tc>
          <w:tcPr>
            <w:tcW w:w="800" w:type="dxa"/>
            <w:tcBorders>
              <w:top w:val="nil"/>
              <w:left w:val="nil"/>
              <w:bottom w:val="single" w:sz="4" w:space="0" w:color="auto"/>
              <w:right w:val="single" w:sz="4" w:space="0" w:color="auto"/>
            </w:tcBorders>
            <w:shd w:val="clear" w:color="auto" w:fill="auto"/>
            <w:noWrap/>
            <w:vAlign w:val="center"/>
            <w:hideMark/>
          </w:tcPr>
          <w:p w14:paraId="7DB4591A"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Energia</w:t>
            </w:r>
          </w:p>
        </w:tc>
        <w:tc>
          <w:tcPr>
            <w:tcW w:w="1660" w:type="dxa"/>
            <w:tcBorders>
              <w:top w:val="nil"/>
              <w:left w:val="nil"/>
              <w:bottom w:val="single" w:sz="4" w:space="0" w:color="auto"/>
              <w:right w:val="single" w:sz="4" w:space="0" w:color="auto"/>
            </w:tcBorders>
            <w:shd w:val="clear" w:color="auto" w:fill="auto"/>
            <w:noWrap/>
            <w:vAlign w:val="center"/>
            <w:hideMark/>
          </w:tcPr>
          <w:p w14:paraId="0ACB2F90"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34,833,489,934</w:t>
            </w:r>
          </w:p>
        </w:tc>
        <w:tc>
          <w:tcPr>
            <w:tcW w:w="1720" w:type="dxa"/>
            <w:tcBorders>
              <w:top w:val="nil"/>
              <w:left w:val="nil"/>
              <w:bottom w:val="single" w:sz="4" w:space="0" w:color="auto"/>
              <w:right w:val="single" w:sz="4" w:space="0" w:color="auto"/>
            </w:tcBorders>
            <w:shd w:val="clear" w:color="auto" w:fill="auto"/>
            <w:noWrap/>
            <w:vAlign w:val="center"/>
            <w:hideMark/>
          </w:tcPr>
          <w:p w14:paraId="2FEC5731"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3,112,199,208</w:t>
            </w:r>
          </w:p>
        </w:tc>
      </w:tr>
      <w:tr w:rsidR="00117702" w:rsidRPr="00117702" w14:paraId="7319372A" w14:textId="77777777" w:rsidTr="00117702">
        <w:trPr>
          <w:trHeight w:val="46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76F11CB8"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lastRenderedPageBreak/>
              <w:t>78</w:t>
            </w:r>
          </w:p>
        </w:tc>
        <w:tc>
          <w:tcPr>
            <w:tcW w:w="900" w:type="dxa"/>
            <w:tcBorders>
              <w:top w:val="nil"/>
              <w:left w:val="nil"/>
              <w:bottom w:val="single" w:sz="4" w:space="0" w:color="auto"/>
              <w:right w:val="single" w:sz="4" w:space="0" w:color="auto"/>
            </w:tcBorders>
            <w:shd w:val="clear" w:color="auto" w:fill="auto"/>
            <w:noWrap/>
            <w:vAlign w:val="center"/>
            <w:hideMark/>
          </w:tcPr>
          <w:p w14:paraId="1AE7C7D1"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846000060</w:t>
            </w:r>
          </w:p>
        </w:tc>
        <w:tc>
          <w:tcPr>
            <w:tcW w:w="3660" w:type="dxa"/>
            <w:tcBorders>
              <w:top w:val="nil"/>
              <w:left w:val="nil"/>
              <w:bottom w:val="single" w:sz="4" w:space="0" w:color="auto"/>
              <w:right w:val="single" w:sz="4" w:space="0" w:color="auto"/>
            </w:tcBorders>
            <w:shd w:val="clear" w:color="auto" w:fill="auto"/>
            <w:vAlign w:val="center"/>
            <w:hideMark/>
          </w:tcPr>
          <w:p w14:paraId="48E951E6"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 xml:space="preserve">EMPRESA DE ENERGIA DEL VALLE DE SIBUNDOY S.A. E.S.P. </w:t>
            </w:r>
          </w:p>
        </w:tc>
        <w:tc>
          <w:tcPr>
            <w:tcW w:w="800" w:type="dxa"/>
            <w:tcBorders>
              <w:top w:val="nil"/>
              <w:left w:val="nil"/>
              <w:bottom w:val="single" w:sz="4" w:space="0" w:color="auto"/>
              <w:right w:val="single" w:sz="4" w:space="0" w:color="auto"/>
            </w:tcBorders>
            <w:shd w:val="clear" w:color="auto" w:fill="auto"/>
            <w:noWrap/>
            <w:vAlign w:val="center"/>
            <w:hideMark/>
          </w:tcPr>
          <w:p w14:paraId="39F7CE81"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Energia</w:t>
            </w:r>
          </w:p>
        </w:tc>
        <w:tc>
          <w:tcPr>
            <w:tcW w:w="1660" w:type="dxa"/>
            <w:tcBorders>
              <w:top w:val="nil"/>
              <w:left w:val="nil"/>
              <w:bottom w:val="single" w:sz="4" w:space="0" w:color="auto"/>
              <w:right w:val="single" w:sz="4" w:space="0" w:color="auto"/>
            </w:tcBorders>
            <w:shd w:val="clear" w:color="auto" w:fill="auto"/>
            <w:noWrap/>
            <w:vAlign w:val="center"/>
            <w:hideMark/>
          </w:tcPr>
          <w:p w14:paraId="72B9FE8E"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7,532,775,003</w:t>
            </w:r>
          </w:p>
        </w:tc>
        <w:tc>
          <w:tcPr>
            <w:tcW w:w="1720" w:type="dxa"/>
            <w:tcBorders>
              <w:top w:val="nil"/>
              <w:left w:val="nil"/>
              <w:bottom w:val="single" w:sz="4" w:space="0" w:color="auto"/>
              <w:right w:val="single" w:sz="4" w:space="0" w:color="auto"/>
            </w:tcBorders>
            <w:shd w:val="clear" w:color="auto" w:fill="auto"/>
            <w:noWrap/>
            <w:vAlign w:val="center"/>
            <w:hideMark/>
          </w:tcPr>
          <w:p w14:paraId="646789AA"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1,678,931,936</w:t>
            </w:r>
          </w:p>
        </w:tc>
      </w:tr>
      <w:tr w:rsidR="00117702" w:rsidRPr="00117702" w14:paraId="08DE8766" w14:textId="77777777" w:rsidTr="00117702">
        <w:trPr>
          <w:trHeight w:val="46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2966427E"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79</w:t>
            </w:r>
          </w:p>
        </w:tc>
        <w:tc>
          <w:tcPr>
            <w:tcW w:w="900" w:type="dxa"/>
            <w:tcBorders>
              <w:top w:val="nil"/>
              <w:left w:val="nil"/>
              <w:bottom w:val="single" w:sz="4" w:space="0" w:color="auto"/>
              <w:right w:val="single" w:sz="4" w:space="0" w:color="auto"/>
            </w:tcBorders>
            <w:shd w:val="clear" w:color="auto" w:fill="auto"/>
            <w:noWrap/>
            <w:vAlign w:val="center"/>
            <w:hideMark/>
          </w:tcPr>
          <w:p w14:paraId="5311958B"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822004680</w:t>
            </w:r>
          </w:p>
        </w:tc>
        <w:tc>
          <w:tcPr>
            <w:tcW w:w="3660" w:type="dxa"/>
            <w:tcBorders>
              <w:top w:val="nil"/>
              <w:left w:val="nil"/>
              <w:bottom w:val="single" w:sz="4" w:space="0" w:color="auto"/>
              <w:right w:val="single" w:sz="4" w:space="0" w:color="auto"/>
            </w:tcBorders>
            <w:shd w:val="clear" w:color="auto" w:fill="auto"/>
            <w:vAlign w:val="center"/>
            <w:hideMark/>
          </w:tcPr>
          <w:p w14:paraId="64A2D10E"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EMPRESA DE ENERGIA ELECTRICA DEL DEPARTAMENTO DEL GUAVIARE SA ESP</w:t>
            </w:r>
          </w:p>
        </w:tc>
        <w:tc>
          <w:tcPr>
            <w:tcW w:w="800" w:type="dxa"/>
            <w:tcBorders>
              <w:top w:val="nil"/>
              <w:left w:val="nil"/>
              <w:bottom w:val="single" w:sz="4" w:space="0" w:color="auto"/>
              <w:right w:val="single" w:sz="4" w:space="0" w:color="auto"/>
            </w:tcBorders>
            <w:shd w:val="clear" w:color="auto" w:fill="auto"/>
            <w:noWrap/>
            <w:vAlign w:val="center"/>
            <w:hideMark/>
          </w:tcPr>
          <w:p w14:paraId="553B04F0"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Energia</w:t>
            </w:r>
          </w:p>
        </w:tc>
        <w:tc>
          <w:tcPr>
            <w:tcW w:w="1660" w:type="dxa"/>
            <w:tcBorders>
              <w:top w:val="nil"/>
              <w:left w:val="nil"/>
              <w:bottom w:val="single" w:sz="4" w:space="0" w:color="auto"/>
              <w:right w:val="single" w:sz="4" w:space="0" w:color="auto"/>
            </w:tcBorders>
            <w:shd w:val="clear" w:color="auto" w:fill="auto"/>
            <w:noWrap/>
            <w:vAlign w:val="center"/>
            <w:hideMark/>
          </w:tcPr>
          <w:p w14:paraId="543958E2"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35,006,170,000</w:t>
            </w:r>
          </w:p>
        </w:tc>
        <w:tc>
          <w:tcPr>
            <w:tcW w:w="1720" w:type="dxa"/>
            <w:tcBorders>
              <w:top w:val="nil"/>
              <w:left w:val="nil"/>
              <w:bottom w:val="single" w:sz="4" w:space="0" w:color="auto"/>
              <w:right w:val="single" w:sz="4" w:space="0" w:color="auto"/>
            </w:tcBorders>
            <w:shd w:val="clear" w:color="auto" w:fill="auto"/>
            <w:noWrap/>
            <w:vAlign w:val="center"/>
            <w:hideMark/>
          </w:tcPr>
          <w:p w14:paraId="3713ACF2"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4,345,957,098</w:t>
            </w:r>
          </w:p>
        </w:tc>
      </w:tr>
      <w:tr w:rsidR="00117702" w:rsidRPr="00117702" w14:paraId="3924DB14" w14:textId="77777777" w:rsidTr="00117702">
        <w:trPr>
          <w:trHeight w:val="46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5BFD1278"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80</w:t>
            </w:r>
          </w:p>
        </w:tc>
        <w:tc>
          <w:tcPr>
            <w:tcW w:w="900" w:type="dxa"/>
            <w:tcBorders>
              <w:top w:val="nil"/>
              <w:left w:val="nil"/>
              <w:bottom w:val="single" w:sz="4" w:space="0" w:color="auto"/>
              <w:right w:val="single" w:sz="4" w:space="0" w:color="auto"/>
            </w:tcBorders>
            <w:shd w:val="clear" w:color="auto" w:fill="auto"/>
            <w:noWrap/>
            <w:vAlign w:val="center"/>
            <w:hideMark/>
          </w:tcPr>
          <w:p w14:paraId="16BA6B33"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842000155</w:t>
            </w:r>
          </w:p>
        </w:tc>
        <w:tc>
          <w:tcPr>
            <w:tcW w:w="3660" w:type="dxa"/>
            <w:tcBorders>
              <w:top w:val="nil"/>
              <w:left w:val="nil"/>
              <w:bottom w:val="single" w:sz="4" w:space="0" w:color="auto"/>
              <w:right w:val="single" w:sz="4" w:space="0" w:color="auto"/>
            </w:tcBorders>
            <w:shd w:val="clear" w:color="auto" w:fill="auto"/>
            <w:vAlign w:val="center"/>
            <w:hideMark/>
          </w:tcPr>
          <w:p w14:paraId="08AF42B2"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EMPRESA DE ENERGIA ELECTRICA DEL DEPARTAMENTO DEL VICHADA S.A</w:t>
            </w:r>
          </w:p>
        </w:tc>
        <w:tc>
          <w:tcPr>
            <w:tcW w:w="800" w:type="dxa"/>
            <w:tcBorders>
              <w:top w:val="nil"/>
              <w:left w:val="nil"/>
              <w:bottom w:val="single" w:sz="4" w:space="0" w:color="auto"/>
              <w:right w:val="single" w:sz="4" w:space="0" w:color="auto"/>
            </w:tcBorders>
            <w:shd w:val="clear" w:color="auto" w:fill="auto"/>
            <w:noWrap/>
            <w:vAlign w:val="center"/>
            <w:hideMark/>
          </w:tcPr>
          <w:p w14:paraId="469E5EDC"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Energia</w:t>
            </w:r>
          </w:p>
        </w:tc>
        <w:tc>
          <w:tcPr>
            <w:tcW w:w="1660" w:type="dxa"/>
            <w:tcBorders>
              <w:top w:val="nil"/>
              <w:left w:val="nil"/>
              <w:bottom w:val="single" w:sz="4" w:space="0" w:color="auto"/>
              <w:right w:val="single" w:sz="4" w:space="0" w:color="auto"/>
            </w:tcBorders>
            <w:shd w:val="clear" w:color="auto" w:fill="auto"/>
            <w:noWrap/>
            <w:vAlign w:val="center"/>
            <w:hideMark/>
          </w:tcPr>
          <w:p w14:paraId="44AA009A"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23,418,859,000</w:t>
            </w:r>
          </w:p>
        </w:tc>
        <w:tc>
          <w:tcPr>
            <w:tcW w:w="1720" w:type="dxa"/>
            <w:tcBorders>
              <w:top w:val="nil"/>
              <w:left w:val="nil"/>
              <w:bottom w:val="single" w:sz="4" w:space="0" w:color="auto"/>
              <w:right w:val="single" w:sz="4" w:space="0" w:color="auto"/>
            </w:tcBorders>
            <w:shd w:val="clear" w:color="auto" w:fill="auto"/>
            <w:noWrap/>
            <w:vAlign w:val="center"/>
            <w:hideMark/>
          </w:tcPr>
          <w:p w14:paraId="48E5F640"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1,378,707,324</w:t>
            </w:r>
          </w:p>
        </w:tc>
      </w:tr>
      <w:tr w:rsidR="00117702" w:rsidRPr="00117702" w14:paraId="0A2956FE" w14:textId="77777777" w:rsidTr="00117702">
        <w:trPr>
          <w:trHeight w:val="46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55F56256"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81</w:t>
            </w:r>
          </w:p>
        </w:tc>
        <w:tc>
          <w:tcPr>
            <w:tcW w:w="900" w:type="dxa"/>
            <w:tcBorders>
              <w:top w:val="nil"/>
              <w:left w:val="nil"/>
              <w:bottom w:val="single" w:sz="4" w:space="0" w:color="auto"/>
              <w:right w:val="single" w:sz="4" w:space="0" w:color="auto"/>
            </w:tcBorders>
            <w:shd w:val="clear" w:color="auto" w:fill="auto"/>
            <w:noWrap/>
            <w:vAlign w:val="center"/>
            <w:hideMark/>
          </w:tcPr>
          <w:p w14:paraId="41CA4F70"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900251423</w:t>
            </w:r>
          </w:p>
        </w:tc>
        <w:tc>
          <w:tcPr>
            <w:tcW w:w="3660" w:type="dxa"/>
            <w:tcBorders>
              <w:top w:val="nil"/>
              <w:left w:val="nil"/>
              <w:bottom w:val="single" w:sz="4" w:space="0" w:color="auto"/>
              <w:right w:val="single" w:sz="4" w:space="0" w:color="auto"/>
            </w:tcBorders>
            <w:shd w:val="clear" w:color="auto" w:fill="auto"/>
            <w:vAlign w:val="center"/>
            <w:hideMark/>
          </w:tcPr>
          <w:p w14:paraId="09565F7F"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EMPRESA DE GENERACION Y PROMOCION DE ENERGIA DE ANTIOQUIA SA ESP</w:t>
            </w:r>
          </w:p>
        </w:tc>
        <w:tc>
          <w:tcPr>
            <w:tcW w:w="800" w:type="dxa"/>
            <w:tcBorders>
              <w:top w:val="nil"/>
              <w:left w:val="nil"/>
              <w:bottom w:val="single" w:sz="4" w:space="0" w:color="auto"/>
              <w:right w:val="single" w:sz="4" w:space="0" w:color="auto"/>
            </w:tcBorders>
            <w:shd w:val="clear" w:color="auto" w:fill="auto"/>
            <w:noWrap/>
            <w:vAlign w:val="center"/>
            <w:hideMark/>
          </w:tcPr>
          <w:p w14:paraId="519A3C84"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Energia</w:t>
            </w:r>
          </w:p>
        </w:tc>
        <w:tc>
          <w:tcPr>
            <w:tcW w:w="1660" w:type="dxa"/>
            <w:tcBorders>
              <w:top w:val="nil"/>
              <w:left w:val="nil"/>
              <w:bottom w:val="single" w:sz="4" w:space="0" w:color="auto"/>
              <w:right w:val="single" w:sz="4" w:space="0" w:color="auto"/>
            </w:tcBorders>
            <w:shd w:val="clear" w:color="auto" w:fill="auto"/>
            <w:noWrap/>
            <w:vAlign w:val="center"/>
            <w:hideMark/>
          </w:tcPr>
          <w:p w14:paraId="25106255"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6,735,867,000</w:t>
            </w:r>
          </w:p>
        </w:tc>
        <w:tc>
          <w:tcPr>
            <w:tcW w:w="1720" w:type="dxa"/>
            <w:tcBorders>
              <w:top w:val="nil"/>
              <w:left w:val="nil"/>
              <w:bottom w:val="single" w:sz="4" w:space="0" w:color="auto"/>
              <w:right w:val="single" w:sz="4" w:space="0" w:color="auto"/>
            </w:tcBorders>
            <w:shd w:val="clear" w:color="auto" w:fill="auto"/>
            <w:noWrap/>
            <w:vAlign w:val="center"/>
            <w:hideMark/>
          </w:tcPr>
          <w:p w14:paraId="00990A36"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3,326,260,852</w:t>
            </w:r>
          </w:p>
        </w:tc>
      </w:tr>
      <w:tr w:rsidR="00117702" w:rsidRPr="00117702" w14:paraId="4991E4F6" w14:textId="77777777" w:rsidTr="00117702">
        <w:trPr>
          <w:trHeight w:val="46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6EFB098A"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82</w:t>
            </w:r>
          </w:p>
        </w:tc>
        <w:tc>
          <w:tcPr>
            <w:tcW w:w="900" w:type="dxa"/>
            <w:tcBorders>
              <w:top w:val="nil"/>
              <w:left w:val="nil"/>
              <w:bottom w:val="single" w:sz="4" w:space="0" w:color="auto"/>
              <w:right w:val="single" w:sz="4" w:space="0" w:color="auto"/>
            </w:tcBorders>
            <w:shd w:val="clear" w:color="auto" w:fill="auto"/>
            <w:noWrap/>
            <w:vAlign w:val="center"/>
            <w:hideMark/>
          </w:tcPr>
          <w:p w14:paraId="2FA9F27A"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900648934</w:t>
            </w:r>
          </w:p>
        </w:tc>
        <w:tc>
          <w:tcPr>
            <w:tcW w:w="3660" w:type="dxa"/>
            <w:tcBorders>
              <w:top w:val="nil"/>
              <w:left w:val="nil"/>
              <w:bottom w:val="single" w:sz="4" w:space="0" w:color="auto"/>
              <w:right w:val="single" w:sz="4" w:space="0" w:color="auto"/>
            </w:tcBorders>
            <w:shd w:val="clear" w:color="auto" w:fill="auto"/>
            <w:vAlign w:val="center"/>
            <w:hideMark/>
          </w:tcPr>
          <w:p w14:paraId="25C7ED71"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EMPRESA DE SERVICIOS PUBLICOS DE SANTANDER S.A.E.S.P.</w:t>
            </w:r>
          </w:p>
        </w:tc>
        <w:tc>
          <w:tcPr>
            <w:tcW w:w="800" w:type="dxa"/>
            <w:tcBorders>
              <w:top w:val="nil"/>
              <w:left w:val="nil"/>
              <w:bottom w:val="single" w:sz="4" w:space="0" w:color="auto"/>
              <w:right w:val="single" w:sz="4" w:space="0" w:color="auto"/>
            </w:tcBorders>
            <w:shd w:val="clear" w:color="auto" w:fill="auto"/>
            <w:noWrap/>
            <w:vAlign w:val="center"/>
            <w:hideMark/>
          </w:tcPr>
          <w:p w14:paraId="01ECC798"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Energia</w:t>
            </w:r>
          </w:p>
        </w:tc>
        <w:tc>
          <w:tcPr>
            <w:tcW w:w="1660" w:type="dxa"/>
            <w:tcBorders>
              <w:top w:val="nil"/>
              <w:left w:val="nil"/>
              <w:bottom w:val="single" w:sz="4" w:space="0" w:color="auto"/>
              <w:right w:val="single" w:sz="4" w:space="0" w:color="auto"/>
            </w:tcBorders>
            <w:shd w:val="clear" w:color="auto" w:fill="auto"/>
            <w:noWrap/>
            <w:vAlign w:val="center"/>
            <w:hideMark/>
          </w:tcPr>
          <w:p w14:paraId="73B1C6E4"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45,177,114,514</w:t>
            </w:r>
          </w:p>
        </w:tc>
        <w:tc>
          <w:tcPr>
            <w:tcW w:w="1720" w:type="dxa"/>
            <w:tcBorders>
              <w:top w:val="nil"/>
              <w:left w:val="nil"/>
              <w:bottom w:val="single" w:sz="4" w:space="0" w:color="auto"/>
              <w:right w:val="single" w:sz="4" w:space="0" w:color="auto"/>
            </w:tcBorders>
            <w:shd w:val="clear" w:color="auto" w:fill="auto"/>
            <w:noWrap/>
            <w:vAlign w:val="center"/>
            <w:hideMark/>
          </w:tcPr>
          <w:p w14:paraId="06280D46"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587,516,640</w:t>
            </w:r>
          </w:p>
        </w:tc>
      </w:tr>
      <w:tr w:rsidR="00117702" w:rsidRPr="00117702" w14:paraId="35F98816" w14:textId="77777777" w:rsidTr="00117702">
        <w:trPr>
          <w:trHeight w:val="46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7D09837C"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83</w:t>
            </w:r>
          </w:p>
        </w:tc>
        <w:tc>
          <w:tcPr>
            <w:tcW w:w="900" w:type="dxa"/>
            <w:tcBorders>
              <w:top w:val="nil"/>
              <w:left w:val="nil"/>
              <w:bottom w:val="single" w:sz="4" w:space="0" w:color="auto"/>
              <w:right w:val="single" w:sz="4" w:space="0" w:color="auto"/>
            </w:tcBorders>
            <w:shd w:val="clear" w:color="auto" w:fill="auto"/>
            <w:noWrap/>
            <w:vAlign w:val="center"/>
            <w:hideMark/>
          </w:tcPr>
          <w:p w14:paraId="71062F3E"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900927089</w:t>
            </w:r>
          </w:p>
        </w:tc>
        <w:tc>
          <w:tcPr>
            <w:tcW w:w="3660" w:type="dxa"/>
            <w:tcBorders>
              <w:top w:val="nil"/>
              <w:left w:val="nil"/>
              <w:bottom w:val="single" w:sz="4" w:space="0" w:color="auto"/>
              <w:right w:val="single" w:sz="4" w:space="0" w:color="auto"/>
            </w:tcBorders>
            <w:shd w:val="clear" w:color="auto" w:fill="auto"/>
            <w:vAlign w:val="center"/>
            <w:hideMark/>
          </w:tcPr>
          <w:p w14:paraId="154F5FD4"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EMPRESA DE SERVICIOS PUBLICOS DEL ALTO BAUDO E.S.P. S.A.S.</w:t>
            </w:r>
          </w:p>
        </w:tc>
        <w:tc>
          <w:tcPr>
            <w:tcW w:w="800" w:type="dxa"/>
            <w:tcBorders>
              <w:top w:val="nil"/>
              <w:left w:val="nil"/>
              <w:bottom w:val="single" w:sz="4" w:space="0" w:color="auto"/>
              <w:right w:val="single" w:sz="4" w:space="0" w:color="auto"/>
            </w:tcBorders>
            <w:shd w:val="clear" w:color="auto" w:fill="auto"/>
            <w:noWrap/>
            <w:vAlign w:val="center"/>
            <w:hideMark/>
          </w:tcPr>
          <w:p w14:paraId="211BF6B3"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Energia</w:t>
            </w:r>
          </w:p>
        </w:tc>
        <w:tc>
          <w:tcPr>
            <w:tcW w:w="1660" w:type="dxa"/>
            <w:tcBorders>
              <w:top w:val="nil"/>
              <w:left w:val="nil"/>
              <w:bottom w:val="single" w:sz="4" w:space="0" w:color="auto"/>
              <w:right w:val="single" w:sz="4" w:space="0" w:color="auto"/>
            </w:tcBorders>
            <w:shd w:val="clear" w:color="auto" w:fill="auto"/>
            <w:noWrap/>
            <w:vAlign w:val="center"/>
            <w:hideMark/>
          </w:tcPr>
          <w:p w14:paraId="48D3EAB9"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3,331,417,970</w:t>
            </w:r>
          </w:p>
        </w:tc>
        <w:tc>
          <w:tcPr>
            <w:tcW w:w="1720" w:type="dxa"/>
            <w:tcBorders>
              <w:top w:val="nil"/>
              <w:left w:val="nil"/>
              <w:bottom w:val="single" w:sz="4" w:space="0" w:color="auto"/>
              <w:right w:val="single" w:sz="4" w:space="0" w:color="auto"/>
            </w:tcBorders>
            <w:shd w:val="clear" w:color="auto" w:fill="auto"/>
            <w:noWrap/>
            <w:vAlign w:val="center"/>
            <w:hideMark/>
          </w:tcPr>
          <w:p w14:paraId="04E08FCE"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63,650,499</w:t>
            </w:r>
          </w:p>
        </w:tc>
      </w:tr>
      <w:tr w:rsidR="00117702" w:rsidRPr="00117702" w14:paraId="18CFCB47" w14:textId="77777777" w:rsidTr="00117702">
        <w:trPr>
          <w:trHeight w:val="46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40E67AF3"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84</w:t>
            </w:r>
          </w:p>
        </w:tc>
        <w:tc>
          <w:tcPr>
            <w:tcW w:w="900" w:type="dxa"/>
            <w:tcBorders>
              <w:top w:val="nil"/>
              <w:left w:val="nil"/>
              <w:bottom w:val="single" w:sz="4" w:space="0" w:color="auto"/>
              <w:right w:val="single" w:sz="4" w:space="0" w:color="auto"/>
            </w:tcBorders>
            <w:shd w:val="clear" w:color="auto" w:fill="auto"/>
            <w:noWrap/>
            <w:vAlign w:val="center"/>
            <w:hideMark/>
          </w:tcPr>
          <w:p w14:paraId="650796A4"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900304017</w:t>
            </w:r>
          </w:p>
        </w:tc>
        <w:tc>
          <w:tcPr>
            <w:tcW w:w="3660" w:type="dxa"/>
            <w:tcBorders>
              <w:top w:val="nil"/>
              <w:left w:val="nil"/>
              <w:bottom w:val="single" w:sz="4" w:space="0" w:color="auto"/>
              <w:right w:val="single" w:sz="4" w:space="0" w:color="auto"/>
            </w:tcBorders>
            <w:shd w:val="clear" w:color="auto" w:fill="auto"/>
            <w:vAlign w:val="center"/>
            <w:hideMark/>
          </w:tcPr>
          <w:p w14:paraId="6F2AEDAA"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EMPRESA DE SERVICIOS PUBLICOS DOMICILIARIOS DE UNGUIA SA ESP</w:t>
            </w:r>
          </w:p>
        </w:tc>
        <w:tc>
          <w:tcPr>
            <w:tcW w:w="800" w:type="dxa"/>
            <w:tcBorders>
              <w:top w:val="nil"/>
              <w:left w:val="nil"/>
              <w:bottom w:val="single" w:sz="4" w:space="0" w:color="auto"/>
              <w:right w:val="single" w:sz="4" w:space="0" w:color="auto"/>
            </w:tcBorders>
            <w:shd w:val="clear" w:color="auto" w:fill="auto"/>
            <w:noWrap/>
            <w:vAlign w:val="center"/>
            <w:hideMark/>
          </w:tcPr>
          <w:p w14:paraId="5CEC75A9"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Energia</w:t>
            </w:r>
          </w:p>
        </w:tc>
        <w:tc>
          <w:tcPr>
            <w:tcW w:w="1660" w:type="dxa"/>
            <w:tcBorders>
              <w:top w:val="nil"/>
              <w:left w:val="nil"/>
              <w:bottom w:val="single" w:sz="4" w:space="0" w:color="auto"/>
              <w:right w:val="single" w:sz="4" w:space="0" w:color="auto"/>
            </w:tcBorders>
            <w:shd w:val="clear" w:color="auto" w:fill="auto"/>
            <w:noWrap/>
            <w:vAlign w:val="center"/>
            <w:hideMark/>
          </w:tcPr>
          <w:p w14:paraId="766ACB9A"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3,064,240,065</w:t>
            </w:r>
          </w:p>
        </w:tc>
        <w:tc>
          <w:tcPr>
            <w:tcW w:w="1720" w:type="dxa"/>
            <w:tcBorders>
              <w:top w:val="nil"/>
              <w:left w:val="nil"/>
              <w:bottom w:val="single" w:sz="4" w:space="0" w:color="auto"/>
              <w:right w:val="single" w:sz="4" w:space="0" w:color="auto"/>
            </w:tcBorders>
            <w:shd w:val="clear" w:color="auto" w:fill="auto"/>
            <w:noWrap/>
            <w:vAlign w:val="center"/>
            <w:hideMark/>
          </w:tcPr>
          <w:p w14:paraId="7A11D2C5"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447,277,282</w:t>
            </w:r>
          </w:p>
        </w:tc>
      </w:tr>
      <w:tr w:rsidR="00117702" w:rsidRPr="00117702" w14:paraId="6443EB12" w14:textId="77777777" w:rsidTr="00117702">
        <w:trPr>
          <w:trHeight w:val="46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76B61212"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85</w:t>
            </w:r>
          </w:p>
        </w:tc>
        <w:tc>
          <w:tcPr>
            <w:tcW w:w="900" w:type="dxa"/>
            <w:tcBorders>
              <w:top w:val="nil"/>
              <w:left w:val="nil"/>
              <w:bottom w:val="single" w:sz="4" w:space="0" w:color="auto"/>
              <w:right w:val="single" w:sz="4" w:space="0" w:color="auto"/>
            </w:tcBorders>
            <w:shd w:val="clear" w:color="auto" w:fill="auto"/>
            <w:noWrap/>
            <w:vAlign w:val="center"/>
            <w:hideMark/>
          </w:tcPr>
          <w:p w14:paraId="41E02DFB"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818001629</w:t>
            </w:r>
          </w:p>
        </w:tc>
        <w:tc>
          <w:tcPr>
            <w:tcW w:w="3660" w:type="dxa"/>
            <w:tcBorders>
              <w:top w:val="nil"/>
              <w:left w:val="nil"/>
              <w:bottom w:val="single" w:sz="4" w:space="0" w:color="auto"/>
              <w:right w:val="single" w:sz="4" w:space="0" w:color="auto"/>
            </w:tcBorders>
            <w:shd w:val="clear" w:color="auto" w:fill="auto"/>
            <w:vAlign w:val="center"/>
            <w:hideMark/>
          </w:tcPr>
          <w:p w14:paraId="5050D052"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EMPRESA DISTRIBUIDORA DEL PACIFICO S.A. E.S.P</w:t>
            </w:r>
          </w:p>
        </w:tc>
        <w:tc>
          <w:tcPr>
            <w:tcW w:w="800" w:type="dxa"/>
            <w:tcBorders>
              <w:top w:val="nil"/>
              <w:left w:val="nil"/>
              <w:bottom w:val="single" w:sz="4" w:space="0" w:color="auto"/>
              <w:right w:val="single" w:sz="4" w:space="0" w:color="auto"/>
            </w:tcBorders>
            <w:shd w:val="clear" w:color="auto" w:fill="auto"/>
            <w:noWrap/>
            <w:vAlign w:val="center"/>
            <w:hideMark/>
          </w:tcPr>
          <w:p w14:paraId="4754C756"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Energia</w:t>
            </w:r>
          </w:p>
        </w:tc>
        <w:tc>
          <w:tcPr>
            <w:tcW w:w="1660" w:type="dxa"/>
            <w:tcBorders>
              <w:top w:val="nil"/>
              <w:left w:val="nil"/>
              <w:bottom w:val="single" w:sz="4" w:space="0" w:color="auto"/>
              <w:right w:val="single" w:sz="4" w:space="0" w:color="auto"/>
            </w:tcBorders>
            <w:shd w:val="clear" w:color="auto" w:fill="auto"/>
            <w:noWrap/>
            <w:vAlign w:val="center"/>
            <w:hideMark/>
          </w:tcPr>
          <w:p w14:paraId="1A6FF726"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115,860,166,000</w:t>
            </w:r>
          </w:p>
        </w:tc>
        <w:tc>
          <w:tcPr>
            <w:tcW w:w="1720" w:type="dxa"/>
            <w:tcBorders>
              <w:top w:val="nil"/>
              <w:left w:val="nil"/>
              <w:bottom w:val="single" w:sz="4" w:space="0" w:color="auto"/>
              <w:right w:val="single" w:sz="4" w:space="0" w:color="auto"/>
            </w:tcBorders>
            <w:shd w:val="clear" w:color="auto" w:fill="auto"/>
            <w:noWrap/>
            <w:vAlign w:val="center"/>
            <w:hideMark/>
          </w:tcPr>
          <w:p w14:paraId="54693C87"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3,960,187,153</w:t>
            </w:r>
          </w:p>
        </w:tc>
      </w:tr>
      <w:tr w:rsidR="00117702" w:rsidRPr="00117702" w14:paraId="093B3B7E" w14:textId="77777777" w:rsidTr="00117702">
        <w:trPr>
          <w:trHeight w:val="46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1C9DFE30"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86</w:t>
            </w:r>
          </w:p>
        </w:tc>
        <w:tc>
          <w:tcPr>
            <w:tcW w:w="900" w:type="dxa"/>
            <w:tcBorders>
              <w:top w:val="nil"/>
              <w:left w:val="nil"/>
              <w:bottom w:val="single" w:sz="4" w:space="0" w:color="auto"/>
              <w:right w:val="single" w:sz="4" w:space="0" w:color="auto"/>
            </w:tcBorders>
            <w:shd w:val="clear" w:color="auto" w:fill="auto"/>
            <w:noWrap/>
            <w:vAlign w:val="center"/>
            <w:hideMark/>
          </w:tcPr>
          <w:p w14:paraId="742D3972"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818000166</w:t>
            </w:r>
          </w:p>
        </w:tc>
        <w:tc>
          <w:tcPr>
            <w:tcW w:w="3660" w:type="dxa"/>
            <w:tcBorders>
              <w:top w:val="nil"/>
              <w:left w:val="nil"/>
              <w:bottom w:val="single" w:sz="4" w:space="0" w:color="auto"/>
              <w:right w:val="single" w:sz="4" w:space="0" w:color="auto"/>
            </w:tcBorders>
            <w:shd w:val="clear" w:color="auto" w:fill="auto"/>
            <w:vAlign w:val="center"/>
            <w:hideMark/>
          </w:tcPr>
          <w:p w14:paraId="0601CB98"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EMPRESA ELECTRIFICADORA DE NUQUI   E.S.P.   S. A ECONOMIA MIXTA</w:t>
            </w:r>
          </w:p>
        </w:tc>
        <w:tc>
          <w:tcPr>
            <w:tcW w:w="800" w:type="dxa"/>
            <w:tcBorders>
              <w:top w:val="nil"/>
              <w:left w:val="nil"/>
              <w:bottom w:val="single" w:sz="4" w:space="0" w:color="auto"/>
              <w:right w:val="single" w:sz="4" w:space="0" w:color="auto"/>
            </w:tcBorders>
            <w:shd w:val="clear" w:color="auto" w:fill="auto"/>
            <w:noWrap/>
            <w:vAlign w:val="center"/>
            <w:hideMark/>
          </w:tcPr>
          <w:p w14:paraId="0DEC3F64"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Energia</w:t>
            </w:r>
          </w:p>
        </w:tc>
        <w:tc>
          <w:tcPr>
            <w:tcW w:w="1660" w:type="dxa"/>
            <w:tcBorders>
              <w:top w:val="nil"/>
              <w:left w:val="nil"/>
              <w:bottom w:val="single" w:sz="4" w:space="0" w:color="auto"/>
              <w:right w:val="single" w:sz="4" w:space="0" w:color="auto"/>
            </w:tcBorders>
            <w:shd w:val="clear" w:color="auto" w:fill="auto"/>
            <w:noWrap/>
            <w:vAlign w:val="center"/>
            <w:hideMark/>
          </w:tcPr>
          <w:p w14:paraId="3B48A982"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3,352,709,785</w:t>
            </w:r>
          </w:p>
        </w:tc>
        <w:tc>
          <w:tcPr>
            <w:tcW w:w="1720" w:type="dxa"/>
            <w:tcBorders>
              <w:top w:val="nil"/>
              <w:left w:val="nil"/>
              <w:bottom w:val="single" w:sz="4" w:space="0" w:color="auto"/>
              <w:right w:val="single" w:sz="4" w:space="0" w:color="auto"/>
            </w:tcBorders>
            <w:shd w:val="clear" w:color="auto" w:fill="auto"/>
            <w:noWrap/>
            <w:vAlign w:val="center"/>
            <w:hideMark/>
          </w:tcPr>
          <w:p w14:paraId="6D9BB352"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481,743,787</w:t>
            </w:r>
          </w:p>
        </w:tc>
      </w:tr>
      <w:tr w:rsidR="00117702" w:rsidRPr="00117702" w14:paraId="7039574F" w14:textId="77777777" w:rsidTr="00117702">
        <w:trPr>
          <w:trHeight w:val="46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4065F710"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87</w:t>
            </w:r>
          </w:p>
        </w:tc>
        <w:tc>
          <w:tcPr>
            <w:tcW w:w="900" w:type="dxa"/>
            <w:tcBorders>
              <w:top w:val="nil"/>
              <w:left w:val="nil"/>
              <w:bottom w:val="single" w:sz="4" w:space="0" w:color="auto"/>
              <w:right w:val="single" w:sz="4" w:space="0" w:color="auto"/>
            </w:tcBorders>
            <w:shd w:val="clear" w:color="auto" w:fill="auto"/>
            <w:noWrap/>
            <w:vAlign w:val="center"/>
            <w:hideMark/>
          </w:tcPr>
          <w:p w14:paraId="22C3F3AF"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809010690</w:t>
            </w:r>
          </w:p>
        </w:tc>
        <w:tc>
          <w:tcPr>
            <w:tcW w:w="3660" w:type="dxa"/>
            <w:tcBorders>
              <w:top w:val="nil"/>
              <w:left w:val="nil"/>
              <w:bottom w:val="single" w:sz="4" w:space="0" w:color="auto"/>
              <w:right w:val="single" w:sz="4" w:space="0" w:color="auto"/>
            </w:tcBorders>
            <w:shd w:val="clear" w:color="auto" w:fill="auto"/>
            <w:vAlign w:val="center"/>
            <w:hideMark/>
          </w:tcPr>
          <w:p w14:paraId="5268565E"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EMPRESA INTEGRAL DE SERVICIOS OP&amp;S CONSTRUCCIONES SA ESP</w:t>
            </w:r>
          </w:p>
        </w:tc>
        <w:tc>
          <w:tcPr>
            <w:tcW w:w="800" w:type="dxa"/>
            <w:tcBorders>
              <w:top w:val="nil"/>
              <w:left w:val="nil"/>
              <w:bottom w:val="single" w:sz="4" w:space="0" w:color="auto"/>
              <w:right w:val="single" w:sz="4" w:space="0" w:color="auto"/>
            </w:tcBorders>
            <w:shd w:val="clear" w:color="auto" w:fill="auto"/>
            <w:noWrap/>
            <w:vAlign w:val="center"/>
            <w:hideMark/>
          </w:tcPr>
          <w:p w14:paraId="07C62D2B"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GasNatural</w:t>
            </w:r>
          </w:p>
        </w:tc>
        <w:tc>
          <w:tcPr>
            <w:tcW w:w="1660" w:type="dxa"/>
            <w:tcBorders>
              <w:top w:val="nil"/>
              <w:left w:val="nil"/>
              <w:bottom w:val="single" w:sz="4" w:space="0" w:color="auto"/>
              <w:right w:val="single" w:sz="4" w:space="0" w:color="auto"/>
            </w:tcBorders>
            <w:shd w:val="clear" w:color="auto" w:fill="auto"/>
            <w:noWrap/>
            <w:vAlign w:val="center"/>
            <w:hideMark/>
          </w:tcPr>
          <w:p w14:paraId="58BF7601"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8,894,854,311</w:t>
            </w:r>
          </w:p>
        </w:tc>
        <w:tc>
          <w:tcPr>
            <w:tcW w:w="1720" w:type="dxa"/>
            <w:tcBorders>
              <w:top w:val="nil"/>
              <w:left w:val="nil"/>
              <w:bottom w:val="single" w:sz="4" w:space="0" w:color="auto"/>
              <w:right w:val="single" w:sz="4" w:space="0" w:color="auto"/>
            </w:tcBorders>
            <w:shd w:val="clear" w:color="auto" w:fill="auto"/>
            <w:noWrap/>
            <w:vAlign w:val="center"/>
            <w:hideMark/>
          </w:tcPr>
          <w:p w14:paraId="441EE4B9"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664,169,000</w:t>
            </w:r>
          </w:p>
        </w:tc>
      </w:tr>
      <w:tr w:rsidR="00117702" w:rsidRPr="00117702" w14:paraId="2B34DBB0" w14:textId="77777777" w:rsidTr="00117702">
        <w:trPr>
          <w:trHeight w:val="46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62D76430"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88</w:t>
            </w:r>
          </w:p>
        </w:tc>
        <w:tc>
          <w:tcPr>
            <w:tcW w:w="900" w:type="dxa"/>
            <w:tcBorders>
              <w:top w:val="nil"/>
              <w:left w:val="nil"/>
              <w:bottom w:val="single" w:sz="4" w:space="0" w:color="auto"/>
              <w:right w:val="single" w:sz="4" w:space="0" w:color="auto"/>
            </w:tcBorders>
            <w:shd w:val="clear" w:color="auto" w:fill="auto"/>
            <w:noWrap/>
            <w:vAlign w:val="center"/>
            <w:hideMark/>
          </w:tcPr>
          <w:p w14:paraId="7C2B7441"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891500061</w:t>
            </w:r>
          </w:p>
        </w:tc>
        <w:tc>
          <w:tcPr>
            <w:tcW w:w="3660" w:type="dxa"/>
            <w:tcBorders>
              <w:top w:val="nil"/>
              <w:left w:val="nil"/>
              <w:bottom w:val="single" w:sz="4" w:space="0" w:color="auto"/>
              <w:right w:val="single" w:sz="4" w:space="0" w:color="auto"/>
            </w:tcBorders>
            <w:shd w:val="clear" w:color="auto" w:fill="auto"/>
            <w:vAlign w:val="center"/>
            <w:hideMark/>
          </w:tcPr>
          <w:p w14:paraId="2A17D441"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EMPRESA MUNICIPAL DE ENERGÍA ELÉCTRICA S.A-E.S.P</w:t>
            </w:r>
          </w:p>
        </w:tc>
        <w:tc>
          <w:tcPr>
            <w:tcW w:w="800" w:type="dxa"/>
            <w:tcBorders>
              <w:top w:val="nil"/>
              <w:left w:val="nil"/>
              <w:bottom w:val="single" w:sz="4" w:space="0" w:color="auto"/>
              <w:right w:val="single" w:sz="4" w:space="0" w:color="auto"/>
            </w:tcBorders>
            <w:shd w:val="clear" w:color="auto" w:fill="auto"/>
            <w:noWrap/>
            <w:vAlign w:val="center"/>
            <w:hideMark/>
          </w:tcPr>
          <w:p w14:paraId="6F369827"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Energia</w:t>
            </w:r>
          </w:p>
        </w:tc>
        <w:tc>
          <w:tcPr>
            <w:tcW w:w="1660" w:type="dxa"/>
            <w:tcBorders>
              <w:top w:val="nil"/>
              <w:left w:val="nil"/>
              <w:bottom w:val="single" w:sz="4" w:space="0" w:color="auto"/>
              <w:right w:val="single" w:sz="4" w:space="0" w:color="auto"/>
            </w:tcBorders>
            <w:shd w:val="clear" w:color="auto" w:fill="auto"/>
            <w:noWrap/>
            <w:vAlign w:val="center"/>
            <w:hideMark/>
          </w:tcPr>
          <w:p w14:paraId="1C780881"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15,652,451,010</w:t>
            </w:r>
          </w:p>
        </w:tc>
        <w:tc>
          <w:tcPr>
            <w:tcW w:w="1720" w:type="dxa"/>
            <w:tcBorders>
              <w:top w:val="nil"/>
              <w:left w:val="nil"/>
              <w:bottom w:val="single" w:sz="4" w:space="0" w:color="auto"/>
              <w:right w:val="single" w:sz="4" w:space="0" w:color="auto"/>
            </w:tcBorders>
            <w:shd w:val="clear" w:color="auto" w:fill="auto"/>
            <w:noWrap/>
            <w:vAlign w:val="center"/>
            <w:hideMark/>
          </w:tcPr>
          <w:p w14:paraId="43EB0BEA"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1,869,212,666</w:t>
            </w:r>
          </w:p>
        </w:tc>
      </w:tr>
      <w:tr w:rsidR="00117702" w:rsidRPr="00117702" w14:paraId="58EB7C85" w14:textId="77777777" w:rsidTr="00117702">
        <w:trPr>
          <w:trHeight w:val="46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25DCB3F3"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89</w:t>
            </w:r>
          </w:p>
        </w:tc>
        <w:tc>
          <w:tcPr>
            <w:tcW w:w="900" w:type="dxa"/>
            <w:tcBorders>
              <w:top w:val="nil"/>
              <w:left w:val="nil"/>
              <w:bottom w:val="single" w:sz="4" w:space="0" w:color="auto"/>
              <w:right w:val="single" w:sz="4" w:space="0" w:color="auto"/>
            </w:tcBorders>
            <w:shd w:val="clear" w:color="auto" w:fill="auto"/>
            <w:noWrap/>
            <w:vAlign w:val="center"/>
            <w:hideMark/>
          </w:tcPr>
          <w:p w14:paraId="1EF02FEB"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811008775</w:t>
            </w:r>
          </w:p>
        </w:tc>
        <w:tc>
          <w:tcPr>
            <w:tcW w:w="3660" w:type="dxa"/>
            <w:tcBorders>
              <w:top w:val="nil"/>
              <w:left w:val="nil"/>
              <w:bottom w:val="single" w:sz="4" w:space="0" w:color="auto"/>
              <w:right w:val="single" w:sz="4" w:space="0" w:color="auto"/>
            </w:tcBorders>
            <w:shd w:val="clear" w:color="auto" w:fill="auto"/>
            <w:vAlign w:val="center"/>
            <w:hideMark/>
          </w:tcPr>
          <w:p w14:paraId="7F6B1E83"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EMPRESA MUNICIPAL DE SERVICIOS PUBLICOS DOMICILIARIOS DE VIGIA DEL FUERTE</w:t>
            </w:r>
          </w:p>
        </w:tc>
        <w:tc>
          <w:tcPr>
            <w:tcW w:w="800" w:type="dxa"/>
            <w:tcBorders>
              <w:top w:val="nil"/>
              <w:left w:val="nil"/>
              <w:bottom w:val="single" w:sz="4" w:space="0" w:color="auto"/>
              <w:right w:val="single" w:sz="4" w:space="0" w:color="auto"/>
            </w:tcBorders>
            <w:shd w:val="clear" w:color="auto" w:fill="auto"/>
            <w:noWrap/>
            <w:vAlign w:val="center"/>
            <w:hideMark/>
          </w:tcPr>
          <w:p w14:paraId="4B7E871E"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Energia</w:t>
            </w:r>
          </w:p>
        </w:tc>
        <w:tc>
          <w:tcPr>
            <w:tcW w:w="1660" w:type="dxa"/>
            <w:tcBorders>
              <w:top w:val="nil"/>
              <w:left w:val="nil"/>
              <w:bottom w:val="single" w:sz="4" w:space="0" w:color="auto"/>
              <w:right w:val="single" w:sz="4" w:space="0" w:color="auto"/>
            </w:tcBorders>
            <w:shd w:val="clear" w:color="auto" w:fill="auto"/>
            <w:noWrap/>
            <w:vAlign w:val="center"/>
            <w:hideMark/>
          </w:tcPr>
          <w:p w14:paraId="501269BB"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6,293,217,117</w:t>
            </w:r>
          </w:p>
        </w:tc>
        <w:tc>
          <w:tcPr>
            <w:tcW w:w="1720" w:type="dxa"/>
            <w:tcBorders>
              <w:top w:val="nil"/>
              <w:left w:val="nil"/>
              <w:bottom w:val="single" w:sz="4" w:space="0" w:color="auto"/>
              <w:right w:val="single" w:sz="4" w:space="0" w:color="auto"/>
            </w:tcBorders>
            <w:shd w:val="clear" w:color="auto" w:fill="auto"/>
            <w:noWrap/>
            <w:vAlign w:val="center"/>
            <w:hideMark/>
          </w:tcPr>
          <w:p w14:paraId="6D6F10FC"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829,413,436</w:t>
            </w:r>
          </w:p>
        </w:tc>
      </w:tr>
      <w:tr w:rsidR="00117702" w:rsidRPr="00117702" w14:paraId="0DF4E627"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5D14E696"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90</w:t>
            </w:r>
          </w:p>
        </w:tc>
        <w:tc>
          <w:tcPr>
            <w:tcW w:w="900" w:type="dxa"/>
            <w:tcBorders>
              <w:top w:val="nil"/>
              <w:left w:val="nil"/>
              <w:bottom w:val="single" w:sz="4" w:space="0" w:color="auto"/>
              <w:right w:val="single" w:sz="4" w:space="0" w:color="auto"/>
            </w:tcBorders>
            <w:shd w:val="clear" w:color="auto" w:fill="auto"/>
            <w:noWrap/>
            <w:vAlign w:val="center"/>
            <w:hideMark/>
          </w:tcPr>
          <w:p w14:paraId="05DEF465"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800175746</w:t>
            </w:r>
          </w:p>
        </w:tc>
        <w:tc>
          <w:tcPr>
            <w:tcW w:w="3660" w:type="dxa"/>
            <w:tcBorders>
              <w:top w:val="nil"/>
              <w:left w:val="nil"/>
              <w:bottom w:val="single" w:sz="4" w:space="0" w:color="auto"/>
              <w:right w:val="single" w:sz="4" w:space="0" w:color="auto"/>
            </w:tcBorders>
            <w:shd w:val="clear" w:color="auto" w:fill="auto"/>
            <w:vAlign w:val="center"/>
            <w:hideMark/>
          </w:tcPr>
          <w:p w14:paraId="55526962"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EMPRESA URRA S.A. E.S.P.</w:t>
            </w:r>
          </w:p>
        </w:tc>
        <w:tc>
          <w:tcPr>
            <w:tcW w:w="800" w:type="dxa"/>
            <w:tcBorders>
              <w:top w:val="nil"/>
              <w:left w:val="nil"/>
              <w:bottom w:val="single" w:sz="4" w:space="0" w:color="auto"/>
              <w:right w:val="single" w:sz="4" w:space="0" w:color="auto"/>
            </w:tcBorders>
            <w:shd w:val="clear" w:color="auto" w:fill="auto"/>
            <w:noWrap/>
            <w:vAlign w:val="center"/>
            <w:hideMark/>
          </w:tcPr>
          <w:p w14:paraId="55A1B243"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Energia</w:t>
            </w:r>
          </w:p>
        </w:tc>
        <w:tc>
          <w:tcPr>
            <w:tcW w:w="1660" w:type="dxa"/>
            <w:tcBorders>
              <w:top w:val="nil"/>
              <w:left w:val="nil"/>
              <w:bottom w:val="single" w:sz="4" w:space="0" w:color="auto"/>
              <w:right w:val="single" w:sz="4" w:space="0" w:color="auto"/>
            </w:tcBorders>
            <w:shd w:val="clear" w:color="auto" w:fill="auto"/>
            <w:noWrap/>
            <w:vAlign w:val="center"/>
            <w:hideMark/>
          </w:tcPr>
          <w:p w14:paraId="37409021"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245,263,076,000</w:t>
            </w:r>
          </w:p>
        </w:tc>
        <w:tc>
          <w:tcPr>
            <w:tcW w:w="1720" w:type="dxa"/>
            <w:tcBorders>
              <w:top w:val="nil"/>
              <w:left w:val="nil"/>
              <w:bottom w:val="single" w:sz="4" w:space="0" w:color="auto"/>
              <w:right w:val="single" w:sz="4" w:space="0" w:color="auto"/>
            </w:tcBorders>
            <w:shd w:val="clear" w:color="auto" w:fill="auto"/>
            <w:noWrap/>
            <w:vAlign w:val="center"/>
            <w:hideMark/>
          </w:tcPr>
          <w:p w14:paraId="42E60905"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12,919,176,419</w:t>
            </w:r>
          </w:p>
        </w:tc>
      </w:tr>
      <w:tr w:rsidR="00117702" w:rsidRPr="00117702" w14:paraId="1DDBD580"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072E17C6"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91</w:t>
            </w:r>
          </w:p>
        </w:tc>
        <w:tc>
          <w:tcPr>
            <w:tcW w:w="900" w:type="dxa"/>
            <w:tcBorders>
              <w:top w:val="nil"/>
              <w:left w:val="nil"/>
              <w:bottom w:val="single" w:sz="4" w:space="0" w:color="auto"/>
              <w:right w:val="single" w:sz="4" w:space="0" w:color="auto"/>
            </w:tcBorders>
            <w:shd w:val="clear" w:color="auto" w:fill="auto"/>
            <w:noWrap/>
            <w:vAlign w:val="center"/>
            <w:hideMark/>
          </w:tcPr>
          <w:p w14:paraId="0E52C3DA"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890399003</w:t>
            </w:r>
          </w:p>
        </w:tc>
        <w:tc>
          <w:tcPr>
            <w:tcW w:w="3660" w:type="dxa"/>
            <w:tcBorders>
              <w:top w:val="nil"/>
              <w:left w:val="nil"/>
              <w:bottom w:val="single" w:sz="4" w:space="0" w:color="auto"/>
              <w:right w:val="single" w:sz="4" w:space="0" w:color="auto"/>
            </w:tcBorders>
            <w:shd w:val="clear" w:color="auto" w:fill="auto"/>
            <w:vAlign w:val="center"/>
            <w:hideMark/>
          </w:tcPr>
          <w:p w14:paraId="18302929"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EMPRESAS MUNICIPALES DE CALI   E.I.C.E  E.S.P</w:t>
            </w:r>
          </w:p>
        </w:tc>
        <w:tc>
          <w:tcPr>
            <w:tcW w:w="800" w:type="dxa"/>
            <w:tcBorders>
              <w:top w:val="nil"/>
              <w:left w:val="nil"/>
              <w:bottom w:val="single" w:sz="4" w:space="0" w:color="auto"/>
              <w:right w:val="single" w:sz="4" w:space="0" w:color="auto"/>
            </w:tcBorders>
            <w:shd w:val="clear" w:color="auto" w:fill="auto"/>
            <w:noWrap/>
            <w:vAlign w:val="center"/>
            <w:hideMark/>
          </w:tcPr>
          <w:p w14:paraId="0AA7CEC2"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Energia</w:t>
            </w:r>
          </w:p>
        </w:tc>
        <w:tc>
          <w:tcPr>
            <w:tcW w:w="1660" w:type="dxa"/>
            <w:tcBorders>
              <w:top w:val="nil"/>
              <w:left w:val="nil"/>
              <w:bottom w:val="single" w:sz="4" w:space="0" w:color="auto"/>
              <w:right w:val="single" w:sz="4" w:space="0" w:color="auto"/>
            </w:tcBorders>
            <w:shd w:val="clear" w:color="auto" w:fill="auto"/>
            <w:noWrap/>
            <w:vAlign w:val="center"/>
            <w:hideMark/>
          </w:tcPr>
          <w:p w14:paraId="62B3992E"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1,369,977,609,382</w:t>
            </w:r>
          </w:p>
        </w:tc>
        <w:tc>
          <w:tcPr>
            <w:tcW w:w="1720" w:type="dxa"/>
            <w:tcBorders>
              <w:top w:val="nil"/>
              <w:left w:val="nil"/>
              <w:bottom w:val="single" w:sz="4" w:space="0" w:color="auto"/>
              <w:right w:val="single" w:sz="4" w:space="0" w:color="auto"/>
            </w:tcBorders>
            <w:shd w:val="clear" w:color="auto" w:fill="auto"/>
            <w:noWrap/>
            <w:vAlign w:val="center"/>
            <w:hideMark/>
          </w:tcPr>
          <w:p w14:paraId="1F08561A"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109,826,514,122</w:t>
            </w:r>
          </w:p>
        </w:tc>
      </w:tr>
      <w:tr w:rsidR="00117702" w:rsidRPr="00117702" w14:paraId="5421CD3A"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159A4FDE"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92</w:t>
            </w:r>
          </w:p>
        </w:tc>
        <w:tc>
          <w:tcPr>
            <w:tcW w:w="900" w:type="dxa"/>
            <w:tcBorders>
              <w:top w:val="nil"/>
              <w:left w:val="nil"/>
              <w:bottom w:val="single" w:sz="4" w:space="0" w:color="auto"/>
              <w:right w:val="single" w:sz="4" w:space="0" w:color="auto"/>
            </w:tcBorders>
            <w:shd w:val="clear" w:color="auto" w:fill="auto"/>
            <w:noWrap/>
            <w:vAlign w:val="center"/>
            <w:hideMark/>
          </w:tcPr>
          <w:p w14:paraId="5BF6AC3F"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836000349</w:t>
            </w:r>
          </w:p>
        </w:tc>
        <w:tc>
          <w:tcPr>
            <w:tcW w:w="3660" w:type="dxa"/>
            <w:tcBorders>
              <w:top w:val="nil"/>
              <w:left w:val="nil"/>
              <w:bottom w:val="single" w:sz="4" w:space="0" w:color="auto"/>
              <w:right w:val="single" w:sz="4" w:space="0" w:color="auto"/>
            </w:tcBorders>
            <w:shd w:val="clear" w:color="auto" w:fill="auto"/>
            <w:vAlign w:val="center"/>
            <w:hideMark/>
          </w:tcPr>
          <w:p w14:paraId="213ADA5C"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EMPRESAS MUNICIPALES DE CARTAGO E.S.P.</w:t>
            </w:r>
          </w:p>
        </w:tc>
        <w:tc>
          <w:tcPr>
            <w:tcW w:w="800" w:type="dxa"/>
            <w:tcBorders>
              <w:top w:val="nil"/>
              <w:left w:val="nil"/>
              <w:bottom w:val="single" w:sz="4" w:space="0" w:color="auto"/>
              <w:right w:val="single" w:sz="4" w:space="0" w:color="auto"/>
            </w:tcBorders>
            <w:shd w:val="clear" w:color="auto" w:fill="auto"/>
            <w:noWrap/>
            <w:vAlign w:val="center"/>
            <w:hideMark/>
          </w:tcPr>
          <w:p w14:paraId="69D7BD5B"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Energia</w:t>
            </w:r>
          </w:p>
        </w:tc>
        <w:tc>
          <w:tcPr>
            <w:tcW w:w="1660" w:type="dxa"/>
            <w:tcBorders>
              <w:top w:val="nil"/>
              <w:left w:val="nil"/>
              <w:bottom w:val="single" w:sz="4" w:space="0" w:color="auto"/>
              <w:right w:val="single" w:sz="4" w:space="0" w:color="auto"/>
            </w:tcBorders>
            <w:shd w:val="clear" w:color="auto" w:fill="auto"/>
            <w:noWrap/>
            <w:vAlign w:val="center"/>
            <w:hideMark/>
          </w:tcPr>
          <w:p w14:paraId="14884645"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57,145,274,142</w:t>
            </w:r>
          </w:p>
        </w:tc>
        <w:tc>
          <w:tcPr>
            <w:tcW w:w="1720" w:type="dxa"/>
            <w:tcBorders>
              <w:top w:val="nil"/>
              <w:left w:val="nil"/>
              <w:bottom w:val="single" w:sz="4" w:space="0" w:color="auto"/>
              <w:right w:val="single" w:sz="4" w:space="0" w:color="auto"/>
            </w:tcBorders>
            <w:shd w:val="clear" w:color="auto" w:fill="auto"/>
            <w:noWrap/>
            <w:vAlign w:val="center"/>
            <w:hideMark/>
          </w:tcPr>
          <w:p w14:paraId="4AFC825B"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1,288,174,733</w:t>
            </w:r>
          </w:p>
        </w:tc>
      </w:tr>
      <w:tr w:rsidR="00117702" w:rsidRPr="00117702" w14:paraId="5164735C"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2FCB00B0"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93</w:t>
            </w:r>
          </w:p>
        </w:tc>
        <w:tc>
          <w:tcPr>
            <w:tcW w:w="900" w:type="dxa"/>
            <w:tcBorders>
              <w:top w:val="nil"/>
              <w:left w:val="nil"/>
              <w:bottom w:val="single" w:sz="4" w:space="0" w:color="auto"/>
              <w:right w:val="single" w:sz="4" w:space="0" w:color="auto"/>
            </w:tcBorders>
            <w:shd w:val="clear" w:color="auto" w:fill="auto"/>
            <w:noWrap/>
            <w:vAlign w:val="center"/>
            <w:hideMark/>
          </w:tcPr>
          <w:p w14:paraId="19E638E1"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890904996</w:t>
            </w:r>
          </w:p>
        </w:tc>
        <w:tc>
          <w:tcPr>
            <w:tcW w:w="3660" w:type="dxa"/>
            <w:tcBorders>
              <w:top w:val="nil"/>
              <w:left w:val="nil"/>
              <w:bottom w:val="single" w:sz="4" w:space="0" w:color="auto"/>
              <w:right w:val="single" w:sz="4" w:space="0" w:color="auto"/>
            </w:tcBorders>
            <w:shd w:val="clear" w:color="auto" w:fill="auto"/>
            <w:vAlign w:val="center"/>
            <w:hideMark/>
          </w:tcPr>
          <w:p w14:paraId="3020DA85"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EMPRESAS PÚBLICAS DE MEDELLIN E.S.P.</w:t>
            </w:r>
          </w:p>
        </w:tc>
        <w:tc>
          <w:tcPr>
            <w:tcW w:w="800" w:type="dxa"/>
            <w:tcBorders>
              <w:top w:val="nil"/>
              <w:left w:val="nil"/>
              <w:bottom w:val="single" w:sz="4" w:space="0" w:color="auto"/>
              <w:right w:val="single" w:sz="4" w:space="0" w:color="auto"/>
            </w:tcBorders>
            <w:shd w:val="clear" w:color="auto" w:fill="auto"/>
            <w:noWrap/>
            <w:vAlign w:val="center"/>
            <w:hideMark/>
          </w:tcPr>
          <w:p w14:paraId="776BDE6E"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Energia</w:t>
            </w:r>
          </w:p>
        </w:tc>
        <w:tc>
          <w:tcPr>
            <w:tcW w:w="1660" w:type="dxa"/>
            <w:tcBorders>
              <w:top w:val="nil"/>
              <w:left w:val="nil"/>
              <w:bottom w:val="single" w:sz="4" w:space="0" w:color="auto"/>
              <w:right w:val="single" w:sz="4" w:space="0" w:color="auto"/>
            </w:tcBorders>
            <w:shd w:val="clear" w:color="auto" w:fill="auto"/>
            <w:noWrap/>
            <w:vAlign w:val="center"/>
            <w:hideMark/>
          </w:tcPr>
          <w:p w14:paraId="0041120F"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7,040,445,968,378</w:t>
            </w:r>
          </w:p>
        </w:tc>
        <w:tc>
          <w:tcPr>
            <w:tcW w:w="1720" w:type="dxa"/>
            <w:tcBorders>
              <w:top w:val="nil"/>
              <w:left w:val="nil"/>
              <w:bottom w:val="single" w:sz="4" w:space="0" w:color="auto"/>
              <w:right w:val="single" w:sz="4" w:space="0" w:color="auto"/>
            </w:tcBorders>
            <w:shd w:val="clear" w:color="auto" w:fill="auto"/>
            <w:noWrap/>
            <w:vAlign w:val="center"/>
            <w:hideMark/>
          </w:tcPr>
          <w:p w14:paraId="5B5E72BC"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492,099,955,890</w:t>
            </w:r>
          </w:p>
        </w:tc>
      </w:tr>
      <w:tr w:rsidR="00117702" w:rsidRPr="00117702" w14:paraId="1D7D3680"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15AA6937"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94</w:t>
            </w:r>
          </w:p>
        </w:tc>
        <w:tc>
          <w:tcPr>
            <w:tcW w:w="900" w:type="dxa"/>
            <w:tcBorders>
              <w:top w:val="nil"/>
              <w:left w:val="nil"/>
              <w:bottom w:val="single" w:sz="4" w:space="0" w:color="auto"/>
              <w:right w:val="single" w:sz="4" w:space="0" w:color="auto"/>
            </w:tcBorders>
            <w:shd w:val="clear" w:color="auto" w:fill="auto"/>
            <w:noWrap/>
            <w:vAlign w:val="center"/>
            <w:hideMark/>
          </w:tcPr>
          <w:p w14:paraId="45931FD2"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800063823</w:t>
            </w:r>
          </w:p>
        </w:tc>
        <w:tc>
          <w:tcPr>
            <w:tcW w:w="3660" w:type="dxa"/>
            <w:tcBorders>
              <w:top w:val="nil"/>
              <w:left w:val="nil"/>
              <w:bottom w:val="single" w:sz="4" w:space="0" w:color="auto"/>
              <w:right w:val="single" w:sz="4" w:space="0" w:color="auto"/>
            </w:tcBorders>
            <w:shd w:val="clear" w:color="auto" w:fill="auto"/>
            <w:vAlign w:val="center"/>
            <w:hideMark/>
          </w:tcPr>
          <w:p w14:paraId="3838A803"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EMPRESAS PÚBLICAS DEL QUINDIO S.A.   E.S.P.</w:t>
            </w:r>
          </w:p>
        </w:tc>
        <w:tc>
          <w:tcPr>
            <w:tcW w:w="800" w:type="dxa"/>
            <w:tcBorders>
              <w:top w:val="nil"/>
              <w:left w:val="nil"/>
              <w:bottom w:val="single" w:sz="4" w:space="0" w:color="auto"/>
              <w:right w:val="single" w:sz="4" w:space="0" w:color="auto"/>
            </w:tcBorders>
            <w:shd w:val="clear" w:color="auto" w:fill="auto"/>
            <w:noWrap/>
            <w:vAlign w:val="center"/>
            <w:hideMark/>
          </w:tcPr>
          <w:p w14:paraId="70924411"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GLP</w:t>
            </w:r>
          </w:p>
        </w:tc>
        <w:tc>
          <w:tcPr>
            <w:tcW w:w="1660" w:type="dxa"/>
            <w:tcBorders>
              <w:top w:val="nil"/>
              <w:left w:val="nil"/>
              <w:bottom w:val="single" w:sz="4" w:space="0" w:color="auto"/>
              <w:right w:val="single" w:sz="4" w:space="0" w:color="auto"/>
            </w:tcBorders>
            <w:shd w:val="clear" w:color="auto" w:fill="auto"/>
            <w:noWrap/>
            <w:vAlign w:val="center"/>
            <w:hideMark/>
          </w:tcPr>
          <w:p w14:paraId="364A3D3B"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1,074,750,171</w:t>
            </w:r>
          </w:p>
        </w:tc>
        <w:tc>
          <w:tcPr>
            <w:tcW w:w="1720" w:type="dxa"/>
            <w:tcBorders>
              <w:top w:val="nil"/>
              <w:left w:val="nil"/>
              <w:bottom w:val="single" w:sz="4" w:space="0" w:color="auto"/>
              <w:right w:val="single" w:sz="4" w:space="0" w:color="auto"/>
            </w:tcBorders>
            <w:shd w:val="clear" w:color="auto" w:fill="auto"/>
            <w:noWrap/>
            <w:vAlign w:val="center"/>
            <w:hideMark/>
          </w:tcPr>
          <w:p w14:paraId="591BE06A"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111,639,919</w:t>
            </w:r>
          </w:p>
        </w:tc>
      </w:tr>
      <w:tr w:rsidR="00117702" w:rsidRPr="00117702" w14:paraId="22D1B5DF"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67A086DE"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95</w:t>
            </w:r>
          </w:p>
        </w:tc>
        <w:tc>
          <w:tcPr>
            <w:tcW w:w="900" w:type="dxa"/>
            <w:tcBorders>
              <w:top w:val="nil"/>
              <w:left w:val="nil"/>
              <w:bottom w:val="single" w:sz="4" w:space="0" w:color="auto"/>
              <w:right w:val="single" w:sz="4" w:space="0" w:color="auto"/>
            </w:tcBorders>
            <w:shd w:val="clear" w:color="auto" w:fill="auto"/>
            <w:noWrap/>
            <w:vAlign w:val="center"/>
            <w:hideMark/>
          </w:tcPr>
          <w:p w14:paraId="1462DF99"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805016928</w:t>
            </w:r>
          </w:p>
        </w:tc>
        <w:tc>
          <w:tcPr>
            <w:tcW w:w="3660" w:type="dxa"/>
            <w:tcBorders>
              <w:top w:val="nil"/>
              <w:left w:val="nil"/>
              <w:bottom w:val="single" w:sz="4" w:space="0" w:color="auto"/>
              <w:right w:val="single" w:sz="4" w:space="0" w:color="auto"/>
            </w:tcBorders>
            <w:shd w:val="clear" w:color="auto" w:fill="auto"/>
            <w:vAlign w:val="center"/>
            <w:hideMark/>
          </w:tcPr>
          <w:p w14:paraId="3028A81B"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ENERCO S.A. E.S.P.</w:t>
            </w:r>
          </w:p>
        </w:tc>
        <w:tc>
          <w:tcPr>
            <w:tcW w:w="800" w:type="dxa"/>
            <w:tcBorders>
              <w:top w:val="nil"/>
              <w:left w:val="nil"/>
              <w:bottom w:val="single" w:sz="4" w:space="0" w:color="auto"/>
              <w:right w:val="single" w:sz="4" w:space="0" w:color="auto"/>
            </w:tcBorders>
            <w:shd w:val="clear" w:color="auto" w:fill="auto"/>
            <w:noWrap/>
            <w:vAlign w:val="center"/>
            <w:hideMark/>
          </w:tcPr>
          <w:p w14:paraId="22C5DE24"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Energia</w:t>
            </w:r>
          </w:p>
        </w:tc>
        <w:tc>
          <w:tcPr>
            <w:tcW w:w="1660" w:type="dxa"/>
            <w:tcBorders>
              <w:top w:val="nil"/>
              <w:left w:val="nil"/>
              <w:bottom w:val="single" w:sz="4" w:space="0" w:color="auto"/>
              <w:right w:val="single" w:sz="4" w:space="0" w:color="auto"/>
            </w:tcBorders>
            <w:shd w:val="clear" w:color="auto" w:fill="auto"/>
            <w:noWrap/>
            <w:vAlign w:val="center"/>
            <w:hideMark/>
          </w:tcPr>
          <w:p w14:paraId="1BE7C5C0"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5,562,026,314</w:t>
            </w:r>
          </w:p>
        </w:tc>
        <w:tc>
          <w:tcPr>
            <w:tcW w:w="1720" w:type="dxa"/>
            <w:tcBorders>
              <w:top w:val="nil"/>
              <w:left w:val="nil"/>
              <w:bottom w:val="single" w:sz="4" w:space="0" w:color="auto"/>
              <w:right w:val="single" w:sz="4" w:space="0" w:color="auto"/>
            </w:tcBorders>
            <w:shd w:val="clear" w:color="auto" w:fill="auto"/>
            <w:noWrap/>
            <w:vAlign w:val="center"/>
            <w:hideMark/>
          </w:tcPr>
          <w:p w14:paraId="259A12D8"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510,974,830</w:t>
            </w:r>
          </w:p>
        </w:tc>
      </w:tr>
      <w:tr w:rsidR="00117702" w:rsidRPr="00117702" w14:paraId="12715DA7"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623AF7D6"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96</w:t>
            </w:r>
          </w:p>
        </w:tc>
        <w:tc>
          <w:tcPr>
            <w:tcW w:w="900" w:type="dxa"/>
            <w:tcBorders>
              <w:top w:val="nil"/>
              <w:left w:val="nil"/>
              <w:bottom w:val="single" w:sz="4" w:space="0" w:color="auto"/>
              <w:right w:val="single" w:sz="4" w:space="0" w:color="auto"/>
            </w:tcBorders>
            <w:shd w:val="clear" w:color="auto" w:fill="auto"/>
            <w:noWrap/>
            <w:vAlign w:val="center"/>
            <w:hideMark/>
          </w:tcPr>
          <w:p w14:paraId="0B42C60E"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800182395</w:t>
            </w:r>
          </w:p>
        </w:tc>
        <w:tc>
          <w:tcPr>
            <w:tcW w:w="3660" w:type="dxa"/>
            <w:tcBorders>
              <w:top w:val="nil"/>
              <w:left w:val="nil"/>
              <w:bottom w:val="single" w:sz="4" w:space="0" w:color="auto"/>
              <w:right w:val="single" w:sz="4" w:space="0" w:color="auto"/>
            </w:tcBorders>
            <w:shd w:val="clear" w:color="auto" w:fill="auto"/>
            <w:vAlign w:val="center"/>
            <w:hideMark/>
          </w:tcPr>
          <w:p w14:paraId="1BB4BD7D"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ENERGAS S.A. E.S.P.</w:t>
            </w:r>
          </w:p>
        </w:tc>
        <w:tc>
          <w:tcPr>
            <w:tcW w:w="800" w:type="dxa"/>
            <w:tcBorders>
              <w:top w:val="nil"/>
              <w:left w:val="nil"/>
              <w:bottom w:val="single" w:sz="4" w:space="0" w:color="auto"/>
              <w:right w:val="single" w:sz="4" w:space="0" w:color="auto"/>
            </w:tcBorders>
            <w:shd w:val="clear" w:color="auto" w:fill="auto"/>
            <w:noWrap/>
            <w:vAlign w:val="center"/>
            <w:hideMark/>
          </w:tcPr>
          <w:p w14:paraId="7FD612F0"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GLP</w:t>
            </w:r>
          </w:p>
        </w:tc>
        <w:tc>
          <w:tcPr>
            <w:tcW w:w="1660" w:type="dxa"/>
            <w:tcBorders>
              <w:top w:val="nil"/>
              <w:left w:val="nil"/>
              <w:bottom w:val="single" w:sz="4" w:space="0" w:color="auto"/>
              <w:right w:val="single" w:sz="4" w:space="0" w:color="auto"/>
            </w:tcBorders>
            <w:shd w:val="clear" w:color="auto" w:fill="auto"/>
            <w:noWrap/>
            <w:vAlign w:val="center"/>
            <w:hideMark/>
          </w:tcPr>
          <w:p w14:paraId="52A179AC"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9,393,787,000</w:t>
            </w:r>
          </w:p>
        </w:tc>
        <w:tc>
          <w:tcPr>
            <w:tcW w:w="1720" w:type="dxa"/>
            <w:tcBorders>
              <w:top w:val="nil"/>
              <w:left w:val="nil"/>
              <w:bottom w:val="single" w:sz="4" w:space="0" w:color="auto"/>
              <w:right w:val="single" w:sz="4" w:space="0" w:color="auto"/>
            </w:tcBorders>
            <w:shd w:val="clear" w:color="auto" w:fill="auto"/>
            <w:noWrap/>
            <w:vAlign w:val="center"/>
            <w:hideMark/>
          </w:tcPr>
          <w:p w14:paraId="17C59853"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283,988,144</w:t>
            </w:r>
          </w:p>
        </w:tc>
      </w:tr>
      <w:tr w:rsidR="00117702" w:rsidRPr="00117702" w14:paraId="5CAA9D89"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22229DAC"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97</w:t>
            </w:r>
          </w:p>
        </w:tc>
        <w:tc>
          <w:tcPr>
            <w:tcW w:w="900" w:type="dxa"/>
            <w:tcBorders>
              <w:top w:val="nil"/>
              <w:left w:val="nil"/>
              <w:bottom w:val="single" w:sz="4" w:space="0" w:color="auto"/>
              <w:right w:val="single" w:sz="4" w:space="0" w:color="auto"/>
            </w:tcBorders>
            <w:shd w:val="clear" w:color="auto" w:fill="auto"/>
            <w:noWrap/>
            <w:vAlign w:val="center"/>
            <w:hideMark/>
          </w:tcPr>
          <w:p w14:paraId="25078655"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860076426</w:t>
            </w:r>
          </w:p>
        </w:tc>
        <w:tc>
          <w:tcPr>
            <w:tcW w:w="3660" w:type="dxa"/>
            <w:tcBorders>
              <w:top w:val="nil"/>
              <w:left w:val="nil"/>
              <w:bottom w:val="single" w:sz="4" w:space="0" w:color="auto"/>
              <w:right w:val="single" w:sz="4" w:space="0" w:color="auto"/>
            </w:tcBorders>
            <w:shd w:val="clear" w:color="auto" w:fill="auto"/>
            <w:vAlign w:val="center"/>
            <w:hideMark/>
          </w:tcPr>
          <w:p w14:paraId="2CB94339"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ENERGETICA SA ESP</w:t>
            </w:r>
          </w:p>
        </w:tc>
        <w:tc>
          <w:tcPr>
            <w:tcW w:w="800" w:type="dxa"/>
            <w:tcBorders>
              <w:top w:val="nil"/>
              <w:left w:val="nil"/>
              <w:bottom w:val="single" w:sz="4" w:space="0" w:color="auto"/>
              <w:right w:val="single" w:sz="4" w:space="0" w:color="auto"/>
            </w:tcBorders>
            <w:shd w:val="clear" w:color="auto" w:fill="auto"/>
            <w:noWrap/>
            <w:vAlign w:val="center"/>
            <w:hideMark/>
          </w:tcPr>
          <w:p w14:paraId="5A549B1A"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Energia</w:t>
            </w:r>
          </w:p>
        </w:tc>
        <w:tc>
          <w:tcPr>
            <w:tcW w:w="1660" w:type="dxa"/>
            <w:tcBorders>
              <w:top w:val="nil"/>
              <w:left w:val="nil"/>
              <w:bottom w:val="single" w:sz="4" w:space="0" w:color="auto"/>
              <w:right w:val="single" w:sz="4" w:space="0" w:color="auto"/>
            </w:tcBorders>
            <w:shd w:val="clear" w:color="auto" w:fill="auto"/>
            <w:noWrap/>
            <w:vAlign w:val="center"/>
            <w:hideMark/>
          </w:tcPr>
          <w:p w14:paraId="7ACF1387"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1,206,772,000</w:t>
            </w:r>
          </w:p>
        </w:tc>
        <w:tc>
          <w:tcPr>
            <w:tcW w:w="1720" w:type="dxa"/>
            <w:tcBorders>
              <w:top w:val="nil"/>
              <w:left w:val="nil"/>
              <w:bottom w:val="single" w:sz="4" w:space="0" w:color="auto"/>
              <w:right w:val="single" w:sz="4" w:space="0" w:color="auto"/>
            </w:tcBorders>
            <w:shd w:val="clear" w:color="auto" w:fill="auto"/>
            <w:noWrap/>
            <w:vAlign w:val="center"/>
            <w:hideMark/>
          </w:tcPr>
          <w:p w14:paraId="752D0F23"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35,994,261</w:t>
            </w:r>
          </w:p>
        </w:tc>
      </w:tr>
      <w:tr w:rsidR="00117702" w:rsidRPr="00117702" w14:paraId="73C54FC0"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186A794C"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98</w:t>
            </w:r>
          </w:p>
        </w:tc>
        <w:tc>
          <w:tcPr>
            <w:tcW w:w="900" w:type="dxa"/>
            <w:tcBorders>
              <w:top w:val="nil"/>
              <w:left w:val="nil"/>
              <w:bottom w:val="single" w:sz="4" w:space="0" w:color="auto"/>
              <w:right w:val="single" w:sz="4" w:space="0" w:color="auto"/>
            </w:tcBorders>
            <w:shd w:val="clear" w:color="auto" w:fill="auto"/>
            <w:noWrap/>
            <w:vAlign w:val="center"/>
            <w:hideMark/>
          </w:tcPr>
          <w:p w14:paraId="47BC1AFF"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900483036</w:t>
            </w:r>
          </w:p>
        </w:tc>
        <w:tc>
          <w:tcPr>
            <w:tcW w:w="3660" w:type="dxa"/>
            <w:tcBorders>
              <w:top w:val="nil"/>
              <w:left w:val="nil"/>
              <w:bottom w:val="single" w:sz="4" w:space="0" w:color="auto"/>
              <w:right w:val="single" w:sz="4" w:space="0" w:color="auto"/>
            </w:tcBorders>
            <w:shd w:val="clear" w:color="auto" w:fill="auto"/>
            <w:vAlign w:val="center"/>
            <w:hideMark/>
          </w:tcPr>
          <w:p w14:paraId="16647FEE"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ENERGIA &amp; AGUA SAS ESP</w:t>
            </w:r>
          </w:p>
        </w:tc>
        <w:tc>
          <w:tcPr>
            <w:tcW w:w="800" w:type="dxa"/>
            <w:tcBorders>
              <w:top w:val="nil"/>
              <w:left w:val="nil"/>
              <w:bottom w:val="single" w:sz="4" w:space="0" w:color="auto"/>
              <w:right w:val="single" w:sz="4" w:space="0" w:color="auto"/>
            </w:tcBorders>
            <w:shd w:val="clear" w:color="auto" w:fill="auto"/>
            <w:noWrap/>
            <w:vAlign w:val="center"/>
            <w:hideMark/>
          </w:tcPr>
          <w:p w14:paraId="288C9864"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Energia</w:t>
            </w:r>
          </w:p>
        </w:tc>
        <w:tc>
          <w:tcPr>
            <w:tcW w:w="1660" w:type="dxa"/>
            <w:tcBorders>
              <w:top w:val="nil"/>
              <w:left w:val="nil"/>
              <w:bottom w:val="single" w:sz="4" w:space="0" w:color="auto"/>
              <w:right w:val="single" w:sz="4" w:space="0" w:color="auto"/>
            </w:tcBorders>
            <w:shd w:val="clear" w:color="auto" w:fill="auto"/>
            <w:noWrap/>
            <w:vAlign w:val="center"/>
            <w:hideMark/>
          </w:tcPr>
          <w:p w14:paraId="34BF0062"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12,394,993,790</w:t>
            </w:r>
          </w:p>
        </w:tc>
        <w:tc>
          <w:tcPr>
            <w:tcW w:w="1720" w:type="dxa"/>
            <w:tcBorders>
              <w:top w:val="nil"/>
              <w:left w:val="nil"/>
              <w:bottom w:val="single" w:sz="4" w:space="0" w:color="auto"/>
              <w:right w:val="single" w:sz="4" w:space="0" w:color="auto"/>
            </w:tcBorders>
            <w:shd w:val="clear" w:color="auto" w:fill="auto"/>
            <w:noWrap/>
            <w:vAlign w:val="center"/>
            <w:hideMark/>
          </w:tcPr>
          <w:p w14:paraId="1E7E7117"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42,492,105</w:t>
            </w:r>
          </w:p>
        </w:tc>
      </w:tr>
      <w:tr w:rsidR="00117702" w:rsidRPr="00117702" w14:paraId="6F90A790"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73917521"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99</w:t>
            </w:r>
          </w:p>
        </w:tc>
        <w:tc>
          <w:tcPr>
            <w:tcW w:w="900" w:type="dxa"/>
            <w:tcBorders>
              <w:top w:val="nil"/>
              <w:left w:val="nil"/>
              <w:bottom w:val="single" w:sz="4" w:space="0" w:color="auto"/>
              <w:right w:val="single" w:sz="4" w:space="0" w:color="auto"/>
            </w:tcBorders>
            <w:shd w:val="clear" w:color="auto" w:fill="auto"/>
            <w:noWrap/>
            <w:vAlign w:val="center"/>
            <w:hideMark/>
          </w:tcPr>
          <w:p w14:paraId="2E4760E9"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900339174</w:t>
            </w:r>
          </w:p>
        </w:tc>
        <w:tc>
          <w:tcPr>
            <w:tcW w:w="3660" w:type="dxa"/>
            <w:tcBorders>
              <w:top w:val="nil"/>
              <w:left w:val="nil"/>
              <w:bottom w:val="single" w:sz="4" w:space="0" w:color="auto"/>
              <w:right w:val="single" w:sz="4" w:space="0" w:color="auto"/>
            </w:tcBorders>
            <w:shd w:val="clear" w:color="auto" w:fill="auto"/>
            <w:vAlign w:val="center"/>
            <w:hideMark/>
          </w:tcPr>
          <w:p w14:paraId="035D901B"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ENERGIA PARA EL AMAZONAS S.A. ESP</w:t>
            </w:r>
          </w:p>
        </w:tc>
        <w:tc>
          <w:tcPr>
            <w:tcW w:w="800" w:type="dxa"/>
            <w:tcBorders>
              <w:top w:val="nil"/>
              <w:left w:val="nil"/>
              <w:bottom w:val="single" w:sz="4" w:space="0" w:color="auto"/>
              <w:right w:val="single" w:sz="4" w:space="0" w:color="auto"/>
            </w:tcBorders>
            <w:shd w:val="clear" w:color="auto" w:fill="auto"/>
            <w:noWrap/>
            <w:vAlign w:val="center"/>
            <w:hideMark/>
          </w:tcPr>
          <w:p w14:paraId="376E1DE5"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Energia</w:t>
            </w:r>
          </w:p>
        </w:tc>
        <w:tc>
          <w:tcPr>
            <w:tcW w:w="1660" w:type="dxa"/>
            <w:tcBorders>
              <w:top w:val="nil"/>
              <w:left w:val="nil"/>
              <w:bottom w:val="single" w:sz="4" w:space="0" w:color="auto"/>
              <w:right w:val="single" w:sz="4" w:space="0" w:color="auto"/>
            </w:tcBorders>
            <w:shd w:val="clear" w:color="auto" w:fill="auto"/>
            <w:noWrap/>
            <w:vAlign w:val="center"/>
            <w:hideMark/>
          </w:tcPr>
          <w:p w14:paraId="167DBBFA"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59,564,032,000</w:t>
            </w:r>
          </w:p>
        </w:tc>
        <w:tc>
          <w:tcPr>
            <w:tcW w:w="1720" w:type="dxa"/>
            <w:tcBorders>
              <w:top w:val="nil"/>
              <w:left w:val="nil"/>
              <w:bottom w:val="single" w:sz="4" w:space="0" w:color="auto"/>
              <w:right w:val="single" w:sz="4" w:space="0" w:color="auto"/>
            </w:tcBorders>
            <w:shd w:val="clear" w:color="auto" w:fill="auto"/>
            <w:noWrap/>
            <w:vAlign w:val="center"/>
            <w:hideMark/>
          </w:tcPr>
          <w:p w14:paraId="70A11ADE"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2,976,306,158</w:t>
            </w:r>
          </w:p>
        </w:tc>
      </w:tr>
      <w:tr w:rsidR="00117702" w:rsidRPr="00117702" w14:paraId="7339AA09"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1B793554"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100</w:t>
            </w:r>
          </w:p>
        </w:tc>
        <w:tc>
          <w:tcPr>
            <w:tcW w:w="900" w:type="dxa"/>
            <w:tcBorders>
              <w:top w:val="nil"/>
              <w:left w:val="nil"/>
              <w:bottom w:val="single" w:sz="4" w:space="0" w:color="auto"/>
              <w:right w:val="single" w:sz="4" w:space="0" w:color="auto"/>
            </w:tcBorders>
            <w:shd w:val="clear" w:color="auto" w:fill="auto"/>
            <w:noWrap/>
            <w:vAlign w:val="center"/>
            <w:hideMark/>
          </w:tcPr>
          <w:p w14:paraId="13FF8E4B"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900181771</w:t>
            </w:r>
          </w:p>
        </w:tc>
        <w:tc>
          <w:tcPr>
            <w:tcW w:w="3660" w:type="dxa"/>
            <w:tcBorders>
              <w:top w:val="nil"/>
              <w:left w:val="nil"/>
              <w:bottom w:val="single" w:sz="4" w:space="0" w:color="auto"/>
              <w:right w:val="single" w:sz="4" w:space="0" w:color="auto"/>
            </w:tcBorders>
            <w:shd w:val="clear" w:color="auto" w:fill="auto"/>
            <w:vAlign w:val="center"/>
            <w:hideMark/>
          </w:tcPr>
          <w:p w14:paraId="4E027E41"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ENERGIA RENOVABLE DE COLOMBIA S.A. E.S.P</w:t>
            </w:r>
          </w:p>
        </w:tc>
        <w:tc>
          <w:tcPr>
            <w:tcW w:w="800" w:type="dxa"/>
            <w:tcBorders>
              <w:top w:val="nil"/>
              <w:left w:val="nil"/>
              <w:bottom w:val="single" w:sz="4" w:space="0" w:color="auto"/>
              <w:right w:val="single" w:sz="4" w:space="0" w:color="auto"/>
            </w:tcBorders>
            <w:shd w:val="clear" w:color="auto" w:fill="auto"/>
            <w:noWrap/>
            <w:vAlign w:val="center"/>
            <w:hideMark/>
          </w:tcPr>
          <w:p w14:paraId="50B2677E"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Energia</w:t>
            </w:r>
          </w:p>
        </w:tc>
        <w:tc>
          <w:tcPr>
            <w:tcW w:w="1660" w:type="dxa"/>
            <w:tcBorders>
              <w:top w:val="nil"/>
              <w:left w:val="nil"/>
              <w:bottom w:val="single" w:sz="4" w:space="0" w:color="auto"/>
              <w:right w:val="single" w:sz="4" w:space="0" w:color="auto"/>
            </w:tcBorders>
            <w:shd w:val="clear" w:color="auto" w:fill="auto"/>
            <w:noWrap/>
            <w:vAlign w:val="center"/>
            <w:hideMark/>
          </w:tcPr>
          <w:p w14:paraId="67392B7B"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1,625,025,000</w:t>
            </w:r>
          </w:p>
        </w:tc>
        <w:tc>
          <w:tcPr>
            <w:tcW w:w="1720" w:type="dxa"/>
            <w:tcBorders>
              <w:top w:val="nil"/>
              <w:left w:val="nil"/>
              <w:bottom w:val="single" w:sz="4" w:space="0" w:color="auto"/>
              <w:right w:val="single" w:sz="4" w:space="0" w:color="auto"/>
            </w:tcBorders>
            <w:shd w:val="clear" w:color="auto" w:fill="auto"/>
            <w:noWrap/>
            <w:vAlign w:val="center"/>
            <w:hideMark/>
          </w:tcPr>
          <w:p w14:paraId="1745FE4E"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2,428,759,000</w:t>
            </w:r>
          </w:p>
        </w:tc>
      </w:tr>
      <w:tr w:rsidR="00117702" w:rsidRPr="00117702" w14:paraId="7AA79537"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063D01DA"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101</w:t>
            </w:r>
          </w:p>
        </w:tc>
        <w:tc>
          <w:tcPr>
            <w:tcW w:w="900" w:type="dxa"/>
            <w:tcBorders>
              <w:top w:val="nil"/>
              <w:left w:val="nil"/>
              <w:bottom w:val="single" w:sz="4" w:space="0" w:color="auto"/>
              <w:right w:val="single" w:sz="4" w:space="0" w:color="auto"/>
            </w:tcBorders>
            <w:shd w:val="clear" w:color="auto" w:fill="auto"/>
            <w:noWrap/>
            <w:vAlign w:val="center"/>
            <w:hideMark/>
          </w:tcPr>
          <w:p w14:paraId="6D7CAEEE"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901007478</w:t>
            </w:r>
          </w:p>
        </w:tc>
        <w:tc>
          <w:tcPr>
            <w:tcW w:w="3660" w:type="dxa"/>
            <w:tcBorders>
              <w:top w:val="nil"/>
              <w:left w:val="nil"/>
              <w:bottom w:val="single" w:sz="4" w:space="0" w:color="auto"/>
              <w:right w:val="single" w:sz="4" w:space="0" w:color="auto"/>
            </w:tcBorders>
            <w:shd w:val="clear" w:color="auto" w:fill="auto"/>
            <w:vAlign w:val="center"/>
            <w:hideMark/>
          </w:tcPr>
          <w:p w14:paraId="634FDD24"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ENERGIAS DE LA SIERRA SAS ESP</w:t>
            </w:r>
          </w:p>
        </w:tc>
        <w:tc>
          <w:tcPr>
            <w:tcW w:w="800" w:type="dxa"/>
            <w:tcBorders>
              <w:top w:val="nil"/>
              <w:left w:val="nil"/>
              <w:bottom w:val="single" w:sz="4" w:space="0" w:color="auto"/>
              <w:right w:val="single" w:sz="4" w:space="0" w:color="auto"/>
            </w:tcBorders>
            <w:shd w:val="clear" w:color="auto" w:fill="auto"/>
            <w:noWrap/>
            <w:vAlign w:val="center"/>
            <w:hideMark/>
          </w:tcPr>
          <w:p w14:paraId="09E39183"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GasNatural</w:t>
            </w:r>
          </w:p>
        </w:tc>
        <w:tc>
          <w:tcPr>
            <w:tcW w:w="1660" w:type="dxa"/>
            <w:tcBorders>
              <w:top w:val="nil"/>
              <w:left w:val="nil"/>
              <w:bottom w:val="single" w:sz="4" w:space="0" w:color="auto"/>
              <w:right w:val="single" w:sz="4" w:space="0" w:color="auto"/>
            </w:tcBorders>
            <w:shd w:val="clear" w:color="auto" w:fill="auto"/>
            <w:noWrap/>
            <w:vAlign w:val="center"/>
            <w:hideMark/>
          </w:tcPr>
          <w:p w14:paraId="7A52037C"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60,090,917,562</w:t>
            </w:r>
          </w:p>
        </w:tc>
        <w:tc>
          <w:tcPr>
            <w:tcW w:w="1720" w:type="dxa"/>
            <w:tcBorders>
              <w:top w:val="nil"/>
              <w:left w:val="nil"/>
              <w:bottom w:val="single" w:sz="4" w:space="0" w:color="auto"/>
              <w:right w:val="single" w:sz="4" w:space="0" w:color="auto"/>
            </w:tcBorders>
            <w:shd w:val="clear" w:color="auto" w:fill="auto"/>
            <w:noWrap/>
            <w:vAlign w:val="center"/>
            <w:hideMark/>
          </w:tcPr>
          <w:p w14:paraId="375CB564"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2,742,535,876</w:t>
            </w:r>
          </w:p>
        </w:tc>
      </w:tr>
      <w:tr w:rsidR="00117702" w:rsidRPr="00117702" w14:paraId="6884B2D2"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0A1461A9"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102</w:t>
            </w:r>
          </w:p>
        </w:tc>
        <w:tc>
          <w:tcPr>
            <w:tcW w:w="900" w:type="dxa"/>
            <w:tcBorders>
              <w:top w:val="nil"/>
              <w:left w:val="nil"/>
              <w:bottom w:val="single" w:sz="4" w:space="0" w:color="auto"/>
              <w:right w:val="single" w:sz="4" w:space="0" w:color="auto"/>
            </w:tcBorders>
            <w:shd w:val="clear" w:color="auto" w:fill="auto"/>
            <w:noWrap/>
            <w:vAlign w:val="center"/>
            <w:hideMark/>
          </w:tcPr>
          <w:p w14:paraId="4AF33B7A"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901023319</w:t>
            </w:r>
          </w:p>
        </w:tc>
        <w:tc>
          <w:tcPr>
            <w:tcW w:w="3660" w:type="dxa"/>
            <w:tcBorders>
              <w:top w:val="nil"/>
              <w:left w:val="nil"/>
              <w:bottom w:val="single" w:sz="4" w:space="0" w:color="auto"/>
              <w:right w:val="single" w:sz="4" w:space="0" w:color="auto"/>
            </w:tcBorders>
            <w:shd w:val="clear" w:color="auto" w:fill="auto"/>
            <w:vAlign w:val="center"/>
            <w:hideMark/>
          </w:tcPr>
          <w:p w14:paraId="703DA22A" w14:textId="77777777" w:rsidR="00117702" w:rsidRPr="00D26825" w:rsidRDefault="00117702" w:rsidP="00117702">
            <w:pPr>
              <w:jc w:val="left"/>
              <w:rPr>
                <w:rFonts w:ascii="Arial Narrow" w:hAnsi="Arial Narrow" w:cs="Arial"/>
                <w:color w:val="000000"/>
                <w:spacing w:val="0"/>
                <w:sz w:val="18"/>
                <w:szCs w:val="18"/>
                <w:lang w:val="en-US" w:eastAsia="es-CO"/>
              </w:rPr>
            </w:pPr>
            <w:r w:rsidRPr="00D26825">
              <w:rPr>
                <w:rFonts w:ascii="Arial Narrow" w:hAnsi="Arial Narrow" w:cs="Arial"/>
                <w:color w:val="000000"/>
                <w:spacing w:val="0"/>
                <w:sz w:val="18"/>
                <w:szCs w:val="18"/>
                <w:lang w:val="en-US" w:eastAsia="es-CO"/>
              </w:rPr>
              <w:t>Energy for the Caribbean S.A.S. E.S.P.</w:t>
            </w:r>
          </w:p>
        </w:tc>
        <w:tc>
          <w:tcPr>
            <w:tcW w:w="800" w:type="dxa"/>
            <w:tcBorders>
              <w:top w:val="nil"/>
              <w:left w:val="nil"/>
              <w:bottom w:val="single" w:sz="4" w:space="0" w:color="auto"/>
              <w:right w:val="single" w:sz="4" w:space="0" w:color="auto"/>
            </w:tcBorders>
            <w:shd w:val="clear" w:color="auto" w:fill="auto"/>
            <w:noWrap/>
            <w:vAlign w:val="center"/>
            <w:hideMark/>
          </w:tcPr>
          <w:p w14:paraId="07832637"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GasNatural</w:t>
            </w:r>
          </w:p>
        </w:tc>
        <w:tc>
          <w:tcPr>
            <w:tcW w:w="1660" w:type="dxa"/>
            <w:tcBorders>
              <w:top w:val="nil"/>
              <w:left w:val="nil"/>
              <w:bottom w:val="single" w:sz="4" w:space="0" w:color="auto"/>
              <w:right w:val="single" w:sz="4" w:space="0" w:color="auto"/>
            </w:tcBorders>
            <w:shd w:val="clear" w:color="auto" w:fill="auto"/>
            <w:noWrap/>
            <w:vAlign w:val="center"/>
            <w:hideMark/>
          </w:tcPr>
          <w:p w14:paraId="4D5DB052"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22,599,394,587</w:t>
            </w:r>
          </w:p>
        </w:tc>
        <w:tc>
          <w:tcPr>
            <w:tcW w:w="1720" w:type="dxa"/>
            <w:tcBorders>
              <w:top w:val="nil"/>
              <w:left w:val="nil"/>
              <w:bottom w:val="single" w:sz="4" w:space="0" w:color="auto"/>
              <w:right w:val="single" w:sz="4" w:space="0" w:color="auto"/>
            </w:tcBorders>
            <w:shd w:val="clear" w:color="auto" w:fill="auto"/>
            <w:noWrap/>
            <w:vAlign w:val="center"/>
            <w:hideMark/>
          </w:tcPr>
          <w:p w14:paraId="1E42174D"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320,715,042</w:t>
            </w:r>
          </w:p>
        </w:tc>
      </w:tr>
      <w:tr w:rsidR="00117702" w:rsidRPr="00117702" w14:paraId="31EFB084"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45CD17ED"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103</w:t>
            </w:r>
          </w:p>
        </w:tc>
        <w:tc>
          <w:tcPr>
            <w:tcW w:w="900" w:type="dxa"/>
            <w:tcBorders>
              <w:top w:val="nil"/>
              <w:left w:val="nil"/>
              <w:bottom w:val="single" w:sz="4" w:space="0" w:color="auto"/>
              <w:right w:val="single" w:sz="4" w:space="0" w:color="auto"/>
            </w:tcBorders>
            <w:shd w:val="clear" w:color="auto" w:fill="auto"/>
            <w:noWrap/>
            <w:vAlign w:val="center"/>
            <w:hideMark/>
          </w:tcPr>
          <w:p w14:paraId="681BBFAE"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900207628</w:t>
            </w:r>
          </w:p>
        </w:tc>
        <w:tc>
          <w:tcPr>
            <w:tcW w:w="3660" w:type="dxa"/>
            <w:tcBorders>
              <w:top w:val="nil"/>
              <w:left w:val="nil"/>
              <w:bottom w:val="single" w:sz="4" w:space="0" w:color="auto"/>
              <w:right w:val="single" w:sz="4" w:space="0" w:color="auto"/>
            </w:tcBorders>
            <w:shd w:val="clear" w:color="auto" w:fill="auto"/>
            <w:vAlign w:val="center"/>
            <w:hideMark/>
          </w:tcPr>
          <w:p w14:paraId="0B955539"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ENERLIM S.A. E.S.P.</w:t>
            </w:r>
          </w:p>
        </w:tc>
        <w:tc>
          <w:tcPr>
            <w:tcW w:w="800" w:type="dxa"/>
            <w:tcBorders>
              <w:top w:val="nil"/>
              <w:left w:val="nil"/>
              <w:bottom w:val="single" w:sz="4" w:space="0" w:color="auto"/>
              <w:right w:val="single" w:sz="4" w:space="0" w:color="auto"/>
            </w:tcBorders>
            <w:shd w:val="clear" w:color="auto" w:fill="auto"/>
            <w:noWrap/>
            <w:vAlign w:val="center"/>
            <w:hideMark/>
          </w:tcPr>
          <w:p w14:paraId="7AF32B78"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Energia</w:t>
            </w:r>
          </w:p>
        </w:tc>
        <w:tc>
          <w:tcPr>
            <w:tcW w:w="1660" w:type="dxa"/>
            <w:tcBorders>
              <w:top w:val="nil"/>
              <w:left w:val="nil"/>
              <w:bottom w:val="single" w:sz="4" w:space="0" w:color="auto"/>
              <w:right w:val="single" w:sz="4" w:space="0" w:color="auto"/>
            </w:tcBorders>
            <w:shd w:val="clear" w:color="auto" w:fill="auto"/>
            <w:noWrap/>
            <w:vAlign w:val="center"/>
            <w:hideMark/>
          </w:tcPr>
          <w:p w14:paraId="5DD78A89"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762,404,000</w:t>
            </w:r>
          </w:p>
        </w:tc>
        <w:tc>
          <w:tcPr>
            <w:tcW w:w="1720" w:type="dxa"/>
            <w:tcBorders>
              <w:top w:val="nil"/>
              <w:left w:val="nil"/>
              <w:bottom w:val="single" w:sz="4" w:space="0" w:color="auto"/>
              <w:right w:val="single" w:sz="4" w:space="0" w:color="auto"/>
            </w:tcBorders>
            <w:shd w:val="clear" w:color="auto" w:fill="auto"/>
            <w:noWrap/>
            <w:vAlign w:val="center"/>
            <w:hideMark/>
          </w:tcPr>
          <w:p w14:paraId="30EA91FF"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131,787,261</w:t>
            </w:r>
          </w:p>
        </w:tc>
      </w:tr>
      <w:tr w:rsidR="00117702" w:rsidRPr="00117702" w14:paraId="7B7B82B7"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5353795D"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lastRenderedPageBreak/>
              <w:t>104</w:t>
            </w:r>
          </w:p>
        </w:tc>
        <w:tc>
          <w:tcPr>
            <w:tcW w:w="900" w:type="dxa"/>
            <w:tcBorders>
              <w:top w:val="nil"/>
              <w:left w:val="nil"/>
              <w:bottom w:val="single" w:sz="4" w:space="0" w:color="auto"/>
              <w:right w:val="single" w:sz="4" w:space="0" w:color="auto"/>
            </w:tcBorders>
            <w:shd w:val="clear" w:color="auto" w:fill="auto"/>
            <w:noWrap/>
            <w:vAlign w:val="center"/>
            <w:hideMark/>
          </w:tcPr>
          <w:p w14:paraId="4463D494"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901066395</w:t>
            </w:r>
          </w:p>
        </w:tc>
        <w:tc>
          <w:tcPr>
            <w:tcW w:w="3660" w:type="dxa"/>
            <w:tcBorders>
              <w:top w:val="nil"/>
              <w:left w:val="nil"/>
              <w:bottom w:val="single" w:sz="4" w:space="0" w:color="auto"/>
              <w:right w:val="single" w:sz="4" w:space="0" w:color="auto"/>
            </w:tcBorders>
            <w:shd w:val="clear" w:color="auto" w:fill="auto"/>
            <w:vAlign w:val="center"/>
            <w:hideMark/>
          </w:tcPr>
          <w:p w14:paraId="44DF0BE8" w14:textId="77777777" w:rsidR="00117702" w:rsidRPr="00D26825" w:rsidRDefault="00117702" w:rsidP="00117702">
            <w:pPr>
              <w:jc w:val="left"/>
              <w:rPr>
                <w:rFonts w:ascii="Arial Narrow" w:hAnsi="Arial Narrow" w:cs="Arial"/>
                <w:color w:val="000000"/>
                <w:spacing w:val="0"/>
                <w:sz w:val="18"/>
                <w:szCs w:val="18"/>
                <w:lang w:val="en-US" w:eastAsia="es-CO"/>
              </w:rPr>
            </w:pPr>
            <w:r w:rsidRPr="00D26825">
              <w:rPr>
                <w:rFonts w:ascii="Arial Narrow" w:hAnsi="Arial Narrow" w:cs="Arial"/>
                <w:color w:val="000000"/>
                <w:spacing w:val="0"/>
                <w:sz w:val="18"/>
                <w:szCs w:val="18"/>
                <w:lang w:val="en-US" w:eastAsia="es-CO"/>
              </w:rPr>
              <w:t>ENERPACIFIC S.A.S. E.S.P.</w:t>
            </w:r>
          </w:p>
        </w:tc>
        <w:tc>
          <w:tcPr>
            <w:tcW w:w="800" w:type="dxa"/>
            <w:tcBorders>
              <w:top w:val="nil"/>
              <w:left w:val="nil"/>
              <w:bottom w:val="single" w:sz="4" w:space="0" w:color="auto"/>
              <w:right w:val="single" w:sz="4" w:space="0" w:color="auto"/>
            </w:tcBorders>
            <w:shd w:val="clear" w:color="auto" w:fill="auto"/>
            <w:noWrap/>
            <w:vAlign w:val="center"/>
            <w:hideMark/>
          </w:tcPr>
          <w:p w14:paraId="3BD88A77"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Energia</w:t>
            </w:r>
          </w:p>
        </w:tc>
        <w:tc>
          <w:tcPr>
            <w:tcW w:w="1660" w:type="dxa"/>
            <w:tcBorders>
              <w:top w:val="nil"/>
              <w:left w:val="nil"/>
              <w:bottom w:val="single" w:sz="4" w:space="0" w:color="auto"/>
              <w:right w:val="single" w:sz="4" w:space="0" w:color="auto"/>
            </w:tcBorders>
            <w:shd w:val="clear" w:color="auto" w:fill="auto"/>
            <w:noWrap/>
            <w:vAlign w:val="center"/>
            <w:hideMark/>
          </w:tcPr>
          <w:p w14:paraId="7D44C022"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5,599,823,000</w:t>
            </w:r>
          </w:p>
        </w:tc>
        <w:tc>
          <w:tcPr>
            <w:tcW w:w="1720" w:type="dxa"/>
            <w:tcBorders>
              <w:top w:val="nil"/>
              <w:left w:val="nil"/>
              <w:bottom w:val="single" w:sz="4" w:space="0" w:color="auto"/>
              <w:right w:val="single" w:sz="4" w:space="0" w:color="auto"/>
            </w:tcBorders>
            <w:shd w:val="clear" w:color="auto" w:fill="auto"/>
            <w:noWrap/>
            <w:vAlign w:val="center"/>
            <w:hideMark/>
          </w:tcPr>
          <w:p w14:paraId="518BCE70"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135,809,522</w:t>
            </w:r>
          </w:p>
        </w:tc>
      </w:tr>
      <w:tr w:rsidR="00117702" w:rsidRPr="00117702" w14:paraId="68E31CD5"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4C529320"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105</w:t>
            </w:r>
          </w:p>
        </w:tc>
        <w:tc>
          <w:tcPr>
            <w:tcW w:w="900" w:type="dxa"/>
            <w:tcBorders>
              <w:top w:val="nil"/>
              <w:left w:val="nil"/>
              <w:bottom w:val="single" w:sz="4" w:space="0" w:color="auto"/>
              <w:right w:val="single" w:sz="4" w:space="0" w:color="auto"/>
            </w:tcBorders>
            <w:shd w:val="clear" w:color="auto" w:fill="auto"/>
            <w:noWrap/>
            <w:vAlign w:val="center"/>
            <w:hideMark/>
          </w:tcPr>
          <w:p w14:paraId="16E31B27"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900039901</w:t>
            </w:r>
          </w:p>
        </w:tc>
        <w:tc>
          <w:tcPr>
            <w:tcW w:w="3660" w:type="dxa"/>
            <w:tcBorders>
              <w:top w:val="nil"/>
              <w:left w:val="nil"/>
              <w:bottom w:val="single" w:sz="4" w:space="0" w:color="auto"/>
              <w:right w:val="single" w:sz="4" w:space="0" w:color="auto"/>
            </w:tcBorders>
            <w:shd w:val="clear" w:color="auto" w:fill="auto"/>
            <w:vAlign w:val="center"/>
            <w:hideMark/>
          </w:tcPr>
          <w:p w14:paraId="2195698E"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ENERTOTAL S.A. E.S.P.</w:t>
            </w:r>
          </w:p>
        </w:tc>
        <w:tc>
          <w:tcPr>
            <w:tcW w:w="800" w:type="dxa"/>
            <w:tcBorders>
              <w:top w:val="nil"/>
              <w:left w:val="nil"/>
              <w:bottom w:val="single" w:sz="4" w:space="0" w:color="auto"/>
              <w:right w:val="single" w:sz="4" w:space="0" w:color="auto"/>
            </w:tcBorders>
            <w:shd w:val="clear" w:color="auto" w:fill="auto"/>
            <w:noWrap/>
            <w:vAlign w:val="center"/>
            <w:hideMark/>
          </w:tcPr>
          <w:p w14:paraId="7BFF43E0"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Energia</w:t>
            </w:r>
          </w:p>
        </w:tc>
        <w:tc>
          <w:tcPr>
            <w:tcW w:w="1660" w:type="dxa"/>
            <w:tcBorders>
              <w:top w:val="nil"/>
              <w:left w:val="nil"/>
              <w:bottom w:val="single" w:sz="4" w:space="0" w:color="auto"/>
              <w:right w:val="single" w:sz="4" w:space="0" w:color="auto"/>
            </w:tcBorders>
            <w:shd w:val="clear" w:color="auto" w:fill="auto"/>
            <w:noWrap/>
            <w:vAlign w:val="center"/>
            <w:hideMark/>
          </w:tcPr>
          <w:p w14:paraId="0ADBD9AC"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24,152,263,000</w:t>
            </w:r>
          </w:p>
        </w:tc>
        <w:tc>
          <w:tcPr>
            <w:tcW w:w="1720" w:type="dxa"/>
            <w:tcBorders>
              <w:top w:val="nil"/>
              <w:left w:val="nil"/>
              <w:bottom w:val="single" w:sz="4" w:space="0" w:color="auto"/>
              <w:right w:val="single" w:sz="4" w:space="0" w:color="auto"/>
            </w:tcBorders>
            <w:shd w:val="clear" w:color="auto" w:fill="auto"/>
            <w:noWrap/>
            <w:vAlign w:val="center"/>
            <w:hideMark/>
          </w:tcPr>
          <w:p w14:paraId="2F3A412D"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2,451,961,144</w:t>
            </w:r>
          </w:p>
        </w:tc>
      </w:tr>
      <w:tr w:rsidR="00117702" w:rsidRPr="00117702" w14:paraId="0F16DFFA" w14:textId="77777777" w:rsidTr="00117702">
        <w:trPr>
          <w:trHeight w:val="46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6BD60E23"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106</w:t>
            </w:r>
          </w:p>
        </w:tc>
        <w:tc>
          <w:tcPr>
            <w:tcW w:w="900" w:type="dxa"/>
            <w:tcBorders>
              <w:top w:val="nil"/>
              <w:left w:val="nil"/>
              <w:bottom w:val="single" w:sz="4" w:space="0" w:color="auto"/>
              <w:right w:val="single" w:sz="4" w:space="0" w:color="auto"/>
            </w:tcBorders>
            <w:shd w:val="clear" w:color="auto" w:fill="auto"/>
            <w:noWrap/>
            <w:vAlign w:val="center"/>
            <w:hideMark/>
          </w:tcPr>
          <w:p w14:paraId="0DE95119"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890701766</w:t>
            </w:r>
          </w:p>
        </w:tc>
        <w:tc>
          <w:tcPr>
            <w:tcW w:w="3660" w:type="dxa"/>
            <w:tcBorders>
              <w:top w:val="nil"/>
              <w:left w:val="nil"/>
              <w:bottom w:val="single" w:sz="4" w:space="0" w:color="auto"/>
              <w:right w:val="single" w:sz="4" w:space="0" w:color="auto"/>
            </w:tcBorders>
            <w:shd w:val="clear" w:color="auto" w:fill="auto"/>
            <w:vAlign w:val="center"/>
            <w:hideMark/>
          </w:tcPr>
          <w:p w14:paraId="4AD8F3A3"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ENVASADORA DE GAS DE PUERTO SALGAR S.A. EMPRESA DE SERVICIOS PUBLICOS</w:t>
            </w:r>
          </w:p>
        </w:tc>
        <w:tc>
          <w:tcPr>
            <w:tcW w:w="800" w:type="dxa"/>
            <w:tcBorders>
              <w:top w:val="nil"/>
              <w:left w:val="nil"/>
              <w:bottom w:val="single" w:sz="4" w:space="0" w:color="auto"/>
              <w:right w:val="single" w:sz="4" w:space="0" w:color="auto"/>
            </w:tcBorders>
            <w:shd w:val="clear" w:color="auto" w:fill="auto"/>
            <w:noWrap/>
            <w:vAlign w:val="center"/>
            <w:hideMark/>
          </w:tcPr>
          <w:p w14:paraId="00079FF7"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GLP</w:t>
            </w:r>
          </w:p>
        </w:tc>
        <w:tc>
          <w:tcPr>
            <w:tcW w:w="1660" w:type="dxa"/>
            <w:tcBorders>
              <w:top w:val="nil"/>
              <w:left w:val="nil"/>
              <w:bottom w:val="single" w:sz="4" w:space="0" w:color="auto"/>
              <w:right w:val="single" w:sz="4" w:space="0" w:color="auto"/>
            </w:tcBorders>
            <w:shd w:val="clear" w:color="auto" w:fill="auto"/>
            <w:noWrap/>
            <w:vAlign w:val="center"/>
            <w:hideMark/>
          </w:tcPr>
          <w:p w14:paraId="3F9081D9"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10,373,100,004</w:t>
            </w:r>
          </w:p>
        </w:tc>
        <w:tc>
          <w:tcPr>
            <w:tcW w:w="1720" w:type="dxa"/>
            <w:tcBorders>
              <w:top w:val="nil"/>
              <w:left w:val="nil"/>
              <w:bottom w:val="single" w:sz="4" w:space="0" w:color="auto"/>
              <w:right w:val="single" w:sz="4" w:space="0" w:color="auto"/>
            </w:tcBorders>
            <w:shd w:val="clear" w:color="auto" w:fill="auto"/>
            <w:noWrap/>
            <w:vAlign w:val="center"/>
            <w:hideMark/>
          </w:tcPr>
          <w:p w14:paraId="25D247BD"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616,758,763</w:t>
            </w:r>
          </w:p>
        </w:tc>
      </w:tr>
      <w:tr w:rsidR="00117702" w:rsidRPr="00117702" w14:paraId="6299B86B"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7B9B23C7"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107</w:t>
            </w:r>
          </w:p>
        </w:tc>
        <w:tc>
          <w:tcPr>
            <w:tcW w:w="900" w:type="dxa"/>
            <w:tcBorders>
              <w:top w:val="nil"/>
              <w:left w:val="nil"/>
              <w:bottom w:val="single" w:sz="4" w:space="0" w:color="auto"/>
              <w:right w:val="single" w:sz="4" w:space="0" w:color="auto"/>
            </w:tcBorders>
            <w:shd w:val="clear" w:color="auto" w:fill="auto"/>
            <w:noWrap/>
            <w:vAlign w:val="center"/>
            <w:hideMark/>
          </w:tcPr>
          <w:p w14:paraId="09B87EB6"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901034973</w:t>
            </w:r>
          </w:p>
        </w:tc>
        <w:tc>
          <w:tcPr>
            <w:tcW w:w="3660" w:type="dxa"/>
            <w:tcBorders>
              <w:top w:val="nil"/>
              <w:left w:val="nil"/>
              <w:bottom w:val="single" w:sz="4" w:space="0" w:color="auto"/>
              <w:right w:val="single" w:sz="4" w:space="0" w:color="auto"/>
            </w:tcBorders>
            <w:shd w:val="clear" w:color="auto" w:fill="auto"/>
            <w:vAlign w:val="center"/>
            <w:hideMark/>
          </w:tcPr>
          <w:p w14:paraId="05E1B183"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EOS ENERGY S.A.S. E.S.P.</w:t>
            </w:r>
          </w:p>
        </w:tc>
        <w:tc>
          <w:tcPr>
            <w:tcW w:w="800" w:type="dxa"/>
            <w:tcBorders>
              <w:top w:val="nil"/>
              <w:left w:val="nil"/>
              <w:bottom w:val="single" w:sz="4" w:space="0" w:color="auto"/>
              <w:right w:val="single" w:sz="4" w:space="0" w:color="auto"/>
            </w:tcBorders>
            <w:shd w:val="clear" w:color="auto" w:fill="auto"/>
            <w:noWrap/>
            <w:vAlign w:val="center"/>
            <w:hideMark/>
          </w:tcPr>
          <w:p w14:paraId="3E639434"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GasNatural</w:t>
            </w:r>
          </w:p>
        </w:tc>
        <w:tc>
          <w:tcPr>
            <w:tcW w:w="1660" w:type="dxa"/>
            <w:tcBorders>
              <w:top w:val="nil"/>
              <w:left w:val="nil"/>
              <w:bottom w:val="single" w:sz="4" w:space="0" w:color="auto"/>
              <w:right w:val="single" w:sz="4" w:space="0" w:color="auto"/>
            </w:tcBorders>
            <w:shd w:val="clear" w:color="auto" w:fill="auto"/>
            <w:noWrap/>
            <w:vAlign w:val="center"/>
            <w:hideMark/>
          </w:tcPr>
          <w:p w14:paraId="0D396FC7"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1,344,419,266</w:t>
            </w:r>
          </w:p>
        </w:tc>
        <w:tc>
          <w:tcPr>
            <w:tcW w:w="1720" w:type="dxa"/>
            <w:tcBorders>
              <w:top w:val="nil"/>
              <w:left w:val="nil"/>
              <w:bottom w:val="single" w:sz="4" w:space="0" w:color="auto"/>
              <w:right w:val="single" w:sz="4" w:space="0" w:color="auto"/>
            </w:tcBorders>
            <w:shd w:val="clear" w:color="auto" w:fill="auto"/>
            <w:noWrap/>
            <w:vAlign w:val="center"/>
            <w:hideMark/>
          </w:tcPr>
          <w:p w14:paraId="6F81D372"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68,397,156</w:t>
            </w:r>
          </w:p>
        </w:tc>
      </w:tr>
      <w:tr w:rsidR="00117702" w:rsidRPr="00117702" w14:paraId="7FFB0EEB"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3E44D263"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108</w:t>
            </w:r>
          </w:p>
        </w:tc>
        <w:tc>
          <w:tcPr>
            <w:tcW w:w="900" w:type="dxa"/>
            <w:tcBorders>
              <w:top w:val="nil"/>
              <w:left w:val="nil"/>
              <w:bottom w:val="single" w:sz="4" w:space="0" w:color="auto"/>
              <w:right w:val="single" w:sz="4" w:space="0" w:color="auto"/>
            </w:tcBorders>
            <w:shd w:val="clear" w:color="auto" w:fill="auto"/>
            <w:noWrap/>
            <w:vAlign w:val="center"/>
            <w:hideMark/>
          </w:tcPr>
          <w:p w14:paraId="714800EB"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860002426</w:t>
            </w:r>
          </w:p>
        </w:tc>
        <w:tc>
          <w:tcPr>
            <w:tcW w:w="3660" w:type="dxa"/>
            <w:tcBorders>
              <w:top w:val="nil"/>
              <w:left w:val="nil"/>
              <w:bottom w:val="single" w:sz="4" w:space="0" w:color="auto"/>
              <w:right w:val="single" w:sz="4" w:space="0" w:color="auto"/>
            </w:tcBorders>
            <w:shd w:val="clear" w:color="auto" w:fill="auto"/>
            <w:vAlign w:val="center"/>
            <w:hideMark/>
          </w:tcPr>
          <w:p w14:paraId="72583938"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EQUION ENERGIA LIMITED</w:t>
            </w:r>
          </w:p>
        </w:tc>
        <w:tc>
          <w:tcPr>
            <w:tcW w:w="800" w:type="dxa"/>
            <w:tcBorders>
              <w:top w:val="nil"/>
              <w:left w:val="nil"/>
              <w:bottom w:val="single" w:sz="4" w:space="0" w:color="auto"/>
              <w:right w:val="single" w:sz="4" w:space="0" w:color="auto"/>
            </w:tcBorders>
            <w:shd w:val="clear" w:color="auto" w:fill="auto"/>
            <w:noWrap/>
            <w:vAlign w:val="center"/>
            <w:hideMark/>
          </w:tcPr>
          <w:p w14:paraId="3D98114E"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GasNatural</w:t>
            </w:r>
          </w:p>
        </w:tc>
        <w:tc>
          <w:tcPr>
            <w:tcW w:w="1660" w:type="dxa"/>
            <w:tcBorders>
              <w:top w:val="nil"/>
              <w:left w:val="nil"/>
              <w:bottom w:val="single" w:sz="4" w:space="0" w:color="auto"/>
              <w:right w:val="single" w:sz="4" w:space="0" w:color="auto"/>
            </w:tcBorders>
            <w:shd w:val="clear" w:color="auto" w:fill="auto"/>
            <w:noWrap/>
            <w:vAlign w:val="center"/>
            <w:hideMark/>
          </w:tcPr>
          <w:p w14:paraId="0DDCAFD6"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76,583,263,099</w:t>
            </w:r>
          </w:p>
        </w:tc>
        <w:tc>
          <w:tcPr>
            <w:tcW w:w="1720" w:type="dxa"/>
            <w:tcBorders>
              <w:top w:val="nil"/>
              <w:left w:val="nil"/>
              <w:bottom w:val="single" w:sz="4" w:space="0" w:color="auto"/>
              <w:right w:val="single" w:sz="4" w:space="0" w:color="auto"/>
            </w:tcBorders>
            <w:shd w:val="clear" w:color="auto" w:fill="auto"/>
            <w:noWrap/>
            <w:vAlign w:val="center"/>
            <w:hideMark/>
          </w:tcPr>
          <w:p w14:paraId="665257B1"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110,715,000</w:t>
            </w:r>
          </w:p>
        </w:tc>
      </w:tr>
      <w:tr w:rsidR="00117702" w:rsidRPr="00117702" w14:paraId="0A4426C4"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5D78439B"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109</w:t>
            </w:r>
          </w:p>
        </w:tc>
        <w:tc>
          <w:tcPr>
            <w:tcW w:w="900" w:type="dxa"/>
            <w:tcBorders>
              <w:top w:val="nil"/>
              <w:left w:val="nil"/>
              <w:bottom w:val="single" w:sz="4" w:space="0" w:color="auto"/>
              <w:right w:val="single" w:sz="4" w:space="0" w:color="auto"/>
            </w:tcBorders>
            <w:shd w:val="clear" w:color="auto" w:fill="auto"/>
            <w:noWrap/>
            <w:vAlign w:val="center"/>
            <w:hideMark/>
          </w:tcPr>
          <w:p w14:paraId="69C6836C"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900120534</w:t>
            </w:r>
          </w:p>
        </w:tc>
        <w:tc>
          <w:tcPr>
            <w:tcW w:w="3660" w:type="dxa"/>
            <w:tcBorders>
              <w:top w:val="nil"/>
              <w:left w:val="nil"/>
              <w:bottom w:val="single" w:sz="4" w:space="0" w:color="auto"/>
              <w:right w:val="single" w:sz="4" w:space="0" w:color="auto"/>
            </w:tcBorders>
            <w:shd w:val="clear" w:color="auto" w:fill="auto"/>
            <w:vAlign w:val="center"/>
            <w:hideMark/>
          </w:tcPr>
          <w:p w14:paraId="7FACB892"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ESP DIGASPRO SA</w:t>
            </w:r>
          </w:p>
        </w:tc>
        <w:tc>
          <w:tcPr>
            <w:tcW w:w="800" w:type="dxa"/>
            <w:tcBorders>
              <w:top w:val="nil"/>
              <w:left w:val="nil"/>
              <w:bottom w:val="single" w:sz="4" w:space="0" w:color="auto"/>
              <w:right w:val="single" w:sz="4" w:space="0" w:color="auto"/>
            </w:tcBorders>
            <w:shd w:val="clear" w:color="auto" w:fill="auto"/>
            <w:noWrap/>
            <w:vAlign w:val="center"/>
            <w:hideMark/>
          </w:tcPr>
          <w:p w14:paraId="2031C049"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GLP</w:t>
            </w:r>
          </w:p>
        </w:tc>
        <w:tc>
          <w:tcPr>
            <w:tcW w:w="1660" w:type="dxa"/>
            <w:tcBorders>
              <w:top w:val="nil"/>
              <w:left w:val="nil"/>
              <w:bottom w:val="single" w:sz="4" w:space="0" w:color="auto"/>
              <w:right w:val="single" w:sz="4" w:space="0" w:color="auto"/>
            </w:tcBorders>
            <w:shd w:val="clear" w:color="auto" w:fill="auto"/>
            <w:noWrap/>
            <w:vAlign w:val="center"/>
            <w:hideMark/>
          </w:tcPr>
          <w:p w14:paraId="2FAA851D"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2,944,017,000</w:t>
            </w:r>
          </w:p>
        </w:tc>
        <w:tc>
          <w:tcPr>
            <w:tcW w:w="1720" w:type="dxa"/>
            <w:tcBorders>
              <w:top w:val="nil"/>
              <w:left w:val="nil"/>
              <w:bottom w:val="single" w:sz="4" w:space="0" w:color="auto"/>
              <w:right w:val="single" w:sz="4" w:space="0" w:color="auto"/>
            </w:tcBorders>
            <w:shd w:val="clear" w:color="auto" w:fill="auto"/>
            <w:noWrap/>
            <w:vAlign w:val="center"/>
            <w:hideMark/>
          </w:tcPr>
          <w:p w14:paraId="3BC18626"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352,363,807</w:t>
            </w:r>
          </w:p>
        </w:tc>
      </w:tr>
      <w:tr w:rsidR="00117702" w:rsidRPr="00117702" w14:paraId="2551C1E5"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738FE133"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110</w:t>
            </w:r>
          </w:p>
        </w:tc>
        <w:tc>
          <w:tcPr>
            <w:tcW w:w="900" w:type="dxa"/>
            <w:tcBorders>
              <w:top w:val="nil"/>
              <w:left w:val="nil"/>
              <w:bottom w:val="single" w:sz="4" w:space="0" w:color="auto"/>
              <w:right w:val="single" w:sz="4" w:space="0" w:color="auto"/>
            </w:tcBorders>
            <w:shd w:val="clear" w:color="auto" w:fill="auto"/>
            <w:noWrap/>
            <w:vAlign w:val="center"/>
            <w:hideMark/>
          </w:tcPr>
          <w:p w14:paraId="71BF63FA"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900214588</w:t>
            </w:r>
          </w:p>
        </w:tc>
        <w:tc>
          <w:tcPr>
            <w:tcW w:w="3660" w:type="dxa"/>
            <w:tcBorders>
              <w:top w:val="nil"/>
              <w:left w:val="nil"/>
              <w:bottom w:val="single" w:sz="4" w:space="0" w:color="auto"/>
              <w:right w:val="single" w:sz="4" w:space="0" w:color="auto"/>
            </w:tcBorders>
            <w:shd w:val="clear" w:color="auto" w:fill="auto"/>
            <w:vAlign w:val="center"/>
            <w:hideMark/>
          </w:tcPr>
          <w:p w14:paraId="566B50CD"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ESPACIO PRODUCTIVO SAS ESP</w:t>
            </w:r>
          </w:p>
        </w:tc>
        <w:tc>
          <w:tcPr>
            <w:tcW w:w="800" w:type="dxa"/>
            <w:tcBorders>
              <w:top w:val="nil"/>
              <w:left w:val="nil"/>
              <w:bottom w:val="single" w:sz="4" w:space="0" w:color="auto"/>
              <w:right w:val="single" w:sz="4" w:space="0" w:color="auto"/>
            </w:tcBorders>
            <w:shd w:val="clear" w:color="auto" w:fill="auto"/>
            <w:noWrap/>
            <w:vAlign w:val="center"/>
            <w:hideMark/>
          </w:tcPr>
          <w:p w14:paraId="6E07A05C"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Energia</w:t>
            </w:r>
          </w:p>
        </w:tc>
        <w:tc>
          <w:tcPr>
            <w:tcW w:w="1660" w:type="dxa"/>
            <w:tcBorders>
              <w:top w:val="nil"/>
              <w:left w:val="nil"/>
              <w:bottom w:val="single" w:sz="4" w:space="0" w:color="auto"/>
              <w:right w:val="single" w:sz="4" w:space="0" w:color="auto"/>
            </w:tcBorders>
            <w:shd w:val="clear" w:color="auto" w:fill="auto"/>
            <w:noWrap/>
            <w:vAlign w:val="center"/>
            <w:hideMark/>
          </w:tcPr>
          <w:p w14:paraId="359FEC19"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48,382,138,000</w:t>
            </w:r>
          </w:p>
        </w:tc>
        <w:tc>
          <w:tcPr>
            <w:tcW w:w="1720" w:type="dxa"/>
            <w:tcBorders>
              <w:top w:val="nil"/>
              <w:left w:val="nil"/>
              <w:bottom w:val="single" w:sz="4" w:space="0" w:color="auto"/>
              <w:right w:val="single" w:sz="4" w:space="0" w:color="auto"/>
            </w:tcBorders>
            <w:shd w:val="clear" w:color="auto" w:fill="auto"/>
            <w:noWrap/>
            <w:vAlign w:val="center"/>
            <w:hideMark/>
          </w:tcPr>
          <w:p w14:paraId="53314C87"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3,386,148,000</w:t>
            </w:r>
          </w:p>
        </w:tc>
      </w:tr>
      <w:tr w:rsidR="00117702" w:rsidRPr="00117702" w14:paraId="511FC37D"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4C88226A"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111</w:t>
            </w:r>
          </w:p>
        </w:tc>
        <w:tc>
          <w:tcPr>
            <w:tcW w:w="900" w:type="dxa"/>
            <w:tcBorders>
              <w:top w:val="nil"/>
              <w:left w:val="nil"/>
              <w:bottom w:val="single" w:sz="4" w:space="0" w:color="auto"/>
              <w:right w:val="single" w:sz="4" w:space="0" w:color="auto"/>
            </w:tcBorders>
            <w:shd w:val="clear" w:color="auto" w:fill="auto"/>
            <w:noWrap/>
            <w:vAlign w:val="center"/>
            <w:hideMark/>
          </w:tcPr>
          <w:p w14:paraId="1D9D2D81"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804014885</w:t>
            </w:r>
          </w:p>
        </w:tc>
        <w:tc>
          <w:tcPr>
            <w:tcW w:w="3660" w:type="dxa"/>
            <w:tcBorders>
              <w:top w:val="nil"/>
              <w:left w:val="nil"/>
              <w:bottom w:val="single" w:sz="4" w:space="0" w:color="auto"/>
              <w:right w:val="single" w:sz="4" w:space="0" w:color="auto"/>
            </w:tcBorders>
            <w:shd w:val="clear" w:color="auto" w:fill="auto"/>
            <w:vAlign w:val="center"/>
            <w:hideMark/>
          </w:tcPr>
          <w:p w14:paraId="31E75E0B"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ESPIGAS S.A. E.S.P.</w:t>
            </w:r>
          </w:p>
        </w:tc>
        <w:tc>
          <w:tcPr>
            <w:tcW w:w="800" w:type="dxa"/>
            <w:tcBorders>
              <w:top w:val="nil"/>
              <w:left w:val="nil"/>
              <w:bottom w:val="single" w:sz="4" w:space="0" w:color="auto"/>
              <w:right w:val="single" w:sz="4" w:space="0" w:color="auto"/>
            </w:tcBorders>
            <w:shd w:val="clear" w:color="auto" w:fill="auto"/>
            <w:noWrap/>
            <w:vAlign w:val="center"/>
            <w:hideMark/>
          </w:tcPr>
          <w:p w14:paraId="140F9DF8"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GasNatural</w:t>
            </w:r>
          </w:p>
        </w:tc>
        <w:tc>
          <w:tcPr>
            <w:tcW w:w="1660" w:type="dxa"/>
            <w:tcBorders>
              <w:top w:val="nil"/>
              <w:left w:val="nil"/>
              <w:bottom w:val="single" w:sz="4" w:space="0" w:color="auto"/>
              <w:right w:val="single" w:sz="4" w:space="0" w:color="auto"/>
            </w:tcBorders>
            <w:shd w:val="clear" w:color="auto" w:fill="auto"/>
            <w:noWrap/>
            <w:vAlign w:val="center"/>
            <w:hideMark/>
          </w:tcPr>
          <w:p w14:paraId="362C01FF"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1,726,156,996</w:t>
            </w:r>
          </w:p>
        </w:tc>
        <w:tc>
          <w:tcPr>
            <w:tcW w:w="1720" w:type="dxa"/>
            <w:tcBorders>
              <w:top w:val="nil"/>
              <w:left w:val="nil"/>
              <w:bottom w:val="single" w:sz="4" w:space="0" w:color="auto"/>
              <w:right w:val="single" w:sz="4" w:space="0" w:color="auto"/>
            </w:tcBorders>
            <w:shd w:val="clear" w:color="auto" w:fill="auto"/>
            <w:noWrap/>
            <w:vAlign w:val="center"/>
            <w:hideMark/>
          </w:tcPr>
          <w:p w14:paraId="51555160"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191,722,422</w:t>
            </w:r>
          </w:p>
        </w:tc>
      </w:tr>
      <w:tr w:rsidR="00117702" w:rsidRPr="00117702" w14:paraId="4E78EFF7" w14:textId="77777777" w:rsidTr="00117702">
        <w:trPr>
          <w:trHeight w:val="46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4A9B76AA"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112</w:t>
            </w:r>
          </w:p>
        </w:tc>
        <w:tc>
          <w:tcPr>
            <w:tcW w:w="900" w:type="dxa"/>
            <w:tcBorders>
              <w:top w:val="nil"/>
              <w:left w:val="nil"/>
              <w:bottom w:val="single" w:sz="4" w:space="0" w:color="auto"/>
              <w:right w:val="single" w:sz="4" w:space="0" w:color="auto"/>
            </w:tcBorders>
            <w:shd w:val="clear" w:color="auto" w:fill="auto"/>
            <w:noWrap/>
            <w:vAlign w:val="center"/>
            <w:hideMark/>
          </w:tcPr>
          <w:p w14:paraId="492432F2"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830126302</w:t>
            </w:r>
          </w:p>
        </w:tc>
        <w:tc>
          <w:tcPr>
            <w:tcW w:w="3660" w:type="dxa"/>
            <w:tcBorders>
              <w:top w:val="nil"/>
              <w:left w:val="nil"/>
              <w:bottom w:val="single" w:sz="4" w:space="0" w:color="auto"/>
              <w:right w:val="single" w:sz="4" w:space="0" w:color="auto"/>
            </w:tcBorders>
            <w:shd w:val="clear" w:color="auto" w:fill="auto"/>
            <w:vAlign w:val="center"/>
            <w:hideMark/>
          </w:tcPr>
          <w:p w14:paraId="0CC349EE"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FRONTERA ENERGY COLOMBIA CORP.,  SUCURSAL COLOMBIA</w:t>
            </w:r>
          </w:p>
        </w:tc>
        <w:tc>
          <w:tcPr>
            <w:tcW w:w="800" w:type="dxa"/>
            <w:tcBorders>
              <w:top w:val="nil"/>
              <w:left w:val="nil"/>
              <w:bottom w:val="single" w:sz="4" w:space="0" w:color="auto"/>
              <w:right w:val="single" w:sz="4" w:space="0" w:color="auto"/>
            </w:tcBorders>
            <w:shd w:val="clear" w:color="auto" w:fill="auto"/>
            <w:noWrap/>
            <w:vAlign w:val="center"/>
            <w:hideMark/>
          </w:tcPr>
          <w:p w14:paraId="3AF7E509"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GasNatural</w:t>
            </w:r>
          </w:p>
        </w:tc>
        <w:tc>
          <w:tcPr>
            <w:tcW w:w="1660" w:type="dxa"/>
            <w:tcBorders>
              <w:top w:val="nil"/>
              <w:left w:val="nil"/>
              <w:bottom w:val="single" w:sz="4" w:space="0" w:color="auto"/>
              <w:right w:val="single" w:sz="4" w:space="0" w:color="auto"/>
            </w:tcBorders>
            <w:shd w:val="clear" w:color="auto" w:fill="auto"/>
            <w:noWrap/>
            <w:vAlign w:val="center"/>
            <w:hideMark/>
          </w:tcPr>
          <w:p w14:paraId="531A5F3D"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44,956,334,028</w:t>
            </w:r>
          </w:p>
        </w:tc>
        <w:tc>
          <w:tcPr>
            <w:tcW w:w="1720" w:type="dxa"/>
            <w:tcBorders>
              <w:top w:val="nil"/>
              <w:left w:val="nil"/>
              <w:bottom w:val="single" w:sz="4" w:space="0" w:color="auto"/>
              <w:right w:val="single" w:sz="4" w:space="0" w:color="auto"/>
            </w:tcBorders>
            <w:shd w:val="clear" w:color="auto" w:fill="auto"/>
            <w:noWrap/>
            <w:vAlign w:val="center"/>
            <w:hideMark/>
          </w:tcPr>
          <w:p w14:paraId="35C48040"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74,224,813</w:t>
            </w:r>
          </w:p>
        </w:tc>
      </w:tr>
      <w:tr w:rsidR="00117702" w:rsidRPr="00117702" w14:paraId="70D6EB71" w14:textId="77777777" w:rsidTr="00117702">
        <w:trPr>
          <w:trHeight w:val="46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109AB2F8"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113</w:t>
            </w:r>
          </w:p>
        </w:tc>
        <w:tc>
          <w:tcPr>
            <w:tcW w:w="900" w:type="dxa"/>
            <w:tcBorders>
              <w:top w:val="nil"/>
              <w:left w:val="nil"/>
              <w:bottom w:val="single" w:sz="4" w:space="0" w:color="auto"/>
              <w:right w:val="single" w:sz="4" w:space="0" w:color="auto"/>
            </w:tcBorders>
            <w:shd w:val="clear" w:color="auto" w:fill="auto"/>
            <w:noWrap/>
            <w:vAlign w:val="center"/>
            <w:hideMark/>
          </w:tcPr>
          <w:p w14:paraId="19D09E93"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900409371</w:t>
            </w:r>
          </w:p>
        </w:tc>
        <w:tc>
          <w:tcPr>
            <w:tcW w:w="3660" w:type="dxa"/>
            <w:tcBorders>
              <w:top w:val="nil"/>
              <w:left w:val="nil"/>
              <w:bottom w:val="single" w:sz="4" w:space="0" w:color="auto"/>
              <w:right w:val="single" w:sz="4" w:space="0" w:color="auto"/>
            </w:tcBorders>
            <w:shd w:val="clear" w:color="auto" w:fill="auto"/>
            <w:vAlign w:val="center"/>
            <w:hideMark/>
          </w:tcPr>
          <w:p w14:paraId="73603601"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FUENTES DE ENERGÍAS RENOVABLES S.A.S. ESP</w:t>
            </w:r>
          </w:p>
        </w:tc>
        <w:tc>
          <w:tcPr>
            <w:tcW w:w="800" w:type="dxa"/>
            <w:tcBorders>
              <w:top w:val="nil"/>
              <w:left w:val="nil"/>
              <w:bottom w:val="single" w:sz="4" w:space="0" w:color="auto"/>
              <w:right w:val="single" w:sz="4" w:space="0" w:color="auto"/>
            </w:tcBorders>
            <w:shd w:val="clear" w:color="auto" w:fill="auto"/>
            <w:noWrap/>
            <w:vAlign w:val="center"/>
            <w:hideMark/>
          </w:tcPr>
          <w:p w14:paraId="4D04C4F1"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Energia</w:t>
            </w:r>
          </w:p>
        </w:tc>
        <w:tc>
          <w:tcPr>
            <w:tcW w:w="1660" w:type="dxa"/>
            <w:tcBorders>
              <w:top w:val="nil"/>
              <w:left w:val="nil"/>
              <w:bottom w:val="single" w:sz="4" w:space="0" w:color="auto"/>
              <w:right w:val="single" w:sz="4" w:space="0" w:color="auto"/>
            </w:tcBorders>
            <w:shd w:val="clear" w:color="auto" w:fill="auto"/>
            <w:noWrap/>
            <w:vAlign w:val="center"/>
            <w:hideMark/>
          </w:tcPr>
          <w:p w14:paraId="4B041FB3"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1,902,108,000</w:t>
            </w:r>
          </w:p>
        </w:tc>
        <w:tc>
          <w:tcPr>
            <w:tcW w:w="1720" w:type="dxa"/>
            <w:tcBorders>
              <w:top w:val="nil"/>
              <w:left w:val="nil"/>
              <w:bottom w:val="single" w:sz="4" w:space="0" w:color="auto"/>
              <w:right w:val="single" w:sz="4" w:space="0" w:color="auto"/>
            </w:tcBorders>
            <w:shd w:val="clear" w:color="auto" w:fill="auto"/>
            <w:noWrap/>
            <w:vAlign w:val="center"/>
            <w:hideMark/>
          </w:tcPr>
          <w:p w14:paraId="7841012C"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2,269,517,000</w:t>
            </w:r>
          </w:p>
        </w:tc>
      </w:tr>
      <w:tr w:rsidR="00117702" w:rsidRPr="00117702" w14:paraId="48392735"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00135500"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114</w:t>
            </w:r>
          </w:p>
        </w:tc>
        <w:tc>
          <w:tcPr>
            <w:tcW w:w="900" w:type="dxa"/>
            <w:tcBorders>
              <w:top w:val="nil"/>
              <w:left w:val="nil"/>
              <w:bottom w:val="single" w:sz="4" w:space="0" w:color="auto"/>
              <w:right w:val="single" w:sz="4" w:space="0" w:color="auto"/>
            </w:tcBorders>
            <w:shd w:val="clear" w:color="auto" w:fill="auto"/>
            <w:noWrap/>
            <w:vAlign w:val="center"/>
            <w:hideMark/>
          </w:tcPr>
          <w:p w14:paraId="00B099BA"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900542835</w:t>
            </w:r>
          </w:p>
        </w:tc>
        <w:tc>
          <w:tcPr>
            <w:tcW w:w="3660" w:type="dxa"/>
            <w:tcBorders>
              <w:top w:val="nil"/>
              <w:left w:val="nil"/>
              <w:bottom w:val="single" w:sz="4" w:space="0" w:color="auto"/>
              <w:right w:val="single" w:sz="4" w:space="0" w:color="auto"/>
            </w:tcBorders>
            <w:shd w:val="clear" w:color="auto" w:fill="auto"/>
            <w:vAlign w:val="center"/>
            <w:hideMark/>
          </w:tcPr>
          <w:p w14:paraId="120614F2"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G8 PROYECTOS ENERGETICOS SAS ESP</w:t>
            </w:r>
          </w:p>
        </w:tc>
        <w:tc>
          <w:tcPr>
            <w:tcW w:w="800" w:type="dxa"/>
            <w:tcBorders>
              <w:top w:val="nil"/>
              <w:left w:val="nil"/>
              <w:bottom w:val="single" w:sz="4" w:space="0" w:color="auto"/>
              <w:right w:val="single" w:sz="4" w:space="0" w:color="auto"/>
            </w:tcBorders>
            <w:shd w:val="clear" w:color="auto" w:fill="auto"/>
            <w:noWrap/>
            <w:vAlign w:val="center"/>
            <w:hideMark/>
          </w:tcPr>
          <w:p w14:paraId="0E5E34AB"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GasNatural</w:t>
            </w:r>
          </w:p>
        </w:tc>
        <w:tc>
          <w:tcPr>
            <w:tcW w:w="1660" w:type="dxa"/>
            <w:tcBorders>
              <w:top w:val="nil"/>
              <w:left w:val="nil"/>
              <w:bottom w:val="single" w:sz="4" w:space="0" w:color="auto"/>
              <w:right w:val="single" w:sz="4" w:space="0" w:color="auto"/>
            </w:tcBorders>
            <w:shd w:val="clear" w:color="auto" w:fill="auto"/>
            <w:noWrap/>
            <w:vAlign w:val="center"/>
            <w:hideMark/>
          </w:tcPr>
          <w:p w14:paraId="4F173ADB"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3,103,751,241</w:t>
            </w:r>
          </w:p>
        </w:tc>
        <w:tc>
          <w:tcPr>
            <w:tcW w:w="1720" w:type="dxa"/>
            <w:tcBorders>
              <w:top w:val="nil"/>
              <w:left w:val="nil"/>
              <w:bottom w:val="single" w:sz="4" w:space="0" w:color="auto"/>
              <w:right w:val="single" w:sz="4" w:space="0" w:color="auto"/>
            </w:tcBorders>
            <w:shd w:val="clear" w:color="auto" w:fill="auto"/>
            <w:noWrap/>
            <w:vAlign w:val="center"/>
            <w:hideMark/>
          </w:tcPr>
          <w:p w14:paraId="4939C4A1"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210,707,340</w:t>
            </w:r>
          </w:p>
        </w:tc>
      </w:tr>
      <w:tr w:rsidR="00117702" w:rsidRPr="00117702" w14:paraId="2F1E9A79"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53A20A79"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115</w:t>
            </w:r>
          </w:p>
        </w:tc>
        <w:tc>
          <w:tcPr>
            <w:tcW w:w="900" w:type="dxa"/>
            <w:tcBorders>
              <w:top w:val="nil"/>
              <w:left w:val="nil"/>
              <w:bottom w:val="single" w:sz="4" w:space="0" w:color="auto"/>
              <w:right w:val="single" w:sz="4" w:space="0" w:color="auto"/>
            </w:tcBorders>
            <w:shd w:val="clear" w:color="auto" w:fill="auto"/>
            <w:noWrap/>
            <w:vAlign w:val="center"/>
            <w:hideMark/>
          </w:tcPr>
          <w:p w14:paraId="0A78A538"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828000499</w:t>
            </w:r>
          </w:p>
        </w:tc>
        <w:tc>
          <w:tcPr>
            <w:tcW w:w="3660" w:type="dxa"/>
            <w:tcBorders>
              <w:top w:val="nil"/>
              <w:left w:val="nil"/>
              <w:bottom w:val="single" w:sz="4" w:space="0" w:color="auto"/>
              <w:right w:val="single" w:sz="4" w:space="0" w:color="auto"/>
            </w:tcBorders>
            <w:shd w:val="clear" w:color="auto" w:fill="auto"/>
            <w:vAlign w:val="center"/>
            <w:hideMark/>
          </w:tcPr>
          <w:p w14:paraId="5166FFFA"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GAS CAQUETA S.A  E.S.P</w:t>
            </w:r>
          </w:p>
        </w:tc>
        <w:tc>
          <w:tcPr>
            <w:tcW w:w="800" w:type="dxa"/>
            <w:tcBorders>
              <w:top w:val="nil"/>
              <w:left w:val="nil"/>
              <w:bottom w:val="single" w:sz="4" w:space="0" w:color="auto"/>
              <w:right w:val="single" w:sz="4" w:space="0" w:color="auto"/>
            </w:tcBorders>
            <w:shd w:val="clear" w:color="auto" w:fill="auto"/>
            <w:noWrap/>
            <w:vAlign w:val="center"/>
            <w:hideMark/>
          </w:tcPr>
          <w:p w14:paraId="77770138"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GLP</w:t>
            </w:r>
          </w:p>
        </w:tc>
        <w:tc>
          <w:tcPr>
            <w:tcW w:w="1660" w:type="dxa"/>
            <w:tcBorders>
              <w:top w:val="nil"/>
              <w:left w:val="nil"/>
              <w:bottom w:val="single" w:sz="4" w:space="0" w:color="auto"/>
              <w:right w:val="single" w:sz="4" w:space="0" w:color="auto"/>
            </w:tcBorders>
            <w:shd w:val="clear" w:color="auto" w:fill="auto"/>
            <w:noWrap/>
            <w:vAlign w:val="center"/>
            <w:hideMark/>
          </w:tcPr>
          <w:p w14:paraId="2B76B4A9"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11,816,761,661</w:t>
            </w:r>
          </w:p>
        </w:tc>
        <w:tc>
          <w:tcPr>
            <w:tcW w:w="1720" w:type="dxa"/>
            <w:tcBorders>
              <w:top w:val="nil"/>
              <w:left w:val="nil"/>
              <w:bottom w:val="single" w:sz="4" w:space="0" w:color="auto"/>
              <w:right w:val="single" w:sz="4" w:space="0" w:color="auto"/>
            </w:tcBorders>
            <w:shd w:val="clear" w:color="auto" w:fill="auto"/>
            <w:noWrap/>
            <w:vAlign w:val="center"/>
            <w:hideMark/>
          </w:tcPr>
          <w:p w14:paraId="03FD7FDB"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4,558,547,234</w:t>
            </w:r>
          </w:p>
        </w:tc>
      </w:tr>
      <w:tr w:rsidR="00117702" w:rsidRPr="00117702" w14:paraId="10B97A11"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4418EA59"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116</w:t>
            </w:r>
          </w:p>
        </w:tc>
        <w:tc>
          <w:tcPr>
            <w:tcW w:w="900" w:type="dxa"/>
            <w:tcBorders>
              <w:top w:val="nil"/>
              <w:left w:val="nil"/>
              <w:bottom w:val="single" w:sz="4" w:space="0" w:color="auto"/>
              <w:right w:val="single" w:sz="4" w:space="0" w:color="auto"/>
            </w:tcBorders>
            <w:shd w:val="clear" w:color="auto" w:fill="auto"/>
            <w:noWrap/>
            <w:vAlign w:val="center"/>
            <w:hideMark/>
          </w:tcPr>
          <w:p w14:paraId="0AE342BC"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800150534</w:t>
            </w:r>
          </w:p>
        </w:tc>
        <w:tc>
          <w:tcPr>
            <w:tcW w:w="3660" w:type="dxa"/>
            <w:tcBorders>
              <w:top w:val="nil"/>
              <w:left w:val="nil"/>
              <w:bottom w:val="single" w:sz="4" w:space="0" w:color="auto"/>
              <w:right w:val="single" w:sz="4" w:space="0" w:color="auto"/>
            </w:tcBorders>
            <w:shd w:val="clear" w:color="auto" w:fill="auto"/>
            <w:vAlign w:val="center"/>
            <w:hideMark/>
          </w:tcPr>
          <w:p w14:paraId="4B83D713"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GAS EL SOL S.A. E.S.P.</w:t>
            </w:r>
          </w:p>
        </w:tc>
        <w:tc>
          <w:tcPr>
            <w:tcW w:w="800" w:type="dxa"/>
            <w:tcBorders>
              <w:top w:val="nil"/>
              <w:left w:val="nil"/>
              <w:bottom w:val="single" w:sz="4" w:space="0" w:color="auto"/>
              <w:right w:val="single" w:sz="4" w:space="0" w:color="auto"/>
            </w:tcBorders>
            <w:shd w:val="clear" w:color="auto" w:fill="auto"/>
            <w:noWrap/>
            <w:vAlign w:val="center"/>
            <w:hideMark/>
          </w:tcPr>
          <w:p w14:paraId="1BDED743"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GLP</w:t>
            </w:r>
          </w:p>
        </w:tc>
        <w:tc>
          <w:tcPr>
            <w:tcW w:w="1660" w:type="dxa"/>
            <w:tcBorders>
              <w:top w:val="nil"/>
              <w:left w:val="nil"/>
              <w:bottom w:val="single" w:sz="4" w:space="0" w:color="auto"/>
              <w:right w:val="single" w:sz="4" w:space="0" w:color="auto"/>
            </w:tcBorders>
            <w:shd w:val="clear" w:color="auto" w:fill="auto"/>
            <w:noWrap/>
            <w:vAlign w:val="center"/>
            <w:hideMark/>
          </w:tcPr>
          <w:p w14:paraId="4EF4D345"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1,048,841,000</w:t>
            </w:r>
          </w:p>
        </w:tc>
        <w:tc>
          <w:tcPr>
            <w:tcW w:w="1720" w:type="dxa"/>
            <w:tcBorders>
              <w:top w:val="nil"/>
              <w:left w:val="nil"/>
              <w:bottom w:val="single" w:sz="4" w:space="0" w:color="auto"/>
              <w:right w:val="single" w:sz="4" w:space="0" w:color="auto"/>
            </w:tcBorders>
            <w:shd w:val="clear" w:color="auto" w:fill="auto"/>
            <w:noWrap/>
            <w:vAlign w:val="center"/>
            <w:hideMark/>
          </w:tcPr>
          <w:p w14:paraId="2159E52C"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168,469,783</w:t>
            </w:r>
          </w:p>
        </w:tc>
      </w:tr>
      <w:tr w:rsidR="00117702" w:rsidRPr="00117702" w14:paraId="359FEF4A"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368C90AE"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117</w:t>
            </w:r>
          </w:p>
        </w:tc>
        <w:tc>
          <w:tcPr>
            <w:tcW w:w="900" w:type="dxa"/>
            <w:tcBorders>
              <w:top w:val="nil"/>
              <w:left w:val="nil"/>
              <w:bottom w:val="single" w:sz="4" w:space="0" w:color="auto"/>
              <w:right w:val="single" w:sz="4" w:space="0" w:color="auto"/>
            </w:tcBorders>
            <w:shd w:val="clear" w:color="auto" w:fill="auto"/>
            <w:noWrap/>
            <w:vAlign w:val="center"/>
            <w:hideMark/>
          </w:tcPr>
          <w:p w14:paraId="49972705"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800136258</w:t>
            </w:r>
          </w:p>
        </w:tc>
        <w:tc>
          <w:tcPr>
            <w:tcW w:w="3660" w:type="dxa"/>
            <w:tcBorders>
              <w:top w:val="nil"/>
              <w:left w:val="nil"/>
              <w:bottom w:val="single" w:sz="4" w:space="0" w:color="auto"/>
              <w:right w:val="single" w:sz="4" w:space="0" w:color="auto"/>
            </w:tcBorders>
            <w:shd w:val="clear" w:color="auto" w:fill="auto"/>
            <w:vAlign w:val="center"/>
            <w:hideMark/>
          </w:tcPr>
          <w:p w14:paraId="46C0D36B"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GAS GUAVIARE S.A. E.S.P.</w:t>
            </w:r>
          </w:p>
        </w:tc>
        <w:tc>
          <w:tcPr>
            <w:tcW w:w="800" w:type="dxa"/>
            <w:tcBorders>
              <w:top w:val="nil"/>
              <w:left w:val="nil"/>
              <w:bottom w:val="single" w:sz="4" w:space="0" w:color="auto"/>
              <w:right w:val="single" w:sz="4" w:space="0" w:color="auto"/>
            </w:tcBorders>
            <w:shd w:val="clear" w:color="auto" w:fill="auto"/>
            <w:noWrap/>
            <w:vAlign w:val="center"/>
            <w:hideMark/>
          </w:tcPr>
          <w:p w14:paraId="6E7B7939"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GLP</w:t>
            </w:r>
          </w:p>
        </w:tc>
        <w:tc>
          <w:tcPr>
            <w:tcW w:w="1660" w:type="dxa"/>
            <w:tcBorders>
              <w:top w:val="nil"/>
              <w:left w:val="nil"/>
              <w:bottom w:val="single" w:sz="4" w:space="0" w:color="auto"/>
              <w:right w:val="single" w:sz="4" w:space="0" w:color="auto"/>
            </w:tcBorders>
            <w:shd w:val="clear" w:color="auto" w:fill="auto"/>
            <w:noWrap/>
            <w:vAlign w:val="center"/>
            <w:hideMark/>
          </w:tcPr>
          <w:p w14:paraId="11E6793E"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4,608,536,000</w:t>
            </w:r>
          </w:p>
        </w:tc>
        <w:tc>
          <w:tcPr>
            <w:tcW w:w="1720" w:type="dxa"/>
            <w:tcBorders>
              <w:top w:val="nil"/>
              <w:left w:val="nil"/>
              <w:bottom w:val="single" w:sz="4" w:space="0" w:color="auto"/>
              <w:right w:val="single" w:sz="4" w:space="0" w:color="auto"/>
            </w:tcBorders>
            <w:shd w:val="clear" w:color="auto" w:fill="auto"/>
            <w:noWrap/>
            <w:vAlign w:val="center"/>
            <w:hideMark/>
          </w:tcPr>
          <w:p w14:paraId="51C60AFA"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2,349,230,000</w:t>
            </w:r>
          </w:p>
        </w:tc>
      </w:tr>
      <w:tr w:rsidR="00117702" w:rsidRPr="00117702" w14:paraId="52FC26EE"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53ABB4E3"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118</w:t>
            </w:r>
          </w:p>
        </w:tc>
        <w:tc>
          <w:tcPr>
            <w:tcW w:w="900" w:type="dxa"/>
            <w:tcBorders>
              <w:top w:val="nil"/>
              <w:left w:val="nil"/>
              <w:bottom w:val="single" w:sz="4" w:space="0" w:color="auto"/>
              <w:right w:val="single" w:sz="4" w:space="0" w:color="auto"/>
            </w:tcBorders>
            <w:shd w:val="clear" w:color="auto" w:fill="auto"/>
            <w:noWrap/>
            <w:vAlign w:val="center"/>
            <w:hideMark/>
          </w:tcPr>
          <w:p w14:paraId="7D473B7B"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830045472</w:t>
            </w:r>
          </w:p>
        </w:tc>
        <w:tc>
          <w:tcPr>
            <w:tcW w:w="3660" w:type="dxa"/>
            <w:tcBorders>
              <w:top w:val="nil"/>
              <w:left w:val="nil"/>
              <w:bottom w:val="single" w:sz="4" w:space="0" w:color="auto"/>
              <w:right w:val="single" w:sz="4" w:space="0" w:color="auto"/>
            </w:tcBorders>
            <w:shd w:val="clear" w:color="auto" w:fill="auto"/>
            <w:vAlign w:val="center"/>
            <w:hideMark/>
          </w:tcPr>
          <w:p w14:paraId="30C1E7C7"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GAS NATURAL CUNDIBOYACENSE SA ESP</w:t>
            </w:r>
          </w:p>
        </w:tc>
        <w:tc>
          <w:tcPr>
            <w:tcW w:w="800" w:type="dxa"/>
            <w:tcBorders>
              <w:top w:val="nil"/>
              <w:left w:val="nil"/>
              <w:bottom w:val="single" w:sz="4" w:space="0" w:color="auto"/>
              <w:right w:val="single" w:sz="4" w:space="0" w:color="auto"/>
            </w:tcBorders>
            <w:shd w:val="clear" w:color="auto" w:fill="auto"/>
            <w:noWrap/>
            <w:vAlign w:val="center"/>
            <w:hideMark/>
          </w:tcPr>
          <w:p w14:paraId="19E58E25"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GasNatural</w:t>
            </w:r>
          </w:p>
        </w:tc>
        <w:tc>
          <w:tcPr>
            <w:tcW w:w="1660" w:type="dxa"/>
            <w:tcBorders>
              <w:top w:val="nil"/>
              <w:left w:val="nil"/>
              <w:bottom w:val="single" w:sz="4" w:space="0" w:color="auto"/>
              <w:right w:val="single" w:sz="4" w:space="0" w:color="auto"/>
            </w:tcBorders>
            <w:shd w:val="clear" w:color="auto" w:fill="auto"/>
            <w:noWrap/>
            <w:vAlign w:val="center"/>
            <w:hideMark/>
          </w:tcPr>
          <w:p w14:paraId="168AD48C"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191,388,685,944</w:t>
            </w:r>
          </w:p>
        </w:tc>
        <w:tc>
          <w:tcPr>
            <w:tcW w:w="1720" w:type="dxa"/>
            <w:tcBorders>
              <w:top w:val="nil"/>
              <w:left w:val="nil"/>
              <w:bottom w:val="single" w:sz="4" w:space="0" w:color="auto"/>
              <w:right w:val="single" w:sz="4" w:space="0" w:color="auto"/>
            </w:tcBorders>
            <w:shd w:val="clear" w:color="auto" w:fill="auto"/>
            <w:noWrap/>
            <w:vAlign w:val="center"/>
            <w:hideMark/>
          </w:tcPr>
          <w:p w14:paraId="6708ADB0"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18,123,088,350</w:t>
            </w:r>
          </w:p>
        </w:tc>
      </w:tr>
      <w:tr w:rsidR="00117702" w:rsidRPr="00117702" w14:paraId="1461D50C" w14:textId="77777777" w:rsidTr="00117702">
        <w:trPr>
          <w:trHeight w:val="46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2E6E6B2D"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119</w:t>
            </w:r>
          </w:p>
        </w:tc>
        <w:tc>
          <w:tcPr>
            <w:tcW w:w="900" w:type="dxa"/>
            <w:tcBorders>
              <w:top w:val="nil"/>
              <w:left w:val="nil"/>
              <w:bottom w:val="single" w:sz="4" w:space="0" w:color="auto"/>
              <w:right w:val="single" w:sz="4" w:space="0" w:color="auto"/>
            </w:tcBorders>
            <w:shd w:val="clear" w:color="auto" w:fill="auto"/>
            <w:noWrap/>
            <w:vAlign w:val="center"/>
            <w:hideMark/>
          </w:tcPr>
          <w:p w14:paraId="5D127AB5"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804000551</w:t>
            </w:r>
          </w:p>
        </w:tc>
        <w:tc>
          <w:tcPr>
            <w:tcW w:w="3660" w:type="dxa"/>
            <w:tcBorders>
              <w:top w:val="nil"/>
              <w:left w:val="nil"/>
              <w:bottom w:val="single" w:sz="4" w:space="0" w:color="auto"/>
              <w:right w:val="single" w:sz="4" w:space="0" w:color="auto"/>
            </w:tcBorders>
            <w:shd w:val="clear" w:color="auto" w:fill="auto"/>
            <w:vAlign w:val="center"/>
            <w:hideMark/>
          </w:tcPr>
          <w:p w14:paraId="28FA5808"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GAS NATURAL DEL CESAR S.A. EMPRESA DE SERVICIOS PUBLICOS</w:t>
            </w:r>
          </w:p>
        </w:tc>
        <w:tc>
          <w:tcPr>
            <w:tcW w:w="800" w:type="dxa"/>
            <w:tcBorders>
              <w:top w:val="nil"/>
              <w:left w:val="nil"/>
              <w:bottom w:val="single" w:sz="4" w:space="0" w:color="auto"/>
              <w:right w:val="single" w:sz="4" w:space="0" w:color="auto"/>
            </w:tcBorders>
            <w:shd w:val="clear" w:color="auto" w:fill="auto"/>
            <w:noWrap/>
            <w:vAlign w:val="center"/>
            <w:hideMark/>
          </w:tcPr>
          <w:p w14:paraId="2710026D"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GasNatural</w:t>
            </w:r>
          </w:p>
        </w:tc>
        <w:tc>
          <w:tcPr>
            <w:tcW w:w="1660" w:type="dxa"/>
            <w:tcBorders>
              <w:top w:val="nil"/>
              <w:left w:val="nil"/>
              <w:bottom w:val="single" w:sz="4" w:space="0" w:color="auto"/>
              <w:right w:val="single" w:sz="4" w:space="0" w:color="auto"/>
            </w:tcBorders>
            <w:shd w:val="clear" w:color="auto" w:fill="auto"/>
            <w:noWrap/>
            <w:vAlign w:val="center"/>
            <w:hideMark/>
          </w:tcPr>
          <w:p w14:paraId="2C39C912"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30,223,758,756</w:t>
            </w:r>
          </w:p>
        </w:tc>
        <w:tc>
          <w:tcPr>
            <w:tcW w:w="1720" w:type="dxa"/>
            <w:tcBorders>
              <w:top w:val="nil"/>
              <w:left w:val="nil"/>
              <w:bottom w:val="single" w:sz="4" w:space="0" w:color="auto"/>
              <w:right w:val="single" w:sz="4" w:space="0" w:color="auto"/>
            </w:tcBorders>
            <w:shd w:val="clear" w:color="auto" w:fill="auto"/>
            <w:noWrap/>
            <w:vAlign w:val="center"/>
            <w:hideMark/>
          </w:tcPr>
          <w:p w14:paraId="3FE3773A"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3,445,388,825</w:t>
            </w:r>
          </w:p>
        </w:tc>
      </w:tr>
      <w:tr w:rsidR="00117702" w:rsidRPr="00117702" w14:paraId="31E6C2FD"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0836F332"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120</w:t>
            </w:r>
          </w:p>
        </w:tc>
        <w:tc>
          <w:tcPr>
            <w:tcW w:w="900" w:type="dxa"/>
            <w:tcBorders>
              <w:top w:val="nil"/>
              <w:left w:val="nil"/>
              <w:bottom w:val="single" w:sz="4" w:space="0" w:color="auto"/>
              <w:right w:val="single" w:sz="4" w:space="0" w:color="auto"/>
            </w:tcBorders>
            <w:shd w:val="clear" w:color="auto" w:fill="auto"/>
            <w:noWrap/>
            <w:vAlign w:val="center"/>
            <w:hideMark/>
          </w:tcPr>
          <w:p w14:paraId="3F1C83BB"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890205952</w:t>
            </w:r>
          </w:p>
        </w:tc>
        <w:tc>
          <w:tcPr>
            <w:tcW w:w="3660" w:type="dxa"/>
            <w:tcBorders>
              <w:top w:val="nil"/>
              <w:left w:val="nil"/>
              <w:bottom w:val="single" w:sz="4" w:space="0" w:color="auto"/>
              <w:right w:val="single" w:sz="4" w:space="0" w:color="auto"/>
            </w:tcBorders>
            <w:shd w:val="clear" w:color="auto" w:fill="auto"/>
            <w:vAlign w:val="center"/>
            <w:hideMark/>
          </w:tcPr>
          <w:p w14:paraId="43F66A1C"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GAS NATURAL DEL ORIENTE SA ESP</w:t>
            </w:r>
          </w:p>
        </w:tc>
        <w:tc>
          <w:tcPr>
            <w:tcW w:w="800" w:type="dxa"/>
            <w:tcBorders>
              <w:top w:val="nil"/>
              <w:left w:val="nil"/>
              <w:bottom w:val="single" w:sz="4" w:space="0" w:color="auto"/>
              <w:right w:val="single" w:sz="4" w:space="0" w:color="auto"/>
            </w:tcBorders>
            <w:shd w:val="clear" w:color="auto" w:fill="auto"/>
            <w:noWrap/>
            <w:vAlign w:val="center"/>
            <w:hideMark/>
          </w:tcPr>
          <w:p w14:paraId="5F519175"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GasNatural</w:t>
            </w:r>
          </w:p>
        </w:tc>
        <w:tc>
          <w:tcPr>
            <w:tcW w:w="1660" w:type="dxa"/>
            <w:tcBorders>
              <w:top w:val="nil"/>
              <w:left w:val="nil"/>
              <w:bottom w:val="single" w:sz="4" w:space="0" w:color="auto"/>
              <w:right w:val="single" w:sz="4" w:space="0" w:color="auto"/>
            </w:tcBorders>
            <w:shd w:val="clear" w:color="auto" w:fill="auto"/>
            <w:noWrap/>
            <w:vAlign w:val="center"/>
            <w:hideMark/>
          </w:tcPr>
          <w:p w14:paraId="574614D0"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142,156,194,132</w:t>
            </w:r>
          </w:p>
        </w:tc>
        <w:tc>
          <w:tcPr>
            <w:tcW w:w="1720" w:type="dxa"/>
            <w:tcBorders>
              <w:top w:val="nil"/>
              <w:left w:val="nil"/>
              <w:bottom w:val="single" w:sz="4" w:space="0" w:color="auto"/>
              <w:right w:val="single" w:sz="4" w:space="0" w:color="auto"/>
            </w:tcBorders>
            <w:shd w:val="clear" w:color="auto" w:fill="auto"/>
            <w:noWrap/>
            <w:vAlign w:val="center"/>
            <w:hideMark/>
          </w:tcPr>
          <w:p w14:paraId="36994B33"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15,933,861,179</w:t>
            </w:r>
          </w:p>
        </w:tc>
      </w:tr>
      <w:tr w:rsidR="00117702" w:rsidRPr="00117702" w14:paraId="60E56159"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7CD3271E"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121</w:t>
            </w:r>
          </w:p>
        </w:tc>
        <w:tc>
          <w:tcPr>
            <w:tcW w:w="900" w:type="dxa"/>
            <w:tcBorders>
              <w:top w:val="nil"/>
              <w:left w:val="nil"/>
              <w:bottom w:val="single" w:sz="4" w:space="0" w:color="auto"/>
              <w:right w:val="single" w:sz="4" w:space="0" w:color="auto"/>
            </w:tcBorders>
            <w:shd w:val="clear" w:color="auto" w:fill="auto"/>
            <w:noWrap/>
            <w:vAlign w:val="center"/>
            <w:hideMark/>
          </w:tcPr>
          <w:p w14:paraId="4B90A77A"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800007813</w:t>
            </w:r>
          </w:p>
        </w:tc>
        <w:tc>
          <w:tcPr>
            <w:tcW w:w="3660" w:type="dxa"/>
            <w:tcBorders>
              <w:top w:val="nil"/>
              <w:left w:val="nil"/>
              <w:bottom w:val="single" w:sz="4" w:space="0" w:color="auto"/>
              <w:right w:val="single" w:sz="4" w:space="0" w:color="auto"/>
            </w:tcBorders>
            <w:shd w:val="clear" w:color="auto" w:fill="auto"/>
            <w:vAlign w:val="center"/>
            <w:hideMark/>
          </w:tcPr>
          <w:p w14:paraId="0775DDA6"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GAS NATURAL S.A. E.S..P</w:t>
            </w:r>
          </w:p>
        </w:tc>
        <w:tc>
          <w:tcPr>
            <w:tcW w:w="800" w:type="dxa"/>
            <w:tcBorders>
              <w:top w:val="nil"/>
              <w:left w:val="nil"/>
              <w:bottom w:val="single" w:sz="4" w:space="0" w:color="auto"/>
              <w:right w:val="single" w:sz="4" w:space="0" w:color="auto"/>
            </w:tcBorders>
            <w:shd w:val="clear" w:color="auto" w:fill="auto"/>
            <w:noWrap/>
            <w:vAlign w:val="center"/>
            <w:hideMark/>
          </w:tcPr>
          <w:p w14:paraId="4FC4D31D"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GasNatural</w:t>
            </w:r>
          </w:p>
        </w:tc>
        <w:tc>
          <w:tcPr>
            <w:tcW w:w="1660" w:type="dxa"/>
            <w:tcBorders>
              <w:top w:val="nil"/>
              <w:left w:val="nil"/>
              <w:bottom w:val="single" w:sz="4" w:space="0" w:color="auto"/>
              <w:right w:val="single" w:sz="4" w:space="0" w:color="auto"/>
            </w:tcBorders>
            <w:shd w:val="clear" w:color="auto" w:fill="auto"/>
            <w:noWrap/>
            <w:vAlign w:val="center"/>
            <w:hideMark/>
          </w:tcPr>
          <w:p w14:paraId="4CE3E703"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2,107,608,735,511</w:t>
            </w:r>
          </w:p>
        </w:tc>
        <w:tc>
          <w:tcPr>
            <w:tcW w:w="1720" w:type="dxa"/>
            <w:tcBorders>
              <w:top w:val="nil"/>
              <w:left w:val="nil"/>
              <w:bottom w:val="single" w:sz="4" w:space="0" w:color="auto"/>
              <w:right w:val="single" w:sz="4" w:space="0" w:color="auto"/>
            </w:tcBorders>
            <w:shd w:val="clear" w:color="auto" w:fill="auto"/>
            <w:noWrap/>
            <w:vAlign w:val="center"/>
            <w:hideMark/>
          </w:tcPr>
          <w:p w14:paraId="5E223202"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149,081,652,040</w:t>
            </w:r>
          </w:p>
        </w:tc>
      </w:tr>
      <w:tr w:rsidR="00117702" w:rsidRPr="00117702" w14:paraId="2E1A40F8"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5AD47F61"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122</w:t>
            </w:r>
          </w:p>
        </w:tc>
        <w:tc>
          <w:tcPr>
            <w:tcW w:w="900" w:type="dxa"/>
            <w:tcBorders>
              <w:top w:val="nil"/>
              <w:left w:val="nil"/>
              <w:bottom w:val="single" w:sz="4" w:space="0" w:color="auto"/>
              <w:right w:val="single" w:sz="4" w:space="0" w:color="auto"/>
            </w:tcBorders>
            <w:shd w:val="clear" w:color="auto" w:fill="auto"/>
            <w:noWrap/>
            <w:vAlign w:val="center"/>
            <w:hideMark/>
          </w:tcPr>
          <w:p w14:paraId="2527833B"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813002696</w:t>
            </w:r>
          </w:p>
        </w:tc>
        <w:tc>
          <w:tcPr>
            <w:tcW w:w="3660" w:type="dxa"/>
            <w:tcBorders>
              <w:top w:val="nil"/>
              <w:left w:val="nil"/>
              <w:bottom w:val="single" w:sz="4" w:space="0" w:color="auto"/>
              <w:right w:val="single" w:sz="4" w:space="0" w:color="auto"/>
            </w:tcBorders>
            <w:shd w:val="clear" w:color="auto" w:fill="auto"/>
            <w:vAlign w:val="center"/>
            <w:hideMark/>
          </w:tcPr>
          <w:p w14:paraId="77E243D9"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GAS NEIVA S.A. E.S.P</w:t>
            </w:r>
          </w:p>
        </w:tc>
        <w:tc>
          <w:tcPr>
            <w:tcW w:w="800" w:type="dxa"/>
            <w:tcBorders>
              <w:top w:val="nil"/>
              <w:left w:val="nil"/>
              <w:bottom w:val="single" w:sz="4" w:space="0" w:color="auto"/>
              <w:right w:val="single" w:sz="4" w:space="0" w:color="auto"/>
            </w:tcBorders>
            <w:shd w:val="clear" w:color="auto" w:fill="auto"/>
            <w:noWrap/>
            <w:vAlign w:val="center"/>
            <w:hideMark/>
          </w:tcPr>
          <w:p w14:paraId="3E51DEBB"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GLP</w:t>
            </w:r>
          </w:p>
        </w:tc>
        <w:tc>
          <w:tcPr>
            <w:tcW w:w="1660" w:type="dxa"/>
            <w:tcBorders>
              <w:top w:val="nil"/>
              <w:left w:val="nil"/>
              <w:bottom w:val="single" w:sz="4" w:space="0" w:color="auto"/>
              <w:right w:val="single" w:sz="4" w:space="0" w:color="auto"/>
            </w:tcBorders>
            <w:shd w:val="clear" w:color="auto" w:fill="auto"/>
            <w:noWrap/>
            <w:vAlign w:val="center"/>
            <w:hideMark/>
          </w:tcPr>
          <w:p w14:paraId="65DA925C"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16,055,123,000</w:t>
            </w:r>
          </w:p>
        </w:tc>
        <w:tc>
          <w:tcPr>
            <w:tcW w:w="1720" w:type="dxa"/>
            <w:tcBorders>
              <w:top w:val="nil"/>
              <w:left w:val="nil"/>
              <w:bottom w:val="single" w:sz="4" w:space="0" w:color="auto"/>
              <w:right w:val="single" w:sz="4" w:space="0" w:color="auto"/>
            </w:tcBorders>
            <w:shd w:val="clear" w:color="auto" w:fill="auto"/>
            <w:noWrap/>
            <w:vAlign w:val="center"/>
            <w:hideMark/>
          </w:tcPr>
          <w:p w14:paraId="0D2DB8E1"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6,223,450,431</w:t>
            </w:r>
          </w:p>
        </w:tc>
      </w:tr>
      <w:tr w:rsidR="00117702" w:rsidRPr="00117702" w14:paraId="5B7F664C"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403B2A88"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123</w:t>
            </w:r>
          </w:p>
        </w:tc>
        <w:tc>
          <w:tcPr>
            <w:tcW w:w="900" w:type="dxa"/>
            <w:tcBorders>
              <w:top w:val="nil"/>
              <w:left w:val="nil"/>
              <w:bottom w:val="single" w:sz="4" w:space="0" w:color="auto"/>
              <w:right w:val="single" w:sz="4" w:space="0" w:color="auto"/>
            </w:tcBorders>
            <w:shd w:val="clear" w:color="auto" w:fill="auto"/>
            <w:noWrap/>
            <w:vAlign w:val="center"/>
            <w:hideMark/>
          </w:tcPr>
          <w:p w14:paraId="38DB8557"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900771588</w:t>
            </w:r>
          </w:p>
        </w:tc>
        <w:tc>
          <w:tcPr>
            <w:tcW w:w="3660" w:type="dxa"/>
            <w:tcBorders>
              <w:top w:val="nil"/>
              <w:left w:val="nil"/>
              <w:bottom w:val="single" w:sz="4" w:space="0" w:color="auto"/>
              <w:right w:val="single" w:sz="4" w:space="0" w:color="auto"/>
            </w:tcBorders>
            <w:shd w:val="clear" w:color="auto" w:fill="auto"/>
            <w:vAlign w:val="center"/>
            <w:hideMark/>
          </w:tcPr>
          <w:p w14:paraId="58971D97"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GAS PAC S.A.S. ESP.</w:t>
            </w:r>
          </w:p>
        </w:tc>
        <w:tc>
          <w:tcPr>
            <w:tcW w:w="800" w:type="dxa"/>
            <w:tcBorders>
              <w:top w:val="nil"/>
              <w:left w:val="nil"/>
              <w:bottom w:val="single" w:sz="4" w:space="0" w:color="auto"/>
              <w:right w:val="single" w:sz="4" w:space="0" w:color="auto"/>
            </w:tcBorders>
            <w:shd w:val="clear" w:color="auto" w:fill="auto"/>
            <w:noWrap/>
            <w:vAlign w:val="center"/>
            <w:hideMark/>
          </w:tcPr>
          <w:p w14:paraId="38571288"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GLP</w:t>
            </w:r>
          </w:p>
        </w:tc>
        <w:tc>
          <w:tcPr>
            <w:tcW w:w="1660" w:type="dxa"/>
            <w:tcBorders>
              <w:top w:val="nil"/>
              <w:left w:val="nil"/>
              <w:bottom w:val="single" w:sz="4" w:space="0" w:color="auto"/>
              <w:right w:val="single" w:sz="4" w:space="0" w:color="auto"/>
            </w:tcBorders>
            <w:shd w:val="clear" w:color="auto" w:fill="auto"/>
            <w:noWrap/>
            <w:vAlign w:val="center"/>
            <w:hideMark/>
          </w:tcPr>
          <w:p w14:paraId="7F6EBBBA"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2,747,967,000</w:t>
            </w:r>
          </w:p>
        </w:tc>
        <w:tc>
          <w:tcPr>
            <w:tcW w:w="1720" w:type="dxa"/>
            <w:tcBorders>
              <w:top w:val="nil"/>
              <w:left w:val="nil"/>
              <w:bottom w:val="single" w:sz="4" w:space="0" w:color="auto"/>
              <w:right w:val="single" w:sz="4" w:space="0" w:color="auto"/>
            </w:tcBorders>
            <w:shd w:val="clear" w:color="auto" w:fill="auto"/>
            <w:noWrap/>
            <w:vAlign w:val="center"/>
            <w:hideMark/>
          </w:tcPr>
          <w:p w14:paraId="5624C3FB"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118,767,481</w:t>
            </w:r>
          </w:p>
        </w:tc>
      </w:tr>
      <w:tr w:rsidR="00117702" w:rsidRPr="00117702" w14:paraId="1D4C48FC"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418463F3"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124</w:t>
            </w:r>
          </w:p>
        </w:tc>
        <w:tc>
          <w:tcPr>
            <w:tcW w:w="900" w:type="dxa"/>
            <w:tcBorders>
              <w:top w:val="nil"/>
              <w:left w:val="nil"/>
              <w:bottom w:val="single" w:sz="4" w:space="0" w:color="auto"/>
              <w:right w:val="single" w:sz="4" w:space="0" w:color="auto"/>
            </w:tcBorders>
            <w:shd w:val="clear" w:color="auto" w:fill="auto"/>
            <w:noWrap/>
            <w:vAlign w:val="center"/>
            <w:hideMark/>
          </w:tcPr>
          <w:p w14:paraId="0EFB422A"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900701845</w:t>
            </w:r>
          </w:p>
        </w:tc>
        <w:tc>
          <w:tcPr>
            <w:tcW w:w="3660" w:type="dxa"/>
            <w:tcBorders>
              <w:top w:val="nil"/>
              <w:left w:val="nil"/>
              <w:bottom w:val="single" w:sz="4" w:space="0" w:color="auto"/>
              <w:right w:val="single" w:sz="4" w:space="0" w:color="auto"/>
            </w:tcBorders>
            <w:shd w:val="clear" w:color="auto" w:fill="auto"/>
            <w:vAlign w:val="center"/>
            <w:hideMark/>
          </w:tcPr>
          <w:p w14:paraId="5825F36A"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GAS PROPANO DE COLOMBIA S.A.S. E.S.P.</w:t>
            </w:r>
          </w:p>
        </w:tc>
        <w:tc>
          <w:tcPr>
            <w:tcW w:w="800" w:type="dxa"/>
            <w:tcBorders>
              <w:top w:val="nil"/>
              <w:left w:val="nil"/>
              <w:bottom w:val="single" w:sz="4" w:space="0" w:color="auto"/>
              <w:right w:val="single" w:sz="4" w:space="0" w:color="auto"/>
            </w:tcBorders>
            <w:shd w:val="clear" w:color="auto" w:fill="auto"/>
            <w:noWrap/>
            <w:vAlign w:val="center"/>
            <w:hideMark/>
          </w:tcPr>
          <w:p w14:paraId="42F7FF27"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GLP</w:t>
            </w:r>
          </w:p>
        </w:tc>
        <w:tc>
          <w:tcPr>
            <w:tcW w:w="1660" w:type="dxa"/>
            <w:tcBorders>
              <w:top w:val="nil"/>
              <w:left w:val="nil"/>
              <w:bottom w:val="single" w:sz="4" w:space="0" w:color="auto"/>
              <w:right w:val="single" w:sz="4" w:space="0" w:color="auto"/>
            </w:tcBorders>
            <w:shd w:val="clear" w:color="auto" w:fill="auto"/>
            <w:noWrap/>
            <w:vAlign w:val="center"/>
            <w:hideMark/>
          </w:tcPr>
          <w:p w14:paraId="3F04463F"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1,640,682,617</w:t>
            </w:r>
          </w:p>
        </w:tc>
        <w:tc>
          <w:tcPr>
            <w:tcW w:w="1720" w:type="dxa"/>
            <w:tcBorders>
              <w:top w:val="nil"/>
              <w:left w:val="nil"/>
              <w:bottom w:val="single" w:sz="4" w:space="0" w:color="auto"/>
              <w:right w:val="single" w:sz="4" w:space="0" w:color="auto"/>
            </w:tcBorders>
            <w:shd w:val="clear" w:color="auto" w:fill="auto"/>
            <w:noWrap/>
            <w:vAlign w:val="center"/>
            <w:hideMark/>
          </w:tcPr>
          <w:p w14:paraId="2207B8E1"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220,186,700</w:t>
            </w:r>
          </w:p>
        </w:tc>
      </w:tr>
      <w:tr w:rsidR="00117702" w:rsidRPr="00117702" w14:paraId="4826AD25"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1298BCB3"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125</w:t>
            </w:r>
          </w:p>
        </w:tc>
        <w:tc>
          <w:tcPr>
            <w:tcW w:w="900" w:type="dxa"/>
            <w:tcBorders>
              <w:top w:val="nil"/>
              <w:left w:val="nil"/>
              <w:bottom w:val="single" w:sz="4" w:space="0" w:color="auto"/>
              <w:right w:val="single" w:sz="4" w:space="0" w:color="auto"/>
            </w:tcBorders>
            <w:shd w:val="clear" w:color="auto" w:fill="auto"/>
            <w:noWrap/>
            <w:vAlign w:val="center"/>
            <w:hideMark/>
          </w:tcPr>
          <w:p w14:paraId="088BC7A4"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860450098</w:t>
            </w:r>
          </w:p>
        </w:tc>
        <w:tc>
          <w:tcPr>
            <w:tcW w:w="3660" w:type="dxa"/>
            <w:tcBorders>
              <w:top w:val="nil"/>
              <w:left w:val="nil"/>
              <w:bottom w:val="single" w:sz="4" w:space="0" w:color="auto"/>
              <w:right w:val="single" w:sz="4" w:space="0" w:color="auto"/>
            </w:tcBorders>
            <w:shd w:val="clear" w:color="auto" w:fill="auto"/>
            <w:vAlign w:val="center"/>
            <w:hideMark/>
          </w:tcPr>
          <w:p w14:paraId="7576A349"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GAS SUMAPAZ S.A. E.S.P.</w:t>
            </w:r>
          </w:p>
        </w:tc>
        <w:tc>
          <w:tcPr>
            <w:tcW w:w="800" w:type="dxa"/>
            <w:tcBorders>
              <w:top w:val="nil"/>
              <w:left w:val="nil"/>
              <w:bottom w:val="single" w:sz="4" w:space="0" w:color="auto"/>
              <w:right w:val="single" w:sz="4" w:space="0" w:color="auto"/>
            </w:tcBorders>
            <w:shd w:val="clear" w:color="auto" w:fill="auto"/>
            <w:noWrap/>
            <w:vAlign w:val="center"/>
            <w:hideMark/>
          </w:tcPr>
          <w:p w14:paraId="63631703"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GLP</w:t>
            </w:r>
          </w:p>
        </w:tc>
        <w:tc>
          <w:tcPr>
            <w:tcW w:w="1660" w:type="dxa"/>
            <w:tcBorders>
              <w:top w:val="nil"/>
              <w:left w:val="nil"/>
              <w:bottom w:val="single" w:sz="4" w:space="0" w:color="auto"/>
              <w:right w:val="single" w:sz="4" w:space="0" w:color="auto"/>
            </w:tcBorders>
            <w:shd w:val="clear" w:color="auto" w:fill="auto"/>
            <w:noWrap/>
            <w:vAlign w:val="center"/>
            <w:hideMark/>
          </w:tcPr>
          <w:p w14:paraId="6B76B2B7"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2,591,738,000</w:t>
            </w:r>
          </w:p>
        </w:tc>
        <w:tc>
          <w:tcPr>
            <w:tcW w:w="1720" w:type="dxa"/>
            <w:tcBorders>
              <w:top w:val="nil"/>
              <w:left w:val="nil"/>
              <w:bottom w:val="single" w:sz="4" w:space="0" w:color="auto"/>
              <w:right w:val="single" w:sz="4" w:space="0" w:color="auto"/>
            </w:tcBorders>
            <w:shd w:val="clear" w:color="auto" w:fill="auto"/>
            <w:noWrap/>
            <w:vAlign w:val="center"/>
            <w:hideMark/>
          </w:tcPr>
          <w:p w14:paraId="43B31483"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261,661,962</w:t>
            </w:r>
          </w:p>
        </w:tc>
      </w:tr>
      <w:tr w:rsidR="00117702" w:rsidRPr="00117702" w14:paraId="04400232"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0ECD5031"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126</w:t>
            </w:r>
          </w:p>
        </w:tc>
        <w:tc>
          <w:tcPr>
            <w:tcW w:w="900" w:type="dxa"/>
            <w:tcBorders>
              <w:top w:val="nil"/>
              <w:left w:val="nil"/>
              <w:bottom w:val="single" w:sz="4" w:space="0" w:color="auto"/>
              <w:right w:val="single" w:sz="4" w:space="0" w:color="auto"/>
            </w:tcBorders>
            <w:shd w:val="clear" w:color="auto" w:fill="auto"/>
            <w:noWrap/>
            <w:vAlign w:val="center"/>
            <w:hideMark/>
          </w:tcPr>
          <w:p w14:paraId="758A22EB"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900586170</w:t>
            </w:r>
          </w:p>
        </w:tc>
        <w:tc>
          <w:tcPr>
            <w:tcW w:w="3660" w:type="dxa"/>
            <w:tcBorders>
              <w:top w:val="nil"/>
              <w:left w:val="nil"/>
              <w:bottom w:val="single" w:sz="4" w:space="0" w:color="auto"/>
              <w:right w:val="single" w:sz="4" w:space="0" w:color="auto"/>
            </w:tcBorders>
            <w:shd w:val="clear" w:color="auto" w:fill="auto"/>
            <w:vAlign w:val="center"/>
            <w:hideMark/>
          </w:tcPr>
          <w:p w14:paraId="4F6A7746"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GAS UNION DE COLOMBIA S.A.S. E.S.P.</w:t>
            </w:r>
          </w:p>
        </w:tc>
        <w:tc>
          <w:tcPr>
            <w:tcW w:w="800" w:type="dxa"/>
            <w:tcBorders>
              <w:top w:val="nil"/>
              <w:left w:val="nil"/>
              <w:bottom w:val="single" w:sz="4" w:space="0" w:color="auto"/>
              <w:right w:val="single" w:sz="4" w:space="0" w:color="auto"/>
            </w:tcBorders>
            <w:shd w:val="clear" w:color="auto" w:fill="auto"/>
            <w:noWrap/>
            <w:vAlign w:val="center"/>
            <w:hideMark/>
          </w:tcPr>
          <w:p w14:paraId="426E9378"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GLP</w:t>
            </w:r>
          </w:p>
        </w:tc>
        <w:tc>
          <w:tcPr>
            <w:tcW w:w="1660" w:type="dxa"/>
            <w:tcBorders>
              <w:top w:val="nil"/>
              <w:left w:val="nil"/>
              <w:bottom w:val="single" w:sz="4" w:space="0" w:color="auto"/>
              <w:right w:val="single" w:sz="4" w:space="0" w:color="auto"/>
            </w:tcBorders>
            <w:shd w:val="clear" w:color="auto" w:fill="auto"/>
            <w:noWrap/>
            <w:vAlign w:val="center"/>
            <w:hideMark/>
          </w:tcPr>
          <w:p w14:paraId="271C30AC"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3,022,416,000</w:t>
            </w:r>
          </w:p>
        </w:tc>
        <w:tc>
          <w:tcPr>
            <w:tcW w:w="1720" w:type="dxa"/>
            <w:tcBorders>
              <w:top w:val="nil"/>
              <w:left w:val="nil"/>
              <w:bottom w:val="single" w:sz="4" w:space="0" w:color="auto"/>
              <w:right w:val="single" w:sz="4" w:space="0" w:color="auto"/>
            </w:tcBorders>
            <w:shd w:val="clear" w:color="auto" w:fill="auto"/>
            <w:noWrap/>
            <w:vAlign w:val="center"/>
            <w:hideMark/>
          </w:tcPr>
          <w:p w14:paraId="7F83F44C"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215,123</w:t>
            </w:r>
          </w:p>
        </w:tc>
      </w:tr>
      <w:tr w:rsidR="00117702" w:rsidRPr="00117702" w14:paraId="3002583D"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26A0F1F0"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127</w:t>
            </w:r>
          </w:p>
        </w:tc>
        <w:tc>
          <w:tcPr>
            <w:tcW w:w="900" w:type="dxa"/>
            <w:tcBorders>
              <w:top w:val="nil"/>
              <w:left w:val="nil"/>
              <w:bottom w:val="single" w:sz="4" w:space="0" w:color="auto"/>
              <w:right w:val="single" w:sz="4" w:space="0" w:color="auto"/>
            </w:tcBorders>
            <w:shd w:val="clear" w:color="auto" w:fill="auto"/>
            <w:noWrap/>
            <w:vAlign w:val="center"/>
            <w:hideMark/>
          </w:tcPr>
          <w:p w14:paraId="076E3964"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900570262</w:t>
            </w:r>
          </w:p>
        </w:tc>
        <w:tc>
          <w:tcPr>
            <w:tcW w:w="3660" w:type="dxa"/>
            <w:tcBorders>
              <w:top w:val="nil"/>
              <w:left w:val="nil"/>
              <w:bottom w:val="single" w:sz="4" w:space="0" w:color="auto"/>
              <w:right w:val="single" w:sz="4" w:space="0" w:color="auto"/>
            </w:tcBorders>
            <w:shd w:val="clear" w:color="auto" w:fill="auto"/>
            <w:vAlign w:val="center"/>
            <w:hideMark/>
          </w:tcPr>
          <w:p w14:paraId="2A9C6375"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GASES ANDINOS DE COLOMBIA S.A.S. E.S.P.</w:t>
            </w:r>
          </w:p>
        </w:tc>
        <w:tc>
          <w:tcPr>
            <w:tcW w:w="800" w:type="dxa"/>
            <w:tcBorders>
              <w:top w:val="nil"/>
              <w:left w:val="nil"/>
              <w:bottom w:val="single" w:sz="4" w:space="0" w:color="auto"/>
              <w:right w:val="single" w:sz="4" w:space="0" w:color="auto"/>
            </w:tcBorders>
            <w:shd w:val="clear" w:color="auto" w:fill="auto"/>
            <w:noWrap/>
            <w:vAlign w:val="center"/>
            <w:hideMark/>
          </w:tcPr>
          <w:p w14:paraId="4CA046D6"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GLP</w:t>
            </w:r>
          </w:p>
        </w:tc>
        <w:tc>
          <w:tcPr>
            <w:tcW w:w="1660" w:type="dxa"/>
            <w:tcBorders>
              <w:top w:val="nil"/>
              <w:left w:val="nil"/>
              <w:bottom w:val="single" w:sz="4" w:space="0" w:color="auto"/>
              <w:right w:val="single" w:sz="4" w:space="0" w:color="auto"/>
            </w:tcBorders>
            <w:shd w:val="clear" w:color="auto" w:fill="auto"/>
            <w:noWrap/>
            <w:vAlign w:val="center"/>
            <w:hideMark/>
          </w:tcPr>
          <w:p w14:paraId="3BCA5696"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3,027,742,852</w:t>
            </w:r>
          </w:p>
        </w:tc>
        <w:tc>
          <w:tcPr>
            <w:tcW w:w="1720" w:type="dxa"/>
            <w:tcBorders>
              <w:top w:val="nil"/>
              <w:left w:val="nil"/>
              <w:bottom w:val="single" w:sz="4" w:space="0" w:color="auto"/>
              <w:right w:val="single" w:sz="4" w:space="0" w:color="auto"/>
            </w:tcBorders>
            <w:shd w:val="clear" w:color="auto" w:fill="auto"/>
            <w:noWrap/>
            <w:vAlign w:val="center"/>
            <w:hideMark/>
          </w:tcPr>
          <w:p w14:paraId="5C687FF9"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1,069,429,000</w:t>
            </w:r>
          </w:p>
        </w:tc>
      </w:tr>
      <w:tr w:rsidR="00117702" w:rsidRPr="00117702" w14:paraId="20EB976A" w14:textId="77777777" w:rsidTr="00117702">
        <w:trPr>
          <w:trHeight w:val="46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64FFDB66"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128</w:t>
            </w:r>
          </w:p>
        </w:tc>
        <w:tc>
          <w:tcPr>
            <w:tcW w:w="900" w:type="dxa"/>
            <w:tcBorders>
              <w:top w:val="nil"/>
              <w:left w:val="nil"/>
              <w:bottom w:val="single" w:sz="4" w:space="0" w:color="auto"/>
              <w:right w:val="single" w:sz="4" w:space="0" w:color="auto"/>
            </w:tcBorders>
            <w:shd w:val="clear" w:color="auto" w:fill="auto"/>
            <w:noWrap/>
            <w:vAlign w:val="center"/>
            <w:hideMark/>
          </w:tcPr>
          <w:p w14:paraId="4690BD95"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892115036</w:t>
            </w:r>
          </w:p>
        </w:tc>
        <w:tc>
          <w:tcPr>
            <w:tcW w:w="3660" w:type="dxa"/>
            <w:tcBorders>
              <w:top w:val="nil"/>
              <w:left w:val="nil"/>
              <w:bottom w:val="single" w:sz="4" w:space="0" w:color="auto"/>
              <w:right w:val="single" w:sz="4" w:space="0" w:color="auto"/>
            </w:tcBorders>
            <w:shd w:val="clear" w:color="auto" w:fill="auto"/>
            <w:vAlign w:val="center"/>
            <w:hideMark/>
          </w:tcPr>
          <w:p w14:paraId="39C5DBB0"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GASES DE LA GUAJIRA S.A., EMPRESA DE SERVICIOS PUBLICOS</w:t>
            </w:r>
          </w:p>
        </w:tc>
        <w:tc>
          <w:tcPr>
            <w:tcW w:w="800" w:type="dxa"/>
            <w:tcBorders>
              <w:top w:val="nil"/>
              <w:left w:val="nil"/>
              <w:bottom w:val="single" w:sz="4" w:space="0" w:color="auto"/>
              <w:right w:val="single" w:sz="4" w:space="0" w:color="auto"/>
            </w:tcBorders>
            <w:shd w:val="clear" w:color="auto" w:fill="auto"/>
            <w:noWrap/>
            <w:vAlign w:val="center"/>
            <w:hideMark/>
          </w:tcPr>
          <w:p w14:paraId="7689D19D"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GasNatural</w:t>
            </w:r>
          </w:p>
        </w:tc>
        <w:tc>
          <w:tcPr>
            <w:tcW w:w="1660" w:type="dxa"/>
            <w:tcBorders>
              <w:top w:val="nil"/>
              <w:left w:val="nil"/>
              <w:bottom w:val="single" w:sz="4" w:space="0" w:color="auto"/>
              <w:right w:val="single" w:sz="4" w:space="0" w:color="auto"/>
            </w:tcBorders>
            <w:shd w:val="clear" w:color="auto" w:fill="auto"/>
            <w:noWrap/>
            <w:vAlign w:val="center"/>
            <w:hideMark/>
          </w:tcPr>
          <w:p w14:paraId="203B7CB5"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58,018,783,093</w:t>
            </w:r>
          </w:p>
        </w:tc>
        <w:tc>
          <w:tcPr>
            <w:tcW w:w="1720" w:type="dxa"/>
            <w:tcBorders>
              <w:top w:val="nil"/>
              <w:left w:val="nil"/>
              <w:bottom w:val="single" w:sz="4" w:space="0" w:color="auto"/>
              <w:right w:val="single" w:sz="4" w:space="0" w:color="auto"/>
            </w:tcBorders>
            <w:shd w:val="clear" w:color="auto" w:fill="auto"/>
            <w:noWrap/>
            <w:vAlign w:val="center"/>
            <w:hideMark/>
          </w:tcPr>
          <w:p w14:paraId="252BEB38"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5,100,163,150</w:t>
            </w:r>
          </w:p>
        </w:tc>
      </w:tr>
      <w:tr w:rsidR="00117702" w:rsidRPr="00117702" w14:paraId="4D91700D" w14:textId="77777777" w:rsidTr="00117702">
        <w:trPr>
          <w:trHeight w:val="46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091C8FB5"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129</w:t>
            </w:r>
          </w:p>
        </w:tc>
        <w:tc>
          <w:tcPr>
            <w:tcW w:w="900" w:type="dxa"/>
            <w:tcBorders>
              <w:top w:val="nil"/>
              <w:left w:val="nil"/>
              <w:bottom w:val="single" w:sz="4" w:space="0" w:color="auto"/>
              <w:right w:val="single" w:sz="4" w:space="0" w:color="auto"/>
            </w:tcBorders>
            <w:shd w:val="clear" w:color="auto" w:fill="auto"/>
            <w:noWrap/>
            <w:vAlign w:val="center"/>
            <w:hideMark/>
          </w:tcPr>
          <w:p w14:paraId="27C1D032"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800167643</w:t>
            </w:r>
          </w:p>
        </w:tc>
        <w:tc>
          <w:tcPr>
            <w:tcW w:w="3660" w:type="dxa"/>
            <w:tcBorders>
              <w:top w:val="nil"/>
              <w:left w:val="nil"/>
              <w:bottom w:val="single" w:sz="4" w:space="0" w:color="auto"/>
              <w:right w:val="single" w:sz="4" w:space="0" w:color="auto"/>
            </w:tcBorders>
            <w:shd w:val="clear" w:color="auto" w:fill="auto"/>
            <w:vAlign w:val="center"/>
            <w:hideMark/>
          </w:tcPr>
          <w:p w14:paraId="515CE5E8"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GASES DE OCCIDENTE S. A. EMPRESA DE SERVICIOS PUBLICOS</w:t>
            </w:r>
          </w:p>
        </w:tc>
        <w:tc>
          <w:tcPr>
            <w:tcW w:w="800" w:type="dxa"/>
            <w:tcBorders>
              <w:top w:val="nil"/>
              <w:left w:val="nil"/>
              <w:bottom w:val="single" w:sz="4" w:space="0" w:color="auto"/>
              <w:right w:val="single" w:sz="4" w:space="0" w:color="auto"/>
            </w:tcBorders>
            <w:shd w:val="clear" w:color="auto" w:fill="auto"/>
            <w:noWrap/>
            <w:vAlign w:val="center"/>
            <w:hideMark/>
          </w:tcPr>
          <w:p w14:paraId="73ECC3A7"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GasNatural</w:t>
            </w:r>
          </w:p>
        </w:tc>
        <w:tc>
          <w:tcPr>
            <w:tcW w:w="1660" w:type="dxa"/>
            <w:tcBorders>
              <w:top w:val="nil"/>
              <w:left w:val="nil"/>
              <w:bottom w:val="single" w:sz="4" w:space="0" w:color="auto"/>
              <w:right w:val="single" w:sz="4" w:space="0" w:color="auto"/>
            </w:tcBorders>
            <w:shd w:val="clear" w:color="auto" w:fill="auto"/>
            <w:noWrap/>
            <w:vAlign w:val="center"/>
            <w:hideMark/>
          </w:tcPr>
          <w:p w14:paraId="5D1ADDB8"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877,145,728,682</w:t>
            </w:r>
          </w:p>
        </w:tc>
        <w:tc>
          <w:tcPr>
            <w:tcW w:w="1720" w:type="dxa"/>
            <w:tcBorders>
              <w:top w:val="nil"/>
              <w:left w:val="nil"/>
              <w:bottom w:val="single" w:sz="4" w:space="0" w:color="auto"/>
              <w:right w:val="single" w:sz="4" w:space="0" w:color="auto"/>
            </w:tcBorders>
            <w:shd w:val="clear" w:color="auto" w:fill="auto"/>
            <w:noWrap/>
            <w:vAlign w:val="center"/>
            <w:hideMark/>
          </w:tcPr>
          <w:p w14:paraId="6AB8C604"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30,507,336,783</w:t>
            </w:r>
          </w:p>
        </w:tc>
      </w:tr>
      <w:tr w:rsidR="00117702" w:rsidRPr="00117702" w14:paraId="02BFAF9E"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5F849270"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130</w:t>
            </w:r>
          </w:p>
        </w:tc>
        <w:tc>
          <w:tcPr>
            <w:tcW w:w="900" w:type="dxa"/>
            <w:tcBorders>
              <w:top w:val="nil"/>
              <w:left w:val="nil"/>
              <w:bottom w:val="single" w:sz="4" w:space="0" w:color="auto"/>
              <w:right w:val="single" w:sz="4" w:space="0" w:color="auto"/>
            </w:tcBorders>
            <w:shd w:val="clear" w:color="auto" w:fill="auto"/>
            <w:noWrap/>
            <w:vAlign w:val="center"/>
            <w:hideMark/>
          </w:tcPr>
          <w:p w14:paraId="7BF2CC38"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828000578</w:t>
            </w:r>
          </w:p>
        </w:tc>
        <w:tc>
          <w:tcPr>
            <w:tcW w:w="3660" w:type="dxa"/>
            <w:tcBorders>
              <w:top w:val="nil"/>
              <w:left w:val="nil"/>
              <w:bottom w:val="single" w:sz="4" w:space="0" w:color="auto"/>
              <w:right w:val="single" w:sz="4" w:space="0" w:color="auto"/>
            </w:tcBorders>
            <w:shd w:val="clear" w:color="auto" w:fill="auto"/>
            <w:vAlign w:val="center"/>
            <w:hideMark/>
          </w:tcPr>
          <w:p w14:paraId="2C917203"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GASES DEL CAGUAN S. A. E.S.P.</w:t>
            </w:r>
          </w:p>
        </w:tc>
        <w:tc>
          <w:tcPr>
            <w:tcW w:w="800" w:type="dxa"/>
            <w:tcBorders>
              <w:top w:val="nil"/>
              <w:left w:val="nil"/>
              <w:bottom w:val="single" w:sz="4" w:space="0" w:color="auto"/>
              <w:right w:val="single" w:sz="4" w:space="0" w:color="auto"/>
            </w:tcBorders>
            <w:shd w:val="clear" w:color="auto" w:fill="auto"/>
            <w:noWrap/>
            <w:vAlign w:val="center"/>
            <w:hideMark/>
          </w:tcPr>
          <w:p w14:paraId="62CFA5B2"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GLP</w:t>
            </w:r>
          </w:p>
        </w:tc>
        <w:tc>
          <w:tcPr>
            <w:tcW w:w="1660" w:type="dxa"/>
            <w:tcBorders>
              <w:top w:val="nil"/>
              <w:left w:val="nil"/>
              <w:bottom w:val="single" w:sz="4" w:space="0" w:color="auto"/>
              <w:right w:val="single" w:sz="4" w:space="0" w:color="auto"/>
            </w:tcBorders>
            <w:shd w:val="clear" w:color="auto" w:fill="auto"/>
            <w:noWrap/>
            <w:vAlign w:val="center"/>
            <w:hideMark/>
          </w:tcPr>
          <w:p w14:paraId="531477E0"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1,598,416,519</w:t>
            </w:r>
          </w:p>
        </w:tc>
        <w:tc>
          <w:tcPr>
            <w:tcW w:w="1720" w:type="dxa"/>
            <w:tcBorders>
              <w:top w:val="nil"/>
              <w:left w:val="nil"/>
              <w:bottom w:val="single" w:sz="4" w:space="0" w:color="auto"/>
              <w:right w:val="single" w:sz="4" w:space="0" w:color="auto"/>
            </w:tcBorders>
            <w:shd w:val="clear" w:color="auto" w:fill="auto"/>
            <w:noWrap/>
            <w:vAlign w:val="center"/>
            <w:hideMark/>
          </w:tcPr>
          <w:p w14:paraId="5347C0E3"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137,171,761</w:t>
            </w:r>
          </w:p>
        </w:tc>
      </w:tr>
      <w:tr w:rsidR="00117702" w:rsidRPr="00117702" w14:paraId="08898B54" w14:textId="77777777" w:rsidTr="00117702">
        <w:trPr>
          <w:trHeight w:val="46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0EC0EA23"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131</w:t>
            </w:r>
          </w:p>
        </w:tc>
        <w:tc>
          <w:tcPr>
            <w:tcW w:w="900" w:type="dxa"/>
            <w:tcBorders>
              <w:top w:val="nil"/>
              <w:left w:val="nil"/>
              <w:bottom w:val="single" w:sz="4" w:space="0" w:color="auto"/>
              <w:right w:val="single" w:sz="4" w:space="0" w:color="auto"/>
            </w:tcBorders>
            <w:shd w:val="clear" w:color="auto" w:fill="auto"/>
            <w:noWrap/>
            <w:vAlign w:val="center"/>
            <w:hideMark/>
          </w:tcPr>
          <w:p w14:paraId="19E2FADD"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890101691</w:t>
            </w:r>
          </w:p>
        </w:tc>
        <w:tc>
          <w:tcPr>
            <w:tcW w:w="3660" w:type="dxa"/>
            <w:tcBorders>
              <w:top w:val="nil"/>
              <w:left w:val="nil"/>
              <w:bottom w:val="single" w:sz="4" w:space="0" w:color="auto"/>
              <w:right w:val="single" w:sz="4" w:space="0" w:color="auto"/>
            </w:tcBorders>
            <w:shd w:val="clear" w:color="auto" w:fill="auto"/>
            <w:vAlign w:val="center"/>
            <w:hideMark/>
          </w:tcPr>
          <w:p w14:paraId="33BEB8F7"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 xml:space="preserve">GASES DEL CARIBE S.A. EMPRESA DE SERVICIOS PUBLICOS </w:t>
            </w:r>
          </w:p>
        </w:tc>
        <w:tc>
          <w:tcPr>
            <w:tcW w:w="800" w:type="dxa"/>
            <w:tcBorders>
              <w:top w:val="nil"/>
              <w:left w:val="nil"/>
              <w:bottom w:val="single" w:sz="4" w:space="0" w:color="auto"/>
              <w:right w:val="single" w:sz="4" w:space="0" w:color="auto"/>
            </w:tcBorders>
            <w:shd w:val="clear" w:color="auto" w:fill="auto"/>
            <w:noWrap/>
            <w:vAlign w:val="center"/>
            <w:hideMark/>
          </w:tcPr>
          <w:p w14:paraId="36CABCEA"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GasNatural</w:t>
            </w:r>
          </w:p>
        </w:tc>
        <w:tc>
          <w:tcPr>
            <w:tcW w:w="1660" w:type="dxa"/>
            <w:tcBorders>
              <w:top w:val="nil"/>
              <w:left w:val="nil"/>
              <w:bottom w:val="single" w:sz="4" w:space="0" w:color="auto"/>
              <w:right w:val="single" w:sz="4" w:space="0" w:color="auto"/>
            </w:tcBorders>
            <w:shd w:val="clear" w:color="auto" w:fill="auto"/>
            <w:noWrap/>
            <w:vAlign w:val="center"/>
            <w:hideMark/>
          </w:tcPr>
          <w:p w14:paraId="1ABE270A"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1,099,369,675,746</w:t>
            </w:r>
          </w:p>
        </w:tc>
        <w:tc>
          <w:tcPr>
            <w:tcW w:w="1720" w:type="dxa"/>
            <w:tcBorders>
              <w:top w:val="nil"/>
              <w:left w:val="nil"/>
              <w:bottom w:val="single" w:sz="4" w:space="0" w:color="auto"/>
              <w:right w:val="single" w:sz="4" w:space="0" w:color="auto"/>
            </w:tcBorders>
            <w:shd w:val="clear" w:color="auto" w:fill="auto"/>
            <w:noWrap/>
            <w:vAlign w:val="center"/>
            <w:hideMark/>
          </w:tcPr>
          <w:p w14:paraId="0BEC6FCC"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42,132,108,632</w:t>
            </w:r>
          </w:p>
        </w:tc>
      </w:tr>
      <w:tr w:rsidR="00117702" w:rsidRPr="00117702" w14:paraId="6E796C52"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1FB2BB0F"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132</w:t>
            </w:r>
          </w:p>
        </w:tc>
        <w:tc>
          <w:tcPr>
            <w:tcW w:w="900" w:type="dxa"/>
            <w:tcBorders>
              <w:top w:val="nil"/>
              <w:left w:val="nil"/>
              <w:bottom w:val="single" w:sz="4" w:space="0" w:color="auto"/>
              <w:right w:val="single" w:sz="4" w:space="0" w:color="auto"/>
            </w:tcBorders>
            <w:shd w:val="clear" w:color="auto" w:fill="auto"/>
            <w:noWrap/>
            <w:vAlign w:val="center"/>
            <w:hideMark/>
          </w:tcPr>
          <w:p w14:paraId="26BEE200"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800218682</w:t>
            </w:r>
          </w:p>
        </w:tc>
        <w:tc>
          <w:tcPr>
            <w:tcW w:w="3660" w:type="dxa"/>
            <w:tcBorders>
              <w:top w:val="nil"/>
              <w:left w:val="nil"/>
              <w:bottom w:val="single" w:sz="4" w:space="0" w:color="auto"/>
              <w:right w:val="single" w:sz="4" w:space="0" w:color="auto"/>
            </w:tcBorders>
            <w:shd w:val="clear" w:color="auto" w:fill="auto"/>
            <w:vAlign w:val="center"/>
            <w:hideMark/>
          </w:tcPr>
          <w:p w14:paraId="03F0F2A5"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GASES DEL CUSIANA S.A. E.S.P</w:t>
            </w:r>
          </w:p>
        </w:tc>
        <w:tc>
          <w:tcPr>
            <w:tcW w:w="800" w:type="dxa"/>
            <w:tcBorders>
              <w:top w:val="nil"/>
              <w:left w:val="nil"/>
              <w:bottom w:val="single" w:sz="4" w:space="0" w:color="auto"/>
              <w:right w:val="single" w:sz="4" w:space="0" w:color="auto"/>
            </w:tcBorders>
            <w:shd w:val="clear" w:color="auto" w:fill="auto"/>
            <w:noWrap/>
            <w:vAlign w:val="center"/>
            <w:hideMark/>
          </w:tcPr>
          <w:p w14:paraId="4D9952D9"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GasNatural</w:t>
            </w:r>
          </w:p>
        </w:tc>
        <w:tc>
          <w:tcPr>
            <w:tcW w:w="1660" w:type="dxa"/>
            <w:tcBorders>
              <w:top w:val="nil"/>
              <w:left w:val="nil"/>
              <w:bottom w:val="single" w:sz="4" w:space="0" w:color="auto"/>
              <w:right w:val="single" w:sz="4" w:space="0" w:color="auto"/>
            </w:tcBorders>
            <w:shd w:val="clear" w:color="auto" w:fill="auto"/>
            <w:noWrap/>
            <w:vAlign w:val="center"/>
            <w:hideMark/>
          </w:tcPr>
          <w:p w14:paraId="0E0C1D6F"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13,726,762,216</w:t>
            </w:r>
          </w:p>
        </w:tc>
        <w:tc>
          <w:tcPr>
            <w:tcW w:w="1720" w:type="dxa"/>
            <w:tcBorders>
              <w:top w:val="nil"/>
              <w:left w:val="nil"/>
              <w:bottom w:val="single" w:sz="4" w:space="0" w:color="auto"/>
              <w:right w:val="single" w:sz="4" w:space="0" w:color="auto"/>
            </w:tcBorders>
            <w:shd w:val="clear" w:color="auto" w:fill="auto"/>
            <w:noWrap/>
            <w:vAlign w:val="center"/>
            <w:hideMark/>
          </w:tcPr>
          <w:p w14:paraId="01D1F38F"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1,685,966,669</w:t>
            </w:r>
          </w:p>
        </w:tc>
      </w:tr>
      <w:tr w:rsidR="00117702" w:rsidRPr="00117702" w14:paraId="66D70088" w14:textId="77777777" w:rsidTr="00117702">
        <w:trPr>
          <w:trHeight w:val="46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433D688C"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133</w:t>
            </w:r>
          </w:p>
        </w:tc>
        <w:tc>
          <w:tcPr>
            <w:tcW w:w="900" w:type="dxa"/>
            <w:tcBorders>
              <w:top w:val="nil"/>
              <w:left w:val="nil"/>
              <w:bottom w:val="single" w:sz="4" w:space="0" w:color="auto"/>
              <w:right w:val="single" w:sz="4" w:space="0" w:color="auto"/>
            </w:tcBorders>
            <w:shd w:val="clear" w:color="auto" w:fill="auto"/>
            <w:noWrap/>
            <w:vAlign w:val="center"/>
            <w:hideMark/>
          </w:tcPr>
          <w:p w14:paraId="25E09CDA"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800021272</w:t>
            </w:r>
          </w:p>
        </w:tc>
        <w:tc>
          <w:tcPr>
            <w:tcW w:w="3660" w:type="dxa"/>
            <w:tcBorders>
              <w:top w:val="nil"/>
              <w:left w:val="nil"/>
              <w:bottom w:val="single" w:sz="4" w:space="0" w:color="auto"/>
              <w:right w:val="single" w:sz="4" w:space="0" w:color="auto"/>
            </w:tcBorders>
            <w:shd w:val="clear" w:color="auto" w:fill="auto"/>
            <w:vAlign w:val="center"/>
            <w:hideMark/>
          </w:tcPr>
          <w:p w14:paraId="34EE1071"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GASES DEL LLANO S.A EMPRESA DE SERVICIOS PUBLICOS</w:t>
            </w:r>
          </w:p>
        </w:tc>
        <w:tc>
          <w:tcPr>
            <w:tcW w:w="800" w:type="dxa"/>
            <w:tcBorders>
              <w:top w:val="nil"/>
              <w:left w:val="nil"/>
              <w:bottom w:val="single" w:sz="4" w:space="0" w:color="auto"/>
              <w:right w:val="single" w:sz="4" w:space="0" w:color="auto"/>
            </w:tcBorders>
            <w:shd w:val="clear" w:color="auto" w:fill="auto"/>
            <w:noWrap/>
            <w:vAlign w:val="center"/>
            <w:hideMark/>
          </w:tcPr>
          <w:p w14:paraId="2BF99033"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GasNatural</w:t>
            </w:r>
          </w:p>
        </w:tc>
        <w:tc>
          <w:tcPr>
            <w:tcW w:w="1660" w:type="dxa"/>
            <w:tcBorders>
              <w:top w:val="nil"/>
              <w:left w:val="nil"/>
              <w:bottom w:val="single" w:sz="4" w:space="0" w:color="auto"/>
              <w:right w:val="single" w:sz="4" w:space="0" w:color="auto"/>
            </w:tcBorders>
            <w:shd w:val="clear" w:color="auto" w:fill="auto"/>
            <w:noWrap/>
            <w:vAlign w:val="center"/>
            <w:hideMark/>
          </w:tcPr>
          <w:p w14:paraId="201DC381"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63,343,455,142</w:t>
            </w:r>
          </w:p>
        </w:tc>
        <w:tc>
          <w:tcPr>
            <w:tcW w:w="1720" w:type="dxa"/>
            <w:tcBorders>
              <w:top w:val="nil"/>
              <w:left w:val="nil"/>
              <w:bottom w:val="single" w:sz="4" w:space="0" w:color="auto"/>
              <w:right w:val="single" w:sz="4" w:space="0" w:color="auto"/>
            </w:tcBorders>
            <w:shd w:val="clear" w:color="auto" w:fill="auto"/>
            <w:noWrap/>
            <w:vAlign w:val="center"/>
            <w:hideMark/>
          </w:tcPr>
          <w:p w14:paraId="30E1F093"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4,538,517,403</w:t>
            </w:r>
          </w:p>
        </w:tc>
      </w:tr>
      <w:tr w:rsidR="00117702" w:rsidRPr="00117702" w14:paraId="5241F782" w14:textId="77777777" w:rsidTr="00117702">
        <w:trPr>
          <w:trHeight w:val="46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613C4609"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lastRenderedPageBreak/>
              <w:t>134</w:t>
            </w:r>
          </w:p>
        </w:tc>
        <w:tc>
          <w:tcPr>
            <w:tcW w:w="900" w:type="dxa"/>
            <w:tcBorders>
              <w:top w:val="nil"/>
              <w:left w:val="nil"/>
              <w:bottom w:val="single" w:sz="4" w:space="0" w:color="auto"/>
              <w:right w:val="single" w:sz="4" w:space="0" w:color="auto"/>
            </w:tcBorders>
            <w:shd w:val="clear" w:color="auto" w:fill="auto"/>
            <w:noWrap/>
            <w:vAlign w:val="center"/>
            <w:hideMark/>
          </w:tcPr>
          <w:p w14:paraId="60579EEF"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890503900</w:t>
            </w:r>
          </w:p>
        </w:tc>
        <w:tc>
          <w:tcPr>
            <w:tcW w:w="3660" w:type="dxa"/>
            <w:tcBorders>
              <w:top w:val="nil"/>
              <w:left w:val="nil"/>
              <w:bottom w:val="single" w:sz="4" w:space="0" w:color="auto"/>
              <w:right w:val="single" w:sz="4" w:space="0" w:color="auto"/>
            </w:tcBorders>
            <w:shd w:val="clear" w:color="auto" w:fill="auto"/>
            <w:vAlign w:val="center"/>
            <w:hideMark/>
          </w:tcPr>
          <w:p w14:paraId="1C792499"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GASES DEL ORIENTE S.A.  EMPRESA DE SERVICIOS PUBLICOS DOMICILIARIOS</w:t>
            </w:r>
          </w:p>
        </w:tc>
        <w:tc>
          <w:tcPr>
            <w:tcW w:w="800" w:type="dxa"/>
            <w:tcBorders>
              <w:top w:val="nil"/>
              <w:left w:val="nil"/>
              <w:bottom w:val="single" w:sz="4" w:space="0" w:color="auto"/>
              <w:right w:val="single" w:sz="4" w:space="0" w:color="auto"/>
            </w:tcBorders>
            <w:shd w:val="clear" w:color="auto" w:fill="auto"/>
            <w:noWrap/>
            <w:vAlign w:val="center"/>
            <w:hideMark/>
          </w:tcPr>
          <w:p w14:paraId="6E7DB907"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GasNatural</w:t>
            </w:r>
          </w:p>
        </w:tc>
        <w:tc>
          <w:tcPr>
            <w:tcW w:w="1660" w:type="dxa"/>
            <w:tcBorders>
              <w:top w:val="nil"/>
              <w:left w:val="nil"/>
              <w:bottom w:val="single" w:sz="4" w:space="0" w:color="auto"/>
              <w:right w:val="single" w:sz="4" w:space="0" w:color="auto"/>
            </w:tcBorders>
            <w:shd w:val="clear" w:color="auto" w:fill="auto"/>
            <w:noWrap/>
            <w:vAlign w:val="center"/>
            <w:hideMark/>
          </w:tcPr>
          <w:p w14:paraId="68302B44"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65,354,807,663</w:t>
            </w:r>
          </w:p>
        </w:tc>
        <w:tc>
          <w:tcPr>
            <w:tcW w:w="1720" w:type="dxa"/>
            <w:tcBorders>
              <w:top w:val="nil"/>
              <w:left w:val="nil"/>
              <w:bottom w:val="single" w:sz="4" w:space="0" w:color="auto"/>
              <w:right w:val="single" w:sz="4" w:space="0" w:color="auto"/>
            </w:tcBorders>
            <w:shd w:val="clear" w:color="auto" w:fill="auto"/>
            <w:noWrap/>
            <w:vAlign w:val="center"/>
            <w:hideMark/>
          </w:tcPr>
          <w:p w14:paraId="1AF8B4EF"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3,923,457,540</w:t>
            </w:r>
          </w:p>
        </w:tc>
      </w:tr>
      <w:tr w:rsidR="00117702" w:rsidRPr="00117702" w14:paraId="70F8FDFB"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47C12964"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135</w:t>
            </w:r>
          </w:p>
        </w:tc>
        <w:tc>
          <w:tcPr>
            <w:tcW w:w="900" w:type="dxa"/>
            <w:tcBorders>
              <w:top w:val="nil"/>
              <w:left w:val="nil"/>
              <w:bottom w:val="single" w:sz="4" w:space="0" w:color="auto"/>
              <w:right w:val="single" w:sz="4" w:space="0" w:color="auto"/>
            </w:tcBorders>
            <w:shd w:val="clear" w:color="auto" w:fill="auto"/>
            <w:noWrap/>
            <w:vAlign w:val="center"/>
            <w:hideMark/>
          </w:tcPr>
          <w:p w14:paraId="585DC222"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804002801</w:t>
            </w:r>
          </w:p>
        </w:tc>
        <w:tc>
          <w:tcPr>
            <w:tcW w:w="3660" w:type="dxa"/>
            <w:tcBorders>
              <w:top w:val="nil"/>
              <w:left w:val="nil"/>
              <w:bottom w:val="single" w:sz="4" w:space="0" w:color="auto"/>
              <w:right w:val="single" w:sz="4" w:space="0" w:color="auto"/>
            </w:tcBorders>
            <w:shd w:val="clear" w:color="auto" w:fill="auto"/>
            <w:vAlign w:val="center"/>
            <w:hideMark/>
          </w:tcPr>
          <w:p w14:paraId="1FED8645"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GASES DEL SUR DE SANTANDER S.A. E.S.P.</w:t>
            </w:r>
          </w:p>
        </w:tc>
        <w:tc>
          <w:tcPr>
            <w:tcW w:w="800" w:type="dxa"/>
            <w:tcBorders>
              <w:top w:val="nil"/>
              <w:left w:val="nil"/>
              <w:bottom w:val="single" w:sz="4" w:space="0" w:color="auto"/>
              <w:right w:val="single" w:sz="4" w:space="0" w:color="auto"/>
            </w:tcBorders>
            <w:shd w:val="clear" w:color="auto" w:fill="auto"/>
            <w:noWrap/>
            <w:vAlign w:val="center"/>
            <w:hideMark/>
          </w:tcPr>
          <w:p w14:paraId="7644B877"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GasNatural</w:t>
            </w:r>
          </w:p>
        </w:tc>
        <w:tc>
          <w:tcPr>
            <w:tcW w:w="1660" w:type="dxa"/>
            <w:tcBorders>
              <w:top w:val="nil"/>
              <w:left w:val="nil"/>
              <w:bottom w:val="single" w:sz="4" w:space="0" w:color="auto"/>
              <w:right w:val="single" w:sz="4" w:space="0" w:color="auto"/>
            </w:tcBorders>
            <w:shd w:val="clear" w:color="auto" w:fill="auto"/>
            <w:noWrap/>
            <w:vAlign w:val="center"/>
            <w:hideMark/>
          </w:tcPr>
          <w:p w14:paraId="45659E4C"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5,511,323,803</w:t>
            </w:r>
          </w:p>
        </w:tc>
        <w:tc>
          <w:tcPr>
            <w:tcW w:w="1720" w:type="dxa"/>
            <w:tcBorders>
              <w:top w:val="nil"/>
              <w:left w:val="nil"/>
              <w:bottom w:val="single" w:sz="4" w:space="0" w:color="auto"/>
              <w:right w:val="single" w:sz="4" w:space="0" w:color="auto"/>
            </w:tcBorders>
            <w:shd w:val="clear" w:color="auto" w:fill="auto"/>
            <w:noWrap/>
            <w:vAlign w:val="center"/>
            <w:hideMark/>
          </w:tcPr>
          <w:p w14:paraId="6676A731"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7,007,567,000</w:t>
            </w:r>
          </w:p>
        </w:tc>
      </w:tr>
      <w:tr w:rsidR="00117702" w:rsidRPr="00117702" w14:paraId="4316BC8C"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1B3477B4"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136</w:t>
            </w:r>
          </w:p>
        </w:tc>
        <w:tc>
          <w:tcPr>
            <w:tcW w:w="900" w:type="dxa"/>
            <w:tcBorders>
              <w:top w:val="nil"/>
              <w:left w:val="nil"/>
              <w:bottom w:val="single" w:sz="4" w:space="0" w:color="auto"/>
              <w:right w:val="single" w:sz="4" w:space="0" w:color="auto"/>
            </w:tcBorders>
            <w:shd w:val="clear" w:color="auto" w:fill="auto"/>
            <w:noWrap/>
            <w:vAlign w:val="center"/>
            <w:hideMark/>
          </w:tcPr>
          <w:p w14:paraId="46E0EF0F"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900308744</w:t>
            </w:r>
          </w:p>
        </w:tc>
        <w:tc>
          <w:tcPr>
            <w:tcW w:w="3660" w:type="dxa"/>
            <w:tcBorders>
              <w:top w:val="nil"/>
              <w:left w:val="nil"/>
              <w:bottom w:val="single" w:sz="4" w:space="0" w:color="auto"/>
              <w:right w:val="single" w:sz="4" w:space="0" w:color="auto"/>
            </w:tcBorders>
            <w:shd w:val="clear" w:color="auto" w:fill="auto"/>
            <w:vAlign w:val="center"/>
            <w:hideMark/>
          </w:tcPr>
          <w:p w14:paraId="3E3FF4E8"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GECELCA 3 S.A.S. E.S.P.</w:t>
            </w:r>
          </w:p>
        </w:tc>
        <w:tc>
          <w:tcPr>
            <w:tcW w:w="800" w:type="dxa"/>
            <w:tcBorders>
              <w:top w:val="nil"/>
              <w:left w:val="nil"/>
              <w:bottom w:val="single" w:sz="4" w:space="0" w:color="auto"/>
              <w:right w:val="single" w:sz="4" w:space="0" w:color="auto"/>
            </w:tcBorders>
            <w:shd w:val="clear" w:color="auto" w:fill="auto"/>
            <w:noWrap/>
            <w:vAlign w:val="center"/>
            <w:hideMark/>
          </w:tcPr>
          <w:p w14:paraId="36A335AF"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Energia</w:t>
            </w:r>
          </w:p>
        </w:tc>
        <w:tc>
          <w:tcPr>
            <w:tcW w:w="1660" w:type="dxa"/>
            <w:tcBorders>
              <w:top w:val="nil"/>
              <w:left w:val="nil"/>
              <w:bottom w:val="single" w:sz="4" w:space="0" w:color="auto"/>
              <w:right w:val="single" w:sz="4" w:space="0" w:color="auto"/>
            </w:tcBorders>
            <w:shd w:val="clear" w:color="auto" w:fill="auto"/>
            <w:noWrap/>
            <w:vAlign w:val="center"/>
            <w:hideMark/>
          </w:tcPr>
          <w:p w14:paraId="2E4F4667"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542,178,790,000</w:t>
            </w:r>
          </w:p>
        </w:tc>
        <w:tc>
          <w:tcPr>
            <w:tcW w:w="1720" w:type="dxa"/>
            <w:tcBorders>
              <w:top w:val="nil"/>
              <w:left w:val="nil"/>
              <w:bottom w:val="single" w:sz="4" w:space="0" w:color="auto"/>
              <w:right w:val="single" w:sz="4" w:space="0" w:color="auto"/>
            </w:tcBorders>
            <w:shd w:val="clear" w:color="auto" w:fill="auto"/>
            <w:noWrap/>
            <w:vAlign w:val="center"/>
            <w:hideMark/>
          </w:tcPr>
          <w:p w14:paraId="324CB05D"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668,493,031</w:t>
            </w:r>
          </w:p>
        </w:tc>
      </w:tr>
      <w:tr w:rsidR="00117702" w:rsidRPr="00117702" w14:paraId="3D791F88"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5A4C1BC0"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137</w:t>
            </w:r>
          </w:p>
        </w:tc>
        <w:tc>
          <w:tcPr>
            <w:tcW w:w="900" w:type="dxa"/>
            <w:tcBorders>
              <w:top w:val="nil"/>
              <w:left w:val="nil"/>
              <w:bottom w:val="single" w:sz="4" w:space="0" w:color="auto"/>
              <w:right w:val="single" w:sz="4" w:space="0" w:color="auto"/>
            </w:tcBorders>
            <w:shd w:val="clear" w:color="auto" w:fill="auto"/>
            <w:noWrap/>
            <w:vAlign w:val="center"/>
            <w:hideMark/>
          </w:tcPr>
          <w:p w14:paraId="34D18D3C"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900244325</w:t>
            </w:r>
          </w:p>
        </w:tc>
        <w:tc>
          <w:tcPr>
            <w:tcW w:w="3660" w:type="dxa"/>
            <w:tcBorders>
              <w:top w:val="nil"/>
              <w:left w:val="nil"/>
              <w:bottom w:val="single" w:sz="4" w:space="0" w:color="auto"/>
              <w:right w:val="single" w:sz="4" w:space="0" w:color="auto"/>
            </w:tcBorders>
            <w:shd w:val="clear" w:color="auto" w:fill="auto"/>
            <w:vAlign w:val="center"/>
            <w:hideMark/>
          </w:tcPr>
          <w:p w14:paraId="662413A2"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GENERACIÓN DE ENERGÍA S.A.S. E.S.P.</w:t>
            </w:r>
          </w:p>
        </w:tc>
        <w:tc>
          <w:tcPr>
            <w:tcW w:w="800" w:type="dxa"/>
            <w:tcBorders>
              <w:top w:val="nil"/>
              <w:left w:val="nil"/>
              <w:bottom w:val="single" w:sz="4" w:space="0" w:color="auto"/>
              <w:right w:val="single" w:sz="4" w:space="0" w:color="auto"/>
            </w:tcBorders>
            <w:shd w:val="clear" w:color="auto" w:fill="auto"/>
            <w:noWrap/>
            <w:vAlign w:val="center"/>
            <w:hideMark/>
          </w:tcPr>
          <w:p w14:paraId="111209B8"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Energia</w:t>
            </w:r>
          </w:p>
        </w:tc>
        <w:tc>
          <w:tcPr>
            <w:tcW w:w="1660" w:type="dxa"/>
            <w:tcBorders>
              <w:top w:val="nil"/>
              <w:left w:val="nil"/>
              <w:bottom w:val="single" w:sz="4" w:space="0" w:color="auto"/>
              <w:right w:val="single" w:sz="4" w:space="0" w:color="auto"/>
            </w:tcBorders>
            <w:shd w:val="clear" w:color="auto" w:fill="auto"/>
            <w:noWrap/>
            <w:vAlign w:val="center"/>
            <w:hideMark/>
          </w:tcPr>
          <w:p w14:paraId="7C0B7F7A"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2,349,109,000</w:t>
            </w:r>
          </w:p>
        </w:tc>
        <w:tc>
          <w:tcPr>
            <w:tcW w:w="1720" w:type="dxa"/>
            <w:tcBorders>
              <w:top w:val="nil"/>
              <w:left w:val="nil"/>
              <w:bottom w:val="single" w:sz="4" w:space="0" w:color="auto"/>
              <w:right w:val="single" w:sz="4" w:space="0" w:color="auto"/>
            </w:tcBorders>
            <w:shd w:val="clear" w:color="auto" w:fill="auto"/>
            <w:noWrap/>
            <w:vAlign w:val="center"/>
            <w:hideMark/>
          </w:tcPr>
          <w:p w14:paraId="60266EE5"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110,786,903</w:t>
            </w:r>
          </w:p>
        </w:tc>
      </w:tr>
      <w:tr w:rsidR="00117702" w:rsidRPr="00117702" w14:paraId="384D30C5"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6ABB842A"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138</w:t>
            </w:r>
          </w:p>
        </w:tc>
        <w:tc>
          <w:tcPr>
            <w:tcW w:w="900" w:type="dxa"/>
            <w:tcBorders>
              <w:top w:val="nil"/>
              <w:left w:val="nil"/>
              <w:bottom w:val="single" w:sz="4" w:space="0" w:color="auto"/>
              <w:right w:val="single" w:sz="4" w:space="0" w:color="auto"/>
            </w:tcBorders>
            <w:shd w:val="clear" w:color="auto" w:fill="auto"/>
            <w:noWrap/>
            <w:vAlign w:val="center"/>
            <w:hideMark/>
          </w:tcPr>
          <w:p w14:paraId="36CA1E58"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900493235</w:t>
            </w:r>
          </w:p>
        </w:tc>
        <w:tc>
          <w:tcPr>
            <w:tcW w:w="3660" w:type="dxa"/>
            <w:tcBorders>
              <w:top w:val="nil"/>
              <w:left w:val="nil"/>
              <w:bottom w:val="single" w:sz="4" w:space="0" w:color="auto"/>
              <w:right w:val="single" w:sz="4" w:space="0" w:color="auto"/>
            </w:tcBorders>
            <w:shd w:val="clear" w:color="auto" w:fill="auto"/>
            <w:vAlign w:val="center"/>
            <w:hideMark/>
          </w:tcPr>
          <w:p w14:paraId="02FADCB5"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GENERADORA ALEJANDRIA S.A.S. - E.S.P.</w:t>
            </w:r>
          </w:p>
        </w:tc>
        <w:tc>
          <w:tcPr>
            <w:tcW w:w="800" w:type="dxa"/>
            <w:tcBorders>
              <w:top w:val="nil"/>
              <w:left w:val="nil"/>
              <w:bottom w:val="single" w:sz="4" w:space="0" w:color="auto"/>
              <w:right w:val="single" w:sz="4" w:space="0" w:color="auto"/>
            </w:tcBorders>
            <w:shd w:val="clear" w:color="auto" w:fill="auto"/>
            <w:noWrap/>
            <w:vAlign w:val="center"/>
            <w:hideMark/>
          </w:tcPr>
          <w:p w14:paraId="6CF1AAD9"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Energia</w:t>
            </w:r>
          </w:p>
        </w:tc>
        <w:tc>
          <w:tcPr>
            <w:tcW w:w="1660" w:type="dxa"/>
            <w:tcBorders>
              <w:top w:val="nil"/>
              <w:left w:val="nil"/>
              <w:bottom w:val="single" w:sz="4" w:space="0" w:color="auto"/>
              <w:right w:val="single" w:sz="4" w:space="0" w:color="auto"/>
            </w:tcBorders>
            <w:shd w:val="clear" w:color="auto" w:fill="auto"/>
            <w:noWrap/>
            <w:vAlign w:val="center"/>
            <w:hideMark/>
          </w:tcPr>
          <w:p w14:paraId="0E342F4A"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12,234,621,000</w:t>
            </w:r>
          </w:p>
        </w:tc>
        <w:tc>
          <w:tcPr>
            <w:tcW w:w="1720" w:type="dxa"/>
            <w:tcBorders>
              <w:top w:val="nil"/>
              <w:left w:val="nil"/>
              <w:bottom w:val="single" w:sz="4" w:space="0" w:color="auto"/>
              <w:right w:val="single" w:sz="4" w:space="0" w:color="auto"/>
            </w:tcBorders>
            <w:shd w:val="clear" w:color="auto" w:fill="auto"/>
            <w:noWrap/>
            <w:vAlign w:val="center"/>
            <w:hideMark/>
          </w:tcPr>
          <w:p w14:paraId="0306D605"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1,019,709,959</w:t>
            </w:r>
          </w:p>
        </w:tc>
      </w:tr>
      <w:tr w:rsidR="00117702" w:rsidRPr="00117702" w14:paraId="382FDF60"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0454BCD4"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139</w:t>
            </w:r>
          </w:p>
        </w:tc>
        <w:tc>
          <w:tcPr>
            <w:tcW w:w="900" w:type="dxa"/>
            <w:tcBorders>
              <w:top w:val="nil"/>
              <w:left w:val="nil"/>
              <w:bottom w:val="single" w:sz="4" w:space="0" w:color="auto"/>
              <w:right w:val="single" w:sz="4" w:space="0" w:color="auto"/>
            </w:tcBorders>
            <w:shd w:val="clear" w:color="auto" w:fill="auto"/>
            <w:noWrap/>
            <w:vAlign w:val="center"/>
            <w:hideMark/>
          </w:tcPr>
          <w:p w14:paraId="41DCD187"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900660650</w:t>
            </w:r>
          </w:p>
        </w:tc>
        <w:tc>
          <w:tcPr>
            <w:tcW w:w="3660" w:type="dxa"/>
            <w:tcBorders>
              <w:top w:val="nil"/>
              <w:left w:val="nil"/>
              <w:bottom w:val="single" w:sz="4" w:space="0" w:color="auto"/>
              <w:right w:val="single" w:sz="4" w:space="0" w:color="auto"/>
            </w:tcBorders>
            <w:shd w:val="clear" w:color="auto" w:fill="auto"/>
            <w:vAlign w:val="center"/>
            <w:hideMark/>
          </w:tcPr>
          <w:p w14:paraId="4F5F10F1"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GENERADORA CANTAYUS SAS ESP</w:t>
            </w:r>
          </w:p>
        </w:tc>
        <w:tc>
          <w:tcPr>
            <w:tcW w:w="800" w:type="dxa"/>
            <w:tcBorders>
              <w:top w:val="nil"/>
              <w:left w:val="nil"/>
              <w:bottom w:val="single" w:sz="4" w:space="0" w:color="auto"/>
              <w:right w:val="single" w:sz="4" w:space="0" w:color="auto"/>
            </w:tcBorders>
            <w:shd w:val="clear" w:color="auto" w:fill="auto"/>
            <w:noWrap/>
            <w:vAlign w:val="center"/>
            <w:hideMark/>
          </w:tcPr>
          <w:p w14:paraId="0D19D2C8"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Energia</w:t>
            </w:r>
          </w:p>
        </w:tc>
        <w:tc>
          <w:tcPr>
            <w:tcW w:w="1660" w:type="dxa"/>
            <w:tcBorders>
              <w:top w:val="nil"/>
              <w:left w:val="nil"/>
              <w:bottom w:val="single" w:sz="4" w:space="0" w:color="auto"/>
              <w:right w:val="single" w:sz="4" w:space="0" w:color="auto"/>
            </w:tcBorders>
            <w:shd w:val="clear" w:color="auto" w:fill="auto"/>
            <w:noWrap/>
            <w:vAlign w:val="center"/>
            <w:hideMark/>
          </w:tcPr>
          <w:p w14:paraId="32B80558"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3,543,372,000</w:t>
            </w:r>
          </w:p>
        </w:tc>
        <w:tc>
          <w:tcPr>
            <w:tcW w:w="1720" w:type="dxa"/>
            <w:tcBorders>
              <w:top w:val="nil"/>
              <w:left w:val="nil"/>
              <w:bottom w:val="single" w:sz="4" w:space="0" w:color="auto"/>
              <w:right w:val="single" w:sz="4" w:space="0" w:color="auto"/>
            </w:tcBorders>
            <w:shd w:val="clear" w:color="auto" w:fill="auto"/>
            <w:noWrap/>
            <w:vAlign w:val="center"/>
            <w:hideMark/>
          </w:tcPr>
          <w:p w14:paraId="58B1CDC5"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230,346,474</w:t>
            </w:r>
          </w:p>
        </w:tc>
      </w:tr>
      <w:tr w:rsidR="00117702" w:rsidRPr="00117702" w14:paraId="5A56D7C9"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1F99336E"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140</w:t>
            </w:r>
          </w:p>
        </w:tc>
        <w:tc>
          <w:tcPr>
            <w:tcW w:w="900" w:type="dxa"/>
            <w:tcBorders>
              <w:top w:val="nil"/>
              <w:left w:val="nil"/>
              <w:bottom w:val="single" w:sz="4" w:space="0" w:color="auto"/>
              <w:right w:val="single" w:sz="4" w:space="0" w:color="auto"/>
            </w:tcBorders>
            <w:shd w:val="clear" w:color="auto" w:fill="auto"/>
            <w:noWrap/>
            <w:vAlign w:val="center"/>
            <w:hideMark/>
          </w:tcPr>
          <w:p w14:paraId="5356B65C"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900352197</w:t>
            </w:r>
          </w:p>
        </w:tc>
        <w:tc>
          <w:tcPr>
            <w:tcW w:w="3660" w:type="dxa"/>
            <w:tcBorders>
              <w:top w:val="nil"/>
              <w:left w:val="nil"/>
              <w:bottom w:val="single" w:sz="4" w:space="0" w:color="auto"/>
              <w:right w:val="single" w:sz="4" w:space="0" w:color="auto"/>
            </w:tcBorders>
            <w:shd w:val="clear" w:color="auto" w:fill="auto"/>
            <w:vAlign w:val="center"/>
            <w:hideMark/>
          </w:tcPr>
          <w:p w14:paraId="409ED87D"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GENERADORA LUZMA S.A.S. E.S.P.</w:t>
            </w:r>
          </w:p>
        </w:tc>
        <w:tc>
          <w:tcPr>
            <w:tcW w:w="800" w:type="dxa"/>
            <w:tcBorders>
              <w:top w:val="nil"/>
              <w:left w:val="nil"/>
              <w:bottom w:val="single" w:sz="4" w:space="0" w:color="auto"/>
              <w:right w:val="single" w:sz="4" w:space="0" w:color="auto"/>
            </w:tcBorders>
            <w:shd w:val="clear" w:color="auto" w:fill="auto"/>
            <w:noWrap/>
            <w:vAlign w:val="center"/>
            <w:hideMark/>
          </w:tcPr>
          <w:p w14:paraId="28E410EC"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Energia</w:t>
            </w:r>
          </w:p>
        </w:tc>
        <w:tc>
          <w:tcPr>
            <w:tcW w:w="1660" w:type="dxa"/>
            <w:tcBorders>
              <w:top w:val="nil"/>
              <w:left w:val="nil"/>
              <w:bottom w:val="single" w:sz="4" w:space="0" w:color="auto"/>
              <w:right w:val="single" w:sz="4" w:space="0" w:color="auto"/>
            </w:tcBorders>
            <w:shd w:val="clear" w:color="auto" w:fill="auto"/>
            <w:noWrap/>
            <w:vAlign w:val="center"/>
            <w:hideMark/>
          </w:tcPr>
          <w:p w14:paraId="5069FB96"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49,317,516,000</w:t>
            </w:r>
          </w:p>
        </w:tc>
        <w:tc>
          <w:tcPr>
            <w:tcW w:w="1720" w:type="dxa"/>
            <w:tcBorders>
              <w:top w:val="nil"/>
              <w:left w:val="nil"/>
              <w:bottom w:val="single" w:sz="4" w:space="0" w:color="auto"/>
              <w:right w:val="single" w:sz="4" w:space="0" w:color="auto"/>
            </w:tcBorders>
            <w:shd w:val="clear" w:color="auto" w:fill="auto"/>
            <w:noWrap/>
            <w:vAlign w:val="center"/>
            <w:hideMark/>
          </w:tcPr>
          <w:p w14:paraId="0CE578C5"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1,363,173,233</w:t>
            </w:r>
          </w:p>
        </w:tc>
      </w:tr>
      <w:tr w:rsidR="00117702" w:rsidRPr="00117702" w14:paraId="39948363" w14:textId="77777777" w:rsidTr="00117702">
        <w:trPr>
          <w:trHeight w:val="46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50A11907"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141</w:t>
            </w:r>
          </w:p>
        </w:tc>
        <w:tc>
          <w:tcPr>
            <w:tcW w:w="900" w:type="dxa"/>
            <w:tcBorders>
              <w:top w:val="nil"/>
              <w:left w:val="nil"/>
              <w:bottom w:val="single" w:sz="4" w:space="0" w:color="auto"/>
              <w:right w:val="single" w:sz="4" w:space="0" w:color="auto"/>
            </w:tcBorders>
            <w:shd w:val="clear" w:color="auto" w:fill="auto"/>
            <w:noWrap/>
            <w:vAlign w:val="center"/>
            <w:hideMark/>
          </w:tcPr>
          <w:p w14:paraId="4F4A07AB"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900082143</w:t>
            </w:r>
          </w:p>
        </w:tc>
        <w:tc>
          <w:tcPr>
            <w:tcW w:w="3660" w:type="dxa"/>
            <w:tcBorders>
              <w:top w:val="nil"/>
              <w:left w:val="nil"/>
              <w:bottom w:val="single" w:sz="4" w:space="0" w:color="auto"/>
              <w:right w:val="single" w:sz="4" w:space="0" w:color="auto"/>
            </w:tcBorders>
            <w:shd w:val="clear" w:color="auto" w:fill="auto"/>
            <w:vAlign w:val="center"/>
            <w:hideMark/>
          </w:tcPr>
          <w:p w14:paraId="66151B10"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GENERADORA Y COMERCIALIZADORA DE ENERGIA DEL CARIBE S.A E.S.P</w:t>
            </w:r>
          </w:p>
        </w:tc>
        <w:tc>
          <w:tcPr>
            <w:tcW w:w="800" w:type="dxa"/>
            <w:tcBorders>
              <w:top w:val="nil"/>
              <w:left w:val="nil"/>
              <w:bottom w:val="single" w:sz="4" w:space="0" w:color="auto"/>
              <w:right w:val="single" w:sz="4" w:space="0" w:color="auto"/>
            </w:tcBorders>
            <w:shd w:val="clear" w:color="auto" w:fill="auto"/>
            <w:noWrap/>
            <w:vAlign w:val="center"/>
            <w:hideMark/>
          </w:tcPr>
          <w:p w14:paraId="52BC1CE3"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Energia</w:t>
            </w:r>
          </w:p>
        </w:tc>
        <w:tc>
          <w:tcPr>
            <w:tcW w:w="1660" w:type="dxa"/>
            <w:tcBorders>
              <w:top w:val="nil"/>
              <w:left w:val="nil"/>
              <w:bottom w:val="single" w:sz="4" w:space="0" w:color="auto"/>
              <w:right w:val="single" w:sz="4" w:space="0" w:color="auto"/>
            </w:tcBorders>
            <w:shd w:val="clear" w:color="auto" w:fill="auto"/>
            <w:noWrap/>
            <w:vAlign w:val="center"/>
            <w:hideMark/>
          </w:tcPr>
          <w:p w14:paraId="15AD15C5"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636,786,089,000</w:t>
            </w:r>
          </w:p>
        </w:tc>
        <w:tc>
          <w:tcPr>
            <w:tcW w:w="1720" w:type="dxa"/>
            <w:tcBorders>
              <w:top w:val="nil"/>
              <w:left w:val="nil"/>
              <w:bottom w:val="single" w:sz="4" w:space="0" w:color="auto"/>
              <w:right w:val="single" w:sz="4" w:space="0" w:color="auto"/>
            </w:tcBorders>
            <w:shd w:val="clear" w:color="auto" w:fill="auto"/>
            <w:noWrap/>
            <w:vAlign w:val="center"/>
            <w:hideMark/>
          </w:tcPr>
          <w:p w14:paraId="2C28F039"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57,675,545,415</w:t>
            </w:r>
          </w:p>
        </w:tc>
      </w:tr>
      <w:tr w:rsidR="00117702" w:rsidRPr="00117702" w14:paraId="79F4C15E"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11814E26"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142</w:t>
            </w:r>
          </w:p>
        </w:tc>
        <w:tc>
          <w:tcPr>
            <w:tcW w:w="900" w:type="dxa"/>
            <w:tcBorders>
              <w:top w:val="nil"/>
              <w:left w:val="nil"/>
              <w:bottom w:val="single" w:sz="4" w:space="0" w:color="auto"/>
              <w:right w:val="single" w:sz="4" w:space="0" w:color="auto"/>
            </w:tcBorders>
            <w:shd w:val="clear" w:color="auto" w:fill="auto"/>
            <w:noWrap/>
            <w:vAlign w:val="center"/>
            <w:hideMark/>
          </w:tcPr>
          <w:p w14:paraId="289FD1D6"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830107528</w:t>
            </w:r>
          </w:p>
        </w:tc>
        <w:tc>
          <w:tcPr>
            <w:tcW w:w="3660" w:type="dxa"/>
            <w:tcBorders>
              <w:top w:val="nil"/>
              <w:left w:val="nil"/>
              <w:bottom w:val="single" w:sz="4" w:space="0" w:color="auto"/>
              <w:right w:val="single" w:sz="4" w:space="0" w:color="auto"/>
            </w:tcBorders>
            <w:shd w:val="clear" w:color="auto" w:fill="auto"/>
            <w:vAlign w:val="center"/>
            <w:hideMark/>
          </w:tcPr>
          <w:p w14:paraId="1641C3E7"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GENERARCO S.A.S. E.S.P.</w:t>
            </w:r>
          </w:p>
        </w:tc>
        <w:tc>
          <w:tcPr>
            <w:tcW w:w="800" w:type="dxa"/>
            <w:tcBorders>
              <w:top w:val="nil"/>
              <w:left w:val="nil"/>
              <w:bottom w:val="single" w:sz="4" w:space="0" w:color="auto"/>
              <w:right w:val="single" w:sz="4" w:space="0" w:color="auto"/>
            </w:tcBorders>
            <w:shd w:val="clear" w:color="auto" w:fill="auto"/>
            <w:noWrap/>
            <w:vAlign w:val="center"/>
            <w:hideMark/>
          </w:tcPr>
          <w:p w14:paraId="7405417E"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Energia</w:t>
            </w:r>
          </w:p>
        </w:tc>
        <w:tc>
          <w:tcPr>
            <w:tcW w:w="1660" w:type="dxa"/>
            <w:tcBorders>
              <w:top w:val="nil"/>
              <w:left w:val="nil"/>
              <w:bottom w:val="single" w:sz="4" w:space="0" w:color="auto"/>
              <w:right w:val="single" w:sz="4" w:space="0" w:color="auto"/>
            </w:tcBorders>
            <w:shd w:val="clear" w:color="auto" w:fill="auto"/>
            <w:noWrap/>
            <w:vAlign w:val="center"/>
            <w:hideMark/>
          </w:tcPr>
          <w:p w14:paraId="08AE710B"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166,598,660,000</w:t>
            </w:r>
          </w:p>
        </w:tc>
        <w:tc>
          <w:tcPr>
            <w:tcW w:w="1720" w:type="dxa"/>
            <w:tcBorders>
              <w:top w:val="nil"/>
              <w:left w:val="nil"/>
              <w:bottom w:val="single" w:sz="4" w:space="0" w:color="auto"/>
              <w:right w:val="single" w:sz="4" w:space="0" w:color="auto"/>
            </w:tcBorders>
            <w:shd w:val="clear" w:color="auto" w:fill="auto"/>
            <w:noWrap/>
            <w:vAlign w:val="center"/>
            <w:hideMark/>
          </w:tcPr>
          <w:p w14:paraId="273366A0"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199,869,629</w:t>
            </w:r>
          </w:p>
        </w:tc>
      </w:tr>
      <w:tr w:rsidR="00117702" w:rsidRPr="00117702" w14:paraId="34055D06"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3DAB2AA9"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143</w:t>
            </w:r>
          </w:p>
        </w:tc>
        <w:tc>
          <w:tcPr>
            <w:tcW w:w="900" w:type="dxa"/>
            <w:tcBorders>
              <w:top w:val="nil"/>
              <w:left w:val="nil"/>
              <w:bottom w:val="single" w:sz="4" w:space="0" w:color="auto"/>
              <w:right w:val="single" w:sz="4" w:space="0" w:color="auto"/>
            </w:tcBorders>
            <w:shd w:val="clear" w:color="auto" w:fill="auto"/>
            <w:noWrap/>
            <w:vAlign w:val="center"/>
            <w:hideMark/>
          </w:tcPr>
          <w:p w14:paraId="6A906471"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900154879</w:t>
            </w:r>
          </w:p>
        </w:tc>
        <w:tc>
          <w:tcPr>
            <w:tcW w:w="3660" w:type="dxa"/>
            <w:tcBorders>
              <w:top w:val="nil"/>
              <w:left w:val="nil"/>
              <w:bottom w:val="single" w:sz="4" w:space="0" w:color="auto"/>
              <w:right w:val="single" w:sz="4" w:space="0" w:color="auto"/>
            </w:tcBorders>
            <w:shd w:val="clear" w:color="auto" w:fill="auto"/>
            <w:vAlign w:val="center"/>
            <w:hideMark/>
          </w:tcPr>
          <w:p w14:paraId="406A3518" w14:textId="77777777" w:rsidR="00117702" w:rsidRPr="00D26825" w:rsidRDefault="00117702" w:rsidP="00117702">
            <w:pPr>
              <w:jc w:val="left"/>
              <w:rPr>
                <w:rFonts w:ascii="Arial Narrow" w:hAnsi="Arial Narrow" w:cs="Arial"/>
                <w:color w:val="000000"/>
                <w:spacing w:val="0"/>
                <w:sz w:val="18"/>
                <w:szCs w:val="18"/>
                <w:lang w:val="en-US" w:eastAsia="es-CO"/>
              </w:rPr>
            </w:pPr>
            <w:r w:rsidRPr="00D26825">
              <w:rPr>
                <w:rFonts w:ascii="Arial Narrow" w:hAnsi="Arial Narrow" w:cs="Arial"/>
                <w:color w:val="000000"/>
                <w:spacing w:val="0"/>
                <w:sz w:val="18"/>
                <w:szCs w:val="18"/>
                <w:lang w:val="en-US" w:eastAsia="es-CO"/>
              </w:rPr>
              <w:t>GENERSYS S.A.S E.S.P.</w:t>
            </w:r>
          </w:p>
        </w:tc>
        <w:tc>
          <w:tcPr>
            <w:tcW w:w="800" w:type="dxa"/>
            <w:tcBorders>
              <w:top w:val="nil"/>
              <w:left w:val="nil"/>
              <w:bottom w:val="single" w:sz="4" w:space="0" w:color="auto"/>
              <w:right w:val="single" w:sz="4" w:space="0" w:color="auto"/>
            </w:tcBorders>
            <w:shd w:val="clear" w:color="auto" w:fill="auto"/>
            <w:noWrap/>
            <w:vAlign w:val="center"/>
            <w:hideMark/>
          </w:tcPr>
          <w:p w14:paraId="45839EBA"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Energia</w:t>
            </w:r>
          </w:p>
        </w:tc>
        <w:tc>
          <w:tcPr>
            <w:tcW w:w="1660" w:type="dxa"/>
            <w:tcBorders>
              <w:top w:val="nil"/>
              <w:left w:val="nil"/>
              <w:bottom w:val="single" w:sz="4" w:space="0" w:color="auto"/>
              <w:right w:val="single" w:sz="4" w:space="0" w:color="auto"/>
            </w:tcBorders>
            <w:shd w:val="clear" w:color="auto" w:fill="auto"/>
            <w:noWrap/>
            <w:vAlign w:val="center"/>
            <w:hideMark/>
          </w:tcPr>
          <w:p w14:paraId="656D2A92"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108,584,444,000</w:t>
            </w:r>
          </w:p>
        </w:tc>
        <w:tc>
          <w:tcPr>
            <w:tcW w:w="1720" w:type="dxa"/>
            <w:tcBorders>
              <w:top w:val="nil"/>
              <w:left w:val="nil"/>
              <w:bottom w:val="single" w:sz="4" w:space="0" w:color="auto"/>
              <w:right w:val="single" w:sz="4" w:space="0" w:color="auto"/>
            </w:tcBorders>
            <w:shd w:val="clear" w:color="auto" w:fill="auto"/>
            <w:noWrap/>
            <w:vAlign w:val="center"/>
            <w:hideMark/>
          </w:tcPr>
          <w:p w14:paraId="28071D8C"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150,991,000</w:t>
            </w:r>
          </w:p>
        </w:tc>
      </w:tr>
      <w:tr w:rsidR="00117702" w:rsidRPr="00117702" w14:paraId="273E05C9"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4CCE8EDD"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144</w:t>
            </w:r>
          </w:p>
        </w:tc>
        <w:tc>
          <w:tcPr>
            <w:tcW w:w="900" w:type="dxa"/>
            <w:tcBorders>
              <w:top w:val="nil"/>
              <w:left w:val="nil"/>
              <w:bottom w:val="single" w:sz="4" w:space="0" w:color="auto"/>
              <w:right w:val="single" w:sz="4" w:space="0" w:color="auto"/>
            </w:tcBorders>
            <w:shd w:val="clear" w:color="auto" w:fill="auto"/>
            <w:noWrap/>
            <w:vAlign w:val="center"/>
            <w:hideMark/>
          </w:tcPr>
          <w:p w14:paraId="2B4B8C67"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900579800</w:t>
            </w:r>
          </w:p>
        </w:tc>
        <w:tc>
          <w:tcPr>
            <w:tcW w:w="3660" w:type="dxa"/>
            <w:tcBorders>
              <w:top w:val="nil"/>
              <w:left w:val="nil"/>
              <w:bottom w:val="single" w:sz="4" w:space="0" w:color="auto"/>
              <w:right w:val="single" w:sz="4" w:space="0" w:color="auto"/>
            </w:tcBorders>
            <w:shd w:val="clear" w:color="auto" w:fill="auto"/>
            <w:vAlign w:val="center"/>
            <w:hideMark/>
          </w:tcPr>
          <w:p w14:paraId="0C561646"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GENSER POWER SAS ESP</w:t>
            </w:r>
          </w:p>
        </w:tc>
        <w:tc>
          <w:tcPr>
            <w:tcW w:w="800" w:type="dxa"/>
            <w:tcBorders>
              <w:top w:val="nil"/>
              <w:left w:val="nil"/>
              <w:bottom w:val="single" w:sz="4" w:space="0" w:color="auto"/>
              <w:right w:val="single" w:sz="4" w:space="0" w:color="auto"/>
            </w:tcBorders>
            <w:shd w:val="clear" w:color="auto" w:fill="auto"/>
            <w:noWrap/>
            <w:vAlign w:val="center"/>
            <w:hideMark/>
          </w:tcPr>
          <w:p w14:paraId="5DA14083"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Energia</w:t>
            </w:r>
          </w:p>
        </w:tc>
        <w:tc>
          <w:tcPr>
            <w:tcW w:w="1660" w:type="dxa"/>
            <w:tcBorders>
              <w:top w:val="nil"/>
              <w:left w:val="nil"/>
              <w:bottom w:val="single" w:sz="4" w:space="0" w:color="auto"/>
              <w:right w:val="single" w:sz="4" w:space="0" w:color="auto"/>
            </w:tcBorders>
            <w:shd w:val="clear" w:color="auto" w:fill="auto"/>
            <w:noWrap/>
            <w:vAlign w:val="center"/>
            <w:hideMark/>
          </w:tcPr>
          <w:p w14:paraId="0E34CD91"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8,572,559,000</w:t>
            </w:r>
          </w:p>
        </w:tc>
        <w:tc>
          <w:tcPr>
            <w:tcW w:w="1720" w:type="dxa"/>
            <w:tcBorders>
              <w:top w:val="nil"/>
              <w:left w:val="nil"/>
              <w:bottom w:val="single" w:sz="4" w:space="0" w:color="auto"/>
              <w:right w:val="single" w:sz="4" w:space="0" w:color="auto"/>
            </w:tcBorders>
            <w:shd w:val="clear" w:color="auto" w:fill="auto"/>
            <w:noWrap/>
            <w:vAlign w:val="center"/>
            <w:hideMark/>
          </w:tcPr>
          <w:p w14:paraId="1ABEDD57"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574,077,829</w:t>
            </w:r>
          </w:p>
        </w:tc>
      </w:tr>
      <w:tr w:rsidR="00117702" w:rsidRPr="00117702" w14:paraId="72E040A5"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1170A5D2"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145</w:t>
            </w:r>
          </w:p>
        </w:tc>
        <w:tc>
          <w:tcPr>
            <w:tcW w:w="900" w:type="dxa"/>
            <w:tcBorders>
              <w:top w:val="nil"/>
              <w:left w:val="nil"/>
              <w:bottom w:val="single" w:sz="4" w:space="0" w:color="auto"/>
              <w:right w:val="single" w:sz="4" w:space="0" w:color="auto"/>
            </w:tcBorders>
            <w:shd w:val="clear" w:color="auto" w:fill="auto"/>
            <w:noWrap/>
            <w:vAlign w:val="center"/>
            <w:hideMark/>
          </w:tcPr>
          <w:p w14:paraId="29962CCD"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800194208</w:t>
            </w:r>
          </w:p>
        </w:tc>
        <w:tc>
          <w:tcPr>
            <w:tcW w:w="3660" w:type="dxa"/>
            <w:tcBorders>
              <w:top w:val="nil"/>
              <w:left w:val="nil"/>
              <w:bottom w:val="single" w:sz="4" w:space="0" w:color="auto"/>
              <w:right w:val="single" w:sz="4" w:space="0" w:color="auto"/>
            </w:tcBorders>
            <w:shd w:val="clear" w:color="auto" w:fill="auto"/>
            <w:vAlign w:val="center"/>
            <w:hideMark/>
          </w:tcPr>
          <w:p w14:paraId="01418134"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GESTION ENERGETICA S.A. ESP</w:t>
            </w:r>
          </w:p>
        </w:tc>
        <w:tc>
          <w:tcPr>
            <w:tcW w:w="800" w:type="dxa"/>
            <w:tcBorders>
              <w:top w:val="nil"/>
              <w:left w:val="nil"/>
              <w:bottom w:val="single" w:sz="4" w:space="0" w:color="auto"/>
              <w:right w:val="single" w:sz="4" w:space="0" w:color="auto"/>
            </w:tcBorders>
            <w:shd w:val="clear" w:color="auto" w:fill="auto"/>
            <w:noWrap/>
            <w:vAlign w:val="center"/>
            <w:hideMark/>
          </w:tcPr>
          <w:p w14:paraId="49065B5E"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Energia</w:t>
            </w:r>
          </w:p>
        </w:tc>
        <w:tc>
          <w:tcPr>
            <w:tcW w:w="1660" w:type="dxa"/>
            <w:tcBorders>
              <w:top w:val="nil"/>
              <w:left w:val="nil"/>
              <w:bottom w:val="single" w:sz="4" w:space="0" w:color="auto"/>
              <w:right w:val="single" w:sz="4" w:space="0" w:color="auto"/>
            </w:tcBorders>
            <w:shd w:val="clear" w:color="auto" w:fill="auto"/>
            <w:noWrap/>
            <w:vAlign w:val="center"/>
            <w:hideMark/>
          </w:tcPr>
          <w:p w14:paraId="13EBF6D3"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482,034,445,082</w:t>
            </w:r>
          </w:p>
        </w:tc>
        <w:tc>
          <w:tcPr>
            <w:tcW w:w="1720" w:type="dxa"/>
            <w:tcBorders>
              <w:top w:val="nil"/>
              <w:left w:val="nil"/>
              <w:bottom w:val="single" w:sz="4" w:space="0" w:color="auto"/>
              <w:right w:val="single" w:sz="4" w:space="0" w:color="auto"/>
            </w:tcBorders>
            <w:shd w:val="clear" w:color="auto" w:fill="auto"/>
            <w:noWrap/>
            <w:vAlign w:val="center"/>
            <w:hideMark/>
          </w:tcPr>
          <w:p w14:paraId="5E68BB24"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15,257,884,078</w:t>
            </w:r>
          </w:p>
        </w:tc>
      </w:tr>
      <w:tr w:rsidR="00117702" w:rsidRPr="00117702" w14:paraId="5A4E5588"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201D01B7"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146</w:t>
            </w:r>
          </w:p>
        </w:tc>
        <w:tc>
          <w:tcPr>
            <w:tcW w:w="900" w:type="dxa"/>
            <w:tcBorders>
              <w:top w:val="nil"/>
              <w:left w:val="nil"/>
              <w:bottom w:val="single" w:sz="4" w:space="0" w:color="auto"/>
              <w:right w:val="single" w:sz="4" w:space="0" w:color="auto"/>
            </w:tcBorders>
            <w:shd w:val="clear" w:color="auto" w:fill="auto"/>
            <w:noWrap/>
            <w:vAlign w:val="center"/>
            <w:hideMark/>
          </w:tcPr>
          <w:p w14:paraId="13D7820E"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900922760</w:t>
            </w:r>
          </w:p>
        </w:tc>
        <w:tc>
          <w:tcPr>
            <w:tcW w:w="3660" w:type="dxa"/>
            <w:tcBorders>
              <w:top w:val="nil"/>
              <w:left w:val="nil"/>
              <w:bottom w:val="single" w:sz="4" w:space="0" w:color="auto"/>
              <w:right w:val="single" w:sz="4" w:space="0" w:color="auto"/>
            </w:tcBorders>
            <w:shd w:val="clear" w:color="auto" w:fill="auto"/>
            <w:vAlign w:val="center"/>
            <w:hideMark/>
          </w:tcPr>
          <w:p w14:paraId="4DA50BE2"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 xml:space="preserve">GLOBAL, REDES Y OBRAS S.A.S. E.S.P. </w:t>
            </w:r>
          </w:p>
        </w:tc>
        <w:tc>
          <w:tcPr>
            <w:tcW w:w="800" w:type="dxa"/>
            <w:tcBorders>
              <w:top w:val="nil"/>
              <w:left w:val="nil"/>
              <w:bottom w:val="single" w:sz="4" w:space="0" w:color="auto"/>
              <w:right w:val="single" w:sz="4" w:space="0" w:color="auto"/>
            </w:tcBorders>
            <w:shd w:val="clear" w:color="auto" w:fill="auto"/>
            <w:noWrap/>
            <w:vAlign w:val="center"/>
            <w:hideMark/>
          </w:tcPr>
          <w:p w14:paraId="4FC5AACD"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GasNatural</w:t>
            </w:r>
          </w:p>
        </w:tc>
        <w:tc>
          <w:tcPr>
            <w:tcW w:w="1660" w:type="dxa"/>
            <w:tcBorders>
              <w:top w:val="nil"/>
              <w:left w:val="nil"/>
              <w:bottom w:val="single" w:sz="4" w:space="0" w:color="auto"/>
              <w:right w:val="single" w:sz="4" w:space="0" w:color="auto"/>
            </w:tcBorders>
            <w:shd w:val="clear" w:color="auto" w:fill="auto"/>
            <w:noWrap/>
            <w:vAlign w:val="center"/>
            <w:hideMark/>
          </w:tcPr>
          <w:p w14:paraId="6D36622C"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1,599,813,798</w:t>
            </w:r>
          </w:p>
        </w:tc>
        <w:tc>
          <w:tcPr>
            <w:tcW w:w="1720" w:type="dxa"/>
            <w:tcBorders>
              <w:top w:val="nil"/>
              <w:left w:val="nil"/>
              <w:bottom w:val="single" w:sz="4" w:space="0" w:color="auto"/>
              <w:right w:val="single" w:sz="4" w:space="0" w:color="auto"/>
            </w:tcBorders>
            <w:shd w:val="clear" w:color="auto" w:fill="auto"/>
            <w:noWrap/>
            <w:vAlign w:val="center"/>
            <w:hideMark/>
          </w:tcPr>
          <w:p w14:paraId="5A611ACF"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381,084,892</w:t>
            </w:r>
          </w:p>
        </w:tc>
      </w:tr>
      <w:tr w:rsidR="00117702" w:rsidRPr="00117702" w14:paraId="240B7C1E"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0A34368C"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147</w:t>
            </w:r>
          </w:p>
        </w:tc>
        <w:tc>
          <w:tcPr>
            <w:tcW w:w="900" w:type="dxa"/>
            <w:tcBorders>
              <w:top w:val="nil"/>
              <w:left w:val="nil"/>
              <w:bottom w:val="single" w:sz="4" w:space="0" w:color="auto"/>
              <w:right w:val="single" w:sz="4" w:space="0" w:color="auto"/>
            </w:tcBorders>
            <w:shd w:val="clear" w:color="auto" w:fill="auto"/>
            <w:noWrap/>
            <w:vAlign w:val="center"/>
            <w:hideMark/>
          </w:tcPr>
          <w:p w14:paraId="101D612B"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860516431</w:t>
            </w:r>
          </w:p>
        </w:tc>
        <w:tc>
          <w:tcPr>
            <w:tcW w:w="3660" w:type="dxa"/>
            <w:tcBorders>
              <w:top w:val="nil"/>
              <w:left w:val="nil"/>
              <w:bottom w:val="single" w:sz="4" w:space="0" w:color="auto"/>
              <w:right w:val="single" w:sz="4" w:space="0" w:color="auto"/>
            </w:tcBorders>
            <w:shd w:val="clear" w:color="auto" w:fill="auto"/>
            <w:vAlign w:val="center"/>
            <w:hideMark/>
          </w:tcPr>
          <w:p w14:paraId="52256CF6"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GRAN TIERRA ENERGY COLOMBIA LTD</w:t>
            </w:r>
          </w:p>
        </w:tc>
        <w:tc>
          <w:tcPr>
            <w:tcW w:w="800" w:type="dxa"/>
            <w:tcBorders>
              <w:top w:val="nil"/>
              <w:left w:val="nil"/>
              <w:bottom w:val="single" w:sz="4" w:space="0" w:color="auto"/>
              <w:right w:val="single" w:sz="4" w:space="0" w:color="auto"/>
            </w:tcBorders>
            <w:shd w:val="clear" w:color="auto" w:fill="auto"/>
            <w:noWrap/>
            <w:vAlign w:val="center"/>
            <w:hideMark/>
          </w:tcPr>
          <w:p w14:paraId="00D1F801"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GasNatural</w:t>
            </w:r>
          </w:p>
        </w:tc>
        <w:tc>
          <w:tcPr>
            <w:tcW w:w="1660" w:type="dxa"/>
            <w:tcBorders>
              <w:top w:val="nil"/>
              <w:left w:val="nil"/>
              <w:bottom w:val="single" w:sz="4" w:space="0" w:color="auto"/>
              <w:right w:val="single" w:sz="4" w:space="0" w:color="auto"/>
            </w:tcBorders>
            <w:shd w:val="clear" w:color="auto" w:fill="auto"/>
            <w:noWrap/>
            <w:vAlign w:val="center"/>
            <w:hideMark/>
          </w:tcPr>
          <w:p w14:paraId="122401A7"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2,303,492,255</w:t>
            </w:r>
          </w:p>
        </w:tc>
        <w:tc>
          <w:tcPr>
            <w:tcW w:w="1720" w:type="dxa"/>
            <w:tcBorders>
              <w:top w:val="nil"/>
              <w:left w:val="nil"/>
              <w:bottom w:val="single" w:sz="4" w:space="0" w:color="auto"/>
              <w:right w:val="single" w:sz="4" w:space="0" w:color="auto"/>
            </w:tcBorders>
            <w:shd w:val="clear" w:color="auto" w:fill="auto"/>
            <w:noWrap/>
            <w:vAlign w:val="center"/>
            <w:hideMark/>
          </w:tcPr>
          <w:p w14:paraId="0A601B7F"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364,437,115</w:t>
            </w:r>
          </w:p>
        </w:tc>
      </w:tr>
      <w:tr w:rsidR="00117702" w:rsidRPr="00117702" w14:paraId="40C5C8DF"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67A543BB"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148</w:t>
            </w:r>
          </w:p>
        </w:tc>
        <w:tc>
          <w:tcPr>
            <w:tcW w:w="900" w:type="dxa"/>
            <w:tcBorders>
              <w:top w:val="nil"/>
              <w:left w:val="nil"/>
              <w:bottom w:val="single" w:sz="4" w:space="0" w:color="auto"/>
              <w:right w:val="single" w:sz="4" w:space="0" w:color="auto"/>
            </w:tcBorders>
            <w:shd w:val="clear" w:color="auto" w:fill="auto"/>
            <w:noWrap/>
            <w:vAlign w:val="center"/>
            <w:hideMark/>
          </w:tcPr>
          <w:p w14:paraId="4A24414D"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891800082</w:t>
            </w:r>
          </w:p>
        </w:tc>
        <w:tc>
          <w:tcPr>
            <w:tcW w:w="3660" w:type="dxa"/>
            <w:tcBorders>
              <w:top w:val="nil"/>
              <w:left w:val="nil"/>
              <w:bottom w:val="single" w:sz="4" w:space="0" w:color="auto"/>
              <w:right w:val="single" w:sz="4" w:space="0" w:color="auto"/>
            </w:tcBorders>
            <w:shd w:val="clear" w:color="auto" w:fill="auto"/>
            <w:vAlign w:val="center"/>
            <w:hideMark/>
          </w:tcPr>
          <w:p w14:paraId="6BE9F964"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GRANADOS, GOMEZ Y CIA S.A. E.S.P.</w:t>
            </w:r>
          </w:p>
        </w:tc>
        <w:tc>
          <w:tcPr>
            <w:tcW w:w="800" w:type="dxa"/>
            <w:tcBorders>
              <w:top w:val="nil"/>
              <w:left w:val="nil"/>
              <w:bottom w:val="single" w:sz="4" w:space="0" w:color="auto"/>
              <w:right w:val="single" w:sz="4" w:space="0" w:color="auto"/>
            </w:tcBorders>
            <w:shd w:val="clear" w:color="auto" w:fill="auto"/>
            <w:noWrap/>
            <w:vAlign w:val="center"/>
            <w:hideMark/>
          </w:tcPr>
          <w:p w14:paraId="0A116A0B"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GLP</w:t>
            </w:r>
          </w:p>
        </w:tc>
        <w:tc>
          <w:tcPr>
            <w:tcW w:w="1660" w:type="dxa"/>
            <w:tcBorders>
              <w:top w:val="nil"/>
              <w:left w:val="nil"/>
              <w:bottom w:val="single" w:sz="4" w:space="0" w:color="auto"/>
              <w:right w:val="single" w:sz="4" w:space="0" w:color="auto"/>
            </w:tcBorders>
            <w:shd w:val="clear" w:color="auto" w:fill="auto"/>
            <w:noWrap/>
            <w:vAlign w:val="center"/>
            <w:hideMark/>
          </w:tcPr>
          <w:p w14:paraId="591DCD16"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6,866,205,000</w:t>
            </w:r>
          </w:p>
        </w:tc>
        <w:tc>
          <w:tcPr>
            <w:tcW w:w="1720" w:type="dxa"/>
            <w:tcBorders>
              <w:top w:val="nil"/>
              <w:left w:val="nil"/>
              <w:bottom w:val="single" w:sz="4" w:space="0" w:color="auto"/>
              <w:right w:val="single" w:sz="4" w:space="0" w:color="auto"/>
            </w:tcBorders>
            <w:shd w:val="clear" w:color="auto" w:fill="auto"/>
            <w:noWrap/>
            <w:vAlign w:val="center"/>
            <w:hideMark/>
          </w:tcPr>
          <w:p w14:paraId="67519B75"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1,110,328,729</w:t>
            </w:r>
          </w:p>
        </w:tc>
      </w:tr>
      <w:tr w:rsidR="00117702" w:rsidRPr="00117702" w14:paraId="0B09230E"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7EB7E607"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149</w:t>
            </w:r>
          </w:p>
        </w:tc>
        <w:tc>
          <w:tcPr>
            <w:tcW w:w="900" w:type="dxa"/>
            <w:tcBorders>
              <w:top w:val="nil"/>
              <w:left w:val="nil"/>
              <w:bottom w:val="single" w:sz="4" w:space="0" w:color="auto"/>
              <w:right w:val="single" w:sz="4" w:space="0" w:color="auto"/>
            </w:tcBorders>
            <w:shd w:val="clear" w:color="auto" w:fill="auto"/>
            <w:noWrap/>
            <w:vAlign w:val="center"/>
            <w:hideMark/>
          </w:tcPr>
          <w:p w14:paraId="7000A4A2"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900210455</w:t>
            </w:r>
          </w:p>
        </w:tc>
        <w:tc>
          <w:tcPr>
            <w:tcW w:w="3660" w:type="dxa"/>
            <w:tcBorders>
              <w:top w:val="nil"/>
              <w:left w:val="nil"/>
              <w:bottom w:val="single" w:sz="4" w:space="0" w:color="auto"/>
              <w:right w:val="single" w:sz="4" w:space="0" w:color="auto"/>
            </w:tcBorders>
            <w:shd w:val="clear" w:color="auto" w:fill="auto"/>
            <w:vAlign w:val="center"/>
            <w:hideMark/>
          </w:tcPr>
          <w:p w14:paraId="63B8D210"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GUANAQUITAS S.A.S E.S.P</w:t>
            </w:r>
          </w:p>
        </w:tc>
        <w:tc>
          <w:tcPr>
            <w:tcW w:w="800" w:type="dxa"/>
            <w:tcBorders>
              <w:top w:val="nil"/>
              <w:left w:val="nil"/>
              <w:bottom w:val="single" w:sz="4" w:space="0" w:color="auto"/>
              <w:right w:val="single" w:sz="4" w:space="0" w:color="auto"/>
            </w:tcBorders>
            <w:shd w:val="clear" w:color="auto" w:fill="auto"/>
            <w:noWrap/>
            <w:vAlign w:val="center"/>
            <w:hideMark/>
          </w:tcPr>
          <w:p w14:paraId="445F895A"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Energia</w:t>
            </w:r>
          </w:p>
        </w:tc>
        <w:tc>
          <w:tcPr>
            <w:tcW w:w="1660" w:type="dxa"/>
            <w:tcBorders>
              <w:top w:val="nil"/>
              <w:left w:val="nil"/>
              <w:bottom w:val="single" w:sz="4" w:space="0" w:color="auto"/>
              <w:right w:val="single" w:sz="4" w:space="0" w:color="auto"/>
            </w:tcBorders>
            <w:shd w:val="clear" w:color="auto" w:fill="auto"/>
            <w:noWrap/>
            <w:vAlign w:val="center"/>
            <w:hideMark/>
          </w:tcPr>
          <w:p w14:paraId="20251DDC"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4,446,427,000</w:t>
            </w:r>
          </w:p>
        </w:tc>
        <w:tc>
          <w:tcPr>
            <w:tcW w:w="1720" w:type="dxa"/>
            <w:tcBorders>
              <w:top w:val="nil"/>
              <w:left w:val="nil"/>
              <w:bottom w:val="single" w:sz="4" w:space="0" w:color="auto"/>
              <w:right w:val="single" w:sz="4" w:space="0" w:color="auto"/>
            </w:tcBorders>
            <w:shd w:val="clear" w:color="auto" w:fill="auto"/>
            <w:noWrap/>
            <w:vAlign w:val="center"/>
            <w:hideMark/>
          </w:tcPr>
          <w:p w14:paraId="4AF7446F"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656,910,196</w:t>
            </w:r>
          </w:p>
        </w:tc>
      </w:tr>
      <w:tr w:rsidR="00117702" w:rsidRPr="00117702" w14:paraId="2418900C"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7892838F"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150</w:t>
            </w:r>
          </w:p>
        </w:tc>
        <w:tc>
          <w:tcPr>
            <w:tcW w:w="900" w:type="dxa"/>
            <w:tcBorders>
              <w:top w:val="nil"/>
              <w:left w:val="nil"/>
              <w:bottom w:val="single" w:sz="4" w:space="0" w:color="auto"/>
              <w:right w:val="single" w:sz="4" w:space="0" w:color="auto"/>
            </w:tcBorders>
            <w:shd w:val="clear" w:color="auto" w:fill="auto"/>
            <w:noWrap/>
            <w:vAlign w:val="center"/>
            <w:hideMark/>
          </w:tcPr>
          <w:p w14:paraId="27CDFCFC"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900197640</w:t>
            </w:r>
          </w:p>
        </w:tc>
        <w:tc>
          <w:tcPr>
            <w:tcW w:w="3660" w:type="dxa"/>
            <w:tcBorders>
              <w:top w:val="nil"/>
              <w:left w:val="nil"/>
              <w:bottom w:val="single" w:sz="4" w:space="0" w:color="auto"/>
              <w:right w:val="single" w:sz="4" w:space="0" w:color="auto"/>
            </w:tcBorders>
            <w:shd w:val="clear" w:color="auto" w:fill="auto"/>
            <w:vAlign w:val="center"/>
            <w:hideMark/>
          </w:tcPr>
          <w:p w14:paraId="246F2917"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HEGA SA ESP</w:t>
            </w:r>
          </w:p>
        </w:tc>
        <w:tc>
          <w:tcPr>
            <w:tcW w:w="800" w:type="dxa"/>
            <w:tcBorders>
              <w:top w:val="nil"/>
              <w:left w:val="nil"/>
              <w:bottom w:val="single" w:sz="4" w:space="0" w:color="auto"/>
              <w:right w:val="single" w:sz="4" w:space="0" w:color="auto"/>
            </w:tcBorders>
            <w:shd w:val="clear" w:color="auto" w:fill="auto"/>
            <w:noWrap/>
            <w:vAlign w:val="center"/>
            <w:hideMark/>
          </w:tcPr>
          <w:p w14:paraId="57880D27"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GasNatural</w:t>
            </w:r>
          </w:p>
        </w:tc>
        <w:tc>
          <w:tcPr>
            <w:tcW w:w="1660" w:type="dxa"/>
            <w:tcBorders>
              <w:top w:val="nil"/>
              <w:left w:val="nil"/>
              <w:bottom w:val="single" w:sz="4" w:space="0" w:color="auto"/>
              <w:right w:val="single" w:sz="4" w:space="0" w:color="auto"/>
            </w:tcBorders>
            <w:shd w:val="clear" w:color="auto" w:fill="auto"/>
            <w:noWrap/>
            <w:vAlign w:val="center"/>
            <w:hideMark/>
          </w:tcPr>
          <w:p w14:paraId="196D7B0B"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995,173,651</w:t>
            </w:r>
          </w:p>
        </w:tc>
        <w:tc>
          <w:tcPr>
            <w:tcW w:w="1720" w:type="dxa"/>
            <w:tcBorders>
              <w:top w:val="nil"/>
              <w:left w:val="nil"/>
              <w:bottom w:val="single" w:sz="4" w:space="0" w:color="auto"/>
              <w:right w:val="single" w:sz="4" w:space="0" w:color="auto"/>
            </w:tcBorders>
            <w:shd w:val="clear" w:color="auto" w:fill="auto"/>
            <w:noWrap/>
            <w:vAlign w:val="center"/>
            <w:hideMark/>
          </w:tcPr>
          <w:p w14:paraId="181621BA"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312,341,186</w:t>
            </w:r>
          </w:p>
        </w:tc>
      </w:tr>
      <w:tr w:rsidR="00117702" w:rsidRPr="00117702" w14:paraId="5667B264"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5D5AEE08"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151</w:t>
            </w:r>
          </w:p>
        </w:tc>
        <w:tc>
          <w:tcPr>
            <w:tcW w:w="900" w:type="dxa"/>
            <w:tcBorders>
              <w:top w:val="nil"/>
              <w:left w:val="nil"/>
              <w:bottom w:val="single" w:sz="4" w:space="0" w:color="auto"/>
              <w:right w:val="single" w:sz="4" w:space="0" w:color="auto"/>
            </w:tcBorders>
            <w:shd w:val="clear" w:color="auto" w:fill="auto"/>
            <w:noWrap/>
            <w:vAlign w:val="center"/>
            <w:hideMark/>
          </w:tcPr>
          <w:p w14:paraId="046A824D"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900466775</w:t>
            </w:r>
          </w:p>
        </w:tc>
        <w:tc>
          <w:tcPr>
            <w:tcW w:w="3660" w:type="dxa"/>
            <w:tcBorders>
              <w:top w:val="nil"/>
              <w:left w:val="nil"/>
              <w:bottom w:val="single" w:sz="4" w:space="0" w:color="auto"/>
              <w:right w:val="single" w:sz="4" w:space="0" w:color="auto"/>
            </w:tcBorders>
            <w:shd w:val="clear" w:color="auto" w:fill="auto"/>
            <w:vAlign w:val="center"/>
            <w:hideMark/>
          </w:tcPr>
          <w:p w14:paraId="05156BD7"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HIDROELECTRICA DEL ALTO PORCE S.A.S  E.S.P</w:t>
            </w:r>
          </w:p>
        </w:tc>
        <w:tc>
          <w:tcPr>
            <w:tcW w:w="800" w:type="dxa"/>
            <w:tcBorders>
              <w:top w:val="nil"/>
              <w:left w:val="nil"/>
              <w:bottom w:val="single" w:sz="4" w:space="0" w:color="auto"/>
              <w:right w:val="single" w:sz="4" w:space="0" w:color="auto"/>
            </w:tcBorders>
            <w:shd w:val="clear" w:color="auto" w:fill="auto"/>
            <w:noWrap/>
            <w:vAlign w:val="center"/>
            <w:hideMark/>
          </w:tcPr>
          <w:p w14:paraId="21D6BC7F"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Energia</w:t>
            </w:r>
          </w:p>
        </w:tc>
        <w:tc>
          <w:tcPr>
            <w:tcW w:w="1660" w:type="dxa"/>
            <w:tcBorders>
              <w:top w:val="nil"/>
              <w:left w:val="nil"/>
              <w:bottom w:val="single" w:sz="4" w:space="0" w:color="auto"/>
              <w:right w:val="single" w:sz="4" w:space="0" w:color="auto"/>
            </w:tcBorders>
            <w:shd w:val="clear" w:color="auto" w:fill="auto"/>
            <w:noWrap/>
            <w:vAlign w:val="center"/>
            <w:hideMark/>
          </w:tcPr>
          <w:p w14:paraId="460A201D"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59,909,074,000</w:t>
            </w:r>
          </w:p>
        </w:tc>
        <w:tc>
          <w:tcPr>
            <w:tcW w:w="1720" w:type="dxa"/>
            <w:tcBorders>
              <w:top w:val="nil"/>
              <w:left w:val="nil"/>
              <w:bottom w:val="single" w:sz="4" w:space="0" w:color="auto"/>
              <w:right w:val="single" w:sz="4" w:space="0" w:color="auto"/>
            </w:tcBorders>
            <w:shd w:val="clear" w:color="auto" w:fill="auto"/>
            <w:noWrap/>
            <w:vAlign w:val="center"/>
            <w:hideMark/>
          </w:tcPr>
          <w:p w14:paraId="0D7ED96C"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239,664,193</w:t>
            </w:r>
          </w:p>
        </w:tc>
      </w:tr>
      <w:tr w:rsidR="00117702" w:rsidRPr="00117702" w14:paraId="21CD53AB"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63337BF8"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152</w:t>
            </w:r>
          </w:p>
        </w:tc>
        <w:tc>
          <w:tcPr>
            <w:tcW w:w="900" w:type="dxa"/>
            <w:tcBorders>
              <w:top w:val="nil"/>
              <w:left w:val="nil"/>
              <w:bottom w:val="single" w:sz="4" w:space="0" w:color="auto"/>
              <w:right w:val="single" w:sz="4" w:space="0" w:color="auto"/>
            </w:tcBorders>
            <w:shd w:val="clear" w:color="auto" w:fill="auto"/>
            <w:noWrap/>
            <w:vAlign w:val="center"/>
            <w:hideMark/>
          </w:tcPr>
          <w:p w14:paraId="4927CA89"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900097320</w:t>
            </w:r>
          </w:p>
        </w:tc>
        <w:tc>
          <w:tcPr>
            <w:tcW w:w="3660" w:type="dxa"/>
            <w:tcBorders>
              <w:top w:val="nil"/>
              <w:left w:val="nil"/>
              <w:bottom w:val="single" w:sz="4" w:space="0" w:color="auto"/>
              <w:right w:val="single" w:sz="4" w:space="0" w:color="auto"/>
            </w:tcBorders>
            <w:shd w:val="clear" w:color="auto" w:fill="auto"/>
            <w:vAlign w:val="center"/>
            <w:hideMark/>
          </w:tcPr>
          <w:p w14:paraId="1691C3C3"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HIDROTOLIMA S.A.S E.S.P</w:t>
            </w:r>
          </w:p>
        </w:tc>
        <w:tc>
          <w:tcPr>
            <w:tcW w:w="800" w:type="dxa"/>
            <w:tcBorders>
              <w:top w:val="nil"/>
              <w:left w:val="nil"/>
              <w:bottom w:val="single" w:sz="4" w:space="0" w:color="auto"/>
              <w:right w:val="single" w:sz="4" w:space="0" w:color="auto"/>
            </w:tcBorders>
            <w:shd w:val="clear" w:color="auto" w:fill="auto"/>
            <w:noWrap/>
            <w:vAlign w:val="center"/>
            <w:hideMark/>
          </w:tcPr>
          <w:p w14:paraId="710FC915"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Energia</w:t>
            </w:r>
          </w:p>
        </w:tc>
        <w:tc>
          <w:tcPr>
            <w:tcW w:w="1660" w:type="dxa"/>
            <w:tcBorders>
              <w:top w:val="nil"/>
              <w:left w:val="nil"/>
              <w:bottom w:val="single" w:sz="4" w:space="0" w:color="auto"/>
              <w:right w:val="single" w:sz="4" w:space="0" w:color="auto"/>
            </w:tcBorders>
            <w:shd w:val="clear" w:color="auto" w:fill="auto"/>
            <w:noWrap/>
            <w:vAlign w:val="center"/>
            <w:hideMark/>
          </w:tcPr>
          <w:p w14:paraId="05A22225"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6,505,386,000</w:t>
            </w:r>
          </w:p>
        </w:tc>
        <w:tc>
          <w:tcPr>
            <w:tcW w:w="1720" w:type="dxa"/>
            <w:tcBorders>
              <w:top w:val="nil"/>
              <w:left w:val="nil"/>
              <w:bottom w:val="single" w:sz="4" w:space="0" w:color="auto"/>
              <w:right w:val="single" w:sz="4" w:space="0" w:color="auto"/>
            </w:tcBorders>
            <w:shd w:val="clear" w:color="auto" w:fill="auto"/>
            <w:noWrap/>
            <w:vAlign w:val="center"/>
            <w:hideMark/>
          </w:tcPr>
          <w:p w14:paraId="38048E21"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744,922,100</w:t>
            </w:r>
          </w:p>
        </w:tc>
      </w:tr>
      <w:tr w:rsidR="00117702" w:rsidRPr="00117702" w14:paraId="7469D533"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5D0F8C21"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153</w:t>
            </w:r>
          </w:p>
        </w:tc>
        <w:tc>
          <w:tcPr>
            <w:tcW w:w="900" w:type="dxa"/>
            <w:tcBorders>
              <w:top w:val="nil"/>
              <w:left w:val="nil"/>
              <w:bottom w:val="single" w:sz="4" w:space="0" w:color="auto"/>
              <w:right w:val="single" w:sz="4" w:space="0" w:color="auto"/>
            </w:tcBorders>
            <w:shd w:val="clear" w:color="auto" w:fill="auto"/>
            <w:noWrap/>
            <w:vAlign w:val="center"/>
            <w:hideMark/>
          </w:tcPr>
          <w:p w14:paraId="387FB2FE"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860072134</w:t>
            </w:r>
          </w:p>
        </w:tc>
        <w:tc>
          <w:tcPr>
            <w:tcW w:w="3660" w:type="dxa"/>
            <w:tcBorders>
              <w:top w:val="nil"/>
              <w:left w:val="nil"/>
              <w:bottom w:val="single" w:sz="4" w:space="0" w:color="auto"/>
              <w:right w:val="single" w:sz="4" w:space="0" w:color="auto"/>
            </w:tcBorders>
            <w:shd w:val="clear" w:color="auto" w:fill="auto"/>
            <w:vAlign w:val="center"/>
            <w:hideMark/>
          </w:tcPr>
          <w:p w14:paraId="16028E6C"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HOCOL S.A</w:t>
            </w:r>
          </w:p>
        </w:tc>
        <w:tc>
          <w:tcPr>
            <w:tcW w:w="800" w:type="dxa"/>
            <w:tcBorders>
              <w:top w:val="nil"/>
              <w:left w:val="nil"/>
              <w:bottom w:val="single" w:sz="4" w:space="0" w:color="auto"/>
              <w:right w:val="single" w:sz="4" w:space="0" w:color="auto"/>
            </w:tcBorders>
            <w:shd w:val="clear" w:color="auto" w:fill="auto"/>
            <w:noWrap/>
            <w:vAlign w:val="center"/>
            <w:hideMark/>
          </w:tcPr>
          <w:p w14:paraId="7B1E7808"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GasNatural</w:t>
            </w:r>
          </w:p>
        </w:tc>
        <w:tc>
          <w:tcPr>
            <w:tcW w:w="1660" w:type="dxa"/>
            <w:tcBorders>
              <w:top w:val="nil"/>
              <w:left w:val="nil"/>
              <w:bottom w:val="single" w:sz="4" w:space="0" w:color="auto"/>
              <w:right w:val="single" w:sz="4" w:space="0" w:color="auto"/>
            </w:tcBorders>
            <w:shd w:val="clear" w:color="auto" w:fill="auto"/>
            <w:noWrap/>
            <w:vAlign w:val="center"/>
            <w:hideMark/>
          </w:tcPr>
          <w:p w14:paraId="5AEFD0F4"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185,059,724,244</w:t>
            </w:r>
          </w:p>
        </w:tc>
        <w:tc>
          <w:tcPr>
            <w:tcW w:w="1720" w:type="dxa"/>
            <w:tcBorders>
              <w:top w:val="nil"/>
              <w:left w:val="nil"/>
              <w:bottom w:val="single" w:sz="4" w:space="0" w:color="auto"/>
              <w:right w:val="single" w:sz="4" w:space="0" w:color="auto"/>
            </w:tcBorders>
            <w:shd w:val="clear" w:color="auto" w:fill="auto"/>
            <w:noWrap/>
            <w:vAlign w:val="center"/>
            <w:hideMark/>
          </w:tcPr>
          <w:p w14:paraId="3D2FF8D5"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21,277,871,351</w:t>
            </w:r>
          </w:p>
        </w:tc>
      </w:tr>
      <w:tr w:rsidR="00117702" w:rsidRPr="00117702" w14:paraId="155AF749"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1B24ECDB"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154</w:t>
            </w:r>
          </w:p>
        </w:tc>
        <w:tc>
          <w:tcPr>
            <w:tcW w:w="900" w:type="dxa"/>
            <w:tcBorders>
              <w:top w:val="nil"/>
              <w:left w:val="nil"/>
              <w:bottom w:val="single" w:sz="4" w:space="0" w:color="auto"/>
              <w:right w:val="single" w:sz="4" w:space="0" w:color="auto"/>
            </w:tcBorders>
            <w:shd w:val="clear" w:color="auto" w:fill="auto"/>
            <w:noWrap/>
            <w:vAlign w:val="center"/>
            <w:hideMark/>
          </w:tcPr>
          <w:p w14:paraId="729F539D"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900358272</w:t>
            </w:r>
          </w:p>
        </w:tc>
        <w:tc>
          <w:tcPr>
            <w:tcW w:w="3660" w:type="dxa"/>
            <w:tcBorders>
              <w:top w:val="nil"/>
              <w:left w:val="nil"/>
              <w:bottom w:val="single" w:sz="4" w:space="0" w:color="auto"/>
              <w:right w:val="single" w:sz="4" w:space="0" w:color="auto"/>
            </w:tcBorders>
            <w:shd w:val="clear" w:color="auto" w:fill="auto"/>
            <w:vAlign w:val="center"/>
            <w:hideMark/>
          </w:tcPr>
          <w:p w14:paraId="6557A7DE"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HZ ENERGY S.A.S. E.S.P.</w:t>
            </w:r>
          </w:p>
        </w:tc>
        <w:tc>
          <w:tcPr>
            <w:tcW w:w="800" w:type="dxa"/>
            <w:tcBorders>
              <w:top w:val="nil"/>
              <w:left w:val="nil"/>
              <w:bottom w:val="single" w:sz="4" w:space="0" w:color="auto"/>
              <w:right w:val="single" w:sz="4" w:space="0" w:color="auto"/>
            </w:tcBorders>
            <w:shd w:val="clear" w:color="auto" w:fill="auto"/>
            <w:noWrap/>
            <w:vAlign w:val="center"/>
            <w:hideMark/>
          </w:tcPr>
          <w:p w14:paraId="6ECFD6F9"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Energia</w:t>
            </w:r>
          </w:p>
        </w:tc>
        <w:tc>
          <w:tcPr>
            <w:tcW w:w="1660" w:type="dxa"/>
            <w:tcBorders>
              <w:top w:val="nil"/>
              <w:left w:val="nil"/>
              <w:bottom w:val="single" w:sz="4" w:space="0" w:color="auto"/>
              <w:right w:val="single" w:sz="4" w:space="0" w:color="auto"/>
            </w:tcBorders>
            <w:shd w:val="clear" w:color="auto" w:fill="auto"/>
            <w:noWrap/>
            <w:vAlign w:val="center"/>
            <w:hideMark/>
          </w:tcPr>
          <w:p w14:paraId="3676FACE"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1,585,043,000</w:t>
            </w:r>
          </w:p>
        </w:tc>
        <w:tc>
          <w:tcPr>
            <w:tcW w:w="1720" w:type="dxa"/>
            <w:tcBorders>
              <w:top w:val="nil"/>
              <w:left w:val="nil"/>
              <w:bottom w:val="single" w:sz="4" w:space="0" w:color="auto"/>
              <w:right w:val="single" w:sz="4" w:space="0" w:color="auto"/>
            </w:tcBorders>
            <w:shd w:val="clear" w:color="auto" w:fill="auto"/>
            <w:noWrap/>
            <w:vAlign w:val="center"/>
            <w:hideMark/>
          </w:tcPr>
          <w:p w14:paraId="0D807D7E"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641,733,172</w:t>
            </w:r>
          </w:p>
        </w:tc>
      </w:tr>
      <w:tr w:rsidR="00117702" w:rsidRPr="00117702" w14:paraId="4A2AF6CF"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5DCD5AF3"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155</w:t>
            </w:r>
          </w:p>
        </w:tc>
        <w:tc>
          <w:tcPr>
            <w:tcW w:w="900" w:type="dxa"/>
            <w:tcBorders>
              <w:top w:val="nil"/>
              <w:left w:val="nil"/>
              <w:bottom w:val="single" w:sz="4" w:space="0" w:color="auto"/>
              <w:right w:val="single" w:sz="4" w:space="0" w:color="auto"/>
            </w:tcBorders>
            <w:shd w:val="clear" w:color="auto" w:fill="auto"/>
            <w:noWrap/>
            <w:vAlign w:val="center"/>
            <w:hideMark/>
          </w:tcPr>
          <w:p w14:paraId="2A26F54B"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900516015</w:t>
            </w:r>
          </w:p>
        </w:tc>
        <w:tc>
          <w:tcPr>
            <w:tcW w:w="3660" w:type="dxa"/>
            <w:tcBorders>
              <w:top w:val="nil"/>
              <w:left w:val="nil"/>
              <w:bottom w:val="single" w:sz="4" w:space="0" w:color="auto"/>
              <w:right w:val="single" w:sz="4" w:space="0" w:color="auto"/>
            </w:tcBorders>
            <w:shd w:val="clear" w:color="auto" w:fill="auto"/>
            <w:vAlign w:val="center"/>
            <w:hideMark/>
          </w:tcPr>
          <w:p w14:paraId="339D0FFE"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IAC ENERGY SAS ESP</w:t>
            </w:r>
          </w:p>
        </w:tc>
        <w:tc>
          <w:tcPr>
            <w:tcW w:w="800" w:type="dxa"/>
            <w:tcBorders>
              <w:top w:val="nil"/>
              <w:left w:val="nil"/>
              <w:bottom w:val="single" w:sz="4" w:space="0" w:color="auto"/>
              <w:right w:val="single" w:sz="4" w:space="0" w:color="auto"/>
            </w:tcBorders>
            <w:shd w:val="clear" w:color="auto" w:fill="auto"/>
            <w:noWrap/>
            <w:vAlign w:val="center"/>
            <w:hideMark/>
          </w:tcPr>
          <w:p w14:paraId="2B7B63A2"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Energia</w:t>
            </w:r>
          </w:p>
        </w:tc>
        <w:tc>
          <w:tcPr>
            <w:tcW w:w="1660" w:type="dxa"/>
            <w:tcBorders>
              <w:top w:val="nil"/>
              <w:left w:val="nil"/>
              <w:bottom w:val="single" w:sz="4" w:space="0" w:color="auto"/>
              <w:right w:val="single" w:sz="4" w:space="0" w:color="auto"/>
            </w:tcBorders>
            <w:shd w:val="clear" w:color="auto" w:fill="auto"/>
            <w:noWrap/>
            <w:vAlign w:val="center"/>
            <w:hideMark/>
          </w:tcPr>
          <w:p w14:paraId="37AA07F5"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4,285,560,000</w:t>
            </w:r>
          </w:p>
        </w:tc>
        <w:tc>
          <w:tcPr>
            <w:tcW w:w="1720" w:type="dxa"/>
            <w:tcBorders>
              <w:top w:val="nil"/>
              <w:left w:val="nil"/>
              <w:bottom w:val="single" w:sz="4" w:space="0" w:color="auto"/>
              <w:right w:val="single" w:sz="4" w:space="0" w:color="auto"/>
            </w:tcBorders>
            <w:shd w:val="clear" w:color="auto" w:fill="auto"/>
            <w:noWrap/>
            <w:vAlign w:val="center"/>
            <w:hideMark/>
          </w:tcPr>
          <w:p w14:paraId="11000E22"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177,187,436</w:t>
            </w:r>
          </w:p>
        </w:tc>
      </w:tr>
      <w:tr w:rsidR="00117702" w:rsidRPr="00117702" w14:paraId="1A7DD3BB"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6D4B2F79"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156</w:t>
            </w:r>
          </w:p>
        </w:tc>
        <w:tc>
          <w:tcPr>
            <w:tcW w:w="900" w:type="dxa"/>
            <w:tcBorders>
              <w:top w:val="nil"/>
              <w:left w:val="nil"/>
              <w:bottom w:val="single" w:sz="4" w:space="0" w:color="auto"/>
              <w:right w:val="single" w:sz="4" w:space="0" w:color="auto"/>
            </w:tcBorders>
            <w:shd w:val="clear" w:color="auto" w:fill="auto"/>
            <w:noWrap/>
            <w:vAlign w:val="center"/>
            <w:hideMark/>
          </w:tcPr>
          <w:p w14:paraId="786931B6"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811001850</w:t>
            </w:r>
          </w:p>
        </w:tc>
        <w:tc>
          <w:tcPr>
            <w:tcW w:w="3660" w:type="dxa"/>
            <w:tcBorders>
              <w:top w:val="nil"/>
              <w:left w:val="nil"/>
              <w:bottom w:val="single" w:sz="4" w:space="0" w:color="auto"/>
              <w:right w:val="single" w:sz="4" w:space="0" w:color="auto"/>
            </w:tcBorders>
            <w:shd w:val="clear" w:color="auto" w:fill="auto"/>
            <w:vAlign w:val="center"/>
            <w:hideMark/>
          </w:tcPr>
          <w:p w14:paraId="76A4FD96"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IC Asesorías y Proyectos SAS ESP</w:t>
            </w:r>
          </w:p>
        </w:tc>
        <w:tc>
          <w:tcPr>
            <w:tcW w:w="800" w:type="dxa"/>
            <w:tcBorders>
              <w:top w:val="nil"/>
              <w:left w:val="nil"/>
              <w:bottom w:val="single" w:sz="4" w:space="0" w:color="auto"/>
              <w:right w:val="single" w:sz="4" w:space="0" w:color="auto"/>
            </w:tcBorders>
            <w:shd w:val="clear" w:color="auto" w:fill="auto"/>
            <w:noWrap/>
            <w:vAlign w:val="center"/>
            <w:hideMark/>
          </w:tcPr>
          <w:p w14:paraId="32A1680B"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Energia</w:t>
            </w:r>
          </w:p>
        </w:tc>
        <w:tc>
          <w:tcPr>
            <w:tcW w:w="1660" w:type="dxa"/>
            <w:tcBorders>
              <w:top w:val="nil"/>
              <w:left w:val="nil"/>
              <w:bottom w:val="single" w:sz="4" w:space="0" w:color="auto"/>
              <w:right w:val="single" w:sz="4" w:space="0" w:color="auto"/>
            </w:tcBorders>
            <w:shd w:val="clear" w:color="auto" w:fill="auto"/>
            <w:noWrap/>
            <w:vAlign w:val="center"/>
            <w:hideMark/>
          </w:tcPr>
          <w:p w14:paraId="75212DE8"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3,903,369,000</w:t>
            </w:r>
          </w:p>
        </w:tc>
        <w:tc>
          <w:tcPr>
            <w:tcW w:w="1720" w:type="dxa"/>
            <w:tcBorders>
              <w:top w:val="nil"/>
              <w:left w:val="nil"/>
              <w:bottom w:val="single" w:sz="4" w:space="0" w:color="auto"/>
              <w:right w:val="single" w:sz="4" w:space="0" w:color="auto"/>
            </w:tcBorders>
            <w:shd w:val="clear" w:color="auto" w:fill="auto"/>
            <w:noWrap/>
            <w:vAlign w:val="center"/>
            <w:hideMark/>
          </w:tcPr>
          <w:p w14:paraId="14EB1B2A"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3,390,645</w:t>
            </w:r>
          </w:p>
        </w:tc>
      </w:tr>
      <w:tr w:rsidR="00117702" w:rsidRPr="00117702" w14:paraId="47A51BC0" w14:textId="77777777" w:rsidTr="00117702">
        <w:trPr>
          <w:trHeight w:val="46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68306C9F"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157</w:t>
            </w:r>
          </w:p>
        </w:tc>
        <w:tc>
          <w:tcPr>
            <w:tcW w:w="900" w:type="dxa"/>
            <w:tcBorders>
              <w:top w:val="nil"/>
              <w:left w:val="nil"/>
              <w:bottom w:val="single" w:sz="4" w:space="0" w:color="auto"/>
              <w:right w:val="single" w:sz="4" w:space="0" w:color="auto"/>
            </w:tcBorders>
            <w:shd w:val="clear" w:color="auto" w:fill="auto"/>
            <w:noWrap/>
            <w:vAlign w:val="center"/>
            <w:hideMark/>
          </w:tcPr>
          <w:p w14:paraId="24C3F8BD"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804011800</w:t>
            </w:r>
          </w:p>
        </w:tc>
        <w:tc>
          <w:tcPr>
            <w:tcW w:w="3660" w:type="dxa"/>
            <w:tcBorders>
              <w:top w:val="nil"/>
              <w:left w:val="nil"/>
              <w:bottom w:val="single" w:sz="4" w:space="0" w:color="auto"/>
              <w:right w:val="single" w:sz="4" w:space="0" w:color="auto"/>
            </w:tcBorders>
            <w:shd w:val="clear" w:color="auto" w:fill="auto"/>
            <w:vAlign w:val="center"/>
            <w:hideMark/>
          </w:tcPr>
          <w:p w14:paraId="0D2A307F"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INGENIERÍA Y SERVICIOS SOCIEDAD ANÓNIMA EMPRESA DE SERVICIOS PÚBLICOS</w:t>
            </w:r>
          </w:p>
        </w:tc>
        <w:tc>
          <w:tcPr>
            <w:tcW w:w="800" w:type="dxa"/>
            <w:tcBorders>
              <w:top w:val="nil"/>
              <w:left w:val="nil"/>
              <w:bottom w:val="single" w:sz="4" w:space="0" w:color="auto"/>
              <w:right w:val="single" w:sz="4" w:space="0" w:color="auto"/>
            </w:tcBorders>
            <w:shd w:val="clear" w:color="auto" w:fill="auto"/>
            <w:noWrap/>
            <w:vAlign w:val="center"/>
            <w:hideMark/>
          </w:tcPr>
          <w:p w14:paraId="269336B4"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GasNatural</w:t>
            </w:r>
          </w:p>
        </w:tc>
        <w:tc>
          <w:tcPr>
            <w:tcW w:w="1660" w:type="dxa"/>
            <w:tcBorders>
              <w:top w:val="nil"/>
              <w:left w:val="nil"/>
              <w:bottom w:val="single" w:sz="4" w:space="0" w:color="auto"/>
              <w:right w:val="single" w:sz="4" w:space="0" w:color="auto"/>
            </w:tcBorders>
            <w:shd w:val="clear" w:color="auto" w:fill="auto"/>
            <w:noWrap/>
            <w:vAlign w:val="center"/>
            <w:hideMark/>
          </w:tcPr>
          <w:p w14:paraId="78A66490"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5,643,116,711</w:t>
            </w:r>
          </w:p>
        </w:tc>
        <w:tc>
          <w:tcPr>
            <w:tcW w:w="1720" w:type="dxa"/>
            <w:tcBorders>
              <w:top w:val="nil"/>
              <w:left w:val="nil"/>
              <w:bottom w:val="single" w:sz="4" w:space="0" w:color="auto"/>
              <w:right w:val="single" w:sz="4" w:space="0" w:color="auto"/>
            </w:tcBorders>
            <w:shd w:val="clear" w:color="auto" w:fill="auto"/>
            <w:noWrap/>
            <w:vAlign w:val="center"/>
            <w:hideMark/>
          </w:tcPr>
          <w:p w14:paraId="226CEBF7"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767,566,813</w:t>
            </w:r>
          </w:p>
        </w:tc>
      </w:tr>
      <w:tr w:rsidR="00117702" w:rsidRPr="00117702" w14:paraId="6B3C615B"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2426775C"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158</w:t>
            </w:r>
          </w:p>
        </w:tc>
        <w:tc>
          <w:tcPr>
            <w:tcW w:w="900" w:type="dxa"/>
            <w:tcBorders>
              <w:top w:val="nil"/>
              <w:left w:val="nil"/>
              <w:bottom w:val="single" w:sz="4" w:space="0" w:color="auto"/>
              <w:right w:val="single" w:sz="4" w:space="0" w:color="auto"/>
            </w:tcBorders>
            <w:shd w:val="clear" w:color="auto" w:fill="auto"/>
            <w:noWrap/>
            <w:vAlign w:val="center"/>
            <w:hideMark/>
          </w:tcPr>
          <w:p w14:paraId="72BDB965"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900667590</w:t>
            </w:r>
          </w:p>
        </w:tc>
        <w:tc>
          <w:tcPr>
            <w:tcW w:w="3660" w:type="dxa"/>
            <w:tcBorders>
              <w:top w:val="nil"/>
              <w:left w:val="nil"/>
              <w:bottom w:val="single" w:sz="4" w:space="0" w:color="auto"/>
              <w:right w:val="single" w:sz="4" w:space="0" w:color="auto"/>
            </w:tcBorders>
            <w:shd w:val="clear" w:color="auto" w:fill="auto"/>
            <w:vAlign w:val="center"/>
            <w:hideMark/>
          </w:tcPr>
          <w:p w14:paraId="737E41A3"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INTERCOLOMBIA S.A E.SP</w:t>
            </w:r>
          </w:p>
        </w:tc>
        <w:tc>
          <w:tcPr>
            <w:tcW w:w="800" w:type="dxa"/>
            <w:tcBorders>
              <w:top w:val="nil"/>
              <w:left w:val="nil"/>
              <w:bottom w:val="single" w:sz="4" w:space="0" w:color="auto"/>
              <w:right w:val="single" w:sz="4" w:space="0" w:color="auto"/>
            </w:tcBorders>
            <w:shd w:val="clear" w:color="auto" w:fill="auto"/>
            <w:noWrap/>
            <w:vAlign w:val="center"/>
            <w:hideMark/>
          </w:tcPr>
          <w:p w14:paraId="4DA9046C"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Energia</w:t>
            </w:r>
          </w:p>
        </w:tc>
        <w:tc>
          <w:tcPr>
            <w:tcW w:w="1660" w:type="dxa"/>
            <w:tcBorders>
              <w:top w:val="nil"/>
              <w:left w:val="nil"/>
              <w:bottom w:val="single" w:sz="4" w:space="0" w:color="auto"/>
              <w:right w:val="single" w:sz="4" w:space="0" w:color="auto"/>
            </w:tcBorders>
            <w:shd w:val="clear" w:color="auto" w:fill="auto"/>
            <w:noWrap/>
            <w:vAlign w:val="center"/>
            <w:hideMark/>
          </w:tcPr>
          <w:p w14:paraId="681B86F6"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1,113,137,875,557</w:t>
            </w:r>
          </w:p>
        </w:tc>
        <w:tc>
          <w:tcPr>
            <w:tcW w:w="1720" w:type="dxa"/>
            <w:tcBorders>
              <w:top w:val="nil"/>
              <w:left w:val="nil"/>
              <w:bottom w:val="single" w:sz="4" w:space="0" w:color="auto"/>
              <w:right w:val="single" w:sz="4" w:space="0" w:color="auto"/>
            </w:tcBorders>
            <w:shd w:val="clear" w:color="auto" w:fill="auto"/>
            <w:noWrap/>
            <w:vAlign w:val="center"/>
            <w:hideMark/>
          </w:tcPr>
          <w:p w14:paraId="03158282"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53,712,438,726</w:t>
            </w:r>
          </w:p>
        </w:tc>
      </w:tr>
      <w:tr w:rsidR="00117702" w:rsidRPr="00117702" w14:paraId="573C9CE4"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066FDFBE"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159</w:t>
            </w:r>
          </w:p>
        </w:tc>
        <w:tc>
          <w:tcPr>
            <w:tcW w:w="900" w:type="dxa"/>
            <w:tcBorders>
              <w:top w:val="nil"/>
              <w:left w:val="nil"/>
              <w:bottom w:val="single" w:sz="4" w:space="0" w:color="auto"/>
              <w:right w:val="single" w:sz="4" w:space="0" w:color="auto"/>
            </w:tcBorders>
            <w:shd w:val="clear" w:color="auto" w:fill="auto"/>
            <w:noWrap/>
            <w:vAlign w:val="center"/>
            <w:hideMark/>
          </w:tcPr>
          <w:p w14:paraId="0CE73400"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860016610</w:t>
            </w:r>
          </w:p>
        </w:tc>
        <w:tc>
          <w:tcPr>
            <w:tcW w:w="3660" w:type="dxa"/>
            <w:tcBorders>
              <w:top w:val="nil"/>
              <w:left w:val="nil"/>
              <w:bottom w:val="single" w:sz="4" w:space="0" w:color="auto"/>
              <w:right w:val="single" w:sz="4" w:space="0" w:color="auto"/>
            </w:tcBorders>
            <w:shd w:val="clear" w:color="auto" w:fill="auto"/>
            <w:vAlign w:val="center"/>
            <w:hideMark/>
          </w:tcPr>
          <w:p w14:paraId="1CC28B6A"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INTERCONEXION ELECTRICA S.A. E.S.P.</w:t>
            </w:r>
          </w:p>
        </w:tc>
        <w:tc>
          <w:tcPr>
            <w:tcW w:w="800" w:type="dxa"/>
            <w:tcBorders>
              <w:top w:val="nil"/>
              <w:left w:val="nil"/>
              <w:bottom w:val="single" w:sz="4" w:space="0" w:color="auto"/>
              <w:right w:val="single" w:sz="4" w:space="0" w:color="auto"/>
            </w:tcBorders>
            <w:shd w:val="clear" w:color="auto" w:fill="auto"/>
            <w:noWrap/>
            <w:vAlign w:val="center"/>
            <w:hideMark/>
          </w:tcPr>
          <w:p w14:paraId="6E6B29D0"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Energia</w:t>
            </w:r>
          </w:p>
        </w:tc>
        <w:tc>
          <w:tcPr>
            <w:tcW w:w="1660" w:type="dxa"/>
            <w:tcBorders>
              <w:top w:val="nil"/>
              <w:left w:val="nil"/>
              <w:bottom w:val="single" w:sz="4" w:space="0" w:color="auto"/>
              <w:right w:val="single" w:sz="4" w:space="0" w:color="auto"/>
            </w:tcBorders>
            <w:shd w:val="clear" w:color="auto" w:fill="auto"/>
            <w:noWrap/>
            <w:vAlign w:val="center"/>
            <w:hideMark/>
          </w:tcPr>
          <w:p w14:paraId="202FF545"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344,856,684,768</w:t>
            </w:r>
          </w:p>
        </w:tc>
        <w:tc>
          <w:tcPr>
            <w:tcW w:w="1720" w:type="dxa"/>
            <w:tcBorders>
              <w:top w:val="nil"/>
              <w:left w:val="nil"/>
              <w:bottom w:val="single" w:sz="4" w:space="0" w:color="auto"/>
              <w:right w:val="single" w:sz="4" w:space="0" w:color="auto"/>
            </w:tcBorders>
            <w:shd w:val="clear" w:color="auto" w:fill="auto"/>
            <w:noWrap/>
            <w:vAlign w:val="center"/>
            <w:hideMark/>
          </w:tcPr>
          <w:p w14:paraId="6AE11056"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12,342,295,986</w:t>
            </w:r>
          </w:p>
        </w:tc>
      </w:tr>
      <w:tr w:rsidR="00117702" w:rsidRPr="00117702" w14:paraId="6D064236"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4B5BB52A"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160</w:t>
            </w:r>
          </w:p>
        </w:tc>
        <w:tc>
          <w:tcPr>
            <w:tcW w:w="900" w:type="dxa"/>
            <w:tcBorders>
              <w:top w:val="nil"/>
              <w:left w:val="nil"/>
              <w:bottom w:val="single" w:sz="4" w:space="0" w:color="auto"/>
              <w:right w:val="single" w:sz="4" w:space="0" w:color="auto"/>
            </w:tcBorders>
            <w:shd w:val="clear" w:color="auto" w:fill="auto"/>
            <w:noWrap/>
            <w:vAlign w:val="center"/>
            <w:hideMark/>
          </w:tcPr>
          <w:p w14:paraId="1841DA09"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890600185</w:t>
            </w:r>
          </w:p>
        </w:tc>
        <w:tc>
          <w:tcPr>
            <w:tcW w:w="3660" w:type="dxa"/>
            <w:tcBorders>
              <w:top w:val="nil"/>
              <w:left w:val="nil"/>
              <w:bottom w:val="single" w:sz="4" w:space="0" w:color="auto"/>
              <w:right w:val="single" w:sz="4" w:space="0" w:color="auto"/>
            </w:tcBorders>
            <w:shd w:val="clear" w:color="auto" w:fill="auto"/>
            <w:vAlign w:val="center"/>
            <w:hideMark/>
          </w:tcPr>
          <w:p w14:paraId="31565394"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INTERMUNICIPAL DE GAS S.A. E.S.P.</w:t>
            </w:r>
          </w:p>
        </w:tc>
        <w:tc>
          <w:tcPr>
            <w:tcW w:w="800" w:type="dxa"/>
            <w:tcBorders>
              <w:top w:val="nil"/>
              <w:left w:val="nil"/>
              <w:bottom w:val="single" w:sz="4" w:space="0" w:color="auto"/>
              <w:right w:val="single" w:sz="4" w:space="0" w:color="auto"/>
            </w:tcBorders>
            <w:shd w:val="clear" w:color="auto" w:fill="auto"/>
            <w:noWrap/>
            <w:vAlign w:val="center"/>
            <w:hideMark/>
          </w:tcPr>
          <w:p w14:paraId="57D1131B"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GLP</w:t>
            </w:r>
          </w:p>
        </w:tc>
        <w:tc>
          <w:tcPr>
            <w:tcW w:w="1660" w:type="dxa"/>
            <w:tcBorders>
              <w:top w:val="nil"/>
              <w:left w:val="nil"/>
              <w:bottom w:val="single" w:sz="4" w:space="0" w:color="auto"/>
              <w:right w:val="single" w:sz="4" w:space="0" w:color="auto"/>
            </w:tcBorders>
            <w:shd w:val="clear" w:color="auto" w:fill="auto"/>
            <w:noWrap/>
            <w:vAlign w:val="center"/>
            <w:hideMark/>
          </w:tcPr>
          <w:p w14:paraId="0AD6D172"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808,800,000</w:t>
            </w:r>
          </w:p>
        </w:tc>
        <w:tc>
          <w:tcPr>
            <w:tcW w:w="1720" w:type="dxa"/>
            <w:tcBorders>
              <w:top w:val="nil"/>
              <w:left w:val="nil"/>
              <w:bottom w:val="single" w:sz="4" w:space="0" w:color="auto"/>
              <w:right w:val="single" w:sz="4" w:space="0" w:color="auto"/>
            </w:tcBorders>
            <w:shd w:val="clear" w:color="auto" w:fill="auto"/>
            <w:noWrap/>
            <w:vAlign w:val="center"/>
            <w:hideMark/>
          </w:tcPr>
          <w:p w14:paraId="6E2DC5B2"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128,479,082</w:t>
            </w:r>
          </w:p>
        </w:tc>
      </w:tr>
      <w:tr w:rsidR="00117702" w:rsidRPr="00117702" w14:paraId="68D95D1B"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2426F7E5"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161</w:t>
            </w:r>
          </w:p>
        </w:tc>
        <w:tc>
          <w:tcPr>
            <w:tcW w:w="900" w:type="dxa"/>
            <w:tcBorders>
              <w:top w:val="nil"/>
              <w:left w:val="nil"/>
              <w:bottom w:val="single" w:sz="4" w:space="0" w:color="auto"/>
              <w:right w:val="single" w:sz="4" w:space="0" w:color="auto"/>
            </w:tcBorders>
            <w:shd w:val="clear" w:color="auto" w:fill="auto"/>
            <w:noWrap/>
            <w:vAlign w:val="center"/>
            <w:hideMark/>
          </w:tcPr>
          <w:p w14:paraId="0600E3C9"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900335279</w:t>
            </w:r>
          </w:p>
        </w:tc>
        <w:tc>
          <w:tcPr>
            <w:tcW w:w="3660" w:type="dxa"/>
            <w:tcBorders>
              <w:top w:val="nil"/>
              <w:left w:val="nil"/>
              <w:bottom w:val="single" w:sz="4" w:space="0" w:color="auto"/>
              <w:right w:val="single" w:sz="4" w:space="0" w:color="auto"/>
            </w:tcBorders>
            <w:shd w:val="clear" w:color="auto" w:fill="auto"/>
            <w:vAlign w:val="center"/>
            <w:hideMark/>
          </w:tcPr>
          <w:p w14:paraId="6B2F5675"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INVERSIONES GLP SAS ESP</w:t>
            </w:r>
          </w:p>
        </w:tc>
        <w:tc>
          <w:tcPr>
            <w:tcW w:w="800" w:type="dxa"/>
            <w:tcBorders>
              <w:top w:val="nil"/>
              <w:left w:val="nil"/>
              <w:bottom w:val="single" w:sz="4" w:space="0" w:color="auto"/>
              <w:right w:val="single" w:sz="4" w:space="0" w:color="auto"/>
            </w:tcBorders>
            <w:shd w:val="clear" w:color="auto" w:fill="auto"/>
            <w:noWrap/>
            <w:vAlign w:val="center"/>
            <w:hideMark/>
          </w:tcPr>
          <w:p w14:paraId="1214A870"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GLP</w:t>
            </w:r>
          </w:p>
        </w:tc>
        <w:tc>
          <w:tcPr>
            <w:tcW w:w="1660" w:type="dxa"/>
            <w:tcBorders>
              <w:top w:val="nil"/>
              <w:left w:val="nil"/>
              <w:bottom w:val="single" w:sz="4" w:space="0" w:color="auto"/>
              <w:right w:val="single" w:sz="4" w:space="0" w:color="auto"/>
            </w:tcBorders>
            <w:shd w:val="clear" w:color="auto" w:fill="auto"/>
            <w:noWrap/>
            <w:vAlign w:val="center"/>
            <w:hideMark/>
          </w:tcPr>
          <w:p w14:paraId="3D8E93C0"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232,398,974,000</w:t>
            </w:r>
          </w:p>
        </w:tc>
        <w:tc>
          <w:tcPr>
            <w:tcW w:w="1720" w:type="dxa"/>
            <w:tcBorders>
              <w:top w:val="nil"/>
              <w:left w:val="nil"/>
              <w:bottom w:val="single" w:sz="4" w:space="0" w:color="auto"/>
              <w:right w:val="single" w:sz="4" w:space="0" w:color="auto"/>
            </w:tcBorders>
            <w:shd w:val="clear" w:color="auto" w:fill="auto"/>
            <w:noWrap/>
            <w:vAlign w:val="center"/>
            <w:hideMark/>
          </w:tcPr>
          <w:p w14:paraId="21C6F608"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8,398,786,482</w:t>
            </w:r>
          </w:p>
        </w:tc>
      </w:tr>
      <w:tr w:rsidR="00117702" w:rsidRPr="00117702" w14:paraId="2BB2C771"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75D5CA98"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162</w:t>
            </w:r>
          </w:p>
        </w:tc>
        <w:tc>
          <w:tcPr>
            <w:tcW w:w="900" w:type="dxa"/>
            <w:tcBorders>
              <w:top w:val="nil"/>
              <w:left w:val="nil"/>
              <w:bottom w:val="single" w:sz="4" w:space="0" w:color="auto"/>
              <w:right w:val="single" w:sz="4" w:space="0" w:color="auto"/>
            </w:tcBorders>
            <w:shd w:val="clear" w:color="auto" w:fill="auto"/>
            <w:noWrap/>
            <w:vAlign w:val="center"/>
            <w:hideMark/>
          </w:tcPr>
          <w:p w14:paraId="25CA17BD"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811000740</w:t>
            </w:r>
          </w:p>
        </w:tc>
        <w:tc>
          <w:tcPr>
            <w:tcW w:w="3660" w:type="dxa"/>
            <w:tcBorders>
              <w:top w:val="nil"/>
              <w:left w:val="nil"/>
              <w:bottom w:val="single" w:sz="4" w:space="0" w:color="auto"/>
              <w:right w:val="single" w:sz="4" w:space="0" w:color="auto"/>
            </w:tcBorders>
            <w:shd w:val="clear" w:color="auto" w:fill="auto"/>
            <w:vAlign w:val="center"/>
            <w:hideMark/>
          </w:tcPr>
          <w:p w14:paraId="54FD8480" w14:textId="77777777" w:rsidR="00117702" w:rsidRPr="00D26825" w:rsidRDefault="00117702" w:rsidP="00117702">
            <w:pPr>
              <w:jc w:val="left"/>
              <w:rPr>
                <w:rFonts w:ascii="Arial Narrow" w:hAnsi="Arial Narrow" w:cs="Arial"/>
                <w:color w:val="000000"/>
                <w:spacing w:val="0"/>
                <w:sz w:val="18"/>
                <w:szCs w:val="18"/>
                <w:lang w:val="en-US" w:eastAsia="es-CO"/>
              </w:rPr>
            </w:pPr>
            <w:r w:rsidRPr="00D26825">
              <w:rPr>
                <w:rFonts w:ascii="Arial Narrow" w:hAnsi="Arial Narrow" w:cs="Arial"/>
                <w:color w:val="000000"/>
                <w:spacing w:val="0"/>
                <w:sz w:val="18"/>
                <w:szCs w:val="18"/>
                <w:lang w:val="en-US" w:eastAsia="es-CO"/>
              </w:rPr>
              <w:t>ISAGEN S.A. E.S.P.</w:t>
            </w:r>
          </w:p>
        </w:tc>
        <w:tc>
          <w:tcPr>
            <w:tcW w:w="800" w:type="dxa"/>
            <w:tcBorders>
              <w:top w:val="nil"/>
              <w:left w:val="nil"/>
              <w:bottom w:val="single" w:sz="4" w:space="0" w:color="auto"/>
              <w:right w:val="single" w:sz="4" w:space="0" w:color="auto"/>
            </w:tcBorders>
            <w:shd w:val="clear" w:color="auto" w:fill="auto"/>
            <w:noWrap/>
            <w:vAlign w:val="center"/>
            <w:hideMark/>
          </w:tcPr>
          <w:p w14:paraId="1CD11059"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Energia</w:t>
            </w:r>
          </w:p>
        </w:tc>
        <w:tc>
          <w:tcPr>
            <w:tcW w:w="1660" w:type="dxa"/>
            <w:tcBorders>
              <w:top w:val="nil"/>
              <w:left w:val="nil"/>
              <w:bottom w:val="single" w:sz="4" w:space="0" w:color="auto"/>
              <w:right w:val="single" w:sz="4" w:space="0" w:color="auto"/>
            </w:tcBorders>
            <w:shd w:val="clear" w:color="auto" w:fill="auto"/>
            <w:noWrap/>
            <w:vAlign w:val="center"/>
            <w:hideMark/>
          </w:tcPr>
          <w:p w14:paraId="1B6CE4C0"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2,040,338,820,000</w:t>
            </w:r>
          </w:p>
        </w:tc>
        <w:tc>
          <w:tcPr>
            <w:tcW w:w="1720" w:type="dxa"/>
            <w:tcBorders>
              <w:top w:val="nil"/>
              <w:left w:val="nil"/>
              <w:bottom w:val="single" w:sz="4" w:space="0" w:color="auto"/>
              <w:right w:val="single" w:sz="4" w:space="0" w:color="auto"/>
            </w:tcBorders>
            <w:shd w:val="clear" w:color="auto" w:fill="auto"/>
            <w:noWrap/>
            <w:vAlign w:val="center"/>
            <w:hideMark/>
          </w:tcPr>
          <w:p w14:paraId="3B9058FD"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88,327,909,390</w:t>
            </w:r>
          </w:p>
        </w:tc>
      </w:tr>
      <w:tr w:rsidR="00117702" w:rsidRPr="00117702" w14:paraId="75173428"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0499F240"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163</w:t>
            </w:r>
          </w:p>
        </w:tc>
        <w:tc>
          <w:tcPr>
            <w:tcW w:w="900" w:type="dxa"/>
            <w:tcBorders>
              <w:top w:val="nil"/>
              <w:left w:val="nil"/>
              <w:bottom w:val="single" w:sz="4" w:space="0" w:color="auto"/>
              <w:right w:val="single" w:sz="4" w:space="0" w:color="auto"/>
            </w:tcBorders>
            <w:shd w:val="clear" w:color="auto" w:fill="auto"/>
            <w:noWrap/>
            <w:vAlign w:val="center"/>
            <w:hideMark/>
          </w:tcPr>
          <w:p w14:paraId="20EF3D92"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900428468</w:t>
            </w:r>
          </w:p>
        </w:tc>
        <w:tc>
          <w:tcPr>
            <w:tcW w:w="3660" w:type="dxa"/>
            <w:tcBorders>
              <w:top w:val="nil"/>
              <w:left w:val="nil"/>
              <w:bottom w:val="single" w:sz="4" w:space="0" w:color="auto"/>
              <w:right w:val="single" w:sz="4" w:space="0" w:color="auto"/>
            </w:tcBorders>
            <w:shd w:val="clear" w:color="auto" w:fill="auto"/>
            <w:vAlign w:val="center"/>
            <w:hideMark/>
          </w:tcPr>
          <w:p w14:paraId="1519C5FC"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ITALCOL ENERGIA S.A. ESP.</w:t>
            </w:r>
          </w:p>
        </w:tc>
        <w:tc>
          <w:tcPr>
            <w:tcW w:w="800" w:type="dxa"/>
            <w:tcBorders>
              <w:top w:val="nil"/>
              <w:left w:val="nil"/>
              <w:bottom w:val="single" w:sz="4" w:space="0" w:color="auto"/>
              <w:right w:val="single" w:sz="4" w:space="0" w:color="auto"/>
            </w:tcBorders>
            <w:shd w:val="clear" w:color="auto" w:fill="auto"/>
            <w:noWrap/>
            <w:vAlign w:val="center"/>
            <w:hideMark/>
          </w:tcPr>
          <w:p w14:paraId="18CD1404"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Energia</w:t>
            </w:r>
          </w:p>
        </w:tc>
        <w:tc>
          <w:tcPr>
            <w:tcW w:w="1660" w:type="dxa"/>
            <w:tcBorders>
              <w:top w:val="nil"/>
              <w:left w:val="nil"/>
              <w:bottom w:val="single" w:sz="4" w:space="0" w:color="auto"/>
              <w:right w:val="single" w:sz="4" w:space="0" w:color="auto"/>
            </w:tcBorders>
            <w:shd w:val="clear" w:color="auto" w:fill="auto"/>
            <w:noWrap/>
            <w:vAlign w:val="center"/>
            <w:hideMark/>
          </w:tcPr>
          <w:p w14:paraId="0E858B2A"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18,968,378,372</w:t>
            </w:r>
          </w:p>
        </w:tc>
        <w:tc>
          <w:tcPr>
            <w:tcW w:w="1720" w:type="dxa"/>
            <w:tcBorders>
              <w:top w:val="nil"/>
              <w:left w:val="nil"/>
              <w:bottom w:val="single" w:sz="4" w:space="0" w:color="auto"/>
              <w:right w:val="single" w:sz="4" w:space="0" w:color="auto"/>
            </w:tcBorders>
            <w:shd w:val="clear" w:color="auto" w:fill="auto"/>
            <w:noWrap/>
            <w:vAlign w:val="center"/>
            <w:hideMark/>
          </w:tcPr>
          <w:p w14:paraId="34387618"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1,495,824,139</w:t>
            </w:r>
          </w:p>
        </w:tc>
      </w:tr>
      <w:tr w:rsidR="00117702" w:rsidRPr="00117702" w14:paraId="7D672B2F"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1638E0A3"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164</w:t>
            </w:r>
          </w:p>
        </w:tc>
        <w:tc>
          <w:tcPr>
            <w:tcW w:w="900" w:type="dxa"/>
            <w:tcBorders>
              <w:top w:val="nil"/>
              <w:left w:val="nil"/>
              <w:bottom w:val="single" w:sz="4" w:space="0" w:color="auto"/>
              <w:right w:val="single" w:sz="4" w:space="0" w:color="auto"/>
            </w:tcBorders>
            <w:shd w:val="clear" w:color="auto" w:fill="auto"/>
            <w:noWrap/>
            <w:vAlign w:val="center"/>
            <w:hideMark/>
          </w:tcPr>
          <w:p w14:paraId="1F0E9BAB"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900653272</w:t>
            </w:r>
          </w:p>
        </w:tc>
        <w:tc>
          <w:tcPr>
            <w:tcW w:w="3660" w:type="dxa"/>
            <w:tcBorders>
              <w:top w:val="nil"/>
              <w:left w:val="nil"/>
              <w:bottom w:val="single" w:sz="4" w:space="0" w:color="auto"/>
              <w:right w:val="single" w:sz="4" w:space="0" w:color="auto"/>
            </w:tcBorders>
            <w:shd w:val="clear" w:color="auto" w:fill="auto"/>
            <w:vAlign w:val="center"/>
            <w:hideMark/>
          </w:tcPr>
          <w:p w14:paraId="0E76A96B"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KEOPS Y ASOCIADOS SAS ESP</w:t>
            </w:r>
          </w:p>
        </w:tc>
        <w:tc>
          <w:tcPr>
            <w:tcW w:w="800" w:type="dxa"/>
            <w:tcBorders>
              <w:top w:val="nil"/>
              <w:left w:val="nil"/>
              <w:bottom w:val="single" w:sz="4" w:space="0" w:color="auto"/>
              <w:right w:val="single" w:sz="4" w:space="0" w:color="auto"/>
            </w:tcBorders>
            <w:shd w:val="clear" w:color="auto" w:fill="auto"/>
            <w:noWrap/>
            <w:vAlign w:val="center"/>
            <w:hideMark/>
          </w:tcPr>
          <w:p w14:paraId="794E2D7B"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GasNatural</w:t>
            </w:r>
          </w:p>
        </w:tc>
        <w:tc>
          <w:tcPr>
            <w:tcW w:w="1660" w:type="dxa"/>
            <w:tcBorders>
              <w:top w:val="nil"/>
              <w:left w:val="nil"/>
              <w:bottom w:val="single" w:sz="4" w:space="0" w:color="auto"/>
              <w:right w:val="single" w:sz="4" w:space="0" w:color="auto"/>
            </w:tcBorders>
            <w:shd w:val="clear" w:color="auto" w:fill="auto"/>
            <w:noWrap/>
            <w:vAlign w:val="center"/>
            <w:hideMark/>
          </w:tcPr>
          <w:p w14:paraId="4733D00E"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1,644,722,831</w:t>
            </w:r>
          </w:p>
        </w:tc>
        <w:tc>
          <w:tcPr>
            <w:tcW w:w="1720" w:type="dxa"/>
            <w:tcBorders>
              <w:top w:val="nil"/>
              <w:left w:val="nil"/>
              <w:bottom w:val="single" w:sz="4" w:space="0" w:color="auto"/>
              <w:right w:val="single" w:sz="4" w:space="0" w:color="auto"/>
            </w:tcBorders>
            <w:shd w:val="clear" w:color="auto" w:fill="auto"/>
            <w:noWrap/>
            <w:vAlign w:val="center"/>
            <w:hideMark/>
          </w:tcPr>
          <w:p w14:paraId="29C1730B"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215,734,814</w:t>
            </w:r>
          </w:p>
        </w:tc>
      </w:tr>
      <w:tr w:rsidR="00117702" w:rsidRPr="00117702" w14:paraId="50B3E09C"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79F0A122"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165</w:t>
            </w:r>
          </w:p>
        </w:tc>
        <w:tc>
          <w:tcPr>
            <w:tcW w:w="900" w:type="dxa"/>
            <w:tcBorders>
              <w:top w:val="nil"/>
              <w:left w:val="nil"/>
              <w:bottom w:val="single" w:sz="4" w:space="0" w:color="auto"/>
              <w:right w:val="single" w:sz="4" w:space="0" w:color="auto"/>
            </w:tcBorders>
            <w:shd w:val="clear" w:color="auto" w:fill="auto"/>
            <w:noWrap/>
            <w:vAlign w:val="center"/>
            <w:hideMark/>
          </w:tcPr>
          <w:p w14:paraId="1F628752"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900555031</w:t>
            </w:r>
          </w:p>
        </w:tc>
        <w:tc>
          <w:tcPr>
            <w:tcW w:w="3660" w:type="dxa"/>
            <w:tcBorders>
              <w:top w:val="nil"/>
              <w:left w:val="nil"/>
              <w:bottom w:val="single" w:sz="4" w:space="0" w:color="auto"/>
              <w:right w:val="single" w:sz="4" w:space="0" w:color="auto"/>
            </w:tcBorders>
            <w:shd w:val="clear" w:color="auto" w:fill="auto"/>
            <w:vAlign w:val="center"/>
            <w:hideMark/>
          </w:tcPr>
          <w:p w14:paraId="21EE12E8"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KRONOS ENERGY S.A. E.S.P.</w:t>
            </w:r>
          </w:p>
        </w:tc>
        <w:tc>
          <w:tcPr>
            <w:tcW w:w="800" w:type="dxa"/>
            <w:tcBorders>
              <w:top w:val="nil"/>
              <w:left w:val="nil"/>
              <w:bottom w:val="single" w:sz="4" w:space="0" w:color="auto"/>
              <w:right w:val="single" w:sz="4" w:space="0" w:color="auto"/>
            </w:tcBorders>
            <w:shd w:val="clear" w:color="auto" w:fill="auto"/>
            <w:noWrap/>
            <w:vAlign w:val="center"/>
            <w:hideMark/>
          </w:tcPr>
          <w:p w14:paraId="45581803"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GasNatural</w:t>
            </w:r>
          </w:p>
        </w:tc>
        <w:tc>
          <w:tcPr>
            <w:tcW w:w="1660" w:type="dxa"/>
            <w:tcBorders>
              <w:top w:val="nil"/>
              <w:left w:val="nil"/>
              <w:bottom w:val="single" w:sz="4" w:space="0" w:color="auto"/>
              <w:right w:val="single" w:sz="4" w:space="0" w:color="auto"/>
            </w:tcBorders>
            <w:shd w:val="clear" w:color="auto" w:fill="auto"/>
            <w:noWrap/>
            <w:vAlign w:val="center"/>
            <w:hideMark/>
          </w:tcPr>
          <w:p w14:paraId="5F9DFABD"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56,380,011,657</w:t>
            </w:r>
          </w:p>
        </w:tc>
        <w:tc>
          <w:tcPr>
            <w:tcW w:w="1720" w:type="dxa"/>
            <w:tcBorders>
              <w:top w:val="nil"/>
              <w:left w:val="nil"/>
              <w:bottom w:val="single" w:sz="4" w:space="0" w:color="auto"/>
              <w:right w:val="single" w:sz="4" w:space="0" w:color="auto"/>
            </w:tcBorders>
            <w:shd w:val="clear" w:color="auto" w:fill="auto"/>
            <w:noWrap/>
            <w:vAlign w:val="center"/>
            <w:hideMark/>
          </w:tcPr>
          <w:p w14:paraId="4AA901B9"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3,115,404,013</w:t>
            </w:r>
          </w:p>
        </w:tc>
      </w:tr>
      <w:tr w:rsidR="00117702" w:rsidRPr="00117702" w14:paraId="0B296C3C"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1FBCA8AD"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166</w:t>
            </w:r>
          </w:p>
        </w:tc>
        <w:tc>
          <w:tcPr>
            <w:tcW w:w="900" w:type="dxa"/>
            <w:tcBorders>
              <w:top w:val="nil"/>
              <w:left w:val="nil"/>
              <w:bottom w:val="single" w:sz="4" w:space="0" w:color="auto"/>
              <w:right w:val="single" w:sz="4" w:space="0" w:color="auto"/>
            </w:tcBorders>
            <w:shd w:val="clear" w:color="auto" w:fill="auto"/>
            <w:noWrap/>
            <w:vAlign w:val="center"/>
            <w:hideMark/>
          </w:tcPr>
          <w:p w14:paraId="239FACD2"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900073583</w:t>
            </w:r>
          </w:p>
        </w:tc>
        <w:tc>
          <w:tcPr>
            <w:tcW w:w="3660" w:type="dxa"/>
            <w:tcBorders>
              <w:top w:val="nil"/>
              <w:left w:val="nil"/>
              <w:bottom w:val="single" w:sz="4" w:space="0" w:color="auto"/>
              <w:right w:val="single" w:sz="4" w:space="0" w:color="auto"/>
            </w:tcBorders>
            <w:shd w:val="clear" w:color="auto" w:fill="auto"/>
            <w:vAlign w:val="center"/>
            <w:hideMark/>
          </w:tcPr>
          <w:p w14:paraId="3FB5C211"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LA CASCADA S.A.S E.S.P.</w:t>
            </w:r>
          </w:p>
        </w:tc>
        <w:tc>
          <w:tcPr>
            <w:tcW w:w="800" w:type="dxa"/>
            <w:tcBorders>
              <w:top w:val="nil"/>
              <w:left w:val="nil"/>
              <w:bottom w:val="single" w:sz="4" w:space="0" w:color="auto"/>
              <w:right w:val="single" w:sz="4" w:space="0" w:color="auto"/>
            </w:tcBorders>
            <w:shd w:val="clear" w:color="auto" w:fill="auto"/>
            <w:noWrap/>
            <w:vAlign w:val="center"/>
            <w:hideMark/>
          </w:tcPr>
          <w:p w14:paraId="3AE2CE7B"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Energia</w:t>
            </w:r>
          </w:p>
        </w:tc>
        <w:tc>
          <w:tcPr>
            <w:tcW w:w="1660" w:type="dxa"/>
            <w:tcBorders>
              <w:top w:val="nil"/>
              <w:left w:val="nil"/>
              <w:bottom w:val="single" w:sz="4" w:space="0" w:color="auto"/>
              <w:right w:val="single" w:sz="4" w:space="0" w:color="auto"/>
            </w:tcBorders>
            <w:shd w:val="clear" w:color="auto" w:fill="auto"/>
            <w:noWrap/>
            <w:vAlign w:val="center"/>
            <w:hideMark/>
          </w:tcPr>
          <w:p w14:paraId="2A182964"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2,159,105,000</w:t>
            </w:r>
          </w:p>
        </w:tc>
        <w:tc>
          <w:tcPr>
            <w:tcW w:w="1720" w:type="dxa"/>
            <w:tcBorders>
              <w:top w:val="nil"/>
              <w:left w:val="nil"/>
              <w:bottom w:val="single" w:sz="4" w:space="0" w:color="auto"/>
              <w:right w:val="single" w:sz="4" w:space="0" w:color="auto"/>
            </w:tcBorders>
            <w:shd w:val="clear" w:color="auto" w:fill="auto"/>
            <w:noWrap/>
            <w:vAlign w:val="center"/>
            <w:hideMark/>
          </w:tcPr>
          <w:p w14:paraId="7BF89999"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312,098,695</w:t>
            </w:r>
          </w:p>
        </w:tc>
      </w:tr>
      <w:tr w:rsidR="00117702" w:rsidRPr="00117702" w14:paraId="5DEF1D59"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4F29F1C5"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lastRenderedPageBreak/>
              <w:t>167</w:t>
            </w:r>
          </w:p>
        </w:tc>
        <w:tc>
          <w:tcPr>
            <w:tcW w:w="900" w:type="dxa"/>
            <w:tcBorders>
              <w:top w:val="nil"/>
              <w:left w:val="nil"/>
              <w:bottom w:val="single" w:sz="4" w:space="0" w:color="auto"/>
              <w:right w:val="single" w:sz="4" w:space="0" w:color="auto"/>
            </w:tcBorders>
            <w:shd w:val="clear" w:color="auto" w:fill="auto"/>
            <w:noWrap/>
            <w:vAlign w:val="center"/>
            <w:hideMark/>
          </w:tcPr>
          <w:p w14:paraId="172CE058"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900089276</w:t>
            </w:r>
          </w:p>
        </w:tc>
        <w:tc>
          <w:tcPr>
            <w:tcW w:w="3660" w:type="dxa"/>
            <w:tcBorders>
              <w:top w:val="nil"/>
              <w:left w:val="nil"/>
              <w:bottom w:val="single" w:sz="4" w:space="0" w:color="auto"/>
              <w:right w:val="single" w:sz="4" w:space="0" w:color="auto"/>
            </w:tcBorders>
            <w:shd w:val="clear" w:color="auto" w:fill="auto"/>
            <w:vAlign w:val="center"/>
            <w:hideMark/>
          </w:tcPr>
          <w:p w14:paraId="2FA75847"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 xml:space="preserve">LEWIS ENERGY COLOMBIA INC </w:t>
            </w:r>
          </w:p>
        </w:tc>
        <w:tc>
          <w:tcPr>
            <w:tcW w:w="800" w:type="dxa"/>
            <w:tcBorders>
              <w:top w:val="nil"/>
              <w:left w:val="nil"/>
              <w:bottom w:val="single" w:sz="4" w:space="0" w:color="auto"/>
              <w:right w:val="single" w:sz="4" w:space="0" w:color="auto"/>
            </w:tcBorders>
            <w:shd w:val="clear" w:color="auto" w:fill="auto"/>
            <w:noWrap/>
            <w:vAlign w:val="center"/>
            <w:hideMark/>
          </w:tcPr>
          <w:p w14:paraId="41F25A22"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GasNatural</w:t>
            </w:r>
          </w:p>
        </w:tc>
        <w:tc>
          <w:tcPr>
            <w:tcW w:w="1660" w:type="dxa"/>
            <w:tcBorders>
              <w:top w:val="nil"/>
              <w:left w:val="nil"/>
              <w:bottom w:val="single" w:sz="4" w:space="0" w:color="auto"/>
              <w:right w:val="single" w:sz="4" w:space="0" w:color="auto"/>
            </w:tcBorders>
            <w:shd w:val="clear" w:color="auto" w:fill="auto"/>
            <w:noWrap/>
            <w:vAlign w:val="center"/>
            <w:hideMark/>
          </w:tcPr>
          <w:p w14:paraId="0978A8FD"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72,487,803,051</w:t>
            </w:r>
          </w:p>
        </w:tc>
        <w:tc>
          <w:tcPr>
            <w:tcW w:w="1720" w:type="dxa"/>
            <w:tcBorders>
              <w:top w:val="nil"/>
              <w:left w:val="nil"/>
              <w:bottom w:val="single" w:sz="4" w:space="0" w:color="auto"/>
              <w:right w:val="single" w:sz="4" w:space="0" w:color="auto"/>
            </w:tcBorders>
            <w:shd w:val="clear" w:color="auto" w:fill="auto"/>
            <w:noWrap/>
            <w:vAlign w:val="center"/>
            <w:hideMark/>
          </w:tcPr>
          <w:p w14:paraId="74F7B531"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7,849,459,565</w:t>
            </w:r>
          </w:p>
        </w:tc>
      </w:tr>
      <w:tr w:rsidR="00117702" w:rsidRPr="00117702" w14:paraId="7D66772E"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3945C59C"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168</w:t>
            </w:r>
          </w:p>
        </w:tc>
        <w:tc>
          <w:tcPr>
            <w:tcW w:w="900" w:type="dxa"/>
            <w:tcBorders>
              <w:top w:val="nil"/>
              <w:left w:val="nil"/>
              <w:bottom w:val="single" w:sz="4" w:space="0" w:color="auto"/>
              <w:right w:val="single" w:sz="4" w:space="0" w:color="auto"/>
            </w:tcBorders>
            <w:shd w:val="clear" w:color="auto" w:fill="auto"/>
            <w:noWrap/>
            <w:vAlign w:val="center"/>
            <w:hideMark/>
          </w:tcPr>
          <w:p w14:paraId="44BAC930"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891300973</w:t>
            </w:r>
          </w:p>
        </w:tc>
        <w:tc>
          <w:tcPr>
            <w:tcW w:w="3660" w:type="dxa"/>
            <w:tcBorders>
              <w:top w:val="nil"/>
              <w:left w:val="nil"/>
              <w:bottom w:val="single" w:sz="4" w:space="0" w:color="auto"/>
              <w:right w:val="single" w:sz="4" w:space="0" w:color="auto"/>
            </w:tcBorders>
            <w:shd w:val="clear" w:color="auto" w:fill="auto"/>
            <w:vAlign w:val="center"/>
            <w:hideMark/>
          </w:tcPr>
          <w:p w14:paraId="4CC51645"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LIDAGAS S.A E.S.P.</w:t>
            </w:r>
          </w:p>
        </w:tc>
        <w:tc>
          <w:tcPr>
            <w:tcW w:w="800" w:type="dxa"/>
            <w:tcBorders>
              <w:top w:val="nil"/>
              <w:left w:val="nil"/>
              <w:bottom w:val="single" w:sz="4" w:space="0" w:color="auto"/>
              <w:right w:val="single" w:sz="4" w:space="0" w:color="auto"/>
            </w:tcBorders>
            <w:shd w:val="clear" w:color="auto" w:fill="auto"/>
            <w:noWrap/>
            <w:vAlign w:val="center"/>
            <w:hideMark/>
          </w:tcPr>
          <w:p w14:paraId="3FF43B1E"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GLP</w:t>
            </w:r>
          </w:p>
        </w:tc>
        <w:tc>
          <w:tcPr>
            <w:tcW w:w="1660" w:type="dxa"/>
            <w:tcBorders>
              <w:top w:val="nil"/>
              <w:left w:val="nil"/>
              <w:bottom w:val="single" w:sz="4" w:space="0" w:color="auto"/>
              <w:right w:val="single" w:sz="4" w:space="0" w:color="auto"/>
            </w:tcBorders>
            <w:shd w:val="clear" w:color="auto" w:fill="auto"/>
            <w:noWrap/>
            <w:vAlign w:val="center"/>
            <w:hideMark/>
          </w:tcPr>
          <w:p w14:paraId="178CD6E0"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13,445,325,000</w:t>
            </w:r>
          </w:p>
        </w:tc>
        <w:tc>
          <w:tcPr>
            <w:tcW w:w="1720" w:type="dxa"/>
            <w:tcBorders>
              <w:top w:val="nil"/>
              <w:left w:val="nil"/>
              <w:bottom w:val="single" w:sz="4" w:space="0" w:color="auto"/>
              <w:right w:val="single" w:sz="4" w:space="0" w:color="auto"/>
            </w:tcBorders>
            <w:shd w:val="clear" w:color="auto" w:fill="auto"/>
            <w:noWrap/>
            <w:vAlign w:val="center"/>
            <w:hideMark/>
          </w:tcPr>
          <w:p w14:paraId="111C1536"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1,052,110,618</w:t>
            </w:r>
          </w:p>
        </w:tc>
      </w:tr>
      <w:tr w:rsidR="00117702" w:rsidRPr="00117702" w14:paraId="06D55BB4" w14:textId="77777777" w:rsidTr="00117702">
        <w:trPr>
          <w:trHeight w:val="46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5EF71340"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169</w:t>
            </w:r>
          </w:p>
        </w:tc>
        <w:tc>
          <w:tcPr>
            <w:tcW w:w="900" w:type="dxa"/>
            <w:tcBorders>
              <w:top w:val="nil"/>
              <w:left w:val="nil"/>
              <w:bottom w:val="single" w:sz="4" w:space="0" w:color="auto"/>
              <w:right w:val="single" w:sz="4" w:space="0" w:color="auto"/>
            </w:tcBorders>
            <w:shd w:val="clear" w:color="auto" w:fill="auto"/>
            <w:noWrap/>
            <w:vAlign w:val="center"/>
            <w:hideMark/>
          </w:tcPr>
          <w:p w14:paraId="47AA5BAF"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890503966</w:t>
            </w:r>
          </w:p>
        </w:tc>
        <w:tc>
          <w:tcPr>
            <w:tcW w:w="3660" w:type="dxa"/>
            <w:tcBorders>
              <w:top w:val="nil"/>
              <w:left w:val="nil"/>
              <w:bottom w:val="single" w:sz="4" w:space="0" w:color="auto"/>
              <w:right w:val="single" w:sz="4" w:space="0" w:color="auto"/>
            </w:tcBorders>
            <w:shd w:val="clear" w:color="auto" w:fill="auto"/>
            <w:vAlign w:val="center"/>
            <w:hideMark/>
          </w:tcPr>
          <w:p w14:paraId="6D8C35D1"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LUSTRIGAS S.A EMPRESA DE SERVICIOS PUBLICOS</w:t>
            </w:r>
          </w:p>
        </w:tc>
        <w:tc>
          <w:tcPr>
            <w:tcW w:w="800" w:type="dxa"/>
            <w:tcBorders>
              <w:top w:val="nil"/>
              <w:left w:val="nil"/>
              <w:bottom w:val="single" w:sz="4" w:space="0" w:color="auto"/>
              <w:right w:val="single" w:sz="4" w:space="0" w:color="auto"/>
            </w:tcBorders>
            <w:shd w:val="clear" w:color="auto" w:fill="auto"/>
            <w:noWrap/>
            <w:vAlign w:val="center"/>
            <w:hideMark/>
          </w:tcPr>
          <w:p w14:paraId="36F98CAF"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GLP</w:t>
            </w:r>
          </w:p>
        </w:tc>
        <w:tc>
          <w:tcPr>
            <w:tcW w:w="1660" w:type="dxa"/>
            <w:tcBorders>
              <w:top w:val="nil"/>
              <w:left w:val="nil"/>
              <w:bottom w:val="single" w:sz="4" w:space="0" w:color="auto"/>
              <w:right w:val="single" w:sz="4" w:space="0" w:color="auto"/>
            </w:tcBorders>
            <w:shd w:val="clear" w:color="auto" w:fill="auto"/>
            <w:noWrap/>
            <w:vAlign w:val="center"/>
            <w:hideMark/>
          </w:tcPr>
          <w:p w14:paraId="1E96F5DC"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3,176,541,333</w:t>
            </w:r>
          </w:p>
        </w:tc>
        <w:tc>
          <w:tcPr>
            <w:tcW w:w="1720" w:type="dxa"/>
            <w:tcBorders>
              <w:top w:val="nil"/>
              <w:left w:val="nil"/>
              <w:bottom w:val="single" w:sz="4" w:space="0" w:color="auto"/>
              <w:right w:val="single" w:sz="4" w:space="0" w:color="auto"/>
            </w:tcBorders>
            <w:shd w:val="clear" w:color="auto" w:fill="auto"/>
            <w:noWrap/>
            <w:vAlign w:val="center"/>
            <w:hideMark/>
          </w:tcPr>
          <w:p w14:paraId="2062BC0F"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292,644,729</w:t>
            </w:r>
          </w:p>
        </w:tc>
      </w:tr>
      <w:tr w:rsidR="00117702" w:rsidRPr="00117702" w14:paraId="29262615"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422BAA1C"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170</w:t>
            </w:r>
          </w:p>
        </w:tc>
        <w:tc>
          <w:tcPr>
            <w:tcW w:w="900" w:type="dxa"/>
            <w:tcBorders>
              <w:top w:val="nil"/>
              <w:left w:val="nil"/>
              <w:bottom w:val="single" w:sz="4" w:space="0" w:color="auto"/>
              <w:right w:val="single" w:sz="4" w:space="0" w:color="auto"/>
            </w:tcBorders>
            <w:shd w:val="clear" w:color="auto" w:fill="auto"/>
            <w:noWrap/>
            <w:vAlign w:val="center"/>
            <w:hideMark/>
          </w:tcPr>
          <w:p w14:paraId="2029C3F9"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822001073</w:t>
            </w:r>
          </w:p>
        </w:tc>
        <w:tc>
          <w:tcPr>
            <w:tcW w:w="3660" w:type="dxa"/>
            <w:tcBorders>
              <w:top w:val="nil"/>
              <w:left w:val="nil"/>
              <w:bottom w:val="single" w:sz="4" w:space="0" w:color="auto"/>
              <w:right w:val="single" w:sz="4" w:space="0" w:color="auto"/>
            </w:tcBorders>
            <w:shd w:val="clear" w:color="auto" w:fill="auto"/>
            <w:vAlign w:val="center"/>
            <w:hideMark/>
          </w:tcPr>
          <w:p w14:paraId="7D4FEC17"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MADIGAS INGENIEROS S.A. E.S.P.</w:t>
            </w:r>
          </w:p>
        </w:tc>
        <w:tc>
          <w:tcPr>
            <w:tcW w:w="800" w:type="dxa"/>
            <w:tcBorders>
              <w:top w:val="nil"/>
              <w:left w:val="nil"/>
              <w:bottom w:val="single" w:sz="4" w:space="0" w:color="auto"/>
              <w:right w:val="single" w:sz="4" w:space="0" w:color="auto"/>
            </w:tcBorders>
            <w:shd w:val="clear" w:color="auto" w:fill="auto"/>
            <w:noWrap/>
            <w:vAlign w:val="center"/>
            <w:hideMark/>
          </w:tcPr>
          <w:p w14:paraId="7E2116E1"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GasNatural</w:t>
            </w:r>
          </w:p>
        </w:tc>
        <w:tc>
          <w:tcPr>
            <w:tcW w:w="1660" w:type="dxa"/>
            <w:tcBorders>
              <w:top w:val="nil"/>
              <w:left w:val="nil"/>
              <w:bottom w:val="single" w:sz="4" w:space="0" w:color="auto"/>
              <w:right w:val="single" w:sz="4" w:space="0" w:color="auto"/>
            </w:tcBorders>
            <w:shd w:val="clear" w:color="auto" w:fill="auto"/>
            <w:noWrap/>
            <w:vAlign w:val="center"/>
            <w:hideMark/>
          </w:tcPr>
          <w:p w14:paraId="56779E90"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16,871,126,000</w:t>
            </w:r>
          </w:p>
        </w:tc>
        <w:tc>
          <w:tcPr>
            <w:tcW w:w="1720" w:type="dxa"/>
            <w:tcBorders>
              <w:top w:val="nil"/>
              <w:left w:val="nil"/>
              <w:bottom w:val="single" w:sz="4" w:space="0" w:color="auto"/>
              <w:right w:val="single" w:sz="4" w:space="0" w:color="auto"/>
            </w:tcBorders>
            <w:shd w:val="clear" w:color="auto" w:fill="auto"/>
            <w:noWrap/>
            <w:vAlign w:val="center"/>
            <w:hideMark/>
          </w:tcPr>
          <w:p w14:paraId="460AD8A6"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801,306,185</w:t>
            </w:r>
          </w:p>
        </w:tc>
      </w:tr>
      <w:tr w:rsidR="00117702" w:rsidRPr="00117702" w14:paraId="2ABCC8C1" w14:textId="77777777" w:rsidTr="00117702">
        <w:trPr>
          <w:trHeight w:val="46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378FBBF0"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171</w:t>
            </w:r>
          </w:p>
        </w:tc>
        <w:tc>
          <w:tcPr>
            <w:tcW w:w="900" w:type="dxa"/>
            <w:tcBorders>
              <w:top w:val="nil"/>
              <w:left w:val="nil"/>
              <w:bottom w:val="single" w:sz="4" w:space="0" w:color="auto"/>
              <w:right w:val="single" w:sz="4" w:space="0" w:color="auto"/>
            </w:tcBorders>
            <w:shd w:val="clear" w:color="auto" w:fill="auto"/>
            <w:noWrap/>
            <w:vAlign w:val="center"/>
            <w:hideMark/>
          </w:tcPr>
          <w:p w14:paraId="2029A488"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900090229</w:t>
            </w:r>
          </w:p>
        </w:tc>
        <w:tc>
          <w:tcPr>
            <w:tcW w:w="3660" w:type="dxa"/>
            <w:tcBorders>
              <w:top w:val="nil"/>
              <w:left w:val="nil"/>
              <w:bottom w:val="single" w:sz="4" w:space="0" w:color="auto"/>
              <w:right w:val="single" w:sz="4" w:space="0" w:color="auto"/>
            </w:tcBorders>
            <w:shd w:val="clear" w:color="auto" w:fill="auto"/>
            <w:vAlign w:val="center"/>
            <w:hideMark/>
          </w:tcPr>
          <w:p w14:paraId="7899ADAD"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MC2 SOCIEDAD POR ACCIONES SIMPLIFICADA EMPRESA DE SERVICIOS PUBLICOS</w:t>
            </w:r>
          </w:p>
        </w:tc>
        <w:tc>
          <w:tcPr>
            <w:tcW w:w="800" w:type="dxa"/>
            <w:tcBorders>
              <w:top w:val="nil"/>
              <w:left w:val="nil"/>
              <w:bottom w:val="single" w:sz="4" w:space="0" w:color="auto"/>
              <w:right w:val="single" w:sz="4" w:space="0" w:color="auto"/>
            </w:tcBorders>
            <w:shd w:val="clear" w:color="auto" w:fill="auto"/>
            <w:noWrap/>
            <w:vAlign w:val="center"/>
            <w:hideMark/>
          </w:tcPr>
          <w:p w14:paraId="3AA8AF7F"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GasNatural</w:t>
            </w:r>
          </w:p>
        </w:tc>
        <w:tc>
          <w:tcPr>
            <w:tcW w:w="1660" w:type="dxa"/>
            <w:tcBorders>
              <w:top w:val="nil"/>
              <w:left w:val="nil"/>
              <w:bottom w:val="single" w:sz="4" w:space="0" w:color="auto"/>
              <w:right w:val="single" w:sz="4" w:space="0" w:color="auto"/>
            </w:tcBorders>
            <w:shd w:val="clear" w:color="auto" w:fill="auto"/>
            <w:noWrap/>
            <w:vAlign w:val="center"/>
            <w:hideMark/>
          </w:tcPr>
          <w:p w14:paraId="74617978"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14,242,841,000</w:t>
            </w:r>
          </w:p>
        </w:tc>
        <w:tc>
          <w:tcPr>
            <w:tcW w:w="1720" w:type="dxa"/>
            <w:tcBorders>
              <w:top w:val="nil"/>
              <w:left w:val="nil"/>
              <w:bottom w:val="single" w:sz="4" w:space="0" w:color="auto"/>
              <w:right w:val="single" w:sz="4" w:space="0" w:color="auto"/>
            </w:tcBorders>
            <w:shd w:val="clear" w:color="auto" w:fill="auto"/>
            <w:noWrap/>
            <w:vAlign w:val="center"/>
            <w:hideMark/>
          </w:tcPr>
          <w:p w14:paraId="5A7DE4BB"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1,330,300,480</w:t>
            </w:r>
          </w:p>
        </w:tc>
      </w:tr>
      <w:tr w:rsidR="00117702" w:rsidRPr="00117702" w14:paraId="490A291E"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276E6064"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172</w:t>
            </w:r>
          </w:p>
        </w:tc>
        <w:tc>
          <w:tcPr>
            <w:tcW w:w="900" w:type="dxa"/>
            <w:tcBorders>
              <w:top w:val="nil"/>
              <w:left w:val="nil"/>
              <w:bottom w:val="single" w:sz="4" w:space="0" w:color="auto"/>
              <w:right w:val="single" w:sz="4" w:space="0" w:color="auto"/>
            </w:tcBorders>
            <w:shd w:val="clear" w:color="auto" w:fill="auto"/>
            <w:noWrap/>
            <w:vAlign w:val="center"/>
            <w:hideMark/>
          </w:tcPr>
          <w:p w14:paraId="5074B2B8"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890208316</w:t>
            </w:r>
          </w:p>
        </w:tc>
        <w:tc>
          <w:tcPr>
            <w:tcW w:w="3660" w:type="dxa"/>
            <w:tcBorders>
              <w:top w:val="nil"/>
              <w:left w:val="nil"/>
              <w:bottom w:val="single" w:sz="4" w:space="0" w:color="auto"/>
              <w:right w:val="single" w:sz="4" w:space="0" w:color="auto"/>
            </w:tcBorders>
            <w:shd w:val="clear" w:color="auto" w:fill="auto"/>
            <w:vAlign w:val="center"/>
            <w:hideMark/>
          </w:tcPr>
          <w:p w14:paraId="27F9273E"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 xml:space="preserve">METROGAS DE COLOMBIA S.A. E.S.P. </w:t>
            </w:r>
          </w:p>
        </w:tc>
        <w:tc>
          <w:tcPr>
            <w:tcW w:w="800" w:type="dxa"/>
            <w:tcBorders>
              <w:top w:val="nil"/>
              <w:left w:val="nil"/>
              <w:bottom w:val="single" w:sz="4" w:space="0" w:color="auto"/>
              <w:right w:val="single" w:sz="4" w:space="0" w:color="auto"/>
            </w:tcBorders>
            <w:shd w:val="clear" w:color="auto" w:fill="auto"/>
            <w:noWrap/>
            <w:vAlign w:val="center"/>
            <w:hideMark/>
          </w:tcPr>
          <w:p w14:paraId="1C634CAB"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GasNatural</w:t>
            </w:r>
          </w:p>
        </w:tc>
        <w:tc>
          <w:tcPr>
            <w:tcW w:w="1660" w:type="dxa"/>
            <w:tcBorders>
              <w:top w:val="nil"/>
              <w:left w:val="nil"/>
              <w:bottom w:val="single" w:sz="4" w:space="0" w:color="auto"/>
              <w:right w:val="single" w:sz="4" w:space="0" w:color="auto"/>
            </w:tcBorders>
            <w:shd w:val="clear" w:color="auto" w:fill="auto"/>
            <w:noWrap/>
            <w:vAlign w:val="center"/>
            <w:hideMark/>
          </w:tcPr>
          <w:p w14:paraId="2880F91D"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52,765,203,000</w:t>
            </w:r>
          </w:p>
        </w:tc>
        <w:tc>
          <w:tcPr>
            <w:tcW w:w="1720" w:type="dxa"/>
            <w:tcBorders>
              <w:top w:val="nil"/>
              <w:left w:val="nil"/>
              <w:bottom w:val="single" w:sz="4" w:space="0" w:color="auto"/>
              <w:right w:val="single" w:sz="4" w:space="0" w:color="auto"/>
            </w:tcBorders>
            <w:shd w:val="clear" w:color="auto" w:fill="auto"/>
            <w:noWrap/>
            <w:vAlign w:val="center"/>
            <w:hideMark/>
          </w:tcPr>
          <w:p w14:paraId="76E1A1D4"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2,657,810,783</w:t>
            </w:r>
          </w:p>
        </w:tc>
      </w:tr>
      <w:tr w:rsidR="00117702" w:rsidRPr="00117702" w14:paraId="5FFFEAF6"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25D83B57"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173</w:t>
            </w:r>
          </w:p>
        </w:tc>
        <w:tc>
          <w:tcPr>
            <w:tcW w:w="900" w:type="dxa"/>
            <w:tcBorders>
              <w:top w:val="nil"/>
              <w:left w:val="nil"/>
              <w:bottom w:val="single" w:sz="4" w:space="0" w:color="auto"/>
              <w:right w:val="single" w:sz="4" w:space="0" w:color="auto"/>
            </w:tcBorders>
            <w:shd w:val="clear" w:color="auto" w:fill="auto"/>
            <w:noWrap/>
            <w:vAlign w:val="center"/>
            <w:hideMark/>
          </w:tcPr>
          <w:p w14:paraId="73695178"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891202203</w:t>
            </w:r>
          </w:p>
        </w:tc>
        <w:tc>
          <w:tcPr>
            <w:tcW w:w="3660" w:type="dxa"/>
            <w:tcBorders>
              <w:top w:val="nil"/>
              <w:left w:val="nil"/>
              <w:bottom w:val="single" w:sz="4" w:space="0" w:color="auto"/>
              <w:right w:val="single" w:sz="4" w:space="0" w:color="auto"/>
            </w:tcBorders>
            <w:shd w:val="clear" w:color="auto" w:fill="auto"/>
            <w:vAlign w:val="center"/>
            <w:hideMark/>
          </w:tcPr>
          <w:p w14:paraId="2A6752C5" w14:textId="77777777" w:rsidR="00117702" w:rsidRPr="00D26825" w:rsidRDefault="00117702" w:rsidP="00117702">
            <w:pPr>
              <w:jc w:val="left"/>
              <w:rPr>
                <w:rFonts w:ascii="Arial Narrow" w:hAnsi="Arial Narrow" w:cs="Arial"/>
                <w:color w:val="000000"/>
                <w:spacing w:val="0"/>
                <w:sz w:val="18"/>
                <w:szCs w:val="18"/>
                <w:lang w:val="en-US" w:eastAsia="es-CO"/>
              </w:rPr>
            </w:pPr>
            <w:r w:rsidRPr="00D26825">
              <w:rPr>
                <w:rFonts w:ascii="Arial Narrow" w:hAnsi="Arial Narrow" w:cs="Arial"/>
                <w:color w:val="000000"/>
                <w:spacing w:val="0"/>
                <w:sz w:val="18"/>
                <w:szCs w:val="18"/>
                <w:lang w:val="en-US" w:eastAsia="es-CO"/>
              </w:rPr>
              <w:t>MONTAGAS S.A. E.S.P.</w:t>
            </w:r>
          </w:p>
        </w:tc>
        <w:tc>
          <w:tcPr>
            <w:tcW w:w="800" w:type="dxa"/>
            <w:tcBorders>
              <w:top w:val="nil"/>
              <w:left w:val="nil"/>
              <w:bottom w:val="single" w:sz="4" w:space="0" w:color="auto"/>
              <w:right w:val="single" w:sz="4" w:space="0" w:color="auto"/>
            </w:tcBorders>
            <w:shd w:val="clear" w:color="auto" w:fill="auto"/>
            <w:noWrap/>
            <w:vAlign w:val="center"/>
            <w:hideMark/>
          </w:tcPr>
          <w:p w14:paraId="58DF11E0"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GLP</w:t>
            </w:r>
          </w:p>
        </w:tc>
        <w:tc>
          <w:tcPr>
            <w:tcW w:w="1660" w:type="dxa"/>
            <w:tcBorders>
              <w:top w:val="nil"/>
              <w:left w:val="nil"/>
              <w:bottom w:val="single" w:sz="4" w:space="0" w:color="auto"/>
              <w:right w:val="single" w:sz="4" w:space="0" w:color="auto"/>
            </w:tcBorders>
            <w:shd w:val="clear" w:color="auto" w:fill="auto"/>
            <w:noWrap/>
            <w:vAlign w:val="center"/>
            <w:hideMark/>
          </w:tcPr>
          <w:p w14:paraId="00BDB511"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122,733,904,000</w:t>
            </w:r>
          </w:p>
        </w:tc>
        <w:tc>
          <w:tcPr>
            <w:tcW w:w="1720" w:type="dxa"/>
            <w:tcBorders>
              <w:top w:val="nil"/>
              <w:left w:val="nil"/>
              <w:bottom w:val="single" w:sz="4" w:space="0" w:color="auto"/>
              <w:right w:val="single" w:sz="4" w:space="0" w:color="auto"/>
            </w:tcBorders>
            <w:shd w:val="clear" w:color="auto" w:fill="auto"/>
            <w:noWrap/>
            <w:vAlign w:val="center"/>
            <w:hideMark/>
          </w:tcPr>
          <w:p w14:paraId="08D7F5DE"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3,906,351,081</w:t>
            </w:r>
          </w:p>
        </w:tc>
      </w:tr>
      <w:tr w:rsidR="00117702" w:rsidRPr="00117702" w14:paraId="6E622BB9" w14:textId="77777777" w:rsidTr="00117702">
        <w:trPr>
          <w:trHeight w:val="46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77E5D63D"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174</w:t>
            </w:r>
          </w:p>
        </w:tc>
        <w:tc>
          <w:tcPr>
            <w:tcW w:w="900" w:type="dxa"/>
            <w:tcBorders>
              <w:top w:val="nil"/>
              <w:left w:val="nil"/>
              <w:bottom w:val="single" w:sz="4" w:space="0" w:color="auto"/>
              <w:right w:val="single" w:sz="4" w:space="0" w:color="auto"/>
            </w:tcBorders>
            <w:shd w:val="clear" w:color="auto" w:fill="auto"/>
            <w:noWrap/>
            <w:vAlign w:val="center"/>
            <w:hideMark/>
          </w:tcPr>
          <w:p w14:paraId="4758D5D9"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830118416</w:t>
            </w:r>
          </w:p>
        </w:tc>
        <w:tc>
          <w:tcPr>
            <w:tcW w:w="3660" w:type="dxa"/>
            <w:tcBorders>
              <w:top w:val="nil"/>
              <w:left w:val="nil"/>
              <w:bottom w:val="single" w:sz="4" w:space="0" w:color="auto"/>
              <w:right w:val="single" w:sz="4" w:space="0" w:color="auto"/>
            </w:tcBorders>
            <w:shd w:val="clear" w:color="auto" w:fill="auto"/>
            <w:vAlign w:val="center"/>
            <w:hideMark/>
          </w:tcPr>
          <w:p w14:paraId="3610D10E"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NACIONAL DE SERVICIOS PÚBLICOS DOMICILIARIOS S.A. E.S.P.</w:t>
            </w:r>
          </w:p>
        </w:tc>
        <w:tc>
          <w:tcPr>
            <w:tcW w:w="800" w:type="dxa"/>
            <w:tcBorders>
              <w:top w:val="nil"/>
              <w:left w:val="nil"/>
              <w:bottom w:val="single" w:sz="4" w:space="0" w:color="auto"/>
              <w:right w:val="single" w:sz="4" w:space="0" w:color="auto"/>
            </w:tcBorders>
            <w:shd w:val="clear" w:color="auto" w:fill="auto"/>
            <w:noWrap/>
            <w:vAlign w:val="center"/>
            <w:hideMark/>
          </w:tcPr>
          <w:p w14:paraId="3E30DD27"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GasNatural</w:t>
            </w:r>
          </w:p>
        </w:tc>
        <w:tc>
          <w:tcPr>
            <w:tcW w:w="1660" w:type="dxa"/>
            <w:tcBorders>
              <w:top w:val="nil"/>
              <w:left w:val="nil"/>
              <w:bottom w:val="single" w:sz="4" w:space="0" w:color="auto"/>
              <w:right w:val="single" w:sz="4" w:space="0" w:color="auto"/>
            </w:tcBorders>
            <w:shd w:val="clear" w:color="auto" w:fill="auto"/>
            <w:noWrap/>
            <w:vAlign w:val="center"/>
            <w:hideMark/>
          </w:tcPr>
          <w:p w14:paraId="73A0FD8D"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3,912,173,992</w:t>
            </w:r>
          </w:p>
        </w:tc>
        <w:tc>
          <w:tcPr>
            <w:tcW w:w="1720" w:type="dxa"/>
            <w:tcBorders>
              <w:top w:val="nil"/>
              <w:left w:val="nil"/>
              <w:bottom w:val="single" w:sz="4" w:space="0" w:color="auto"/>
              <w:right w:val="single" w:sz="4" w:space="0" w:color="auto"/>
            </w:tcBorders>
            <w:shd w:val="clear" w:color="auto" w:fill="auto"/>
            <w:noWrap/>
            <w:vAlign w:val="center"/>
            <w:hideMark/>
          </w:tcPr>
          <w:p w14:paraId="022C0901"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676,972,877</w:t>
            </w:r>
          </w:p>
        </w:tc>
      </w:tr>
      <w:tr w:rsidR="00117702" w:rsidRPr="00117702" w14:paraId="1391BC01"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47345989"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175</w:t>
            </w:r>
          </w:p>
        </w:tc>
        <w:tc>
          <w:tcPr>
            <w:tcW w:w="900" w:type="dxa"/>
            <w:tcBorders>
              <w:top w:val="nil"/>
              <w:left w:val="nil"/>
              <w:bottom w:val="single" w:sz="4" w:space="0" w:color="auto"/>
              <w:right w:val="single" w:sz="4" w:space="0" w:color="auto"/>
            </w:tcBorders>
            <w:shd w:val="clear" w:color="auto" w:fill="auto"/>
            <w:noWrap/>
            <w:vAlign w:val="center"/>
            <w:hideMark/>
          </w:tcPr>
          <w:p w14:paraId="3E5BBAF4"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900691280</w:t>
            </w:r>
          </w:p>
        </w:tc>
        <w:tc>
          <w:tcPr>
            <w:tcW w:w="3660" w:type="dxa"/>
            <w:tcBorders>
              <w:top w:val="nil"/>
              <w:left w:val="nil"/>
              <w:bottom w:val="single" w:sz="4" w:space="0" w:color="auto"/>
              <w:right w:val="single" w:sz="4" w:space="0" w:color="auto"/>
            </w:tcBorders>
            <w:shd w:val="clear" w:color="auto" w:fill="auto"/>
            <w:vAlign w:val="center"/>
            <w:hideMark/>
          </w:tcPr>
          <w:p w14:paraId="602008D7"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NITRO ENERGY COLOMBIA S.A.S. E.S.P.</w:t>
            </w:r>
          </w:p>
        </w:tc>
        <w:tc>
          <w:tcPr>
            <w:tcW w:w="800" w:type="dxa"/>
            <w:tcBorders>
              <w:top w:val="nil"/>
              <w:left w:val="nil"/>
              <w:bottom w:val="single" w:sz="4" w:space="0" w:color="auto"/>
              <w:right w:val="single" w:sz="4" w:space="0" w:color="auto"/>
            </w:tcBorders>
            <w:shd w:val="clear" w:color="auto" w:fill="auto"/>
            <w:noWrap/>
            <w:vAlign w:val="center"/>
            <w:hideMark/>
          </w:tcPr>
          <w:p w14:paraId="48001704"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Energia</w:t>
            </w:r>
          </w:p>
        </w:tc>
        <w:tc>
          <w:tcPr>
            <w:tcW w:w="1660" w:type="dxa"/>
            <w:tcBorders>
              <w:top w:val="nil"/>
              <w:left w:val="nil"/>
              <w:bottom w:val="single" w:sz="4" w:space="0" w:color="auto"/>
              <w:right w:val="single" w:sz="4" w:space="0" w:color="auto"/>
            </w:tcBorders>
            <w:shd w:val="clear" w:color="auto" w:fill="auto"/>
            <w:noWrap/>
            <w:vAlign w:val="center"/>
            <w:hideMark/>
          </w:tcPr>
          <w:p w14:paraId="467FD868"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253,273,674,000</w:t>
            </w:r>
          </w:p>
        </w:tc>
        <w:tc>
          <w:tcPr>
            <w:tcW w:w="1720" w:type="dxa"/>
            <w:tcBorders>
              <w:top w:val="nil"/>
              <w:left w:val="nil"/>
              <w:bottom w:val="single" w:sz="4" w:space="0" w:color="auto"/>
              <w:right w:val="single" w:sz="4" w:space="0" w:color="auto"/>
            </w:tcBorders>
            <w:shd w:val="clear" w:color="auto" w:fill="auto"/>
            <w:noWrap/>
            <w:vAlign w:val="center"/>
            <w:hideMark/>
          </w:tcPr>
          <w:p w14:paraId="319DF376"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3,111,546,175</w:t>
            </w:r>
          </w:p>
        </w:tc>
      </w:tr>
      <w:tr w:rsidR="00117702" w:rsidRPr="00117702" w14:paraId="2E646B7B"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58E62670"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176</w:t>
            </w:r>
          </w:p>
        </w:tc>
        <w:tc>
          <w:tcPr>
            <w:tcW w:w="900" w:type="dxa"/>
            <w:tcBorders>
              <w:top w:val="nil"/>
              <w:left w:val="nil"/>
              <w:bottom w:val="single" w:sz="4" w:space="0" w:color="auto"/>
              <w:right w:val="single" w:sz="4" w:space="0" w:color="auto"/>
            </w:tcBorders>
            <w:shd w:val="clear" w:color="auto" w:fill="auto"/>
            <w:noWrap/>
            <w:vAlign w:val="center"/>
            <w:hideMark/>
          </w:tcPr>
          <w:p w14:paraId="105D79BF"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890500726</w:t>
            </w:r>
          </w:p>
        </w:tc>
        <w:tc>
          <w:tcPr>
            <w:tcW w:w="3660" w:type="dxa"/>
            <w:tcBorders>
              <w:top w:val="nil"/>
              <w:left w:val="nil"/>
              <w:bottom w:val="single" w:sz="4" w:space="0" w:color="auto"/>
              <w:right w:val="single" w:sz="4" w:space="0" w:color="auto"/>
            </w:tcBorders>
            <w:shd w:val="clear" w:color="auto" w:fill="auto"/>
            <w:vAlign w:val="center"/>
            <w:hideMark/>
          </w:tcPr>
          <w:p w14:paraId="6D144CCE"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NORTESANTANDEREANA DE GAS S.A. E.S.P.</w:t>
            </w:r>
          </w:p>
        </w:tc>
        <w:tc>
          <w:tcPr>
            <w:tcW w:w="800" w:type="dxa"/>
            <w:tcBorders>
              <w:top w:val="nil"/>
              <w:left w:val="nil"/>
              <w:bottom w:val="single" w:sz="4" w:space="0" w:color="auto"/>
              <w:right w:val="single" w:sz="4" w:space="0" w:color="auto"/>
            </w:tcBorders>
            <w:shd w:val="clear" w:color="auto" w:fill="auto"/>
            <w:noWrap/>
            <w:vAlign w:val="center"/>
            <w:hideMark/>
          </w:tcPr>
          <w:p w14:paraId="3ED3726C"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GLP</w:t>
            </w:r>
          </w:p>
        </w:tc>
        <w:tc>
          <w:tcPr>
            <w:tcW w:w="1660" w:type="dxa"/>
            <w:tcBorders>
              <w:top w:val="nil"/>
              <w:left w:val="nil"/>
              <w:bottom w:val="single" w:sz="4" w:space="0" w:color="auto"/>
              <w:right w:val="single" w:sz="4" w:space="0" w:color="auto"/>
            </w:tcBorders>
            <w:shd w:val="clear" w:color="auto" w:fill="auto"/>
            <w:noWrap/>
            <w:vAlign w:val="center"/>
            <w:hideMark/>
          </w:tcPr>
          <w:p w14:paraId="50D96F2D"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438,463,042,000</w:t>
            </w:r>
          </w:p>
        </w:tc>
        <w:tc>
          <w:tcPr>
            <w:tcW w:w="1720" w:type="dxa"/>
            <w:tcBorders>
              <w:top w:val="nil"/>
              <w:left w:val="nil"/>
              <w:bottom w:val="single" w:sz="4" w:space="0" w:color="auto"/>
              <w:right w:val="single" w:sz="4" w:space="0" w:color="auto"/>
            </w:tcBorders>
            <w:shd w:val="clear" w:color="auto" w:fill="auto"/>
            <w:noWrap/>
            <w:vAlign w:val="center"/>
            <w:hideMark/>
          </w:tcPr>
          <w:p w14:paraId="408AF84D"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23,575,034,485</w:t>
            </w:r>
          </w:p>
        </w:tc>
      </w:tr>
      <w:tr w:rsidR="00117702" w:rsidRPr="00117702" w14:paraId="7DA2E4B5"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5D7C086D"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177</w:t>
            </w:r>
          </w:p>
        </w:tc>
        <w:tc>
          <w:tcPr>
            <w:tcW w:w="900" w:type="dxa"/>
            <w:tcBorders>
              <w:top w:val="nil"/>
              <w:left w:val="nil"/>
              <w:bottom w:val="single" w:sz="4" w:space="0" w:color="auto"/>
              <w:right w:val="single" w:sz="4" w:space="0" w:color="auto"/>
            </w:tcBorders>
            <w:shd w:val="clear" w:color="auto" w:fill="auto"/>
            <w:noWrap/>
            <w:vAlign w:val="center"/>
            <w:hideMark/>
          </w:tcPr>
          <w:p w14:paraId="7A5C2705"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900924778</w:t>
            </w:r>
          </w:p>
        </w:tc>
        <w:tc>
          <w:tcPr>
            <w:tcW w:w="3660" w:type="dxa"/>
            <w:tcBorders>
              <w:top w:val="nil"/>
              <w:left w:val="nil"/>
              <w:bottom w:val="single" w:sz="4" w:space="0" w:color="auto"/>
              <w:right w:val="single" w:sz="4" w:space="0" w:color="auto"/>
            </w:tcBorders>
            <w:shd w:val="clear" w:color="auto" w:fill="auto"/>
            <w:vAlign w:val="center"/>
            <w:hideMark/>
          </w:tcPr>
          <w:p w14:paraId="3C51DA76" w14:textId="77777777" w:rsidR="00117702" w:rsidRPr="00D26825" w:rsidRDefault="00117702" w:rsidP="00117702">
            <w:pPr>
              <w:jc w:val="left"/>
              <w:rPr>
                <w:rFonts w:ascii="Arial Narrow" w:hAnsi="Arial Narrow" w:cs="Arial"/>
                <w:color w:val="000000"/>
                <w:spacing w:val="0"/>
                <w:sz w:val="18"/>
                <w:szCs w:val="18"/>
                <w:lang w:val="en-US" w:eastAsia="es-CO"/>
              </w:rPr>
            </w:pPr>
            <w:r w:rsidRPr="00D26825">
              <w:rPr>
                <w:rFonts w:ascii="Arial Narrow" w:hAnsi="Arial Narrow" w:cs="Arial"/>
                <w:color w:val="000000"/>
                <w:spacing w:val="0"/>
                <w:sz w:val="18"/>
                <w:szCs w:val="18"/>
                <w:lang w:val="en-US" w:eastAsia="es-CO"/>
              </w:rPr>
              <w:t>OIL &amp; GAS MAINTENANCE AND SERVICE SAS ESP</w:t>
            </w:r>
          </w:p>
        </w:tc>
        <w:tc>
          <w:tcPr>
            <w:tcW w:w="800" w:type="dxa"/>
            <w:tcBorders>
              <w:top w:val="nil"/>
              <w:left w:val="nil"/>
              <w:bottom w:val="single" w:sz="4" w:space="0" w:color="auto"/>
              <w:right w:val="single" w:sz="4" w:space="0" w:color="auto"/>
            </w:tcBorders>
            <w:shd w:val="clear" w:color="auto" w:fill="auto"/>
            <w:noWrap/>
            <w:vAlign w:val="center"/>
            <w:hideMark/>
          </w:tcPr>
          <w:p w14:paraId="2B36AD39"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GLP</w:t>
            </w:r>
          </w:p>
        </w:tc>
        <w:tc>
          <w:tcPr>
            <w:tcW w:w="1660" w:type="dxa"/>
            <w:tcBorders>
              <w:top w:val="nil"/>
              <w:left w:val="nil"/>
              <w:bottom w:val="single" w:sz="4" w:space="0" w:color="auto"/>
              <w:right w:val="single" w:sz="4" w:space="0" w:color="auto"/>
            </w:tcBorders>
            <w:shd w:val="clear" w:color="auto" w:fill="auto"/>
            <w:noWrap/>
            <w:vAlign w:val="center"/>
            <w:hideMark/>
          </w:tcPr>
          <w:p w14:paraId="6BA01AB4"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6,108,773,765</w:t>
            </w:r>
          </w:p>
        </w:tc>
        <w:tc>
          <w:tcPr>
            <w:tcW w:w="1720" w:type="dxa"/>
            <w:tcBorders>
              <w:top w:val="nil"/>
              <w:left w:val="nil"/>
              <w:bottom w:val="single" w:sz="4" w:space="0" w:color="auto"/>
              <w:right w:val="single" w:sz="4" w:space="0" w:color="auto"/>
            </w:tcBorders>
            <w:shd w:val="clear" w:color="auto" w:fill="auto"/>
            <w:noWrap/>
            <w:vAlign w:val="center"/>
            <w:hideMark/>
          </w:tcPr>
          <w:p w14:paraId="782D51AA"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104,126,482</w:t>
            </w:r>
          </w:p>
        </w:tc>
      </w:tr>
      <w:tr w:rsidR="00117702" w:rsidRPr="00117702" w14:paraId="3E6B5A6B"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6D2D00FE"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178</w:t>
            </w:r>
          </w:p>
        </w:tc>
        <w:tc>
          <w:tcPr>
            <w:tcW w:w="900" w:type="dxa"/>
            <w:tcBorders>
              <w:top w:val="nil"/>
              <w:left w:val="nil"/>
              <w:bottom w:val="single" w:sz="4" w:space="0" w:color="auto"/>
              <w:right w:val="single" w:sz="4" w:space="0" w:color="auto"/>
            </w:tcBorders>
            <w:shd w:val="clear" w:color="auto" w:fill="auto"/>
            <w:noWrap/>
            <w:vAlign w:val="center"/>
            <w:hideMark/>
          </w:tcPr>
          <w:p w14:paraId="728BF93F"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900268747</w:t>
            </w:r>
          </w:p>
        </w:tc>
        <w:tc>
          <w:tcPr>
            <w:tcW w:w="3660" w:type="dxa"/>
            <w:tcBorders>
              <w:top w:val="nil"/>
              <w:left w:val="nil"/>
              <w:bottom w:val="single" w:sz="4" w:space="0" w:color="auto"/>
              <w:right w:val="single" w:sz="4" w:space="0" w:color="auto"/>
            </w:tcBorders>
            <w:shd w:val="clear" w:color="auto" w:fill="auto"/>
            <w:vAlign w:val="center"/>
            <w:hideMark/>
          </w:tcPr>
          <w:p w14:paraId="7EE5D228"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PAREX RESOURCES COLOMBIA LTD SUCURSAL</w:t>
            </w:r>
          </w:p>
        </w:tc>
        <w:tc>
          <w:tcPr>
            <w:tcW w:w="800" w:type="dxa"/>
            <w:tcBorders>
              <w:top w:val="nil"/>
              <w:left w:val="nil"/>
              <w:bottom w:val="single" w:sz="4" w:space="0" w:color="auto"/>
              <w:right w:val="single" w:sz="4" w:space="0" w:color="auto"/>
            </w:tcBorders>
            <w:shd w:val="clear" w:color="auto" w:fill="auto"/>
            <w:noWrap/>
            <w:vAlign w:val="center"/>
            <w:hideMark/>
          </w:tcPr>
          <w:p w14:paraId="51BC3481"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GasNatural</w:t>
            </w:r>
          </w:p>
        </w:tc>
        <w:tc>
          <w:tcPr>
            <w:tcW w:w="1660" w:type="dxa"/>
            <w:tcBorders>
              <w:top w:val="nil"/>
              <w:left w:val="nil"/>
              <w:bottom w:val="single" w:sz="4" w:space="0" w:color="auto"/>
              <w:right w:val="single" w:sz="4" w:space="0" w:color="auto"/>
            </w:tcBorders>
            <w:shd w:val="clear" w:color="auto" w:fill="auto"/>
            <w:noWrap/>
            <w:vAlign w:val="center"/>
            <w:hideMark/>
          </w:tcPr>
          <w:p w14:paraId="3C3708F6"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1,450,531,335</w:t>
            </w:r>
          </w:p>
        </w:tc>
        <w:tc>
          <w:tcPr>
            <w:tcW w:w="1720" w:type="dxa"/>
            <w:tcBorders>
              <w:top w:val="nil"/>
              <w:left w:val="nil"/>
              <w:bottom w:val="single" w:sz="4" w:space="0" w:color="auto"/>
              <w:right w:val="single" w:sz="4" w:space="0" w:color="auto"/>
            </w:tcBorders>
            <w:shd w:val="clear" w:color="auto" w:fill="auto"/>
            <w:noWrap/>
            <w:vAlign w:val="center"/>
            <w:hideMark/>
          </w:tcPr>
          <w:p w14:paraId="265FA5E0"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5,679,170,308</w:t>
            </w:r>
          </w:p>
        </w:tc>
      </w:tr>
      <w:tr w:rsidR="00117702" w:rsidRPr="00117702" w14:paraId="7B414080"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37787EC2"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179</w:t>
            </w:r>
          </w:p>
        </w:tc>
        <w:tc>
          <w:tcPr>
            <w:tcW w:w="900" w:type="dxa"/>
            <w:tcBorders>
              <w:top w:val="nil"/>
              <w:left w:val="nil"/>
              <w:bottom w:val="single" w:sz="4" w:space="0" w:color="auto"/>
              <w:right w:val="single" w:sz="4" w:space="0" w:color="auto"/>
            </w:tcBorders>
            <w:shd w:val="clear" w:color="auto" w:fill="auto"/>
            <w:noWrap/>
            <w:vAlign w:val="center"/>
            <w:hideMark/>
          </w:tcPr>
          <w:p w14:paraId="24A3A1AF"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900331322</w:t>
            </w:r>
          </w:p>
        </w:tc>
        <w:tc>
          <w:tcPr>
            <w:tcW w:w="3660" w:type="dxa"/>
            <w:tcBorders>
              <w:top w:val="nil"/>
              <w:left w:val="nil"/>
              <w:bottom w:val="single" w:sz="4" w:space="0" w:color="auto"/>
              <w:right w:val="single" w:sz="4" w:space="0" w:color="auto"/>
            </w:tcBorders>
            <w:shd w:val="clear" w:color="auto" w:fill="auto"/>
            <w:vAlign w:val="center"/>
            <w:hideMark/>
          </w:tcPr>
          <w:p w14:paraId="347E7BCF"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PAREX VERANO LIMITED SUCURSAL</w:t>
            </w:r>
          </w:p>
        </w:tc>
        <w:tc>
          <w:tcPr>
            <w:tcW w:w="800" w:type="dxa"/>
            <w:tcBorders>
              <w:top w:val="nil"/>
              <w:left w:val="nil"/>
              <w:bottom w:val="single" w:sz="4" w:space="0" w:color="auto"/>
              <w:right w:val="single" w:sz="4" w:space="0" w:color="auto"/>
            </w:tcBorders>
            <w:shd w:val="clear" w:color="auto" w:fill="auto"/>
            <w:noWrap/>
            <w:vAlign w:val="center"/>
            <w:hideMark/>
          </w:tcPr>
          <w:p w14:paraId="736087BE"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GasNatural</w:t>
            </w:r>
          </w:p>
        </w:tc>
        <w:tc>
          <w:tcPr>
            <w:tcW w:w="1660" w:type="dxa"/>
            <w:tcBorders>
              <w:top w:val="nil"/>
              <w:left w:val="nil"/>
              <w:bottom w:val="single" w:sz="4" w:space="0" w:color="auto"/>
              <w:right w:val="single" w:sz="4" w:space="0" w:color="auto"/>
            </w:tcBorders>
            <w:shd w:val="clear" w:color="auto" w:fill="auto"/>
            <w:noWrap/>
            <w:vAlign w:val="center"/>
            <w:hideMark/>
          </w:tcPr>
          <w:p w14:paraId="5944722B"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29,504,831,840</w:t>
            </w:r>
          </w:p>
        </w:tc>
        <w:tc>
          <w:tcPr>
            <w:tcW w:w="1720" w:type="dxa"/>
            <w:tcBorders>
              <w:top w:val="nil"/>
              <w:left w:val="nil"/>
              <w:bottom w:val="single" w:sz="4" w:space="0" w:color="auto"/>
              <w:right w:val="single" w:sz="4" w:space="0" w:color="auto"/>
            </w:tcBorders>
            <w:shd w:val="clear" w:color="auto" w:fill="auto"/>
            <w:noWrap/>
            <w:vAlign w:val="center"/>
            <w:hideMark/>
          </w:tcPr>
          <w:p w14:paraId="31DCB610"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4,364,539,817</w:t>
            </w:r>
          </w:p>
        </w:tc>
      </w:tr>
      <w:tr w:rsidR="00117702" w:rsidRPr="00117702" w14:paraId="6E47E4EC"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115473A7"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180</w:t>
            </w:r>
          </w:p>
        </w:tc>
        <w:tc>
          <w:tcPr>
            <w:tcW w:w="900" w:type="dxa"/>
            <w:tcBorders>
              <w:top w:val="nil"/>
              <w:left w:val="nil"/>
              <w:bottom w:val="single" w:sz="4" w:space="0" w:color="auto"/>
              <w:right w:val="single" w:sz="4" w:space="0" w:color="auto"/>
            </w:tcBorders>
            <w:shd w:val="clear" w:color="auto" w:fill="auto"/>
            <w:noWrap/>
            <w:vAlign w:val="center"/>
            <w:hideMark/>
          </w:tcPr>
          <w:p w14:paraId="6FE57899"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900582235</w:t>
            </w:r>
          </w:p>
        </w:tc>
        <w:tc>
          <w:tcPr>
            <w:tcW w:w="3660" w:type="dxa"/>
            <w:tcBorders>
              <w:top w:val="nil"/>
              <w:left w:val="nil"/>
              <w:bottom w:val="single" w:sz="4" w:space="0" w:color="auto"/>
              <w:right w:val="single" w:sz="4" w:space="0" w:color="auto"/>
            </w:tcBorders>
            <w:shd w:val="clear" w:color="auto" w:fill="auto"/>
            <w:vAlign w:val="center"/>
            <w:hideMark/>
          </w:tcPr>
          <w:p w14:paraId="515088DB"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PCHS LOS MOLINOS S.A.S. E.S.P.</w:t>
            </w:r>
          </w:p>
        </w:tc>
        <w:tc>
          <w:tcPr>
            <w:tcW w:w="800" w:type="dxa"/>
            <w:tcBorders>
              <w:top w:val="nil"/>
              <w:left w:val="nil"/>
              <w:bottom w:val="single" w:sz="4" w:space="0" w:color="auto"/>
              <w:right w:val="single" w:sz="4" w:space="0" w:color="auto"/>
            </w:tcBorders>
            <w:shd w:val="clear" w:color="auto" w:fill="auto"/>
            <w:noWrap/>
            <w:vAlign w:val="center"/>
            <w:hideMark/>
          </w:tcPr>
          <w:p w14:paraId="199F1C64"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Energia</w:t>
            </w:r>
          </w:p>
        </w:tc>
        <w:tc>
          <w:tcPr>
            <w:tcW w:w="1660" w:type="dxa"/>
            <w:tcBorders>
              <w:top w:val="nil"/>
              <w:left w:val="nil"/>
              <w:bottom w:val="single" w:sz="4" w:space="0" w:color="auto"/>
              <w:right w:val="single" w:sz="4" w:space="0" w:color="auto"/>
            </w:tcBorders>
            <w:shd w:val="clear" w:color="auto" w:fill="auto"/>
            <w:noWrap/>
            <w:vAlign w:val="center"/>
            <w:hideMark/>
          </w:tcPr>
          <w:p w14:paraId="0810F236"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31,300,917,000</w:t>
            </w:r>
          </w:p>
        </w:tc>
        <w:tc>
          <w:tcPr>
            <w:tcW w:w="1720" w:type="dxa"/>
            <w:tcBorders>
              <w:top w:val="nil"/>
              <w:left w:val="nil"/>
              <w:bottom w:val="single" w:sz="4" w:space="0" w:color="auto"/>
              <w:right w:val="single" w:sz="4" w:space="0" w:color="auto"/>
            </w:tcBorders>
            <w:shd w:val="clear" w:color="auto" w:fill="auto"/>
            <w:noWrap/>
            <w:vAlign w:val="center"/>
            <w:hideMark/>
          </w:tcPr>
          <w:p w14:paraId="0D28B8D8"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2,418,419,988</w:t>
            </w:r>
          </w:p>
        </w:tc>
      </w:tr>
      <w:tr w:rsidR="00117702" w:rsidRPr="00117702" w14:paraId="6A33179C" w14:textId="77777777" w:rsidTr="00117702">
        <w:trPr>
          <w:trHeight w:val="46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57262340"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181</w:t>
            </w:r>
          </w:p>
        </w:tc>
        <w:tc>
          <w:tcPr>
            <w:tcW w:w="900" w:type="dxa"/>
            <w:tcBorders>
              <w:top w:val="nil"/>
              <w:left w:val="nil"/>
              <w:bottom w:val="single" w:sz="4" w:space="0" w:color="auto"/>
              <w:right w:val="single" w:sz="4" w:space="0" w:color="auto"/>
            </w:tcBorders>
            <w:shd w:val="clear" w:color="auto" w:fill="auto"/>
            <w:noWrap/>
            <w:vAlign w:val="center"/>
            <w:hideMark/>
          </w:tcPr>
          <w:p w14:paraId="6D232F48"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900319306</w:t>
            </w:r>
          </w:p>
        </w:tc>
        <w:tc>
          <w:tcPr>
            <w:tcW w:w="3660" w:type="dxa"/>
            <w:tcBorders>
              <w:top w:val="nil"/>
              <w:left w:val="nil"/>
              <w:bottom w:val="single" w:sz="4" w:space="0" w:color="auto"/>
              <w:right w:val="single" w:sz="4" w:space="0" w:color="auto"/>
            </w:tcBorders>
            <w:shd w:val="clear" w:color="auto" w:fill="auto"/>
            <w:vAlign w:val="center"/>
            <w:hideMark/>
          </w:tcPr>
          <w:p w14:paraId="79D9BF9C"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PEGASUS BLENDING INTERNATIONAL S.A.S. EMPRESA DE SERVICIOS PUBLICOS E.S.P</w:t>
            </w:r>
          </w:p>
        </w:tc>
        <w:tc>
          <w:tcPr>
            <w:tcW w:w="800" w:type="dxa"/>
            <w:tcBorders>
              <w:top w:val="nil"/>
              <w:left w:val="nil"/>
              <w:bottom w:val="single" w:sz="4" w:space="0" w:color="auto"/>
              <w:right w:val="single" w:sz="4" w:space="0" w:color="auto"/>
            </w:tcBorders>
            <w:shd w:val="clear" w:color="auto" w:fill="auto"/>
            <w:noWrap/>
            <w:vAlign w:val="center"/>
            <w:hideMark/>
          </w:tcPr>
          <w:p w14:paraId="3198B796"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GasNatural</w:t>
            </w:r>
          </w:p>
        </w:tc>
        <w:tc>
          <w:tcPr>
            <w:tcW w:w="1660" w:type="dxa"/>
            <w:tcBorders>
              <w:top w:val="nil"/>
              <w:left w:val="nil"/>
              <w:bottom w:val="single" w:sz="4" w:space="0" w:color="auto"/>
              <w:right w:val="single" w:sz="4" w:space="0" w:color="auto"/>
            </w:tcBorders>
            <w:shd w:val="clear" w:color="auto" w:fill="auto"/>
            <w:noWrap/>
            <w:vAlign w:val="center"/>
            <w:hideMark/>
          </w:tcPr>
          <w:p w14:paraId="4AC7CF55"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2,270,348,707</w:t>
            </w:r>
          </w:p>
        </w:tc>
        <w:tc>
          <w:tcPr>
            <w:tcW w:w="1720" w:type="dxa"/>
            <w:tcBorders>
              <w:top w:val="nil"/>
              <w:left w:val="nil"/>
              <w:bottom w:val="single" w:sz="4" w:space="0" w:color="auto"/>
              <w:right w:val="single" w:sz="4" w:space="0" w:color="auto"/>
            </w:tcBorders>
            <w:shd w:val="clear" w:color="auto" w:fill="auto"/>
            <w:noWrap/>
            <w:vAlign w:val="center"/>
            <w:hideMark/>
          </w:tcPr>
          <w:p w14:paraId="6E69C18C"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87,143,545</w:t>
            </w:r>
          </w:p>
        </w:tc>
      </w:tr>
      <w:tr w:rsidR="00117702" w:rsidRPr="00117702" w14:paraId="2544C956" w14:textId="77777777" w:rsidTr="00117702">
        <w:trPr>
          <w:trHeight w:val="46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451DB056"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182</w:t>
            </w:r>
          </w:p>
        </w:tc>
        <w:tc>
          <w:tcPr>
            <w:tcW w:w="900" w:type="dxa"/>
            <w:tcBorders>
              <w:top w:val="nil"/>
              <w:left w:val="nil"/>
              <w:bottom w:val="single" w:sz="4" w:space="0" w:color="auto"/>
              <w:right w:val="single" w:sz="4" w:space="0" w:color="auto"/>
            </w:tcBorders>
            <w:shd w:val="clear" w:color="auto" w:fill="auto"/>
            <w:noWrap/>
            <w:vAlign w:val="center"/>
            <w:hideMark/>
          </w:tcPr>
          <w:p w14:paraId="1F02A5F7"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900495129</w:t>
            </w:r>
          </w:p>
        </w:tc>
        <w:tc>
          <w:tcPr>
            <w:tcW w:w="3660" w:type="dxa"/>
            <w:tcBorders>
              <w:top w:val="nil"/>
              <w:left w:val="nil"/>
              <w:bottom w:val="single" w:sz="4" w:space="0" w:color="auto"/>
              <w:right w:val="single" w:sz="4" w:space="0" w:color="auto"/>
            </w:tcBorders>
            <w:shd w:val="clear" w:color="auto" w:fill="auto"/>
            <w:vAlign w:val="center"/>
            <w:hideMark/>
          </w:tcPr>
          <w:p w14:paraId="43A5BC96"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PETROLEOS SUD AMERICANOS SUCURSAL COLOMBIA</w:t>
            </w:r>
          </w:p>
        </w:tc>
        <w:tc>
          <w:tcPr>
            <w:tcW w:w="800" w:type="dxa"/>
            <w:tcBorders>
              <w:top w:val="nil"/>
              <w:left w:val="nil"/>
              <w:bottom w:val="single" w:sz="4" w:space="0" w:color="auto"/>
              <w:right w:val="single" w:sz="4" w:space="0" w:color="auto"/>
            </w:tcBorders>
            <w:shd w:val="clear" w:color="auto" w:fill="auto"/>
            <w:noWrap/>
            <w:vAlign w:val="center"/>
            <w:hideMark/>
          </w:tcPr>
          <w:p w14:paraId="4840A7C0"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GasNatural</w:t>
            </w:r>
          </w:p>
        </w:tc>
        <w:tc>
          <w:tcPr>
            <w:tcW w:w="1660" w:type="dxa"/>
            <w:tcBorders>
              <w:top w:val="nil"/>
              <w:left w:val="nil"/>
              <w:bottom w:val="single" w:sz="4" w:space="0" w:color="auto"/>
              <w:right w:val="single" w:sz="4" w:space="0" w:color="auto"/>
            </w:tcBorders>
            <w:shd w:val="clear" w:color="auto" w:fill="auto"/>
            <w:noWrap/>
            <w:vAlign w:val="center"/>
            <w:hideMark/>
          </w:tcPr>
          <w:p w14:paraId="737041BF"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38,894,011,101</w:t>
            </w:r>
          </w:p>
        </w:tc>
        <w:tc>
          <w:tcPr>
            <w:tcW w:w="1720" w:type="dxa"/>
            <w:tcBorders>
              <w:top w:val="nil"/>
              <w:left w:val="nil"/>
              <w:bottom w:val="single" w:sz="4" w:space="0" w:color="auto"/>
              <w:right w:val="single" w:sz="4" w:space="0" w:color="auto"/>
            </w:tcBorders>
            <w:shd w:val="clear" w:color="auto" w:fill="auto"/>
            <w:noWrap/>
            <w:vAlign w:val="center"/>
            <w:hideMark/>
          </w:tcPr>
          <w:p w14:paraId="349723CA"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5,099,074,683</w:t>
            </w:r>
          </w:p>
        </w:tc>
      </w:tr>
      <w:tr w:rsidR="00117702" w:rsidRPr="00117702" w14:paraId="75A9284E"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5AECB09F"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183</w:t>
            </w:r>
          </w:p>
        </w:tc>
        <w:tc>
          <w:tcPr>
            <w:tcW w:w="900" w:type="dxa"/>
            <w:tcBorders>
              <w:top w:val="nil"/>
              <w:left w:val="nil"/>
              <w:bottom w:val="single" w:sz="4" w:space="0" w:color="auto"/>
              <w:right w:val="single" w:sz="4" w:space="0" w:color="auto"/>
            </w:tcBorders>
            <w:shd w:val="clear" w:color="auto" w:fill="auto"/>
            <w:noWrap/>
            <w:vAlign w:val="center"/>
            <w:hideMark/>
          </w:tcPr>
          <w:p w14:paraId="4540AF6F"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900330027</w:t>
            </w:r>
          </w:p>
        </w:tc>
        <w:tc>
          <w:tcPr>
            <w:tcW w:w="3660" w:type="dxa"/>
            <w:tcBorders>
              <w:top w:val="nil"/>
              <w:left w:val="nil"/>
              <w:bottom w:val="single" w:sz="4" w:space="0" w:color="auto"/>
              <w:right w:val="single" w:sz="4" w:space="0" w:color="auto"/>
            </w:tcBorders>
            <w:shd w:val="clear" w:color="auto" w:fill="auto"/>
            <w:vAlign w:val="center"/>
            <w:hideMark/>
          </w:tcPr>
          <w:p w14:paraId="5D970FD6"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PETROMILGAS S.A. ESP</w:t>
            </w:r>
          </w:p>
        </w:tc>
        <w:tc>
          <w:tcPr>
            <w:tcW w:w="800" w:type="dxa"/>
            <w:tcBorders>
              <w:top w:val="nil"/>
              <w:left w:val="nil"/>
              <w:bottom w:val="single" w:sz="4" w:space="0" w:color="auto"/>
              <w:right w:val="single" w:sz="4" w:space="0" w:color="auto"/>
            </w:tcBorders>
            <w:shd w:val="clear" w:color="auto" w:fill="auto"/>
            <w:noWrap/>
            <w:vAlign w:val="center"/>
            <w:hideMark/>
          </w:tcPr>
          <w:p w14:paraId="07476EC5"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GasNatural</w:t>
            </w:r>
          </w:p>
        </w:tc>
        <w:tc>
          <w:tcPr>
            <w:tcW w:w="1660" w:type="dxa"/>
            <w:tcBorders>
              <w:top w:val="nil"/>
              <w:left w:val="nil"/>
              <w:bottom w:val="single" w:sz="4" w:space="0" w:color="auto"/>
              <w:right w:val="single" w:sz="4" w:space="0" w:color="auto"/>
            </w:tcBorders>
            <w:shd w:val="clear" w:color="auto" w:fill="auto"/>
            <w:noWrap/>
            <w:vAlign w:val="center"/>
            <w:hideMark/>
          </w:tcPr>
          <w:p w14:paraId="5A712FDD"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225,517,568,000</w:t>
            </w:r>
          </w:p>
        </w:tc>
        <w:tc>
          <w:tcPr>
            <w:tcW w:w="1720" w:type="dxa"/>
            <w:tcBorders>
              <w:top w:val="nil"/>
              <w:left w:val="nil"/>
              <w:bottom w:val="single" w:sz="4" w:space="0" w:color="auto"/>
              <w:right w:val="single" w:sz="4" w:space="0" w:color="auto"/>
            </w:tcBorders>
            <w:shd w:val="clear" w:color="auto" w:fill="auto"/>
            <w:noWrap/>
            <w:vAlign w:val="center"/>
            <w:hideMark/>
          </w:tcPr>
          <w:p w14:paraId="4346293F"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4,556,616,828</w:t>
            </w:r>
          </w:p>
        </w:tc>
      </w:tr>
      <w:tr w:rsidR="00117702" w:rsidRPr="00117702" w14:paraId="2582B88E"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757C310B"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184</w:t>
            </w:r>
          </w:p>
        </w:tc>
        <w:tc>
          <w:tcPr>
            <w:tcW w:w="900" w:type="dxa"/>
            <w:tcBorders>
              <w:top w:val="nil"/>
              <w:left w:val="nil"/>
              <w:bottom w:val="single" w:sz="4" w:space="0" w:color="auto"/>
              <w:right w:val="single" w:sz="4" w:space="0" w:color="auto"/>
            </w:tcBorders>
            <w:shd w:val="clear" w:color="auto" w:fill="auto"/>
            <w:noWrap/>
            <w:vAlign w:val="center"/>
            <w:hideMark/>
          </w:tcPr>
          <w:p w14:paraId="387264D0"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860515802</w:t>
            </w:r>
          </w:p>
        </w:tc>
        <w:tc>
          <w:tcPr>
            <w:tcW w:w="3660" w:type="dxa"/>
            <w:tcBorders>
              <w:top w:val="nil"/>
              <w:left w:val="nil"/>
              <w:bottom w:val="single" w:sz="4" w:space="0" w:color="auto"/>
              <w:right w:val="single" w:sz="4" w:space="0" w:color="auto"/>
            </w:tcBorders>
            <w:shd w:val="clear" w:color="auto" w:fill="auto"/>
            <w:vAlign w:val="center"/>
            <w:hideMark/>
          </w:tcPr>
          <w:p w14:paraId="1792561C"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PLEXA SAS ESP</w:t>
            </w:r>
          </w:p>
        </w:tc>
        <w:tc>
          <w:tcPr>
            <w:tcW w:w="800" w:type="dxa"/>
            <w:tcBorders>
              <w:top w:val="nil"/>
              <w:left w:val="nil"/>
              <w:bottom w:val="single" w:sz="4" w:space="0" w:color="auto"/>
              <w:right w:val="single" w:sz="4" w:space="0" w:color="auto"/>
            </w:tcBorders>
            <w:shd w:val="clear" w:color="auto" w:fill="auto"/>
            <w:noWrap/>
            <w:vAlign w:val="center"/>
            <w:hideMark/>
          </w:tcPr>
          <w:p w14:paraId="63FE1BC7"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GLP</w:t>
            </w:r>
          </w:p>
        </w:tc>
        <w:tc>
          <w:tcPr>
            <w:tcW w:w="1660" w:type="dxa"/>
            <w:tcBorders>
              <w:top w:val="nil"/>
              <w:left w:val="nil"/>
              <w:bottom w:val="single" w:sz="4" w:space="0" w:color="auto"/>
              <w:right w:val="single" w:sz="4" w:space="0" w:color="auto"/>
            </w:tcBorders>
            <w:shd w:val="clear" w:color="auto" w:fill="auto"/>
            <w:noWrap/>
            <w:vAlign w:val="center"/>
            <w:hideMark/>
          </w:tcPr>
          <w:p w14:paraId="267C968F"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6,772,176,502</w:t>
            </w:r>
          </w:p>
        </w:tc>
        <w:tc>
          <w:tcPr>
            <w:tcW w:w="1720" w:type="dxa"/>
            <w:tcBorders>
              <w:top w:val="nil"/>
              <w:left w:val="nil"/>
              <w:bottom w:val="single" w:sz="4" w:space="0" w:color="auto"/>
              <w:right w:val="single" w:sz="4" w:space="0" w:color="auto"/>
            </w:tcBorders>
            <w:shd w:val="clear" w:color="auto" w:fill="auto"/>
            <w:noWrap/>
            <w:vAlign w:val="center"/>
            <w:hideMark/>
          </w:tcPr>
          <w:p w14:paraId="14A8A9B1"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7,091,265,000</w:t>
            </w:r>
          </w:p>
        </w:tc>
      </w:tr>
      <w:tr w:rsidR="00117702" w:rsidRPr="00117702" w14:paraId="5C36FA47"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22EEDD7B"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185</w:t>
            </w:r>
          </w:p>
        </w:tc>
        <w:tc>
          <w:tcPr>
            <w:tcW w:w="900" w:type="dxa"/>
            <w:tcBorders>
              <w:top w:val="nil"/>
              <w:left w:val="nil"/>
              <w:bottom w:val="single" w:sz="4" w:space="0" w:color="auto"/>
              <w:right w:val="single" w:sz="4" w:space="0" w:color="auto"/>
            </w:tcBorders>
            <w:shd w:val="clear" w:color="auto" w:fill="auto"/>
            <w:noWrap/>
            <w:vAlign w:val="center"/>
            <w:hideMark/>
          </w:tcPr>
          <w:p w14:paraId="40B36C82"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900374375</w:t>
            </w:r>
          </w:p>
        </w:tc>
        <w:tc>
          <w:tcPr>
            <w:tcW w:w="3660" w:type="dxa"/>
            <w:tcBorders>
              <w:top w:val="nil"/>
              <w:left w:val="nil"/>
              <w:bottom w:val="single" w:sz="4" w:space="0" w:color="auto"/>
              <w:right w:val="single" w:sz="4" w:space="0" w:color="auto"/>
            </w:tcBorders>
            <w:shd w:val="clear" w:color="auto" w:fill="auto"/>
            <w:vAlign w:val="center"/>
            <w:hideMark/>
          </w:tcPr>
          <w:p w14:paraId="3E56933D"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POPAL SAS ESP</w:t>
            </w:r>
          </w:p>
        </w:tc>
        <w:tc>
          <w:tcPr>
            <w:tcW w:w="800" w:type="dxa"/>
            <w:tcBorders>
              <w:top w:val="nil"/>
              <w:left w:val="nil"/>
              <w:bottom w:val="single" w:sz="4" w:space="0" w:color="auto"/>
              <w:right w:val="single" w:sz="4" w:space="0" w:color="auto"/>
            </w:tcBorders>
            <w:shd w:val="clear" w:color="auto" w:fill="auto"/>
            <w:noWrap/>
            <w:vAlign w:val="center"/>
            <w:hideMark/>
          </w:tcPr>
          <w:p w14:paraId="1A5B671A"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Energia</w:t>
            </w:r>
          </w:p>
        </w:tc>
        <w:tc>
          <w:tcPr>
            <w:tcW w:w="1660" w:type="dxa"/>
            <w:tcBorders>
              <w:top w:val="nil"/>
              <w:left w:val="nil"/>
              <w:bottom w:val="single" w:sz="4" w:space="0" w:color="auto"/>
              <w:right w:val="single" w:sz="4" w:space="0" w:color="auto"/>
            </w:tcBorders>
            <w:shd w:val="clear" w:color="auto" w:fill="auto"/>
            <w:noWrap/>
            <w:vAlign w:val="center"/>
            <w:hideMark/>
          </w:tcPr>
          <w:p w14:paraId="3F8EFF0D"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10,201,926,000</w:t>
            </w:r>
          </w:p>
        </w:tc>
        <w:tc>
          <w:tcPr>
            <w:tcW w:w="1720" w:type="dxa"/>
            <w:tcBorders>
              <w:top w:val="nil"/>
              <w:left w:val="nil"/>
              <w:bottom w:val="single" w:sz="4" w:space="0" w:color="auto"/>
              <w:right w:val="single" w:sz="4" w:space="0" w:color="auto"/>
            </w:tcBorders>
            <w:shd w:val="clear" w:color="auto" w:fill="auto"/>
            <w:noWrap/>
            <w:vAlign w:val="center"/>
            <w:hideMark/>
          </w:tcPr>
          <w:p w14:paraId="6BDB6ECF"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1,658,382,439</w:t>
            </w:r>
          </w:p>
        </w:tc>
      </w:tr>
      <w:tr w:rsidR="00117702" w:rsidRPr="00117702" w14:paraId="20320DFA"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442C5208"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186</w:t>
            </w:r>
          </w:p>
        </w:tc>
        <w:tc>
          <w:tcPr>
            <w:tcW w:w="900" w:type="dxa"/>
            <w:tcBorders>
              <w:top w:val="nil"/>
              <w:left w:val="nil"/>
              <w:bottom w:val="single" w:sz="4" w:space="0" w:color="auto"/>
              <w:right w:val="single" w:sz="4" w:space="0" w:color="auto"/>
            </w:tcBorders>
            <w:shd w:val="clear" w:color="auto" w:fill="auto"/>
            <w:noWrap/>
            <w:vAlign w:val="center"/>
            <w:hideMark/>
          </w:tcPr>
          <w:p w14:paraId="7353C762"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900341483</w:t>
            </w:r>
          </w:p>
        </w:tc>
        <w:tc>
          <w:tcPr>
            <w:tcW w:w="3660" w:type="dxa"/>
            <w:tcBorders>
              <w:top w:val="nil"/>
              <w:left w:val="nil"/>
              <w:bottom w:val="single" w:sz="4" w:space="0" w:color="auto"/>
              <w:right w:val="single" w:sz="4" w:space="0" w:color="auto"/>
            </w:tcBorders>
            <w:shd w:val="clear" w:color="auto" w:fill="auto"/>
            <w:vAlign w:val="center"/>
            <w:hideMark/>
          </w:tcPr>
          <w:p w14:paraId="7014E991"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PROFESIONALES EN ENERGÍA S.A E.S.P</w:t>
            </w:r>
          </w:p>
        </w:tc>
        <w:tc>
          <w:tcPr>
            <w:tcW w:w="800" w:type="dxa"/>
            <w:tcBorders>
              <w:top w:val="nil"/>
              <w:left w:val="nil"/>
              <w:bottom w:val="single" w:sz="4" w:space="0" w:color="auto"/>
              <w:right w:val="single" w:sz="4" w:space="0" w:color="auto"/>
            </w:tcBorders>
            <w:shd w:val="clear" w:color="auto" w:fill="auto"/>
            <w:noWrap/>
            <w:vAlign w:val="center"/>
            <w:hideMark/>
          </w:tcPr>
          <w:p w14:paraId="6D516053"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Energia</w:t>
            </w:r>
          </w:p>
        </w:tc>
        <w:tc>
          <w:tcPr>
            <w:tcW w:w="1660" w:type="dxa"/>
            <w:tcBorders>
              <w:top w:val="nil"/>
              <w:left w:val="nil"/>
              <w:bottom w:val="single" w:sz="4" w:space="0" w:color="auto"/>
              <w:right w:val="single" w:sz="4" w:space="0" w:color="auto"/>
            </w:tcBorders>
            <w:shd w:val="clear" w:color="auto" w:fill="auto"/>
            <w:noWrap/>
            <w:vAlign w:val="center"/>
            <w:hideMark/>
          </w:tcPr>
          <w:p w14:paraId="65E94BB5"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13,200,540,000</w:t>
            </w:r>
          </w:p>
        </w:tc>
        <w:tc>
          <w:tcPr>
            <w:tcW w:w="1720" w:type="dxa"/>
            <w:tcBorders>
              <w:top w:val="nil"/>
              <w:left w:val="nil"/>
              <w:bottom w:val="single" w:sz="4" w:space="0" w:color="auto"/>
              <w:right w:val="single" w:sz="4" w:space="0" w:color="auto"/>
            </w:tcBorders>
            <w:shd w:val="clear" w:color="auto" w:fill="auto"/>
            <w:noWrap/>
            <w:vAlign w:val="center"/>
            <w:hideMark/>
          </w:tcPr>
          <w:p w14:paraId="420A4CD3"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1,289,658,000</w:t>
            </w:r>
          </w:p>
        </w:tc>
      </w:tr>
      <w:tr w:rsidR="00117702" w:rsidRPr="00117702" w14:paraId="5D0DD94D"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3B4EE2B2"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187</w:t>
            </w:r>
          </w:p>
        </w:tc>
        <w:tc>
          <w:tcPr>
            <w:tcW w:w="900" w:type="dxa"/>
            <w:tcBorders>
              <w:top w:val="nil"/>
              <w:left w:val="nil"/>
              <w:bottom w:val="single" w:sz="4" w:space="0" w:color="auto"/>
              <w:right w:val="single" w:sz="4" w:space="0" w:color="auto"/>
            </w:tcBorders>
            <w:shd w:val="clear" w:color="auto" w:fill="auto"/>
            <w:noWrap/>
            <w:vAlign w:val="center"/>
            <w:hideMark/>
          </w:tcPr>
          <w:p w14:paraId="5C5BAD50"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890105526</w:t>
            </w:r>
          </w:p>
        </w:tc>
        <w:tc>
          <w:tcPr>
            <w:tcW w:w="3660" w:type="dxa"/>
            <w:tcBorders>
              <w:top w:val="nil"/>
              <w:left w:val="nil"/>
              <w:bottom w:val="single" w:sz="4" w:space="0" w:color="auto"/>
              <w:right w:val="single" w:sz="4" w:space="0" w:color="auto"/>
            </w:tcBorders>
            <w:shd w:val="clear" w:color="auto" w:fill="auto"/>
            <w:vAlign w:val="center"/>
            <w:hideMark/>
          </w:tcPr>
          <w:p w14:paraId="4414D06C"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PROMIGAS S.A. E.S.P.</w:t>
            </w:r>
          </w:p>
        </w:tc>
        <w:tc>
          <w:tcPr>
            <w:tcW w:w="800" w:type="dxa"/>
            <w:tcBorders>
              <w:top w:val="nil"/>
              <w:left w:val="nil"/>
              <w:bottom w:val="single" w:sz="4" w:space="0" w:color="auto"/>
              <w:right w:val="single" w:sz="4" w:space="0" w:color="auto"/>
            </w:tcBorders>
            <w:shd w:val="clear" w:color="auto" w:fill="auto"/>
            <w:noWrap/>
            <w:vAlign w:val="center"/>
            <w:hideMark/>
          </w:tcPr>
          <w:p w14:paraId="6D8C8A76"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GasNatural</w:t>
            </w:r>
          </w:p>
        </w:tc>
        <w:tc>
          <w:tcPr>
            <w:tcW w:w="1660" w:type="dxa"/>
            <w:tcBorders>
              <w:top w:val="nil"/>
              <w:left w:val="nil"/>
              <w:bottom w:val="single" w:sz="4" w:space="0" w:color="auto"/>
              <w:right w:val="single" w:sz="4" w:space="0" w:color="auto"/>
            </w:tcBorders>
            <w:shd w:val="clear" w:color="auto" w:fill="auto"/>
            <w:noWrap/>
            <w:vAlign w:val="center"/>
            <w:hideMark/>
          </w:tcPr>
          <w:p w14:paraId="43A8B8CB"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1,415,381,590,825</w:t>
            </w:r>
          </w:p>
        </w:tc>
        <w:tc>
          <w:tcPr>
            <w:tcW w:w="1720" w:type="dxa"/>
            <w:tcBorders>
              <w:top w:val="nil"/>
              <w:left w:val="nil"/>
              <w:bottom w:val="single" w:sz="4" w:space="0" w:color="auto"/>
              <w:right w:val="single" w:sz="4" w:space="0" w:color="auto"/>
            </w:tcBorders>
            <w:shd w:val="clear" w:color="auto" w:fill="auto"/>
            <w:noWrap/>
            <w:vAlign w:val="center"/>
            <w:hideMark/>
          </w:tcPr>
          <w:p w14:paraId="3AC61B30"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85,631,587,829</w:t>
            </w:r>
          </w:p>
        </w:tc>
      </w:tr>
      <w:tr w:rsidR="00117702" w:rsidRPr="00117702" w14:paraId="7523363A"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77564925"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188</w:t>
            </w:r>
          </w:p>
        </w:tc>
        <w:tc>
          <w:tcPr>
            <w:tcW w:w="900" w:type="dxa"/>
            <w:tcBorders>
              <w:top w:val="nil"/>
              <w:left w:val="nil"/>
              <w:bottom w:val="single" w:sz="4" w:space="0" w:color="auto"/>
              <w:right w:val="single" w:sz="4" w:space="0" w:color="auto"/>
            </w:tcBorders>
            <w:shd w:val="clear" w:color="auto" w:fill="auto"/>
            <w:noWrap/>
            <w:vAlign w:val="center"/>
            <w:hideMark/>
          </w:tcPr>
          <w:p w14:paraId="4440F90B"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800226766</w:t>
            </w:r>
          </w:p>
        </w:tc>
        <w:tc>
          <w:tcPr>
            <w:tcW w:w="3660" w:type="dxa"/>
            <w:tcBorders>
              <w:top w:val="nil"/>
              <w:left w:val="nil"/>
              <w:bottom w:val="single" w:sz="4" w:space="0" w:color="auto"/>
              <w:right w:val="single" w:sz="4" w:space="0" w:color="auto"/>
            </w:tcBorders>
            <w:shd w:val="clear" w:color="auto" w:fill="auto"/>
            <w:vAlign w:val="center"/>
            <w:hideMark/>
          </w:tcPr>
          <w:p w14:paraId="0B9EE45B"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PROMIORIENTE S.A. E.S.P.</w:t>
            </w:r>
          </w:p>
        </w:tc>
        <w:tc>
          <w:tcPr>
            <w:tcW w:w="800" w:type="dxa"/>
            <w:tcBorders>
              <w:top w:val="nil"/>
              <w:left w:val="nil"/>
              <w:bottom w:val="single" w:sz="4" w:space="0" w:color="auto"/>
              <w:right w:val="single" w:sz="4" w:space="0" w:color="auto"/>
            </w:tcBorders>
            <w:shd w:val="clear" w:color="auto" w:fill="auto"/>
            <w:noWrap/>
            <w:vAlign w:val="center"/>
            <w:hideMark/>
          </w:tcPr>
          <w:p w14:paraId="69AB23DD"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GasNatural</w:t>
            </w:r>
          </w:p>
        </w:tc>
        <w:tc>
          <w:tcPr>
            <w:tcW w:w="1660" w:type="dxa"/>
            <w:tcBorders>
              <w:top w:val="nil"/>
              <w:left w:val="nil"/>
              <w:bottom w:val="single" w:sz="4" w:space="0" w:color="auto"/>
              <w:right w:val="single" w:sz="4" w:space="0" w:color="auto"/>
            </w:tcBorders>
            <w:shd w:val="clear" w:color="auto" w:fill="auto"/>
            <w:noWrap/>
            <w:vAlign w:val="center"/>
            <w:hideMark/>
          </w:tcPr>
          <w:p w14:paraId="658BC6F3"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56,936,390,000</w:t>
            </w:r>
          </w:p>
        </w:tc>
        <w:tc>
          <w:tcPr>
            <w:tcW w:w="1720" w:type="dxa"/>
            <w:tcBorders>
              <w:top w:val="nil"/>
              <w:left w:val="nil"/>
              <w:bottom w:val="single" w:sz="4" w:space="0" w:color="auto"/>
              <w:right w:val="single" w:sz="4" w:space="0" w:color="auto"/>
            </w:tcBorders>
            <w:shd w:val="clear" w:color="auto" w:fill="auto"/>
            <w:noWrap/>
            <w:vAlign w:val="center"/>
            <w:hideMark/>
          </w:tcPr>
          <w:p w14:paraId="3E5C472C"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6,284,294,228</w:t>
            </w:r>
          </w:p>
        </w:tc>
      </w:tr>
      <w:tr w:rsidR="00117702" w:rsidRPr="00117702" w14:paraId="4D825C4B" w14:textId="77777777" w:rsidTr="00117702">
        <w:trPr>
          <w:trHeight w:val="92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62E447B4"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189</w:t>
            </w:r>
          </w:p>
        </w:tc>
        <w:tc>
          <w:tcPr>
            <w:tcW w:w="900" w:type="dxa"/>
            <w:tcBorders>
              <w:top w:val="nil"/>
              <w:left w:val="nil"/>
              <w:bottom w:val="single" w:sz="4" w:space="0" w:color="auto"/>
              <w:right w:val="single" w:sz="4" w:space="0" w:color="auto"/>
            </w:tcBorders>
            <w:shd w:val="clear" w:color="auto" w:fill="auto"/>
            <w:noWrap/>
            <w:vAlign w:val="center"/>
            <w:hideMark/>
          </w:tcPr>
          <w:p w14:paraId="6A9FAF50"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800149537</w:t>
            </w:r>
          </w:p>
        </w:tc>
        <w:tc>
          <w:tcPr>
            <w:tcW w:w="3660" w:type="dxa"/>
            <w:tcBorders>
              <w:top w:val="nil"/>
              <w:left w:val="nil"/>
              <w:bottom w:val="single" w:sz="4" w:space="0" w:color="auto"/>
              <w:right w:val="single" w:sz="4" w:space="0" w:color="auto"/>
            </w:tcBorders>
            <w:shd w:val="clear" w:color="auto" w:fill="auto"/>
            <w:vAlign w:val="center"/>
            <w:hideMark/>
          </w:tcPr>
          <w:p w14:paraId="0B15719F"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PROMOTORA DE ENERGIA ELECTRICA DE CARTAGENA Y COMPANIA SOCIEDAD EN COMANDITA POR ACCIONES-EMPRESA DE SERVICIOS PUBLICOS</w:t>
            </w:r>
          </w:p>
        </w:tc>
        <w:tc>
          <w:tcPr>
            <w:tcW w:w="800" w:type="dxa"/>
            <w:tcBorders>
              <w:top w:val="nil"/>
              <w:left w:val="nil"/>
              <w:bottom w:val="single" w:sz="4" w:space="0" w:color="auto"/>
              <w:right w:val="single" w:sz="4" w:space="0" w:color="auto"/>
            </w:tcBorders>
            <w:shd w:val="clear" w:color="auto" w:fill="auto"/>
            <w:noWrap/>
            <w:vAlign w:val="center"/>
            <w:hideMark/>
          </w:tcPr>
          <w:p w14:paraId="50B4A745"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Energia</w:t>
            </w:r>
          </w:p>
        </w:tc>
        <w:tc>
          <w:tcPr>
            <w:tcW w:w="1660" w:type="dxa"/>
            <w:tcBorders>
              <w:top w:val="nil"/>
              <w:left w:val="nil"/>
              <w:bottom w:val="single" w:sz="4" w:space="0" w:color="auto"/>
              <w:right w:val="single" w:sz="4" w:space="0" w:color="auto"/>
            </w:tcBorders>
            <w:shd w:val="clear" w:color="auto" w:fill="auto"/>
            <w:noWrap/>
            <w:vAlign w:val="center"/>
            <w:hideMark/>
          </w:tcPr>
          <w:p w14:paraId="3D81D8FC"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191,924,361,000</w:t>
            </w:r>
          </w:p>
        </w:tc>
        <w:tc>
          <w:tcPr>
            <w:tcW w:w="1720" w:type="dxa"/>
            <w:tcBorders>
              <w:top w:val="nil"/>
              <w:left w:val="nil"/>
              <w:bottom w:val="single" w:sz="4" w:space="0" w:color="auto"/>
              <w:right w:val="single" w:sz="4" w:space="0" w:color="auto"/>
            </w:tcBorders>
            <w:shd w:val="clear" w:color="auto" w:fill="auto"/>
            <w:noWrap/>
            <w:vAlign w:val="center"/>
            <w:hideMark/>
          </w:tcPr>
          <w:p w14:paraId="396E09FF"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4,043,445,262</w:t>
            </w:r>
          </w:p>
        </w:tc>
      </w:tr>
      <w:tr w:rsidR="00117702" w:rsidRPr="00117702" w14:paraId="63944E6A"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1D1B8F3A"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190</w:t>
            </w:r>
          </w:p>
        </w:tc>
        <w:tc>
          <w:tcPr>
            <w:tcW w:w="900" w:type="dxa"/>
            <w:tcBorders>
              <w:top w:val="nil"/>
              <w:left w:val="nil"/>
              <w:bottom w:val="single" w:sz="4" w:space="0" w:color="auto"/>
              <w:right w:val="single" w:sz="4" w:space="0" w:color="auto"/>
            </w:tcBorders>
            <w:shd w:val="clear" w:color="auto" w:fill="auto"/>
            <w:noWrap/>
            <w:vAlign w:val="center"/>
            <w:hideMark/>
          </w:tcPr>
          <w:p w14:paraId="45525FB7"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800170118</w:t>
            </w:r>
          </w:p>
        </w:tc>
        <w:tc>
          <w:tcPr>
            <w:tcW w:w="3660" w:type="dxa"/>
            <w:tcBorders>
              <w:top w:val="nil"/>
              <w:left w:val="nil"/>
              <w:bottom w:val="single" w:sz="4" w:space="0" w:color="auto"/>
              <w:right w:val="single" w:sz="4" w:space="0" w:color="auto"/>
            </w:tcBorders>
            <w:shd w:val="clear" w:color="auto" w:fill="auto"/>
            <w:vAlign w:val="center"/>
            <w:hideMark/>
          </w:tcPr>
          <w:p w14:paraId="042EB970"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PROMOTORA DE GASES DEL SUR S.A. E.S.P.</w:t>
            </w:r>
          </w:p>
        </w:tc>
        <w:tc>
          <w:tcPr>
            <w:tcW w:w="800" w:type="dxa"/>
            <w:tcBorders>
              <w:top w:val="nil"/>
              <w:left w:val="nil"/>
              <w:bottom w:val="single" w:sz="4" w:space="0" w:color="auto"/>
              <w:right w:val="single" w:sz="4" w:space="0" w:color="auto"/>
            </w:tcBorders>
            <w:shd w:val="clear" w:color="auto" w:fill="auto"/>
            <w:noWrap/>
            <w:vAlign w:val="center"/>
            <w:hideMark/>
          </w:tcPr>
          <w:p w14:paraId="0F8CBBE2"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GasNatural</w:t>
            </w:r>
          </w:p>
        </w:tc>
        <w:tc>
          <w:tcPr>
            <w:tcW w:w="1660" w:type="dxa"/>
            <w:tcBorders>
              <w:top w:val="nil"/>
              <w:left w:val="nil"/>
              <w:bottom w:val="single" w:sz="4" w:space="0" w:color="auto"/>
              <w:right w:val="single" w:sz="4" w:space="0" w:color="auto"/>
            </w:tcBorders>
            <w:shd w:val="clear" w:color="auto" w:fill="auto"/>
            <w:noWrap/>
            <w:vAlign w:val="center"/>
            <w:hideMark/>
          </w:tcPr>
          <w:p w14:paraId="25107770"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9,240,673,000</w:t>
            </w:r>
          </w:p>
        </w:tc>
        <w:tc>
          <w:tcPr>
            <w:tcW w:w="1720" w:type="dxa"/>
            <w:tcBorders>
              <w:top w:val="nil"/>
              <w:left w:val="nil"/>
              <w:bottom w:val="single" w:sz="4" w:space="0" w:color="auto"/>
              <w:right w:val="single" w:sz="4" w:space="0" w:color="auto"/>
            </w:tcBorders>
            <w:shd w:val="clear" w:color="auto" w:fill="auto"/>
            <w:noWrap/>
            <w:vAlign w:val="center"/>
            <w:hideMark/>
          </w:tcPr>
          <w:p w14:paraId="03C2CF38"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2,241,204,768</w:t>
            </w:r>
          </w:p>
        </w:tc>
      </w:tr>
      <w:tr w:rsidR="00117702" w:rsidRPr="00117702" w14:paraId="66218AF0" w14:textId="77777777" w:rsidTr="00117702">
        <w:trPr>
          <w:trHeight w:val="46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4B9125C1"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191</w:t>
            </w:r>
          </w:p>
        </w:tc>
        <w:tc>
          <w:tcPr>
            <w:tcW w:w="900" w:type="dxa"/>
            <w:tcBorders>
              <w:top w:val="nil"/>
              <w:left w:val="nil"/>
              <w:bottom w:val="single" w:sz="4" w:space="0" w:color="auto"/>
              <w:right w:val="single" w:sz="4" w:space="0" w:color="auto"/>
            </w:tcBorders>
            <w:shd w:val="clear" w:color="auto" w:fill="auto"/>
            <w:noWrap/>
            <w:vAlign w:val="center"/>
            <w:hideMark/>
          </w:tcPr>
          <w:p w14:paraId="1A623083"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804013578</w:t>
            </w:r>
          </w:p>
        </w:tc>
        <w:tc>
          <w:tcPr>
            <w:tcW w:w="3660" w:type="dxa"/>
            <w:tcBorders>
              <w:top w:val="nil"/>
              <w:left w:val="nil"/>
              <w:bottom w:val="single" w:sz="4" w:space="0" w:color="auto"/>
              <w:right w:val="single" w:sz="4" w:space="0" w:color="auto"/>
            </w:tcBorders>
            <w:shd w:val="clear" w:color="auto" w:fill="auto"/>
            <w:vAlign w:val="center"/>
            <w:hideMark/>
          </w:tcPr>
          <w:p w14:paraId="43EBCB6F"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PROMOTORA DE SERVICIOS PÚBLICOS S.A. E.S.P.</w:t>
            </w:r>
          </w:p>
        </w:tc>
        <w:tc>
          <w:tcPr>
            <w:tcW w:w="800" w:type="dxa"/>
            <w:tcBorders>
              <w:top w:val="nil"/>
              <w:left w:val="nil"/>
              <w:bottom w:val="single" w:sz="4" w:space="0" w:color="auto"/>
              <w:right w:val="single" w:sz="4" w:space="0" w:color="auto"/>
            </w:tcBorders>
            <w:shd w:val="clear" w:color="auto" w:fill="auto"/>
            <w:noWrap/>
            <w:vAlign w:val="center"/>
            <w:hideMark/>
          </w:tcPr>
          <w:p w14:paraId="47E843DB"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GasNatural</w:t>
            </w:r>
          </w:p>
        </w:tc>
        <w:tc>
          <w:tcPr>
            <w:tcW w:w="1660" w:type="dxa"/>
            <w:tcBorders>
              <w:top w:val="nil"/>
              <w:left w:val="nil"/>
              <w:bottom w:val="single" w:sz="4" w:space="0" w:color="auto"/>
              <w:right w:val="single" w:sz="4" w:space="0" w:color="auto"/>
            </w:tcBorders>
            <w:shd w:val="clear" w:color="auto" w:fill="auto"/>
            <w:noWrap/>
            <w:vAlign w:val="center"/>
            <w:hideMark/>
          </w:tcPr>
          <w:p w14:paraId="347FFCEE"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12,175,458,500</w:t>
            </w:r>
          </w:p>
        </w:tc>
        <w:tc>
          <w:tcPr>
            <w:tcW w:w="1720" w:type="dxa"/>
            <w:tcBorders>
              <w:top w:val="nil"/>
              <w:left w:val="nil"/>
              <w:bottom w:val="single" w:sz="4" w:space="0" w:color="auto"/>
              <w:right w:val="single" w:sz="4" w:space="0" w:color="auto"/>
            </w:tcBorders>
            <w:shd w:val="clear" w:color="auto" w:fill="auto"/>
            <w:noWrap/>
            <w:vAlign w:val="center"/>
            <w:hideMark/>
          </w:tcPr>
          <w:p w14:paraId="2D16FE2B"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3,097,541,532</w:t>
            </w:r>
          </w:p>
        </w:tc>
      </w:tr>
      <w:tr w:rsidR="00117702" w:rsidRPr="00117702" w14:paraId="3540C1C7"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2FDC18CB"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192</w:t>
            </w:r>
          </w:p>
        </w:tc>
        <w:tc>
          <w:tcPr>
            <w:tcW w:w="900" w:type="dxa"/>
            <w:tcBorders>
              <w:top w:val="nil"/>
              <w:left w:val="nil"/>
              <w:bottom w:val="single" w:sz="4" w:space="0" w:color="auto"/>
              <w:right w:val="single" w:sz="4" w:space="0" w:color="auto"/>
            </w:tcBorders>
            <w:shd w:val="clear" w:color="auto" w:fill="auto"/>
            <w:noWrap/>
            <w:vAlign w:val="center"/>
            <w:hideMark/>
          </w:tcPr>
          <w:p w14:paraId="29AFE409"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827000149</w:t>
            </w:r>
          </w:p>
        </w:tc>
        <w:tc>
          <w:tcPr>
            <w:tcW w:w="3660" w:type="dxa"/>
            <w:tcBorders>
              <w:top w:val="nil"/>
              <w:left w:val="nil"/>
              <w:bottom w:val="single" w:sz="4" w:space="0" w:color="auto"/>
              <w:right w:val="single" w:sz="4" w:space="0" w:color="auto"/>
            </w:tcBorders>
            <w:shd w:val="clear" w:color="auto" w:fill="auto"/>
            <w:vAlign w:val="center"/>
            <w:hideMark/>
          </w:tcPr>
          <w:p w14:paraId="5BCC0143"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PROVIGAS S.A.  E.S.P.</w:t>
            </w:r>
          </w:p>
        </w:tc>
        <w:tc>
          <w:tcPr>
            <w:tcW w:w="800" w:type="dxa"/>
            <w:tcBorders>
              <w:top w:val="nil"/>
              <w:left w:val="nil"/>
              <w:bottom w:val="single" w:sz="4" w:space="0" w:color="auto"/>
              <w:right w:val="single" w:sz="4" w:space="0" w:color="auto"/>
            </w:tcBorders>
            <w:shd w:val="clear" w:color="auto" w:fill="auto"/>
            <w:noWrap/>
            <w:vAlign w:val="center"/>
            <w:hideMark/>
          </w:tcPr>
          <w:p w14:paraId="3C5958EF"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GLP</w:t>
            </w:r>
          </w:p>
        </w:tc>
        <w:tc>
          <w:tcPr>
            <w:tcW w:w="1660" w:type="dxa"/>
            <w:tcBorders>
              <w:top w:val="nil"/>
              <w:left w:val="nil"/>
              <w:bottom w:val="single" w:sz="4" w:space="0" w:color="auto"/>
              <w:right w:val="single" w:sz="4" w:space="0" w:color="auto"/>
            </w:tcBorders>
            <w:shd w:val="clear" w:color="auto" w:fill="auto"/>
            <w:noWrap/>
            <w:vAlign w:val="center"/>
            <w:hideMark/>
          </w:tcPr>
          <w:p w14:paraId="4AB58A63"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19,413,134,301</w:t>
            </w:r>
          </w:p>
        </w:tc>
        <w:tc>
          <w:tcPr>
            <w:tcW w:w="1720" w:type="dxa"/>
            <w:tcBorders>
              <w:top w:val="nil"/>
              <w:left w:val="nil"/>
              <w:bottom w:val="single" w:sz="4" w:space="0" w:color="auto"/>
              <w:right w:val="single" w:sz="4" w:space="0" w:color="auto"/>
            </w:tcBorders>
            <w:shd w:val="clear" w:color="auto" w:fill="auto"/>
            <w:noWrap/>
            <w:vAlign w:val="center"/>
            <w:hideMark/>
          </w:tcPr>
          <w:p w14:paraId="318ACF55"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945,208,605</w:t>
            </w:r>
          </w:p>
        </w:tc>
      </w:tr>
      <w:tr w:rsidR="00117702" w:rsidRPr="00117702" w14:paraId="79755FF2" w14:textId="77777777" w:rsidTr="00117702">
        <w:trPr>
          <w:trHeight w:val="46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1056B73A"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193</w:t>
            </w:r>
          </w:p>
        </w:tc>
        <w:tc>
          <w:tcPr>
            <w:tcW w:w="900" w:type="dxa"/>
            <w:tcBorders>
              <w:top w:val="nil"/>
              <w:left w:val="nil"/>
              <w:bottom w:val="single" w:sz="4" w:space="0" w:color="auto"/>
              <w:right w:val="single" w:sz="4" w:space="0" w:color="auto"/>
            </w:tcBorders>
            <w:shd w:val="clear" w:color="auto" w:fill="auto"/>
            <w:noWrap/>
            <w:vAlign w:val="center"/>
            <w:hideMark/>
          </w:tcPr>
          <w:p w14:paraId="69BFEDEE"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804002825</w:t>
            </w:r>
          </w:p>
        </w:tc>
        <w:tc>
          <w:tcPr>
            <w:tcW w:w="3660" w:type="dxa"/>
            <w:tcBorders>
              <w:top w:val="nil"/>
              <w:left w:val="nil"/>
              <w:bottom w:val="single" w:sz="4" w:space="0" w:color="auto"/>
              <w:right w:val="single" w:sz="4" w:space="0" w:color="auto"/>
            </w:tcBorders>
            <w:shd w:val="clear" w:color="auto" w:fill="auto"/>
            <w:vAlign w:val="center"/>
            <w:hideMark/>
          </w:tcPr>
          <w:p w14:paraId="0317B6B4"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PROYECTOS DE INGENIERIA Y COMERCIALIZACION DE GAS S.A. ESP.</w:t>
            </w:r>
          </w:p>
        </w:tc>
        <w:tc>
          <w:tcPr>
            <w:tcW w:w="800" w:type="dxa"/>
            <w:tcBorders>
              <w:top w:val="nil"/>
              <w:left w:val="nil"/>
              <w:bottom w:val="single" w:sz="4" w:space="0" w:color="auto"/>
              <w:right w:val="single" w:sz="4" w:space="0" w:color="auto"/>
            </w:tcBorders>
            <w:shd w:val="clear" w:color="auto" w:fill="auto"/>
            <w:noWrap/>
            <w:vAlign w:val="center"/>
            <w:hideMark/>
          </w:tcPr>
          <w:p w14:paraId="3FC8D8CE"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GasNatural</w:t>
            </w:r>
          </w:p>
        </w:tc>
        <w:tc>
          <w:tcPr>
            <w:tcW w:w="1660" w:type="dxa"/>
            <w:tcBorders>
              <w:top w:val="nil"/>
              <w:left w:val="nil"/>
              <w:bottom w:val="single" w:sz="4" w:space="0" w:color="auto"/>
              <w:right w:val="single" w:sz="4" w:space="0" w:color="auto"/>
            </w:tcBorders>
            <w:shd w:val="clear" w:color="auto" w:fill="auto"/>
            <w:noWrap/>
            <w:vAlign w:val="center"/>
            <w:hideMark/>
          </w:tcPr>
          <w:p w14:paraId="17322045"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3,108,701,614</w:t>
            </w:r>
          </w:p>
        </w:tc>
        <w:tc>
          <w:tcPr>
            <w:tcW w:w="1720" w:type="dxa"/>
            <w:tcBorders>
              <w:top w:val="nil"/>
              <w:left w:val="nil"/>
              <w:bottom w:val="single" w:sz="4" w:space="0" w:color="auto"/>
              <w:right w:val="single" w:sz="4" w:space="0" w:color="auto"/>
            </w:tcBorders>
            <w:shd w:val="clear" w:color="auto" w:fill="auto"/>
            <w:noWrap/>
            <w:vAlign w:val="center"/>
            <w:hideMark/>
          </w:tcPr>
          <w:p w14:paraId="790CC1D7"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509,181,586</w:t>
            </w:r>
          </w:p>
        </w:tc>
      </w:tr>
      <w:tr w:rsidR="00117702" w:rsidRPr="00117702" w14:paraId="3A907C07" w14:textId="77777777" w:rsidTr="00117702">
        <w:trPr>
          <w:trHeight w:val="46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26EEB715"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194</w:t>
            </w:r>
          </w:p>
        </w:tc>
        <w:tc>
          <w:tcPr>
            <w:tcW w:w="900" w:type="dxa"/>
            <w:tcBorders>
              <w:top w:val="nil"/>
              <w:left w:val="nil"/>
              <w:bottom w:val="single" w:sz="4" w:space="0" w:color="auto"/>
              <w:right w:val="single" w:sz="4" w:space="0" w:color="auto"/>
            </w:tcBorders>
            <w:shd w:val="clear" w:color="auto" w:fill="auto"/>
            <w:noWrap/>
            <w:vAlign w:val="center"/>
            <w:hideMark/>
          </w:tcPr>
          <w:p w14:paraId="2EF27753"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817000362</w:t>
            </w:r>
          </w:p>
        </w:tc>
        <w:tc>
          <w:tcPr>
            <w:tcW w:w="3660" w:type="dxa"/>
            <w:tcBorders>
              <w:top w:val="nil"/>
              <w:left w:val="nil"/>
              <w:bottom w:val="single" w:sz="4" w:space="0" w:color="auto"/>
              <w:right w:val="single" w:sz="4" w:space="0" w:color="auto"/>
            </w:tcBorders>
            <w:shd w:val="clear" w:color="auto" w:fill="auto"/>
            <w:vAlign w:val="center"/>
            <w:hideMark/>
          </w:tcPr>
          <w:p w14:paraId="26D864B3"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PROYECTOS ENERGETICOS DEL CAUCA S.A. E.S.P.</w:t>
            </w:r>
          </w:p>
        </w:tc>
        <w:tc>
          <w:tcPr>
            <w:tcW w:w="800" w:type="dxa"/>
            <w:tcBorders>
              <w:top w:val="nil"/>
              <w:left w:val="nil"/>
              <w:bottom w:val="single" w:sz="4" w:space="0" w:color="auto"/>
              <w:right w:val="single" w:sz="4" w:space="0" w:color="auto"/>
            </w:tcBorders>
            <w:shd w:val="clear" w:color="auto" w:fill="auto"/>
            <w:noWrap/>
            <w:vAlign w:val="center"/>
            <w:hideMark/>
          </w:tcPr>
          <w:p w14:paraId="569BEDAF"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Energia</w:t>
            </w:r>
          </w:p>
        </w:tc>
        <w:tc>
          <w:tcPr>
            <w:tcW w:w="1660" w:type="dxa"/>
            <w:tcBorders>
              <w:top w:val="nil"/>
              <w:left w:val="nil"/>
              <w:bottom w:val="single" w:sz="4" w:space="0" w:color="auto"/>
              <w:right w:val="single" w:sz="4" w:space="0" w:color="auto"/>
            </w:tcBorders>
            <w:shd w:val="clear" w:color="auto" w:fill="auto"/>
            <w:noWrap/>
            <w:vAlign w:val="center"/>
            <w:hideMark/>
          </w:tcPr>
          <w:p w14:paraId="36FA376E"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22,436,559,000</w:t>
            </w:r>
          </w:p>
        </w:tc>
        <w:tc>
          <w:tcPr>
            <w:tcW w:w="1720" w:type="dxa"/>
            <w:tcBorders>
              <w:top w:val="nil"/>
              <w:left w:val="nil"/>
              <w:bottom w:val="single" w:sz="4" w:space="0" w:color="auto"/>
              <w:right w:val="single" w:sz="4" w:space="0" w:color="auto"/>
            </w:tcBorders>
            <w:shd w:val="clear" w:color="auto" w:fill="auto"/>
            <w:noWrap/>
            <w:vAlign w:val="center"/>
            <w:hideMark/>
          </w:tcPr>
          <w:p w14:paraId="382D3D2B"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1,135,424,782</w:t>
            </w:r>
          </w:p>
        </w:tc>
      </w:tr>
      <w:tr w:rsidR="00117702" w:rsidRPr="00117702" w14:paraId="79E95E51"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53F2F77A"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lastRenderedPageBreak/>
              <w:t>195</w:t>
            </w:r>
          </w:p>
        </w:tc>
        <w:tc>
          <w:tcPr>
            <w:tcW w:w="900" w:type="dxa"/>
            <w:tcBorders>
              <w:top w:val="nil"/>
              <w:left w:val="nil"/>
              <w:bottom w:val="single" w:sz="4" w:space="0" w:color="auto"/>
              <w:right w:val="single" w:sz="4" w:space="0" w:color="auto"/>
            </w:tcBorders>
            <w:shd w:val="clear" w:color="auto" w:fill="auto"/>
            <w:noWrap/>
            <w:vAlign w:val="center"/>
            <w:hideMark/>
          </w:tcPr>
          <w:p w14:paraId="2B0CE27B"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860033633</w:t>
            </w:r>
          </w:p>
        </w:tc>
        <w:tc>
          <w:tcPr>
            <w:tcW w:w="3660" w:type="dxa"/>
            <w:tcBorders>
              <w:top w:val="nil"/>
              <w:left w:val="nil"/>
              <w:bottom w:val="single" w:sz="4" w:space="0" w:color="auto"/>
              <w:right w:val="single" w:sz="4" w:space="0" w:color="auto"/>
            </w:tcBorders>
            <w:shd w:val="clear" w:color="auto" w:fill="auto"/>
            <w:vAlign w:val="center"/>
            <w:hideMark/>
          </w:tcPr>
          <w:p w14:paraId="28595663"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RAYOGAS S.A. ESP</w:t>
            </w:r>
          </w:p>
        </w:tc>
        <w:tc>
          <w:tcPr>
            <w:tcW w:w="800" w:type="dxa"/>
            <w:tcBorders>
              <w:top w:val="nil"/>
              <w:left w:val="nil"/>
              <w:bottom w:val="single" w:sz="4" w:space="0" w:color="auto"/>
              <w:right w:val="single" w:sz="4" w:space="0" w:color="auto"/>
            </w:tcBorders>
            <w:shd w:val="clear" w:color="auto" w:fill="auto"/>
            <w:noWrap/>
            <w:vAlign w:val="center"/>
            <w:hideMark/>
          </w:tcPr>
          <w:p w14:paraId="0653D54E"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GLP</w:t>
            </w:r>
          </w:p>
        </w:tc>
        <w:tc>
          <w:tcPr>
            <w:tcW w:w="1660" w:type="dxa"/>
            <w:tcBorders>
              <w:top w:val="nil"/>
              <w:left w:val="nil"/>
              <w:bottom w:val="single" w:sz="4" w:space="0" w:color="auto"/>
              <w:right w:val="single" w:sz="4" w:space="0" w:color="auto"/>
            </w:tcBorders>
            <w:shd w:val="clear" w:color="auto" w:fill="auto"/>
            <w:noWrap/>
            <w:vAlign w:val="center"/>
            <w:hideMark/>
          </w:tcPr>
          <w:p w14:paraId="592AD3CC"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52,878,449,000</w:t>
            </w:r>
          </w:p>
        </w:tc>
        <w:tc>
          <w:tcPr>
            <w:tcW w:w="1720" w:type="dxa"/>
            <w:tcBorders>
              <w:top w:val="nil"/>
              <w:left w:val="nil"/>
              <w:bottom w:val="single" w:sz="4" w:space="0" w:color="auto"/>
              <w:right w:val="single" w:sz="4" w:space="0" w:color="auto"/>
            </w:tcBorders>
            <w:shd w:val="clear" w:color="auto" w:fill="auto"/>
            <w:noWrap/>
            <w:vAlign w:val="center"/>
            <w:hideMark/>
          </w:tcPr>
          <w:p w14:paraId="5B0C175E"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6,675,980,258</w:t>
            </w:r>
          </w:p>
        </w:tc>
      </w:tr>
      <w:tr w:rsidR="00117702" w:rsidRPr="00117702" w14:paraId="6FCA1735"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08D43C38"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196</w:t>
            </w:r>
          </w:p>
        </w:tc>
        <w:tc>
          <w:tcPr>
            <w:tcW w:w="900" w:type="dxa"/>
            <w:tcBorders>
              <w:top w:val="nil"/>
              <w:left w:val="nil"/>
              <w:bottom w:val="single" w:sz="4" w:space="0" w:color="auto"/>
              <w:right w:val="single" w:sz="4" w:space="0" w:color="auto"/>
            </w:tcBorders>
            <w:shd w:val="clear" w:color="auto" w:fill="auto"/>
            <w:noWrap/>
            <w:vAlign w:val="center"/>
            <w:hideMark/>
          </w:tcPr>
          <w:p w14:paraId="5116EE4F"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900652188</w:t>
            </w:r>
          </w:p>
        </w:tc>
        <w:tc>
          <w:tcPr>
            <w:tcW w:w="3660" w:type="dxa"/>
            <w:tcBorders>
              <w:top w:val="nil"/>
              <w:left w:val="nil"/>
              <w:bottom w:val="single" w:sz="4" w:space="0" w:color="auto"/>
              <w:right w:val="single" w:sz="4" w:space="0" w:color="auto"/>
            </w:tcBorders>
            <w:shd w:val="clear" w:color="auto" w:fill="auto"/>
            <w:vAlign w:val="center"/>
            <w:hideMark/>
          </w:tcPr>
          <w:p w14:paraId="77C12EDA"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REDEGAS DOMICILIARIO S. A.  ESP</w:t>
            </w:r>
          </w:p>
        </w:tc>
        <w:tc>
          <w:tcPr>
            <w:tcW w:w="800" w:type="dxa"/>
            <w:tcBorders>
              <w:top w:val="nil"/>
              <w:left w:val="nil"/>
              <w:bottom w:val="single" w:sz="4" w:space="0" w:color="auto"/>
              <w:right w:val="single" w:sz="4" w:space="0" w:color="auto"/>
            </w:tcBorders>
            <w:shd w:val="clear" w:color="auto" w:fill="auto"/>
            <w:noWrap/>
            <w:vAlign w:val="center"/>
            <w:hideMark/>
          </w:tcPr>
          <w:p w14:paraId="492F5F73"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GasNatural</w:t>
            </w:r>
          </w:p>
        </w:tc>
        <w:tc>
          <w:tcPr>
            <w:tcW w:w="1660" w:type="dxa"/>
            <w:tcBorders>
              <w:top w:val="nil"/>
              <w:left w:val="nil"/>
              <w:bottom w:val="single" w:sz="4" w:space="0" w:color="auto"/>
              <w:right w:val="single" w:sz="4" w:space="0" w:color="auto"/>
            </w:tcBorders>
            <w:shd w:val="clear" w:color="auto" w:fill="auto"/>
            <w:noWrap/>
            <w:vAlign w:val="center"/>
            <w:hideMark/>
          </w:tcPr>
          <w:p w14:paraId="396D9B2A"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3,662,238,976</w:t>
            </w:r>
          </w:p>
        </w:tc>
        <w:tc>
          <w:tcPr>
            <w:tcW w:w="1720" w:type="dxa"/>
            <w:tcBorders>
              <w:top w:val="nil"/>
              <w:left w:val="nil"/>
              <w:bottom w:val="single" w:sz="4" w:space="0" w:color="auto"/>
              <w:right w:val="single" w:sz="4" w:space="0" w:color="auto"/>
            </w:tcBorders>
            <w:shd w:val="clear" w:color="auto" w:fill="auto"/>
            <w:noWrap/>
            <w:vAlign w:val="center"/>
            <w:hideMark/>
          </w:tcPr>
          <w:p w14:paraId="3CE672AC"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430,117,490</w:t>
            </w:r>
          </w:p>
        </w:tc>
      </w:tr>
      <w:tr w:rsidR="00117702" w:rsidRPr="00117702" w14:paraId="40CDC1B1"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36E94D95"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197</w:t>
            </w:r>
          </w:p>
        </w:tc>
        <w:tc>
          <w:tcPr>
            <w:tcW w:w="900" w:type="dxa"/>
            <w:tcBorders>
              <w:top w:val="nil"/>
              <w:left w:val="nil"/>
              <w:bottom w:val="single" w:sz="4" w:space="0" w:color="auto"/>
              <w:right w:val="single" w:sz="4" w:space="0" w:color="auto"/>
            </w:tcBorders>
            <w:shd w:val="clear" w:color="auto" w:fill="auto"/>
            <w:noWrap/>
            <w:vAlign w:val="center"/>
            <w:hideMark/>
          </w:tcPr>
          <w:p w14:paraId="2F521463"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901042814</w:t>
            </w:r>
          </w:p>
        </w:tc>
        <w:tc>
          <w:tcPr>
            <w:tcW w:w="3660" w:type="dxa"/>
            <w:tcBorders>
              <w:top w:val="nil"/>
              <w:left w:val="nil"/>
              <w:bottom w:val="single" w:sz="4" w:space="0" w:color="auto"/>
              <w:right w:val="single" w:sz="4" w:space="0" w:color="auto"/>
            </w:tcBorders>
            <w:shd w:val="clear" w:color="auto" w:fill="auto"/>
            <w:vAlign w:val="center"/>
            <w:hideMark/>
          </w:tcPr>
          <w:p w14:paraId="7AE4E9D6"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REDNOVA SAS  ESP</w:t>
            </w:r>
          </w:p>
        </w:tc>
        <w:tc>
          <w:tcPr>
            <w:tcW w:w="800" w:type="dxa"/>
            <w:tcBorders>
              <w:top w:val="nil"/>
              <w:left w:val="nil"/>
              <w:bottom w:val="single" w:sz="4" w:space="0" w:color="auto"/>
              <w:right w:val="single" w:sz="4" w:space="0" w:color="auto"/>
            </w:tcBorders>
            <w:shd w:val="clear" w:color="auto" w:fill="auto"/>
            <w:noWrap/>
            <w:vAlign w:val="center"/>
            <w:hideMark/>
          </w:tcPr>
          <w:p w14:paraId="3AEBA8B5"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GasNatural</w:t>
            </w:r>
          </w:p>
        </w:tc>
        <w:tc>
          <w:tcPr>
            <w:tcW w:w="1660" w:type="dxa"/>
            <w:tcBorders>
              <w:top w:val="nil"/>
              <w:left w:val="nil"/>
              <w:bottom w:val="single" w:sz="4" w:space="0" w:color="auto"/>
              <w:right w:val="single" w:sz="4" w:space="0" w:color="auto"/>
            </w:tcBorders>
            <w:shd w:val="clear" w:color="auto" w:fill="auto"/>
            <w:noWrap/>
            <w:vAlign w:val="center"/>
            <w:hideMark/>
          </w:tcPr>
          <w:p w14:paraId="7DB40C3B"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10,116,044,850</w:t>
            </w:r>
          </w:p>
        </w:tc>
        <w:tc>
          <w:tcPr>
            <w:tcW w:w="1720" w:type="dxa"/>
            <w:tcBorders>
              <w:top w:val="nil"/>
              <w:left w:val="nil"/>
              <w:bottom w:val="single" w:sz="4" w:space="0" w:color="auto"/>
              <w:right w:val="single" w:sz="4" w:space="0" w:color="auto"/>
            </w:tcBorders>
            <w:shd w:val="clear" w:color="auto" w:fill="auto"/>
            <w:noWrap/>
            <w:vAlign w:val="center"/>
            <w:hideMark/>
          </w:tcPr>
          <w:p w14:paraId="7F462386"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1,856,941,606</w:t>
            </w:r>
          </w:p>
        </w:tc>
      </w:tr>
      <w:tr w:rsidR="00117702" w:rsidRPr="00117702" w14:paraId="6A80676D"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308C8070"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198</w:t>
            </w:r>
          </w:p>
        </w:tc>
        <w:tc>
          <w:tcPr>
            <w:tcW w:w="900" w:type="dxa"/>
            <w:tcBorders>
              <w:top w:val="nil"/>
              <w:left w:val="nil"/>
              <w:bottom w:val="single" w:sz="4" w:space="0" w:color="auto"/>
              <w:right w:val="single" w:sz="4" w:space="0" w:color="auto"/>
            </w:tcBorders>
            <w:shd w:val="clear" w:color="auto" w:fill="auto"/>
            <w:noWrap/>
            <w:vAlign w:val="center"/>
            <w:hideMark/>
          </w:tcPr>
          <w:p w14:paraId="19281A10"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900112515</w:t>
            </w:r>
          </w:p>
        </w:tc>
        <w:tc>
          <w:tcPr>
            <w:tcW w:w="3660" w:type="dxa"/>
            <w:tcBorders>
              <w:top w:val="nil"/>
              <w:left w:val="nil"/>
              <w:bottom w:val="single" w:sz="4" w:space="0" w:color="auto"/>
              <w:right w:val="single" w:sz="4" w:space="0" w:color="auto"/>
            </w:tcBorders>
            <w:shd w:val="clear" w:color="auto" w:fill="auto"/>
            <w:vAlign w:val="center"/>
            <w:hideMark/>
          </w:tcPr>
          <w:p w14:paraId="327C9554"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REFINERIA DE CARTAGENA S.A.</w:t>
            </w:r>
          </w:p>
        </w:tc>
        <w:tc>
          <w:tcPr>
            <w:tcW w:w="800" w:type="dxa"/>
            <w:tcBorders>
              <w:top w:val="nil"/>
              <w:left w:val="nil"/>
              <w:bottom w:val="single" w:sz="4" w:space="0" w:color="auto"/>
              <w:right w:val="single" w:sz="4" w:space="0" w:color="auto"/>
            </w:tcBorders>
            <w:shd w:val="clear" w:color="auto" w:fill="auto"/>
            <w:noWrap/>
            <w:vAlign w:val="center"/>
            <w:hideMark/>
          </w:tcPr>
          <w:p w14:paraId="70799639"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GLP</w:t>
            </w:r>
          </w:p>
        </w:tc>
        <w:tc>
          <w:tcPr>
            <w:tcW w:w="1660" w:type="dxa"/>
            <w:tcBorders>
              <w:top w:val="nil"/>
              <w:left w:val="nil"/>
              <w:bottom w:val="single" w:sz="4" w:space="0" w:color="auto"/>
              <w:right w:val="single" w:sz="4" w:space="0" w:color="auto"/>
            </w:tcBorders>
            <w:shd w:val="clear" w:color="auto" w:fill="auto"/>
            <w:noWrap/>
            <w:vAlign w:val="center"/>
            <w:hideMark/>
          </w:tcPr>
          <w:p w14:paraId="0384F954"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78,844,268,045</w:t>
            </w:r>
          </w:p>
        </w:tc>
        <w:tc>
          <w:tcPr>
            <w:tcW w:w="1720" w:type="dxa"/>
            <w:tcBorders>
              <w:top w:val="nil"/>
              <w:left w:val="nil"/>
              <w:bottom w:val="single" w:sz="4" w:space="0" w:color="auto"/>
              <w:right w:val="single" w:sz="4" w:space="0" w:color="auto"/>
            </w:tcBorders>
            <w:shd w:val="clear" w:color="auto" w:fill="auto"/>
            <w:noWrap/>
            <w:vAlign w:val="center"/>
            <w:hideMark/>
          </w:tcPr>
          <w:p w14:paraId="1F5DBF4B"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9,766,217,656</w:t>
            </w:r>
          </w:p>
        </w:tc>
      </w:tr>
      <w:tr w:rsidR="00117702" w:rsidRPr="00117702" w14:paraId="4AE7C95C"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5B0CAFDD"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199</w:t>
            </w:r>
          </w:p>
        </w:tc>
        <w:tc>
          <w:tcPr>
            <w:tcW w:w="900" w:type="dxa"/>
            <w:tcBorders>
              <w:top w:val="nil"/>
              <w:left w:val="nil"/>
              <w:bottom w:val="single" w:sz="4" w:space="0" w:color="auto"/>
              <w:right w:val="single" w:sz="4" w:space="0" w:color="auto"/>
            </w:tcBorders>
            <w:shd w:val="clear" w:color="auto" w:fill="auto"/>
            <w:noWrap/>
            <w:vAlign w:val="center"/>
            <w:hideMark/>
          </w:tcPr>
          <w:p w14:paraId="10C3A760"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900589503</w:t>
            </w:r>
          </w:p>
        </w:tc>
        <w:tc>
          <w:tcPr>
            <w:tcW w:w="3660" w:type="dxa"/>
            <w:tcBorders>
              <w:top w:val="nil"/>
              <w:left w:val="nil"/>
              <w:bottom w:val="single" w:sz="4" w:space="0" w:color="auto"/>
              <w:right w:val="single" w:sz="4" w:space="0" w:color="auto"/>
            </w:tcBorders>
            <w:shd w:val="clear" w:color="auto" w:fill="auto"/>
            <w:vAlign w:val="center"/>
            <w:hideMark/>
          </w:tcPr>
          <w:p w14:paraId="3CF8CB8B"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RENOVATIO TRADING AMERICAS SAS ESP</w:t>
            </w:r>
          </w:p>
        </w:tc>
        <w:tc>
          <w:tcPr>
            <w:tcW w:w="800" w:type="dxa"/>
            <w:tcBorders>
              <w:top w:val="nil"/>
              <w:left w:val="nil"/>
              <w:bottom w:val="single" w:sz="4" w:space="0" w:color="auto"/>
              <w:right w:val="single" w:sz="4" w:space="0" w:color="auto"/>
            </w:tcBorders>
            <w:shd w:val="clear" w:color="auto" w:fill="auto"/>
            <w:noWrap/>
            <w:vAlign w:val="center"/>
            <w:hideMark/>
          </w:tcPr>
          <w:p w14:paraId="2FA559C8"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Energia</w:t>
            </w:r>
          </w:p>
        </w:tc>
        <w:tc>
          <w:tcPr>
            <w:tcW w:w="1660" w:type="dxa"/>
            <w:tcBorders>
              <w:top w:val="nil"/>
              <w:left w:val="nil"/>
              <w:bottom w:val="single" w:sz="4" w:space="0" w:color="auto"/>
              <w:right w:val="single" w:sz="4" w:space="0" w:color="auto"/>
            </w:tcBorders>
            <w:shd w:val="clear" w:color="auto" w:fill="auto"/>
            <w:noWrap/>
            <w:vAlign w:val="center"/>
            <w:hideMark/>
          </w:tcPr>
          <w:p w14:paraId="75720FAA"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4,909,551,000</w:t>
            </w:r>
          </w:p>
        </w:tc>
        <w:tc>
          <w:tcPr>
            <w:tcW w:w="1720" w:type="dxa"/>
            <w:tcBorders>
              <w:top w:val="nil"/>
              <w:left w:val="nil"/>
              <w:bottom w:val="single" w:sz="4" w:space="0" w:color="auto"/>
              <w:right w:val="single" w:sz="4" w:space="0" w:color="auto"/>
            </w:tcBorders>
            <w:shd w:val="clear" w:color="auto" w:fill="auto"/>
            <w:noWrap/>
            <w:vAlign w:val="center"/>
            <w:hideMark/>
          </w:tcPr>
          <w:p w14:paraId="33CFEDEF"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2,364,490,629</w:t>
            </w:r>
          </w:p>
        </w:tc>
      </w:tr>
      <w:tr w:rsidR="00117702" w:rsidRPr="00117702" w14:paraId="5BFC0681"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3924989A"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200</w:t>
            </w:r>
          </w:p>
        </w:tc>
        <w:tc>
          <w:tcPr>
            <w:tcW w:w="900" w:type="dxa"/>
            <w:tcBorders>
              <w:top w:val="nil"/>
              <w:left w:val="nil"/>
              <w:bottom w:val="single" w:sz="4" w:space="0" w:color="auto"/>
              <w:right w:val="single" w:sz="4" w:space="0" w:color="auto"/>
            </w:tcBorders>
            <w:shd w:val="clear" w:color="auto" w:fill="auto"/>
            <w:noWrap/>
            <w:vAlign w:val="center"/>
            <w:hideMark/>
          </w:tcPr>
          <w:p w14:paraId="4BFF1F0A"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900652334</w:t>
            </w:r>
          </w:p>
        </w:tc>
        <w:tc>
          <w:tcPr>
            <w:tcW w:w="3660" w:type="dxa"/>
            <w:tcBorders>
              <w:top w:val="nil"/>
              <w:left w:val="nil"/>
              <w:bottom w:val="single" w:sz="4" w:space="0" w:color="auto"/>
              <w:right w:val="single" w:sz="4" w:space="0" w:color="auto"/>
            </w:tcBorders>
            <w:shd w:val="clear" w:color="auto" w:fill="auto"/>
            <w:vAlign w:val="center"/>
            <w:hideMark/>
          </w:tcPr>
          <w:p w14:paraId="1556AD55"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RIOPAILA ENERGÍA SAS ESP</w:t>
            </w:r>
          </w:p>
        </w:tc>
        <w:tc>
          <w:tcPr>
            <w:tcW w:w="800" w:type="dxa"/>
            <w:tcBorders>
              <w:top w:val="nil"/>
              <w:left w:val="nil"/>
              <w:bottom w:val="single" w:sz="4" w:space="0" w:color="auto"/>
              <w:right w:val="single" w:sz="4" w:space="0" w:color="auto"/>
            </w:tcBorders>
            <w:shd w:val="clear" w:color="auto" w:fill="auto"/>
            <w:noWrap/>
            <w:vAlign w:val="center"/>
            <w:hideMark/>
          </w:tcPr>
          <w:p w14:paraId="39446288"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Energia</w:t>
            </w:r>
          </w:p>
        </w:tc>
        <w:tc>
          <w:tcPr>
            <w:tcW w:w="1660" w:type="dxa"/>
            <w:tcBorders>
              <w:top w:val="nil"/>
              <w:left w:val="nil"/>
              <w:bottom w:val="single" w:sz="4" w:space="0" w:color="auto"/>
              <w:right w:val="single" w:sz="4" w:space="0" w:color="auto"/>
            </w:tcBorders>
            <w:shd w:val="clear" w:color="auto" w:fill="auto"/>
            <w:noWrap/>
            <w:vAlign w:val="center"/>
            <w:hideMark/>
          </w:tcPr>
          <w:p w14:paraId="0F84CE48"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23,377,305,000</w:t>
            </w:r>
          </w:p>
        </w:tc>
        <w:tc>
          <w:tcPr>
            <w:tcW w:w="1720" w:type="dxa"/>
            <w:tcBorders>
              <w:top w:val="nil"/>
              <w:left w:val="nil"/>
              <w:bottom w:val="single" w:sz="4" w:space="0" w:color="auto"/>
              <w:right w:val="single" w:sz="4" w:space="0" w:color="auto"/>
            </w:tcBorders>
            <w:shd w:val="clear" w:color="auto" w:fill="auto"/>
            <w:noWrap/>
            <w:vAlign w:val="center"/>
            <w:hideMark/>
          </w:tcPr>
          <w:p w14:paraId="74EA4F95"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64,767,769</w:t>
            </w:r>
          </w:p>
        </w:tc>
      </w:tr>
      <w:tr w:rsidR="00117702" w:rsidRPr="00117702" w14:paraId="46F542F6"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6E927AF9"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201</w:t>
            </w:r>
          </w:p>
        </w:tc>
        <w:tc>
          <w:tcPr>
            <w:tcW w:w="900" w:type="dxa"/>
            <w:tcBorders>
              <w:top w:val="nil"/>
              <w:left w:val="nil"/>
              <w:bottom w:val="single" w:sz="4" w:space="0" w:color="auto"/>
              <w:right w:val="single" w:sz="4" w:space="0" w:color="auto"/>
            </w:tcBorders>
            <w:shd w:val="clear" w:color="auto" w:fill="auto"/>
            <w:noWrap/>
            <w:vAlign w:val="center"/>
            <w:hideMark/>
          </w:tcPr>
          <w:p w14:paraId="048482D2"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900462761</w:t>
            </w:r>
          </w:p>
        </w:tc>
        <w:tc>
          <w:tcPr>
            <w:tcW w:w="3660" w:type="dxa"/>
            <w:tcBorders>
              <w:top w:val="nil"/>
              <w:left w:val="nil"/>
              <w:bottom w:val="single" w:sz="4" w:space="0" w:color="auto"/>
              <w:right w:val="single" w:sz="4" w:space="0" w:color="auto"/>
            </w:tcBorders>
            <w:shd w:val="clear" w:color="auto" w:fill="auto"/>
            <w:vAlign w:val="center"/>
            <w:hideMark/>
          </w:tcPr>
          <w:p w14:paraId="6A9B562D"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RISARALDA ENERGIA S.A.S. E.S.P.</w:t>
            </w:r>
          </w:p>
        </w:tc>
        <w:tc>
          <w:tcPr>
            <w:tcW w:w="800" w:type="dxa"/>
            <w:tcBorders>
              <w:top w:val="nil"/>
              <w:left w:val="nil"/>
              <w:bottom w:val="single" w:sz="4" w:space="0" w:color="auto"/>
              <w:right w:val="single" w:sz="4" w:space="0" w:color="auto"/>
            </w:tcBorders>
            <w:shd w:val="clear" w:color="auto" w:fill="auto"/>
            <w:noWrap/>
            <w:vAlign w:val="center"/>
            <w:hideMark/>
          </w:tcPr>
          <w:p w14:paraId="6445FCC6"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Energia</w:t>
            </w:r>
          </w:p>
        </w:tc>
        <w:tc>
          <w:tcPr>
            <w:tcW w:w="1660" w:type="dxa"/>
            <w:tcBorders>
              <w:top w:val="nil"/>
              <w:left w:val="nil"/>
              <w:bottom w:val="single" w:sz="4" w:space="0" w:color="auto"/>
              <w:right w:val="single" w:sz="4" w:space="0" w:color="auto"/>
            </w:tcBorders>
            <w:shd w:val="clear" w:color="auto" w:fill="auto"/>
            <w:noWrap/>
            <w:vAlign w:val="center"/>
            <w:hideMark/>
          </w:tcPr>
          <w:p w14:paraId="6BFF1E81"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7,629,694,000</w:t>
            </w:r>
          </w:p>
        </w:tc>
        <w:tc>
          <w:tcPr>
            <w:tcW w:w="1720" w:type="dxa"/>
            <w:tcBorders>
              <w:top w:val="nil"/>
              <w:left w:val="nil"/>
              <w:bottom w:val="single" w:sz="4" w:space="0" w:color="auto"/>
              <w:right w:val="single" w:sz="4" w:space="0" w:color="auto"/>
            </w:tcBorders>
            <w:shd w:val="clear" w:color="auto" w:fill="auto"/>
            <w:noWrap/>
            <w:vAlign w:val="center"/>
            <w:hideMark/>
          </w:tcPr>
          <w:p w14:paraId="35422E41"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1,262,791,679</w:t>
            </w:r>
          </w:p>
        </w:tc>
      </w:tr>
      <w:tr w:rsidR="00117702" w:rsidRPr="00117702" w14:paraId="2063C2B0"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4A16BEEB"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202</w:t>
            </w:r>
          </w:p>
        </w:tc>
        <w:tc>
          <w:tcPr>
            <w:tcW w:w="900" w:type="dxa"/>
            <w:tcBorders>
              <w:top w:val="nil"/>
              <w:left w:val="nil"/>
              <w:bottom w:val="single" w:sz="4" w:space="0" w:color="auto"/>
              <w:right w:val="single" w:sz="4" w:space="0" w:color="auto"/>
            </w:tcBorders>
            <w:shd w:val="clear" w:color="auto" w:fill="auto"/>
            <w:noWrap/>
            <w:vAlign w:val="center"/>
            <w:hideMark/>
          </w:tcPr>
          <w:p w14:paraId="65A71842"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804001062</w:t>
            </w:r>
          </w:p>
        </w:tc>
        <w:tc>
          <w:tcPr>
            <w:tcW w:w="3660" w:type="dxa"/>
            <w:tcBorders>
              <w:top w:val="nil"/>
              <w:left w:val="nil"/>
              <w:bottom w:val="single" w:sz="4" w:space="0" w:color="auto"/>
              <w:right w:val="single" w:sz="4" w:space="0" w:color="auto"/>
            </w:tcBorders>
            <w:shd w:val="clear" w:color="auto" w:fill="auto"/>
            <w:vAlign w:val="center"/>
            <w:hideMark/>
          </w:tcPr>
          <w:p w14:paraId="565A827A"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RUITOQUE S.A. E.S.P.</w:t>
            </w:r>
          </w:p>
        </w:tc>
        <w:tc>
          <w:tcPr>
            <w:tcW w:w="800" w:type="dxa"/>
            <w:tcBorders>
              <w:top w:val="nil"/>
              <w:left w:val="nil"/>
              <w:bottom w:val="single" w:sz="4" w:space="0" w:color="auto"/>
              <w:right w:val="single" w:sz="4" w:space="0" w:color="auto"/>
            </w:tcBorders>
            <w:shd w:val="clear" w:color="auto" w:fill="auto"/>
            <w:noWrap/>
            <w:vAlign w:val="center"/>
            <w:hideMark/>
          </w:tcPr>
          <w:p w14:paraId="694C6EBD"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Energia</w:t>
            </w:r>
          </w:p>
        </w:tc>
        <w:tc>
          <w:tcPr>
            <w:tcW w:w="1660" w:type="dxa"/>
            <w:tcBorders>
              <w:top w:val="nil"/>
              <w:left w:val="nil"/>
              <w:bottom w:val="single" w:sz="4" w:space="0" w:color="auto"/>
              <w:right w:val="single" w:sz="4" w:space="0" w:color="auto"/>
            </w:tcBorders>
            <w:shd w:val="clear" w:color="auto" w:fill="auto"/>
            <w:noWrap/>
            <w:vAlign w:val="center"/>
            <w:hideMark/>
          </w:tcPr>
          <w:p w14:paraId="3441427F"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92,001,543,283</w:t>
            </w:r>
          </w:p>
        </w:tc>
        <w:tc>
          <w:tcPr>
            <w:tcW w:w="1720" w:type="dxa"/>
            <w:tcBorders>
              <w:top w:val="nil"/>
              <w:left w:val="nil"/>
              <w:bottom w:val="single" w:sz="4" w:space="0" w:color="auto"/>
              <w:right w:val="single" w:sz="4" w:space="0" w:color="auto"/>
            </w:tcBorders>
            <w:shd w:val="clear" w:color="auto" w:fill="auto"/>
            <w:noWrap/>
            <w:vAlign w:val="center"/>
            <w:hideMark/>
          </w:tcPr>
          <w:p w14:paraId="46A0C2F3"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1,489,222,755</w:t>
            </w:r>
          </w:p>
        </w:tc>
      </w:tr>
      <w:tr w:rsidR="00117702" w:rsidRPr="00117702" w14:paraId="09863C2E" w14:textId="77777777" w:rsidTr="00117702">
        <w:trPr>
          <w:trHeight w:val="46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2E30AEAF"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203</w:t>
            </w:r>
          </w:p>
        </w:tc>
        <w:tc>
          <w:tcPr>
            <w:tcW w:w="900" w:type="dxa"/>
            <w:tcBorders>
              <w:top w:val="nil"/>
              <w:left w:val="nil"/>
              <w:bottom w:val="single" w:sz="4" w:space="0" w:color="auto"/>
              <w:right w:val="single" w:sz="4" w:space="0" w:color="auto"/>
            </w:tcBorders>
            <w:shd w:val="clear" w:color="auto" w:fill="auto"/>
            <w:noWrap/>
            <w:vAlign w:val="center"/>
            <w:hideMark/>
          </w:tcPr>
          <w:p w14:paraId="1CAA33C3"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830140206</w:t>
            </w:r>
          </w:p>
        </w:tc>
        <w:tc>
          <w:tcPr>
            <w:tcW w:w="3660" w:type="dxa"/>
            <w:tcBorders>
              <w:top w:val="nil"/>
              <w:left w:val="nil"/>
              <w:bottom w:val="single" w:sz="4" w:space="0" w:color="auto"/>
              <w:right w:val="single" w:sz="4" w:space="0" w:color="auto"/>
            </w:tcBorders>
            <w:shd w:val="clear" w:color="auto" w:fill="auto"/>
            <w:vAlign w:val="center"/>
            <w:hideMark/>
          </w:tcPr>
          <w:p w14:paraId="48907E8E"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SOCIEDAD DE UNIDAD EMPRESARIAL DE SERVICIOS PUBLICOS SA ESP</w:t>
            </w:r>
          </w:p>
        </w:tc>
        <w:tc>
          <w:tcPr>
            <w:tcW w:w="800" w:type="dxa"/>
            <w:tcBorders>
              <w:top w:val="nil"/>
              <w:left w:val="nil"/>
              <w:bottom w:val="single" w:sz="4" w:space="0" w:color="auto"/>
              <w:right w:val="single" w:sz="4" w:space="0" w:color="auto"/>
            </w:tcBorders>
            <w:shd w:val="clear" w:color="auto" w:fill="auto"/>
            <w:noWrap/>
            <w:vAlign w:val="center"/>
            <w:hideMark/>
          </w:tcPr>
          <w:p w14:paraId="6A53E8B2"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GasNatural</w:t>
            </w:r>
          </w:p>
        </w:tc>
        <w:tc>
          <w:tcPr>
            <w:tcW w:w="1660" w:type="dxa"/>
            <w:tcBorders>
              <w:top w:val="nil"/>
              <w:left w:val="nil"/>
              <w:bottom w:val="single" w:sz="4" w:space="0" w:color="auto"/>
              <w:right w:val="single" w:sz="4" w:space="0" w:color="auto"/>
            </w:tcBorders>
            <w:shd w:val="clear" w:color="auto" w:fill="auto"/>
            <w:noWrap/>
            <w:vAlign w:val="center"/>
            <w:hideMark/>
          </w:tcPr>
          <w:p w14:paraId="3012F012"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4,961,922,060</w:t>
            </w:r>
          </w:p>
        </w:tc>
        <w:tc>
          <w:tcPr>
            <w:tcW w:w="1720" w:type="dxa"/>
            <w:tcBorders>
              <w:top w:val="nil"/>
              <w:left w:val="nil"/>
              <w:bottom w:val="single" w:sz="4" w:space="0" w:color="auto"/>
              <w:right w:val="single" w:sz="4" w:space="0" w:color="auto"/>
            </w:tcBorders>
            <w:shd w:val="clear" w:color="auto" w:fill="auto"/>
            <w:noWrap/>
            <w:vAlign w:val="center"/>
            <w:hideMark/>
          </w:tcPr>
          <w:p w14:paraId="6190C298"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1,361,241,604</w:t>
            </w:r>
          </w:p>
        </w:tc>
      </w:tr>
      <w:tr w:rsidR="00117702" w:rsidRPr="00117702" w14:paraId="6F0841CC"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7DBF66F5"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204</w:t>
            </w:r>
          </w:p>
        </w:tc>
        <w:tc>
          <w:tcPr>
            <w:tcW w:w="900" w:type="dxa"/>
            <w:tcBorders>
              <w:top w:val="nil"/>
              <w:left w:val="nil"/>
              <w:bottom w:val="single" w:sz="4" w:space="0" w:color="auto"/>
              <w:right w:val="single" w:sz="4" w:space="0" w:color="auto"/>
            </w:tcBorders>
            <w:shd w:val="clear" w:color="auto" w:fill="auto"/>
            <w:noWrap/>
            <w:vAlign w:val="center"/>
            <w:hideMark/>
          </w:tcPr>
          <w:p w14:paraId="32DDB253"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900403943</w:t>
            </w:r>
          </w:p>
        </w:tc>
        <w:tc>
          <w:tcPr>
            <w:tcW w:w="3660" w:type="dxa"/>
            <w:tcBorders>
              <w:top w:val="nil"/>
              <w:left w:val="nil"/>
              <w:bottom w:val="single" w:sz="4" w:space="0" w:color="auto"/>
              <w:right w:val="single" w:sz="4" w:space="0" w:color="auto"/>
            </w:tcBorders>
            <w:shd w:val="clear" w:color="auto" w:fill="auto"/>
            <w:vAlign w:val="center"/>
            <w:hideMark/>
          </w:tcPr>
          <w:p w14:paraId="7E0EF496" w14:textId="77777777" w:rsidR="00117702" w:rsidRPr="00D26825" w:rsidRDefault="00117702" w:rsidP="00117702">
            <w:pPr>
              <w:jc w:val="left"/>
              <w:rPr>
                <w:rFonts w:ascii="Arial Narrow" w:hAnsi="Arial Narrow" w:cs="Arial"/>
                <w:color w:val="000000"/>
                <w:spacing w:val="0"/>
                <w:sz w:val="18"/>
                <w:szCs w:val="18"/>
                <w:lang w:val="en-US" w:eastAsia="es-CO"/>
              </w:rPr>
            </w:pPr>
            <w:r w:rsidRPr="00D26825">
              <w:rPr>
                <w:rFonts w:ascii="Arial Narrow" w:hAnsi="Arial Narrow" w:cs="Arial"/>
                <w:color w:val="000000"/>
                <w:spacing w:val="0"/>
                <w:sz w:val="18"/>
                <w:szCs w:val="18"/>
                <w:lang w:val="en-US" w:eastAsia="es-CO"/>
              </w:rPr>
              <w:t>SOUTH32 ENERGY S.A.S. E.S.P.</w:t>
            </w:r>
          </w:p>
        </w:tc>
        <w:tc>
          <w:tcPr>
            <w:tcW w:w="800" w:type="dxa"/>
            <w:tcBorders>
              <w:top w:val="nil"/>
              <w:left w:val="nil"/>
              <w:bottom w:val="single" w:sz="4" w:space="0" w:color="auto"/>
              <w:right w:val="single" w:sz="4" w:space="0" w:color="auto"/>
            </w:tcBorders>
            <w:shd w:val="clear" w:color="auto" w:fill="auto"/>
            <w:noWrap/>
            <w:vAlign w:val="center"/>
            <w:hideMark/>
          </w:tcPr>
          <w:p w14:paraId="1ECA27EA"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Energia</w:t>
            </w:r>
          </w:p>
        </w:tc>
        <w:tc>
          <w:tcPr>
            <w:tcW w:w="1660" w:type="dxa"/>
            <w:tcBorders>
              <w:top w:val="nil"/>
              <w:left w:val="nil"/>
              <w:bottom w:val="single" w:sz="4" w:space="0" w:color="auto"/>
              <w:right w:val="single" w:sz="4" w:space="0" w:color="auto"/>
            </w:tcBorders>
            <w:shd w:val="clear" w:color="auto" w:fill="auto"/>
            <w:noWrap/>
            <w:vAlign w:val="center"/>
            <w:hideMark/>
          </w:tcPr>
          <w:p w14:paraId="4C69F494"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7,781,081,000</w:t>
            </w:r>
          </w:p>
        </w:tc>
        <w:tc>
          <w:tcPr>
            <w:tcW w:w="1720" w:type="dxa"/>
            <w:tcBorders>
              <w:top w:val="nil"/>
              <w:left w:val="nil"/>
              <w:bottom w:val="single" w:sz="4" w:space="0" w:color="auto"/>
              <w:right w:val="single" w:sz="4" w:space="0" w:color="auto"/>
            </w:tcBorders>
            <w:shd w:val="clear" w:color="auto" w:fill="auto"/>
            <w:noWrap/>
            <w:vAlign w:val="center"/>
            <w:hideMark/>
          </w:tcPr>
          <w:p w14:paraId="17D8B0ED"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1,796,263,000</w:t>
            </w:r>
          </w:p>
        </w:tc>
      </w:tr>
      <w:tr w:rsidR="00117702" w:rsidRPr="00117702" w14:paraId="6DC0348C"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2AD116D0"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205</w:t>
            </w:r>
          </w:p>
        </w:tc>
        <w:tc>
          <w:tcPr>
            <w:tcW w:w="900" w:type="dxa"/>
            <w:tcBorders>
              <w:top w:val="nil"/>
              <w:left w:val="nil"/>
              <w:bottom w:val="single" w:sz="4" w:space="0" w:color="auto"/>
              <w:right w:val="single" w:sz="4" w:space="0" w:color="auto"/>
            </w:tcBorders>
            <w:shd w:val="clear" w:color="auto" w:fill="auto"/>
            <w:noWrap/>
            <w:vAlign w:val="center"/>
            <w:hideMark/>
          </w:tcPr>
          <w:p w14:paraId="3264EC06"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814003050</w:t>
            </w:r>
          </w:p>
        </w:tc>
        <w:tc>
          <w:tcPr>
            <w:tcW w:w="3660" w:type="dxa"/>
            <w:tcBorders>
              <w:top w:val="nil"/>
              <w:left w:val="nil"/>
              <w:bottom w:val="single" w:sz="4" w:space="0" w:color="auto"/>
              <w:right w:val="single" w:sz="4" w:space="0" w:color="auto"/>
            </w:tcBorders>
            <w:shd w:val="clear" w:color="auto" w:fill="auto"/>
            <w:vAlign w:val="center"/>
            <w:hideMark/>
          </w:tcPr>
          <w:p w14:paraId="64BF8070"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SUPERGAS DE NARIÑO S.A. E.S.P.</w:t>
            </w:r>
          </w:p>
        </w:tc>
        <w:tc>
          <w:tcPr>
            <w:tcW w:w="800" w:type="dxa"/>
            <w:tcBorders>
              <w:top w:val="nil"/>
              <w:left w:val="nil"/>
              <w:bottom w:val="single" w:sz="4" w:space="0" w:color="auto"/>
              <w:right w:val="single" w:sz="4" w:space="0" w:color="auto"/>
            </w:tcBorders>
            <w:shd w:val="clear" w:color="auto" w:fill="auto"/>
            <w:noWrap/>
            <w:vAlign w:val="center"/>
            <w:hideMark/>
          </w:tcPr>
          <w:p w14:paraId="21AF35DC"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GLP</w:t>
            </w:r>
          </w:p>
        </w:tc>
        <w:tc>
          <w:tcPr>
            <w:tcW w:w="1660" w:type="dxa"/>
            <w:tcBorders>
              <w:top w:val="nil"/>
              <w:left w:val="nil"/>
              <w:bottom w:val="single" w:sz="4" w:space="0" w:color="auto"/>
              <w:right w:val="single" w:sz="4" w:space="0" w:color="auto"/>
            </w:tcBorders>
            <w:shd w:val="clear" w:color="auto" w:fill="auto"/>
            <w:noWrap/>
            <w:vAlign w:val="center"/>
            <w:hideMark/>
          </w:tcPr>
          <w:p w14:paraId="59B20559"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17,697,048,038</w:t>
            </w:r>
          </w:p>
        </w:tc>
        <w:tc>
          <w:tcPr>
            <w:tcW w:w="1720" w:type="dxa"/>
            <w:tcBorders>
              <w:top w:val="nil"/>
              <w:left w:val="nil"/>
              <w:bottom w:val="single" w:sz="4" w:space="0" w:color="auto"/>
              <w:right w:val="single" w:sz="4" w:space="0" w:color="auto"/>
            </w:tcBorders>
            <w:shd w:val="clear" w:color="auto" w:fill="auto"/>
            <w:noWrap/>
            <w:vAlign w:val="center"/>
            <w:hideMark/>
          </w:tcPr>
          <w:p w14:paraId="1D840BAA"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2,868,203,697</w:t>
            </w:r>
          </w:p>
        </w:tc>
      </w:tr>
      <w:tr w:rsidR="00117702" w:rsidRPr="00117702" w14:paraId="2B10BDF3"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01ACDD1E"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206</w:t>
            </w:r>
          </w:p>
        </w:tc>
        <w:tc>
          <w:tcPr>
            <w:tcW w:w="900" w:type="dxa"/>
            <w:tcBorders>
              <w:top w:val="nil"/>
              <w:left w:val="nil"/>
              <w:bottom w:val="single" w:sz="4" w:space="0" w:color="auto"/>
              <w:right w:val="single" w:sz="4" w:space="0" w:color="auto"/>
            </w:tcBorders>
            <w:shd w:val="clear" w:color="auto" w:fill="auto"/>
            <w:noWrap/>
            <w:vAlign w:val="center"/>
            <w:hideMark/>
          </w:tcPr>
          <w:p w14:paraId="5FAB7DEC"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900466858</w:t>
            </w:r>
          </w:p>
        </w:tc>
        <w:tc>
          <w:tcPr>
            <w:tcW w:w="3660" w:type="dxa"/>
            <w:tcBorders>
              <w:top w:val="nil"/>
              <w:left w:val="nil"/>
              <w:bottom w:val="single" w:sz="4" w:space="0" w:color="auto"/>
              <w:right w:val="single" w:sz="4" w:space="0" w:color="auto"/>
            </w:tcBorders>
            <w:shd w:val="clear" w:color="auto" w:fill="auto"/>
            <w:vAlign w:val="center"/>
            <w:hideMark/>
          </w:tcPr>
          <w:p w14:paraId="510A9F27"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SURENERGY SAS ESP</w:t>
            </w:r>
          </w:p>
        </w:tc>
        <w:tc>
          <w:tcPr>
            <w:tcW w:w="800" w:type="dxa"/>
            <w:tcBorders>
              <w:top w:val="nil"/>
              <w:left w:val="nil"/>
              <w:bottom w:val="single" w:sz="4" w:space="0" w:color="auto"/>
              <w:right w:val="single" w:sz="4" w:space="0" w:color="auto"/>
            </w:tcBorders>
            <w:shd w:val="clear" w:color="auto" w:fill="auto"/>
            <w:noWrap/>
            <w:vAlign w:val="center"/>
            <w:hideMark/>
          </w:tcPr>
          <w:p w14:paraId="1F887289"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GasNatural</w:t>
            </w:r>
          </w:p>
        </w:tc>
        <w:tc>
          <w:tcPr>
            <w:tcW w:w="1660" w:type="dxa"/>
            <w:tcBorders>
              <w:top w:val="nil"/>
              <w:left w:val="nil"/>
              <w:bottom w:val="single" w:sz="4" w:space="0" w:color="auto"/>
              <w:right w:val="single" w:sz="4" w:space="0" w:color="auto"/>
            </w:tcBorders>
            <w:shd w:val="clear" w:color="auto" w:fill="auto"/>
            <w:noWrap/>
            <w:vAlign w:val="center"/>
            <w:hideMark/>
          </w:tcPr>
          <w:p w14:paraId="509EC3AA"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17,378,811,793</w:t>
            </w:r>
          </w:p>
        </w:tc>
        <w:tc>
          <w:tcPr>
            <w:tcW w:w="1720" w:type="dxa"/>
            <w:tcBorders>
              <w:top w:val="nil"/>
              <w:left w:val="nil"/>
              <w:bottom w:val="single" w:sz="4" w:space="0" w:color="auto"/>
              <w:right w:val="single" w:sz="4" w:space="0" w:color="auto"/>
            </w:tcBorders>
            <w:shd w:val="clear" w:color="auto" w:fill="auto"/>
            <w:noWrap/>
            <w:vAlign w:val="center"/>
            <w:hideMark/>
          </w:tcPr>
          <w:p w14:paraId="75C53F0D"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1,780,214,569</w:t>
            </w:r>
          </w:p>
        </w:tc>
      </w:tr>
      <w:tr w:rsidR="00117702" w:rsidRPr="00117702" w14:paraId="2A9EC5D0" w14:textId="77777777" w:rsidTr="00117702">
        <w:trPr>
          <w:trHeight w:val="46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3C53E03B"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207</w:t>
            </w:r>
          </w:p>
        </w:tc>
        <w:tc>
          <w:tcPr>
            <w:tcW w:w="900" w:type="dxa"/>
            <w:tcBorders>
              <w:top w:val="nil"/>
              <w:left w:val="nil"/>
              <w:bottom w:val="single" w:sz="4" w:space="0" w:color="auto"/>
              <w:right w:val="single" w:sz="4" w:space="0" w:color="auto"/>
            </w:tcBorders>
            <w:shd w:val="clear" w:color="auto" w:fill="auto"/>
            <w:noWrap/>
            <w:vAlign w:val="center"/>
            <w:hideMark/>
          </w:tcPr>
          <w:p w14:paraId="78CDFFD0"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890400869</w:t>
            </w:r>
          </w:p>
        </w:tc>
        <w:tc>
          <w:tcPr>
            <w:tcW w:w="3660" w:type="dxa"/>
            <w:tcBorders>
              <w:top w:val="nil"/>
              <w:left w:val="nil"/>
              <w:bottom w:val="single" w:sz="4" w:space="0" w:color="auto"/>
              <w:right w:val="single" w:sz="4" w:space="0" w:color="auto"/>
            </w:tcBorders>
            <w:shd w:val="clear" w:color="auto" w:fill="auto"/>
            <w:vAlign w:val="center"/>
            <w:hideMark/>
          </w:tcPr>
          <w:p w14:paraId="11DBBA3D"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 xml:space="preserve">SURTIDORA DE GAS DEL CARIBE S.A. EMPRESA DE SERVICIOS PUBLICOS </w:t>
            </w:r>
          </w:p>
        </w:tc>
        <w:tc>
          <w:tcPr>
            <w:tcW w:w="800" w:type="dxa"/>
            <w:tcBorders>
              <w:top w:val="nil"/>
              <w:left w:val="nil"/>
              <w:bottom w:val="single" w:sz="4" w:space="0" w:color="auto"/>
              <w:right w:val="single" w:sz="4" w:space="0" w:color="auto"/>
            </w:tcBorders>
            <w:shd w:val="clear" w:color="auto" w:fill="auto"/>
            <w:noWrap/>
            <w:vAlign w:val="center"/>
            <w:hideMark/>
          </w:tcPr>
          <w:p w14:paraId="35846A63"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GasNatural</w:t>
            </w:r>
          </w:p>
        </w:tc>
        <w:tc>
          <w:tcPr>
            <w:tcW w:w="1660" w:type="dxa"/>
            <w:tcBorders>
              <w:top w:val="nil"/>
              <w:left w:val="nil"/>
              <w:bottom w:val="single" w:sz="4" w:space="0" w:color="auto"/>
              <w:right w:val="single" w:sz="4" w:space="0" w:color="auto"/>
            </w:tcBorders>
            <w:shd w:val="clear" w:color="auto" w:fill="auto"/>
            <w:noWrap/>
            <w:vAlign w:val="center"/>
            <w:hideMark/>
          </w:tcPr>
          <w:p w14:paraId="33F22298"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769,685,522,551</w:t>
            </w:r>
          </w:p>
        </w:tc>
        <w:tc>
          <w:tcPr>
            <w:tcW w:w="1720" w:type="dxa"/>
            <w:tcBorders>
              <w:top w:val="nil"/>
              <w:left w:val="nil"/>
              <w:bottom w:val="single" w:sz="4" w:space="0" w:color="auto"/>
              <w:right w:val="single" w:sz="4" w:space="0" w:color="auto"/>
            </w:tcBorders>
            <w:shd w:val="clear" w:color="auto" w:fill="auto"/>
            <w:noWrap/>
            <w:vAlign w:val="center"/>
            <w:hideMark/>
          </w:tcPr>
          <w:p w14:paraId="6B25F7C2"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30,249,245,413</w:t>
            </w:r>
          </w:p>
        </w:tc>
      </w:tr>
      <w:tr w:rsidR="00117702" w:rsidRPr="00117702" w14:paraId="3C2E31EF"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28178B9D"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208</w:t>
            </w:r>
          </w:p>
        </w:tc>
        <w:tc>
          <w:tcPr>
            <w:tcW w:w="900" w:type="dxa"/>
            <w:tcBorders>
              <w:top w:val="nil"/>
              <w:left w:val="nil"/>
              <w:bottom w:val="single" w:sz="4" w:space="0" w:color="auto"/>
              <w:right w:val="single" w:sz="4" w:space="0" w:color="auto"/>
            </w:tcBorders>
            <w:shd w:val="clear" w:color="auto" w:fill="auto"/>
            <w:noWrap/>
            <w:vAlign w:val="center"/>
            <w:hideMark/>
          </w:tcPr>
          <w:p w14:paraId="2A53D1B7"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900637368</w:t>
            </w:r>
          </w:p>
        </w:tc>
        <w:tc>
          <w:tcPr>
            <w:tcW w:w="3660" w:type="dxa"/>
            <w:tcBorders>
              <w:top w:val="nil"/>
              <w:left w:val="nil"/>
              <w:bottom w:val="single" w:sz="4" w:space="0" w:color="auto"/>
              <w:right w:val="single" w:sz="4" w:space="0" w:color="auto"/>
            </w:tcBorders>
            <w:shd w:val="clear" w:color="auto" w:fill="auto"/>
            <w:vAlign w:val="center"/>
            <w:hideMark/>
          </w:tcPr>
          <w:p w14:paraId="6CA11E7D"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TERMO MECHERO MORRO SAS ESP</w:t>
            </w:r>
          </w:p>
        </w:tc>
        <w:tc>
          <w:tcPr>
            <w:tcW w:w="800" w:type="dxa"/>
            <w:tcBorders>
              <w:top w:val="nil"/>
              <w:left w:val="nil"/>
              <w:bottom w:val="single" w:sz="4" w:space="0" w:color="auto"/>
              <w:right w:val="single" w:sz="4" w:space="0" w:color="auto"/>
            </w:tcBorders>
            <w:shd w:val="clear" w:color="auto" w:fill="auto"/>
            <w:noWrap/>
            <w:vAlign w:val="center"/>
            <w:hideMark/>
          </w:tcPr>
          <w:p w14:paraId="7C1B8669"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Energia</w:t>
            </w:r>
          </w:p>
        </w:tc>
        <w:tc>
          <w:tcPr>
            <w:tcW w:w="1660" w:type="dxa"/>
            <w:tcBorders>
              <w:top w:val="nil"/>
              <w:left w:val="nil"/>
              <w:bottom w:val="single" w:sz="4" w:space="0" w:color="auto"/>
              <w:right w:val="single" w:sz="4" w:space="0" w:color="auto"/>
            </w:tcBorders>
            <w:shd w:val="clear" w:color="auto" w:fill="auto"/>
            <w:noWrap/>
            <w:vAlign w:val="center"/>
            <w:hideMark/>
          </w:tcPr>
          <w:p w14:paraId="470064A7"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83,805,893,000</w:t>
            </w:r>
          </w:p>
        </w:tc>
        <w:tc>
          <w:tcPr>
            <w:tcW w:w="1720" w:type="dxa"/>
            <w:tcBorders>
              <w:top w:val="nil"/>
              <w:left w:val="nil"/>
              <w:bottom w:val="single" w:sz="4" w:space="0" w:color="auto"/>
              <w:right w:val="single" w:sz="4" w:space="0" w:color="auto"/>
            </w:tcBorders>
            <w:shd w:val="clear" w:color="auto" w:fill="auto"/>
            <w:noWrap/>
            <w:vAlign w:val="center"/>
            <w:hideMark/>
          </w:tcPr>
          <w:p w14:paraId="752233E8"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2,795,266,019</w:t>
            </w:r>
          </w:p>
        </w:tc>
      </w:tr>
      <w:tr w:rsidR="00117702" w:rsidRPr="00117702" w14:paraId="274FCC43"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533E71F8"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209</w:t>
            </w:r>
          </w:p>
        </w:tc>
        <w:tc>
          <w:tcPr>
            <w:tcW w:w="900" w:type="dxa"/>
            <w:tcBorders>
              <w:top w:val="nil"/>
              <w:left w:val="nil"/>
              <w:bottom w:val="single" w:sz="4" w:space="0" w:color="auto"/>
              <w:right w:val="single" w:sz="4" w:space="0" w:color="auto"/>
            </w:tcBorders>
            <w:shd w:val="clear" w:color="auto" w:fill="auto"/>
            <w:noWrap/>
            <w:vAlign w:val="center"/>
            <w:hideMark/>
          </w:tcPr>
          <w:p w14:paraId="1DA71043"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800245746</w:t>
            </w:r>
          </w:p>
        </w:tc>
        <w:tc>
          <w:tcPr>
            <w:tcW w:w="3660" w:type="dxa"/>
            <w:tcBorders>
              <w:top w:val="nil"/>
              <w:left w:val="nil"/>
              <w:bottom w:val="single" w:sz="4" w:space="0" w:color="auto"/>
              <w:right w:val="single" w:sz="4" w:space="0" w:color="auto"/>
            </w:tcBorders>
            <w:shd w:val="clear" w:color="auto" w:fill="auto"/>
            <w:vAlign w:val="center"/>
            <w:hideMark/>
          </w:tcPr>
          <w:p w14:paraId="2D2793A9"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TERMOBARRANQUILLA S.A. E.S.P.</w:t>
            </w:r>
          </w:p>
        </w:tc>
        <w:tc>
          <w:tcPr>
            <w:tcW w:w="800" w:type="dxa"/>
            <w:tcBorders>
              <w:top w:val="nil"/>
              <w:left w:val="nil"/>
              <w:bottom w:val="single" w:sz="4" w:space="0" w:color="auto"/>
              <w:right w:val="single" w:sz="4" w:space="0" w:color="auto"/>
            </w:tcBorders>
            <w:shd w:val="clear" w:color="auto" w:fill="auto"/>
            <w:noWrap/>
            <w:vAlign w:val="center"/>
            <w:hideMark/>
          </w:tcPr>
          <w:p w14:paraId="62589282"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Energia</w:t>
            </w:r>
          </w:p>
        </w:tc>
        <w:tc>
          <w:tcPr>
            <w:tcW w:w="1660" w:type="dxa"/>
            <w:tcBorders>
              <w:top w:val="nil"/>
              <w:left w:val="nil"/>
              <w:bottom w:val="single" w:sz="4" w:space="0" w:color="auto"/>
              <w:right w:val="single" w:sz="4" w:space="0" w:color="auto"/>
            </w:tcBorders>
            <w:shd w:val="clear" w:color="auto" w:fill="auto"/>
            <w:noWrap/>
            <w:vAlign w:val="center"/>
            <w:hideMark/>
          </w:tcPr>
          <w:p w14:paraId="7AF97671"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1,494,003,595,000</w:t>
            </w:r>
          </w:p>
        </w:tc>
        <w:tc>
          <w:tcPr>
            <w:tcW w:w="1720" w:type="dxa"/>
            <w:tcBorders>
              <w:top w:val="nil"/>
              <w:left w:val="nil"/>
              <w:bottom w:val="single" w:sz="4" w:space="0" w:color="auto"/>
              <w:right w:val="single" w:sz="4" w:space="0" w:color="auto"/>
            </w:tcBorders>
            <w:shd w:val="clear" w:color="auto" w:fill="auto"/>
            <w:noWrap/>
            <w:vAlign w:val="center"/>
            <w:hideMark/>
          </w:tcPr>
          <w:p w14:paraId="4F41B87F"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23,922,449,015</w:t>
            </w:r>
          </w:p>
        </w:tc>
      </w:tr>
      <w:tr w:rsidR="00117702" w:rsidRPr="00117702" w14:paraId="3FCF6627"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3B5BDDF0"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210</w:t>
            </w:r>
          </w:p>
        </w:tc>
        <w:tc>
          <w:tcPr>
            <w:tcW w:w="900" w:type="dxa"/>
            <w:tcBorders>
              <w:top w:val="nil"/>
              <w:left w:val="nil"/>
              <w:bottom w:val="single" w:sz="4" w:space="0" w:color="auto"/>
              <w:right w:val="single" w:sz="4" w:space="0" w:color="auto"/>
            </w:tcBorders>
            <w:shd w:val="clear" w:color="auto" w:fill="auto"/>
            <w:noWrap/>
            <w:vAlign w:val="center"/>
            <w:hideMark/>
          </w:tcPr>
          <w:p w14:paraId="4E5E117C"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800253702</w:t>
            </w:r>
          </w:p>
        </w:tc>
        <w:tc>
          <w:tcPr>
            <w:tcW w:w="3660" w:type="dxa"/>
            <w:tcBorders>
              <w:top w:val="nil"/>
              <w:left w:val="nil"/>
              <w:bottom w:val="single" w:sz="4" w:space="0" w:color="auto"/>
              <w:right w:val="single" w:sz="4" w:space="0" w:color="auto"/>
            </w:tcBorders>
            <w:shd w:val="clear" w:color="auto" w:fill="auto"/>
            <w:vAlign w:val="center"/>
            <w:hideMark/>
          </w:tcPr>
          <w:p w14:paraId="09D19EF6"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TERMOEMCALI  I  S.A. ESP</w:t>
            </w:r>
          </w:p>
        </w:tc>
        <w:tc>
          <w:tcPr>
            <w:tcW w:w="800" w:type="dxa"/>
            <w:tcBorders>
              <w:top w:val="nil"/>
              <w:left w:val="nil"/>
              <w:bottom w:val="single" w:sz="4" w:space="0" w:color="auto"/>
              <w:right w:val="single" w:sz="4" w:space="0" w:color="auto"/>
            </w:tcBorders>
            <w:shd w:val="clear" w:color="auto" w:fill="auto"/>
            <w:noWrap/>
            <w:vAlign w:val="center"/>
            <w:hideMark/>
          </w:tcPr>
          <w:p w14:paraId="49CBFFD6"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Energia</w:t>
            </w:r>
          </w:p>
        </w:tc>
        <w:tc>
          <w:tcPr>
            <w:tcW w:w="1660" w:type="dxa"/>
            <w:tcBorders>
              <w:top w:val="nil"/>
              <w:left w:val="nil"/>
              <w:bottom w:val="single" w:sz="4" w:space="0" w:color="auto"/>
              <w:right w:val="single" w:sz="4" w:space="0" w:color="auto"/>
            </w:tcBorders>
            <w:shd w:val="clear" w:color="auto" w:fill="auto"/>
            <w:noWrap/>
            <w:vAlign w:val="center"/>
            <w:hideMark/>
          </w:tcPr>
          <w:p w14:paraId="32227E9F"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77,019,702,000</w:t>
            </w:r>
          </w:p>
        </w:tc>
        <w:tc>
          <w:tcPr>
            <w:tcW w:w="1720" w:type="dxa"/>
            <w:tcBorders>
              <w:top w:val="nil"/>
              <w:left w:val="nil"/>
              <w:bottom w:val="single" w:sz="4" w:space="0" w:color="auto"/>
              <w:right w:val="single" w:sz="4" w:space="0" w:color="auto"/>
            </w:tcBorders>
            <w:shd w:val="clear" w:color="auto" w:fill="auto"/>
            <w:noWrap/>
            <w:vAlign w:val="center"/>
            <w:hideMark/>
          </w:tcPr>
          <w:p w14:paraId="70607758"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6,352,808,913</w:t>
            </w:r>
          </w:p>
        </w:tc>
      </w:tr>
      <w:tr w:rsidR="00117702" w:rsidRPr="00117702" w14:paraId="14EC4A2C"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128EB153"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211</w:t>
            </w:r>
          </w:p>
        </w:tc>
        <w:tc>
          <w:tcPr>
            <w:tcW w:w="900" w:type="dxa"/>
            <w:tcBorders>
              <w:top w:val="nil"/>
              <w:left w:val="nil"/>
              <w:bottom w:val="single" w:sz="4" w:space="0" w:color="auto"/>
              <w:right w:val="single" w:sz="4" w:space="0" w:color="auto"/>
            </w:tcBorders>
            <w:shd w:val="clear" w:color="auto" w:fill="auto"/>
            <w:noWrap/>
            <w:vAlign w:val="center"/>
            <w:hideMark/>
          </w:tcPr>
          <w:p w14:paraId="073577C0"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900334431</w:t>
            </w:r>
          </w:p>
        </w:tc>
        <w:tc>
          <w:tcPr>
            <w:tcW w:w="3660" w:type="dxa"/>
            <w:tcBorders>
              <w:top w:val="nil"/>
              <w:left w:val="nil"/>
              <w:bottom w:val="single" w:sz="4" w:space="0" w:color="auto"/>
              <w:right w:val="single" w:sz="4" w:space="0" w:color="auto"/>
            </w:tcBorders>
            <w:shd w:val="clear" w:color="auto" w:fill="auto"/>
            <w:vAlign w:val="center"/>
            <w:hideMark/>
          </w:tcPr>
          <w:p w14:paraId="293FB5E0"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TERMONORTE SAS ESP</w:t>
            </w:r>
          </w:p>
        </w:tc>
        <w:tc>
          <w:tcPr>
            <w:tcW w:w="800" w:type="dxa"/>
            <w:tcBorders>
              <w:top w:val="nil"/>
              <w:left w:val="nil"/>
              <w:bottom w:val="single" w:sz="4" w:space="0" w:color="auto"/>
              <w:right w:val="single" w:sz="4" w:space="0" w:color="auto"/>
            </w:tcBorders>
            <w:shd w:val="clear" w:color="auto" w:fill="auto"/>
            <w:noWrap/>
            <w:vAlign w:val="center"/>
            <w:hideMark/>
          </w:tcPr>
          <w:p w14:paraId="0C3123E7"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Energia</w:t>
            </w:r>
          </w:p>
        </w:tc>
        <w:tc>
          <w:tcPr>
            <w:tcW w:w="1660" w:type="dxa"/>
            <w:tcBorders>
              <w:top w:val="nil"/>
              <w:left w:val="nil"/>
              <w:bottom w:val="single" w:sz="4" w:space="0" w:color="auto"/>
              <w:right w:val="single" w:sz="4" w:space="0" w:color="auto"/>
            </w:tcBorders>
            <w:shd w:val="clear" w:color="auto" w:fill="auto"/>
            <w:noWrap/>
            <w:vAlign w:val="center"/>
            <w:hideMark/>
          </w:tcPr>
          <w:p w14:paraId="543AFA02"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175,523,621,000</w:t>
            </w:r>
          </w:p>
        </w:tc>
        <w:tc>
          <w:tcPr>
            <w:tcW w:w="1720" w:type="dxa"/>
            <w:tcBorders>
              <w:top w:val="nil"/>
              <w:left w:val="nil"/>
              <w:bottom w:val="single" w:sz="4" w:space="0" w:color="auto"/>
              <w:right w:val="single" w:sz="4" w:space="0" w:color="auto"/>
            </w:tcBorders>
            <w:shd w:val="clear" w:color="auto" w:fill="auto"/>
            <w:noWrap/>
            <w:vAlign w:val="center"/>
            <w:hideMark/>
          </w:tcPr>
          <w:p w14:paraId="7595F531"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1,910,076,988</w:t>
            </w:r>
          </w:p>
        </w:tc>
      </w:tr>
      <w:tr w:rsidR="00117702" w:rsidRPr="00117702" w14:paraId="173FCADF"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47E626B7"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212</w:t>
            </w:r>
          </w:p>
        </w:tc>
        <w:tc>
          <w:tcPr>
            <w:tcW w:w="900" w:type="dxa"/>
            <w:tcBorders>
              <w:top w:val="nil"/>
              <w:left w:val="nil"/>
              <w:bottom w:val="single" w:sz="4" w:space="0" w:color="auto"/>
              <w:right w:val="single" w:sz="4" w:space="0" w:color="auto"/>
            </w:tcBorders>
            <w:shd w:val="clear" w:color="auto" w:fill="auto"/>
            <w:noWrap/>
            <w:vAlign w:val="center"/>
            <w:hideMark/>
          </w:tcPr>
          <w:p w14:paraId="6368252D"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830058506</w:t>
            </w:r>
          </w:p>
        </w:tc>
        <w:tc>
          <w:tcPr>
            <w:tcW w:w="3660" w:type="dxa"/>
            <w:tcBorders>
              <w:top w:val="nil"/>
              <w:left w:val="nil"/>
              <w:bottom w:val="single" w:sz="4" w:space="0" w:color="auto"/>
              <w:right w:val="single" w:sz="4" w:space="0" w:color="auto"/>
            </w:tcBorders>
            <w:shd w:val="clear" w:color="auto" w:fill="auto"/>
            <w:vAlign w:val="center"/>
            <w:hideMark/>
          </w:tcPr>
          <w:p w14:paraId="2D67225D"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TERMOPIEDRAS S.A. E.S.P.</w:t>
            </w:r>
          </w:p>
        </w:tc>
        <w:tc>
          <w:tcPr>
            <w:tcW w:w="800" w:type="dxa"/>
            <w:tcBorders>
              <w:top w:val="nil"/>
              <w:left w:val="nil"/>
              <w:bottom w:val="single" w:sz="4" w:space="0" w:color="auto"/>
              <w:right w:val="single" w:sz="4" w:space="0" w:color="auto"/>
            </w:tcBorders>
            <w:shd w:val="clear" w:color="auto" w:fill="auto"/>
            <w:noWrap/>
            <w:vAlign w:val="center"/>
            <w:hideMark/>
          </w:tcPr>
          <w:p w14:paraId="689E1CA7"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Energia</w:t>
            </w:r>
          </w:p>
        </w:tc>
        <w:tc>
          <w:tcPr>
            <w:tcW w:w="1660" w:type="dxa"/>
            <w:tcBorders>
              <w:top w:val="nil"/>
              <w:left w:val="nil"/>
              <w:bottom w:val="single" w:sz="4" w:space="0" w:color="auto"/>
              <w:right w:val="single" w:sz="4" w:space="0" w:color="auto"/>
            </w:tcBorders>
            <w:shd w:val="clear" w:color="auto" w:fill="auto"/>
            <w:noWrap/>
            <w:vAlign w:val="center"/>
            <w:hideMark/>
          </w:tcPr>
          <w:p w14:paraId="14BE2ED4"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9,420,853,000</w:t>
            </w:r>
          </w:p>
        </w:tc>
        <w:tc>
          <w:tcPr>
            <w:tcW w:w="1720" w:type="dxa"/>
            <w:tcBorders>
              <w:top w:val="nil"/>
              <w:left w:val="nil"/>
              <w:bottom w:val="single" w:sz="4" w:space="0" w:color="auto"/>
              <w:right w:val="single" w:sz="4" w:space="0" w:color="auto"/>
            </w:tcBorders>
            <w:shd w:val="clear" w:color="auto" w:fill="auto"/>
            <w:noWrap/>
            <w:vAlign w:val="center"/>
            <w:hideMark/>
          </w:tcPr>
          <w:p w14:paraId="5F172DAA"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201,374,250</w:t>
            </w:r>
          </w:p>
        </w:tc>
      </w:tr>
      <w:tr w:rsidR="00117702" w:rsidRPr="00117702" w14:paraId="2AA971E4"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05568703"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213</w:t>
            </w:r>
          </w:p>
        </w:tc>
        <w:tc>
          <w:tcPr>
            <w:tcW w:w="900" w:type="dxa"/>
            <w:tcBorders>
              <w:top w:val="nil"/>
              <w:left w:val="nil"/>
              <w:bottom w:val="single" w:sz="4" w:space="0" w:color="auto"/>
              <w:right w:val="single" w:sz="4" w:space="0" w:color="auto"/>
            </w:tcBorders>
            <w:shd w:val="clear" w:color="auto" w:fill="auto"/>
            <w:noWrap/>
            <w:vAlign w:val="center"/>
            <w:hideMark/>
          </w:tcPr>
          <w:p w14:paraId="638621D4"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900519716</w:t>
            </w:r>
          </w:p>
        </w:tc>
        <w:tc>
          <w:tcPr>
            <w:tcW w:w="3660" w:type="dxa"/>
            <w:tcBorders>
              <w:top w:val="nil"/>
              <w:left w:val="nil"/>
              <w:bottom w:val="single" w:sz="4" w:space="0" w:color="auto"/>
              <w:right w:val="single" w:sz="4" w:space="0" w:color="auto"/>
            </w:tcBorders>
            <w:shd w:val="clear" w:color="auto" w:fill="auto"/>
            <w:vAlign w:val="center"/>
            <w:hideMark/>
          </w:tcPr>
          <w:p w14:paraId="2BCCB482"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TERMOTASAJERO DOS S.A. E.S.P.</w:t>
            </w:r>
          </w:p>
        </w:tc>
        <w:tc>
          <w:tcPr>
            <w:tcW w:w="800" w:type="dxa"/>
            <w:tcBorders>
              <w:top w:val="nil"/>
              <w:left w:val="nil"/>
              <w:bottom w:val="single" w:sz="4" w:space="0" w:color="auto"/>
              <w:right w:val="single" w:sz="4" w:space="0" w:color="auto"/>
            </w:tcBorders>
            <w:shd w:val="clear" w:color="auto" w:fill="auto"/>
            <w:noWrap/>
            <w:vAlign w:val="center"/>
            <w:hideMark/>
          </w:tcPr>
          <w:p w14:paraId="6735A7AE"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Energia</w:t>
            </w:r>
          </w:p>
        </w:tc>
        <w:tc>
          <w:tcPr>
            <w:tcW w:w="1660" w:type="dxa"/>
            <w:tcBorders>
              <w:top w:val="nil"/>
              <w:left w:val="nil"/>
              <w:bottom w:val="single" w:sz="4" w:space="0" w:color="auto"/>
              <w:right w:val="single" w:sz="4" w:space="0" w:color="auto"/>
            </w:tcBorders>
            <w:shd w:val="clear" w:color="auto" w:fill="auto"/>
            <w:noWrap/>
            <w:vAlign w:val="center"/>
            <w:hideMark/>
          </w:tcPr>
          <w:p w14:paraId="106EB0DB"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293,026,867,000</w:t>
            </w:r>
          </w:p>
        </w:tc>
        <w:tc>
          <w:tcPr>
            <w:tcW w:w="1720" w:type="dxa"/>
            <w:tcBorders>
              <w:top w:val="nil"/>
              <w:left w:val="nil"/>
              <w:bottom w:val="single" w:sz="4" w:space="0" w:color="auto"/>
              <w:right w:val="single" w:sz="4" w:space="0" w:color="auto"/>
            </w:tcBorders>
            <w:shd w:val="clear" w:color="auto" w:fill="auto"/>
            <w:noWrap/>
            <w:vAlign w:val="center"/>
            <w:hideMark/>
          </w:tcPr>
          <w:p w14:paraId="01837197"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1,415,720,008</w:t>
            </w:r>
          </w:p>
        </w:tc>
      </w:tr>
      <w:tr w:rsidR="00117702" w:rsidRPr="00117702" w14:paraId="18E75EEB"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41830EF9"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214</w:t>
            </w:r>
          </w:p>
        </w:tc>
        <w:tc>
          <w:tcPr>
            <w:tcW w:w="900" w:type="dxa"/>
            <w:tcBorders>
              <w:top w:val="nil"/>
              <w:left w:val="nil"/>
              <w:bottom w:val="single" w:sz="4" w:space="0" w:color="auto"/>
              <w:right w:val="single" w:sz="4" w:space="0" w:color="auto"/>
            </w:tcBorders>
            <w:shd w:val="clear" w:color="auto" w:fill="auto"/>
            <w:noWrap/>
            <w:vAlign w:val="center"/>
            <w:hideMark/>
          </w:tcPr>
          <w:p w14:paraId="5BE22EF3"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900161460</w:t>
            </w:r>
          </w:p>
        </w:tc>
        <w:tc>
          <w:tcPr>
            <w:tcW w:w="3660" w:type="dxa"/>
            <w:tcBorders>
              <w:top w:val="nil"/>
              <w:left w:val="nil"/>
              <w:bottom w:val="single" w:sz="4" w:space="0" w:color="auto"/>
              <w:right w:val="single" w:sz="4" w:space="0" w:color="auto"/>
            </w:tcBorders>
            <w:shd w:val="clear" w:color="auto" w:fill="auto"/>
            <w:vAlign w:val="center"/>
            <w:hideMark/>
          </w:tcPr>
          <w:p w14:paraId="0F300330"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TERMOTASAJERO SA ESP</w:t>
            </w:r>
          </w:p>
        </w:tc>
        <w:tc>
          <w:tcPr>
            <w:tcW w:w="800" w:type="dxa"/>
            <w:tcBorders>
              <w:top w:val="nil"/>
              <w:left w:val="nil"/>
              <w:bottom w:val="single" w:sz="4" w:space="0" w:color="auto"/>
              <w:right w:val="single" w:sz="4" w:space="0" w:color="auto"/>
            </w:tcBorders>
            <w:shd w:val="clear" w:color="auto" w:fill="auto"/>
            <w:noWrap/>
            <w:vAlign w:val="center"/>
            <w:hideMark/>
          </w:tcPr>
          <w:p w14:paraId="3FF6F2EC"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Energia</w:t>
            </w:r>
          </w:p>
        </w:tc>
        <w:tc>
          <w:tcPr>
            <w:tcW w:w="1660" w:type="dxa"/>
            <w:tcBorders>
              <w:top w:val="nil"/>
              <w:left w:val="nil"/>
              <w:bottom w:val="single" w:sz="4" w:space="0" w:color="auto"/>
              <w:right w:val="single" w:sz="4" w:space="0" w:color="auto"/>
            </w:tcBorders>
            <w:shd w:val="clear" w:color="auto" w:fill="auto"/>
            <w:noWrap/>
            <w:vAlign w:val="center"/>
            <w:hideMark/>
          </w:tcPr>
          <w:p w14:paraId="7FD22132"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304,593,248,000</w:t>
            </w:r>
          </w:p>
        </w:tc>
        <w:tc>
          <w:tcPr>
            <w:tcW w:w="1720" w:type="dxa"/>
            <w:tcBorders>
              <w:top w:val="nil"/>
              <w:left w:val="nil"/>
              <w:bottom w:val="single" w:sz="4" w:space="0" w:color="auto"/>
              <w:right w:val="single" w:sz="4" w:space="0" w:color="auto"/>
            </w:tcBorders>
            <w:shd w:val="clear" w:color="auto" w:fill="auto"/>
            <w:noWrap/>
            <w:vAlign w:val="center"/>
            <w:hideMark/>
          </w:tcPr>
          <w:p w14:paraId="3B5076B9"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15,595,303,804</w:t>
            </w:r>
          </w:p>
        </w:tc>
      </w:tr>
      <w:tr w:rsidR="00117702" w:rsidRPr="00117702" w14:paraId="549E875E"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7F310A53"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215</w:t>
            </w:r>
          </w:p>
        </w:tc>
        <w:tc>
          <w:tcPr>
            <w:tcW w:w="900" w:type="dxa"/>
            <w:tcBorders>
              <w:top w:val="nil"/>
              <w:left w:val="nil"/>
              <w:bottom w:val="single" w:sz="4" w:space="0" w:color="auto"/>
              <w:right w:val="single" w:sz="4" w:space="0" w:color="auto"/>
            </w:tcBorders>
            <w:shd w:val="clear" w:color="auto" w:fill="auto"/>
            <w:noWrap/>
            <w:vAlign w:val="center"/>
            <w:hideMark/>
          </w:tcPr>
          <w:p w14:paraId="176611C2"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805003351</w:t>
            </w:r>
          </w:p>
        </w:tc>
        <w:tc>
          <w:tcPr>
            <w:tcW w:w="3660" w:type="dxa"/>
            <w:tcBorders>
              <w:top w:val="nil"/>
              <w:left w:val="nil"/>
              <w:bottom w:val="single" w:sz="4" w:space="0" w:color="auto"/>
              <w:right w:val="single" w:sz="4" w:space="0" w:color="auto"/>
            </w:tcBorders>
            <w:shd w:val="clear" w:color="auto" w:fill="auto"/>
            <w:vAlign w:val="center"/>
            <w:hideMark/>
          </w:tcPr>
          <w:p w14:paraId="41C3FFD7"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TERMOVALLE S.A.S. E.S.P</w:t>
            </w:r>
          </w:p>
        </w:tc>
        <w:tc>
          <w:tcPr>
            <w:tcW w:w="800" w:type="dxa"/>
            <w:tcBorders>
              <w:top w:val="nil"/>
              <w:left w:val="nil"/>
              <w:bottom w:val="single" w:sz="4" w:space="0" w:color="auto"/>
              <w:right w:val="single" w:sz="4" w:space="0" w:color="auto"/>
            </w:tcBorders>
            <w:shd w:val="clear" w:color="auto" w:fill="auto"/>
            <w:noWrap/>
            <w:vAlign w:val="center"/>
            <w:hideMark/>
          </w:tcPr>
          <w:p w14:paraId="173AB612"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Energia</w:t>
            </w:r>
          </w:p>
        </w:tc>
        <w:tc>
          <w:tcPr>
            <w:tcW w:w="1660" w:type="dxa"/>
            <w:tcBorders>
              <w:top w:val="nil"/>
              <w:left w:val="nil"/>
              <w:bottom w:val="single" w:sz="4" w:space="0" w:color="auto"/>
              <w:right w:val="single" w:sz="4" w:space="0" w:color="auto"/>
            </w:tcBorders>
            <w:shd w:val="clear" w:color="auto" w:fill="auto"/>
            <w:noWrap/>
            <w:vAlign w:val="center"/>
            <w:hideMark/>
          </w:tcPr>
          <w:p w14:paraId="426797A5"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156,375,170,000</w:t>
            </w:r>
          </w:p>
        </w:tc>
        <w:tc>
          <w:tcPr>
            <w:tcW w:w="1720" w:type="dxa"/>
            <w:tcBorders>
              <w:top w:val="nil"/>
              <w:left w:val="nil"/>
              <w:bottom w:val="single" w:sz="4" w:space="0" w:color="auto"/>
              <w:right w:val="single" w:sz="4" w:space="0" w:color="auto"/>
            </w:tcBorders>
            <w:shd w:val="clear" w:color="auto" w:fill="auto"/>
            <w:noWrap/>
            <w:vAlign w:val="center"/>
            <w:hideMark/>
          </w:tcPr>
          <w:p w14:paraId="1B317D3F"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4,715,453,025</w:t>
            </w:r>
          </w:p>
        </w:tc>
      </w:tr>
      <w:tr w:rsidR="00117702" w:rsidRPr="00117702" w14:paraId="572B7AA6"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60BC04CD"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216</w:t>
            </w:r>
          </w:p>
        </w:tc>
        <w:tc>
          <w:tcPr>
            <w:tcW w:w="900" w:type="dxa"/>
            <w:tcBorders>
              <w:top w:val="nil"/>
              <w:left w:val="nil"/>
              <w:bottom w:val="single" w:sz="4" w:space="0" w:color="auto"/>
              <w:right w:val="single" w:sz="4" w:space="0" w:color="auto"/>
            </w:tcBorders>
            <w:shd w:val="clear" w:color="auto" w:fill="auto"/>
            <w:noWrap/>
            <w:vAlign w:val="center"/>
            <w:hideMark/>
          </w:tcPr>
          <w:p w14:paraId="28111CA4"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830129277</w:t>
            </w:r>
          </w:p>
        </w:tc>
        <w:tc>
          <w:tcPr>
            <w:tcW w:w="3660" w:type="dxa"/>
            <w:tcBorders>
              <w:top w:val="nil"/>
              <w:left w:val="nil"/>
              <w:bottom w:val="single" w:sz="4" w:space="0" w:color="auto"/>
              <w:right w:val="single" w:sz="4" w:space="0" w:color="auto"/>
            </w:tcBorders>
            <w:shd w:val="clear" w:color="auto" w:fill="auto"/>
            <w:vAlign w:val="center"/>
            <w:hideMark/>
          </w:tcPr>
          <w:p w14:paraId="33849632"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TERMOYOPAL GENERACION 2 S.A.S. E.S.P.</w:t>
            </w:r>
          </w:p>
        </w:tc>
        <w:tc>
          <w:tcPr>
            <w:tcW w:w="800" w:type="dxa"/>
            <w:tcBorders>
              <w:top w:val="nil"/>
              <w:left w:val="nil"/>
              <w:bottom w:val="single" w:sz="4" w:space="0" w:color="auto"/>
              <w:right w:val="single" w:sz="4" w:space="0" w:color="auto"/>
            </w:tcBorders>
            <w:shd w:val="clear" w:color="auto" w:fill="auto"/>
            <w:noWrap/>
            <w:vAlign w:val="center"/>
            <w:hideMark/>
          </w:tcPr>
          <w:p w14:paraId="0082D51C"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Energia</w:t>
            </w:r>
          </w:p>
        </w:tc>
        <w:tc>
          <w:tcPr>
            <w:tcW w:w="1660" w:type="dxa"/>
            <w:tcBorders>
              <w:top w:val="nil"/>
              <w:left w:val="nil"/>
              <w:bottom w:val="single" w:sz="4" w:space="0" w:color="auto"/>
              <w:right w:val="single" w:sz="4" w:space="0" w:color="auto"/>
            </w:tcBorders>
            <w:shd w:val="clear" w:color="auto" w:fill="auto"/>
            <w:noWrap/>
            <w:vAlign w:val="center"/>
            <w:hideMark/>
          </w:tcPr>
          <w:p w14:paraId="36363797"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77,391,708,000</w:t>
            </w:r>
          </w:p>
        </w:tc>
        <w:tc>
          <w:tcPr>
            <w:tcW w:w="1720" w:type="dxa"/>
            <w:tcBorders>
              <w:top w:val="nil"/>
              <w:left w:val="nil"/>
              <w:bottom w:val="single" w:sz="4" w:space="0" w:color="auto"/>
              <w:right w:val="single" w:sz="4" w:space="0" w:color="auto"/>
            </w:tcBorders>
            <w:shd w:val="clear" w:color="auto" w:fill="auto"/>
            <w:noWrap/>
            <w:vAlign w:val="center"/>
            <w:hideMark/>
          </w:tcPr>
          <w:p w14:paraId="58FF59F9"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2,294,609,477</w:t>
            </w:r>
          </w:p>
        </w:tc>
      </w:tr>
      <w:tr w:rsidR="00117702" w:rsidRPr="00117702" w14:paraId="10FE3169"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3A0D204D"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217</w:t>
            </w:r>
          </w:p>
        </w:tc>
        <w:tc>
          <w:tcPr>
            <w:tcW w:w="900" w:type="dxa"/>
            <w:tcBorders>
              <w:top w:val="nil"/>
              <w:left w:val="nil"/>
              <w:bottom w:val="single" w:sz="4" w:space="0" w:color="auto"/>
              <w:right w:val="single" w:sz="4" w:space="0" w:color="auto"/>
            </w:tcBorders>
            <w:shd w:val="clear" w:color="auto" w:fill="auto"/>
            <w:noWrap/>
            <w:vAlign w:val="center"/>
            <w:hideMark/>
          </w:tcPr>
          <w:p w14:paraId="249CF654"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802007669</w:t>
            </w:r>
          </w:p>
        </w:tc>
        <w:tc>
          <w:tcPr>
            <w:tcW w:w="3660" w:type="dxa"/>
            <w:tcBorders>
              <w:top w:val="nil"/>
              <w:left w:val="nil"/>
              <w:bottom w:val="single" w:sz="4" w:space="0" w:color="auto"/>
              <w:right w:val="single" w:sz="4" w:space="0" w:color="auto"/>
            </w:tcBorders>
            <w:shd w:val="clear" w:color="auto" w:fill="auto"/>
            <w:vAlign w:val="center"/>
            <w:hideMark/>
          </w:tcPr>
          <w:p w14:paraId="34A2AB84"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TRANSELCA S.A. E.S.P.</w:t>
            </w:r>
          </w:p>
        </w:tc>
        <w:tc>
          <w:tcPr>
            <w:tcW w:w="800" w:type="dxa"/>
            <w:tcBorders>
              <w:top w:val="nil"/>
              <w:left w:val="nil"/>
              <w:bottom w:val="single" w:sz="4" w:space="0" w:color="auto"/>
              <w:right w:val="single" w:sz="4" w:space="0" w:color="auto"/>
            </w:tcBorders>
            <w:shd w:val="clear" w:color="auto" w:fill="auto"/>
            <w:noWrap/>
            <w:vAlign w:val="center"/>
            <w:hideMark/>
          </w:tcPr>
          <w:p w14:paraId="5F9AA6DE"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Energia</w:t>
            </w:r>
          </w:p>
        </w:tc>
        <w:tc>
          <w:tcPr>
            <w:tcW w:w="1660" w:type="dxa"/>
            <w:tcBorders>
              <w:top w:val="nil"/>
              <w:left w:val="nil"/>
              <w:bottom w:val="single" w:sz="4" w:space="0" w:color="auto"/>
              <w:right w:val="single" w:sz="4" w:space="0" w:color="auto"/>
            </w:tcBorders>
            <w:shd w:val="clear" w:color="auto" w:fill="auto"/>
            <w:noWrap/>
            <w:vAlign w:val="center"/>
            <w:hideMark/>
          </w:tcPr>
          <w:p w14:paraId="4B006A2A"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169,911,156,943</w:t>
            </w:r>
          </w:p>
        </w:tc>
        <w:tc>
          <w:tcPr>
            <w:tcW w:w="1720" w:type="dxa"/>
            <w:tcBorders>
              <w:top w:val="nil"/>
              <w:left w:val="nil"/>
              <w:bottom w:val="single" w:sz="4" w:space="0" w:color="auto"/>
              <w:right w:val="single" w:sz="4" w:space="0" w:color="auto"/>
            </w:tcBorders>
            <w:shd w:val="clear" w:color="auto" w:fill="auto"/>
            <w:noWrap/>
            <w:vAlign w:val="center"/>
            <w:hideMark/>
          </w:tcPr>
          <w:p w14:paraId="69F5AD17"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27,876,309,818</w:t>
            </w:r>
          </w:p>
        </w:tc>
      </w:tr>
      <w:tr w:rsidR="00117702" w:rsidRPr="00117702" w14:paraId="06C2F13A"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02BA4BC3"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218</w:t>
            </w:r>
          </w:p>
        </w:tc>
        <w:tc>
          <w:tcPr>
            <w:tcW w:w="900" w:type="dxa"/>
            <w:tcBorders>
              <w:top w:val="nil"/>
              <w:left w:val="nil"/>
              <w:bottom w:val="single" w:sz="4" w:space="0" w:color="auto"/>
              <w:right w:val="single" w:sz="4" w:space="0" w:color="auto"/>
            </w:tcBorders>
            <w:shd w:val="clear" w:color="auto" w:fill="auto"/>
            <w:noWrap/>
            <w:vAlign w:val="center"/>
            <w:hideMark/>
          </w:tcPr>
          <w:p w14:paraId="3FF9174F"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805010599</w:t>
            </w:r>
          </w:p>
        </w:tc>
        <w:tc>
          <w:tcPr>
            <w:tcW w:w="3660" w:type="dxa"/>
            <w:tcBorders>
              <w:top w:val="nil"/>
              <w:left w:val="nil"/>
              <w:bottom w:val="single" w:sz="4" w:space="0" w:color="auto"/>
              <w:right w:val="single" w:sz="4" w:space="0" w:color="auto"/>
            </w:tcBorders>
            <w:shd w:val="clear" w:color="auto" w:fill="auto"/>
            <w:vAlign w:val="center"/>
            <w:hideMark/>
          </w:tcPr>
          <w:p w14:paraId="520016A1"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TRANSOCCIDENTE S.A . E.S.P.</w:t>
            </w:r>
          </w:p>
        </w:tc>
        <w:tc>
          <w:tcPr>
            <w:tcW w:w="800" w:type="dxa"/>
            <w:tcBorders>
              <w:top w:val="nil"/>
              <w:left w:val="nil"/>
              <w:bottom w:val="single" w:sz="4" w:space="0" w:color="auto"/>
              <w:right w:val="single" w:sz="4" w:space="0" w:color="auto"/>
            </w:tcBorders>
            <w:shd w:val="clear" w:color="auto" w:fill="auto"/>
            <w:noWrap/>
            <w:vAlign w:val="center"/>
            <w:hideMark/>
          </w:tcPr>
          <w:p w14:paraId="687102AA"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GasNatural</w:t>
            </w:r>
          </w:p>
        </w:tc>
        <w:tc>
          <w:tcPr>
            <w:tcW w:w="1660" w:type="dxa"/>
            <w:tcBorders>
              <w:top w:val="nil"/>
              <w:left w:val="nil"/>
              <w:bottom w:val="single" w:sz="4" w:space="0" w:color="auto"/>
              <w:right w:val="single" w:sz="4" w:space="0" w:color="auto"/>
            </w:tcBorders>
            <w:shd w:val="clear" w:color="auto" w:fill="auto"/>
            <w:noWrap/>
            <w:vAlign w:val="center"/>
            <w:hideMark/>
          </w:tcPr>
          <w:p w14:paraId="52802E57"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2,516,329,000</w:t>
            </w:r>
          </w:p>
        </w:tc>
        <w:tc>
          <w:tcPr>
            <w:tcW w:w="1720" w:type="dxa"/>
            <w:tcBorders>
              <w:top w:val="nil"/>
              <w:left w:val="nil"/>
              <w:bottom w:val="single" w:sz="4" w:space="0" w:color="auto"/>
              <w:right w:val="single" w:sz="4" w:space="0" w:color="auto"/>
            </w:tcBorders>
            <w:shd w:val="clear" w:color="auto" w:fill="auto"/>
            <w:noWrap/>
            <w:vAlign w:val="center"/>
            <w:hideMark/>
          </w:tcPr>
          <w:p w14:paraId="1A7E9FBE"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1,294,951,651</w:t>
            </w:r>
          </w:p>
        </w:tc>
      </w:tr>
      <w:tr w:rsidR="00117702" w:rsidRPr="00117702" w14:paraId="6ACBAFEB" w14:textId="77777777" w:rsidTr="00117702">
        <w:trPr>
          <w:trHeight w:val="46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7FACF032"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219</w:t>
            </w:r>
          </w:p>
        </w:tc>
        <w:tc>
          <w:tcPr>
            <w:tcW w:w="900" w:type="dxa"/>
            <w:tcBorders>
              <w:top w:val="nil"/>
              <w:left w:val="nil"/>
              <w:bottom w:val="single" w:sz="4" w:space="0" w:color="auto"/>
              <w:right w:val="single" w:sz="4" w:space="0" w:color="auto"/>
            </w:tcBorders>
            <w:shd w:val="clear" w:color="auto" w:fill="auto"/>
            <w:noWrap/>
            <w:vAlign w:val="center"/>
            <w:hideMark/>
          </w:tcPr>
          <w:p w14:paraId="28879BDC"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900134459</w:t>
            </w:r>
          </w:p>
        </w:tc>
        <w:tc>
          <w:tcPr>
            <w:tcW w:w="3660" w:type="dxa"/>
            <w:tcBorders>
              <w:top w:val="nil"/>
              <w:left w:val="nil"/>
              <w:bottom w:val="single" w:sz="4" w:space="0" w:color="auto"/>
              <w:right w:val="single" w:sz="4" w:space="0" w:color="auto"/>
            </w:tcBorders>
            <w:shd w:val="clear" w:color="auto" w:fill="auto"/>
            <w:vAlign w:val="center"/>
            <w:hideMark/>
          </w:tcPr>
          <w:p w14:paraId="75731DC3"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TRANSPORTADORA DE GAS INTERNACIONAL S.A. E.S.P.</w:t>
            </w:r>
          </w:p>
        </w:tc>
        <w:tc>
          <w:tcPr>
            <w:tcW w:w="800" w:type="dxa"/>
            <w:tcBorders>
              <w:top w:val="nil"/>
              <w:left w:val="nil"/>
              <w:bottom w:val="single" w:sz="4" w:space="0" w:color="auto"/>
              <w:right w:val="single" w:sz="4" w:space="0" w:color="auto"/>
            </w:tcBorders>
            <w:shd w:val="clear" w:color="auto" w:fill="auto"/>
            <w:noWrap/>
            <w:vAlign w:val="center"/>
            <w:hideMark/>
          </w:tcPr>
          <w:p w14:paraId="5C49AFAF"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GasNatural</w:t>
            </w:r>
          </w:p>
        </w:tc>
        <w:tc>
          <w:tcPr>
            <w:tcW w:w="1660" w:type="dxa"/>
            <w:tcBorders>
              <w:top w:val="nil"/>
              <w:left w:val="nil"/>
              <w:bottom w:val="single" w:sz="4" w:space="0" w:color="auto"/>
              <w:right w:val="single" w:sz="4" w:space="0" w:color="auto"/>
            </w:tcBorders>
            <w:shd w:val="clear" w:color="auto" w:fill="auto"/>
            <w:noWrap/>
            <w:vAlign w:val="center"/>
            <w:hideMark/>
          </w:tcPr>
          <w:p w14:paraId="11E5B181"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954,356,165,000</w:t>
            </w:r>
          </w:p>
        </w:tc>
        <w:tc>
          <w:tcPr>
            <w:tcW w:w="1720" w:type="dxa"/>
            <w:tcBorders>
              <w:top w:val="nil"/>
              <w:left w:val="nil"/>
              <w:bottom w:val="single" w:sz="4" w:space="0" w:color="auto"/>
              <w:right w:val="single" w:sz="4" w:space="0" w:color="auto"/>
            </w:tcBorders>
            <w:shd w:val="clear" w:color="auto" w:fill="auto"/>
            <w:noWrap/>
            <w:vAlign w:val="center"/>
            <w:hideMark/>
          </w:tcPr>
          <w:p w14:paraId="33D76F0A"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84,116,954,087</w:t>
            </w:r>
          </w:p>
        </w:tc>
      </w:tr>
      <w:tr w:rsidR="00117702" w:rsidRPr="00117702" w14:paraId="7F7626AE"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2328A9AF"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220</w:t>
            </w:r>
          </w:p>
        </w:tc>
        <w:tc>
          <w:tcPr>
            <w:tcW w:w="900" w:type="dxa"/>
            <w:tcBorders>
              <w:top w:val="nil"/>
              <w:left w:val="nil"/>
              <w:bottom w:val="single" w:sz="4" w:space="0" w:color="auto"/>
              <w:right w:val="single" w:sz="4" w:space="0" w:color="auto"/>
            </w:tcBorders>
            <w:shd w:val="clear" w:color="auto" w:fill="auto"/>
            <w:noWrap/>
            <w:vAlign w:val="center"/>
            <w:hideMark/>
          </w:tcPr>
          <w:p w14:paraId="6A0253D9"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800215347</w:t>
            </w:r>
          </w:p>
        </w:tc>
        <w:tc>
          <w:tcPr>
            <w:tcW w:w="3660" w:type="dxa"/>
            <w:tcBorders>
              <w:top w:val="nil"/>
              <w:left w:val="nil"/>
              <w:bottom w:val="single" w:sz="4" w:space="0" w:color="auto"/>
              <w:right w:val="single" w:sz="4" w:space="0" w:color="auto"/>
            </w:tcBorders>
            <w:shd w:val="clear" w:color="auto" w:fill="auto"/>
            <w:vAlign w:val="center"/>
            <w:hideMark/>
          </w:tcPr>
          <w:p w14:paraId="76578B4A"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TRANSPORTADORA DE METANO E.S.P. S.A.</w:t>
            </w:r>
          </w:p>
        </w:tc>
        <w:tc>
          <w:tcPr>
            <w:tcW w:w="800" w:type="dxa"/>
            <w:tcBorders>
              <w:top w:val="nil"/>
              <w:left w:val="nil"/>
              <w:bottom w:val="single" w:sz="4" w:space="0" w:color="auto"/>
              <w:right w:val="single" w:sz="4" w:space="0" w:color="auto"/>
            </w:tcBorders>
            <w:shd w:val="clear" w:color="auto" w:fill="auto"/>
            <w:noWrap/>
            <w:vAlign w:val="center"/>
            <w:hideMark/>
          </w:tcPr>
          <w:p w14:paraId="17877F76"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GasNatural</w:t>
            </w:r>
          </w:p>
        </w:tc>
        <w:tc>
          <w:tcPr>
            <w:tcW w:w="1660" w:type="dxa"/>
            <w:tcBorders>
              <w:top w:val="nil"/>
              <w:left w:val="nil"/>
              <w:bottom w:val="single" w:sz="4" w:space="0" w:color="auto"/>
              <w:right w:val="single" w:sz="4" w:space="0" w:color="auto"/>
            </w:tcBorders>
            <w:shd w:val="clear" w:color="auto" w:fill="auto"/>
            <w:noWrap/>
            <w:vAlign w:val="center"/>
            <w:hideMark/>
          </w:tcPr>
          <w:p w14:paraId="443182CC"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29,972,325,000</w:t>
            </w:r>
          </w:p>
        </w:tc>
        <w:tc>
          <w:tcPr>
            <w:tcW w:w="1720" w:type="dxa"/>
            <w:tcBorders>
              <w:top w:val="nil"/>
              <w:left w:val="nil"/>
              <w:bottom w:val="single" w:sz="4" w:space="0" w:color="auto"/>
              <w:right w:val="single" w:sz="4" w:space="0" w:color="auto"/>
            </w:tcBorders>
            <w:shd w:val="clear" w:color="auto" w:fill="auto"/>
            <w:noWrap/>
            <w:vAlign w:val="center"/>
            <w:hideMark/>
          </w:tcPr>
          <w:p w14:paraId="3A73970A"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5,823,414,617</w:t>
            </w:r>
          </w:p>
        </w:tc>
      </w:tr>
      <w:tr w:rsidR="00117702" w:rsidRPr="00117702" w14:paraId="0DCEF5AF"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72B6EF6C"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221</w:t>
            </w:r>
          </w:p>
        </w:tc>
        <w:tc>
          <w:tcPr>
            <w:tcW w:w="900" w:type="dxa"/>
            <w:tcBorders>
              <w:top w:val="nil"/>
              <w:left w:val="nil"/>
              <w:bottom w:val="single" w:sz="4" w:space="0" w:color="auto"/>
              <w:right w:val="single" w:sz="4" w:space="0" w:color="auto"/>
            </w:tcBorders>
            <w:shd w:val="clear" w:color="auto" w:fill="auto"/>
            <w:noWrap/>
            <w:vAlign w:val="center"/>
            <w:hideMark/>
          </w:tcPr>
          <w:p w14:paraId="6F0BF925"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900028111</w:t>
            </w:r>
          </w:p>
        </w:tc>
        <w:tc>
          <w:tcPr>
            <w:tcW w:w="3660" w:type="dxa"/>
            <w:tcBorders>
              <w:top w:val="nil"/>
              <w:left w:val="nil"/>
              <w:bottom w:val="single" w:sz="4" w:space="0" w:color="auto"/>
              <w:right w:val="single" w:sz="4" w:space="0" w:color="auto"/>
            </w:tcBorders>
            <w:shd w:val="clear" w:color="auto" w:fill="auto"/>
            <w:vAlign w:val="center"/>
            <w:hideMark/>
          </w:tcPr>
          <w:p w14:paraId="3961E479"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TURGAS S.A. E.S.P.</w:t>
            </w:r>
          </w:p>
        </w:tc>
        <w:tc>
          <w:tcPr>
            <w:tcW w:w="800" w:type="dxa"/>
            <w:tcBorders>
              <w:top w:val="nil"/>
              <w:left w:val="nil"/>
              <w:bottom w:val="single" w:sz="4" w:space="0" w:color="auto"/>
              <w:right w:val="single" w:sz="4" w:space="0" w:color="auto"/>
            </w:tcBorders>
            <w:shd w:val="clear" w:color="auto" w:fill="auto"/>
            <w:noWrap/>
            <w:vAlign w:val="center"/>
            <w:hideMark/>
          </w:tcPr>
          <w:p w14:paraId="7B86BC50"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GasNatural</w:t>
            </w:r>
          </w:p>
        </w:tc>
        <w:tc>
          <w:tcPr>
            <w:tcW w:w="1660" w:type="dxa"/>
            <w:tcBorders>
              <w:top w:val="nil"/>
              <w:left w:val="nil"/>
              <w:bottom w:val="single" w:sz="4" w:space="0" w:color="auto"/>
              <w:right w:val="single" w:sz="4" w:space="0" w:color="auto"/>
            </w:tcBorders>
            <w:shd w:val="clear" w:color="auto" w:fill="auto"/>
            <w:noWrap/>
            <w:vAlign w:val="center"/>
            <w:hideMark/>
          </w:tcPr>
          <w:p w14:paraId="7AF33867"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37,405,907,964</w:t>
            </w:r>
          </w:p>
        </w:tc>
        <w:tc>
          <w:tcPr>
            <w:tcW w:w="1720" w:type="dxa"/>
            <w:tcBorders>
              <w:top w:val="nil"/>
              <w:left w:val="nil"/>
              <w:bottom w:val="single" w:sz="4" w:space="0" w:color="auto"/>
              <w:right w:val="single" w:sz="4" w:space="0" w:color="auto"/>
            </w:tcBorders>
            <w:shd w:val="clear" w:color="auto" w:fill="auto"/>
            <w:noWrap/>
            <w:vAlign w:val="center"/>
            <w:hideMark/>
          </w:tcPr>
          <w:p w14:paraId="5FC7C49F"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2,008,792,271</w:t>
            </w:r>
          </w:p>
        </w:tc>
      </w:tr>
      <w:tr w:rsidR="00117702" w:rsidRPr="00117702" w14:paraId="5EF03C6E"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57B3FFF5"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222</w:t>
            </w:r>
          </w:p>
        </w:tc>
        <w:tc>
          <w:tcPr>
            <w:tcW w:w="900" w:type="dxa"/>
            <w:tcBorders>
              <w:top w:val="nil"/>
              <w:left w:val="nil"/>
              <w:bottom w:val="single" w:sz="4" w:space="0" w:color="auto"/>
              <w:right w:val="single" w:sz="4" w:space="0" w:color="auto"/>
            </w:tcBorders>
            <w:shd w:val="clear" w:color="auto" w:fill="auto"/>
            <w:noWrap/>
            <w:vAlign w:val="center"/>
            <w:hideMark/>
          </w:tcPr>
          <w:p w14:paraId="2F6F3B7D"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830058558</w:t>
            </w:r>
          </w:p>
        </w:tc>
        <w:tc>
          <w:tcPr>
            <w:tcW w:w="3660" w:type="dxa"/>
            <w:tcBorders>
              <w:top w:val="nil"/>
              <w:left w:val="nil"/>
              <w:bottom w:val="single" w:sz="4" w:space="0" w:color="auto"/>
              <w:right w:val="single" w:sz="4" w:space="0" w:color="auto"/>
            </w:tcBorders>
            <w:shd w:val="clear" w:color="auto" w:fill="auto"/>
            <w:vAlign w:val="center"/>
            <w:hideMark/>
          </w:tcPr>
          <w:p w14:paraId="5949E9F3"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TY GAS S.A. E.S.P.</w:t>
            </w:r>
          </w:p>
        </w:tc>
        <w:tc>
          <w:tcPr>
            <w:tcW w:w="800" w:type="dxa"/>
            <w:tcBorders>
              <w:top w:val="nil"/>
              <w:left w:val="nil"/>
              <w:bottom w:val="single" w:sz="4" w:space="0" w:color="auto"/>
              <w:right w:val="single" w:sz="4" w:space="0" w:color="auto"/>
            </w:tcBorders>
            <w:shd w:val="clear" w:color="auto" w:fill="auto"/>
            <w:noWrap/>
            <w:vAlign w:val="center"/>
            <w:hideMark/>
          </w:tcPr>
          <w:p w14:paraId="03A0EA52"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GLP</w:t>
            </w:r>
          </w:p>
        </w:tc>
        <w:tc>
          <w:tcPr>
            <w:tcW w:w="1660" w:type="dxa"/>
            <w:tcBorders>
              <w:top w:val="nil"/>
              <w:left w:val="nil"/>
              <w:bottom w:val="single" w:sz="4" w:space="0" w:color="auto"/>
              <w:right w:val="single" w:sz="4" w:space="0" w:color="auto"/>
            </w:tcBorders>
            <w:shd w:val="clear" w:color="auto" w:fill="auto"/>
            <w:noWrap/>
            <w:vAlign w:val="center"/>
            <w:hideMark/>
          </w:tcPr>
          <w:p w14:paraId="4F49F380"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111,437,387,608</w:t>
            </w:r>
          </w:p>
        </w:tc>
        <w:tc>
          <w:tcPr>
            <w:tcW w:w="1720" w:type="dxa"/>
            <w:tcBorders>
              <w:top w:val="nil"/>
              <w:left w:val="nil"/>
              <w:bottom w:val="single" w:sz="4" w:space="0" w:color="auto"/>
              <w:right w:val="single" w:sz="4" w:space="0" w:color="auto"/>
            </w:tcBorders>
            <w:shd w:val="clear" w:color="auto" w:fill="auto"/>
            <w:noWrap/>
            <w:vAlign w:val="center"/>
            <w:hideMark/>
          </w:tcPr>
          <w:p w14:paraId="630F59AD"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407,164,629</w:t>
            </w:r>
          </w:p>
        </w:tc>
      </w:tr>
      <w:tr w:rsidR="00117702" w:rsidRPr="00117702" w14:paraId="5782AC55" w14:textId="77777777" w:rsidTr="00117702">
        <w:trPr>
          <w:trHeight w:val="46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414B2818"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223</w:t>
            </w:r>
          </w:p>
        </w:tc>
        <w:tc>
          <w:tcPr>
            <w:tcW w:w="900" w:type="dxa"/>
            <w:tcBorders>
              <w:top w:val="nil"/>
              <w:left w:val="nil"/>
              <w:bottom w:val="single" w:sz="4" w:space="0" w:color="auto"/>
              <w:right w:val="single" w:sz="4" w:space="0" w:color="auto"/>
            </w:tcBorders>
            <w:shd w:val="clear" w:color="auto" w:fill="auto"/>
            <w:noWrap/>
            <w:vAlign w:val="center"/>
            <w:hideMark/>
          </w:tcPr>
          <w:p w14:paraId="7B4DFC47"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900635947</w:t>
            </w:r>
          </w:p>
        </w:tc>
        <w:tc>
          <w:tcPr>
            <w:tcW w:w="3660" w:type="dxa"/>
            <w:tcBorders>
              <w:top w:val="nil"/>
              <w:left w:val="nil"/>
              <w:bottom w:val="single" w:sz="4" w:space="0" w:color="auto"/>
              <w:right w:val="single" w:sz="4" w:space="0" w:color="auto"/>
            </w:tcBorders>
            <w:shd w:val="clear" w:color="auto" w:fill="auto"/>
            <w:vAlign w:val="center"/>
            <w:hideMark/>
          </w:tcPr>
          <w:p w14:paraId="79D42EA5"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UNIFUND SAS EMPRESA DE SERVICIOS PUBLICOS</w:t>
            </w:r>
          </w:p>
        </w:tc>
        <w:tc>
          <w:tcPr>
            <w:tcW w:w="800" w:type="dxa"/>
            <w:tcBorders>
              <w:top w:val="nil"/>
              <w:left w:val="nil"/>
              <w:bottom w:val="single" w:sz="4" w:space="0" w:color="auto"/>
              <w:right w:val="single" w:sz="4" w:space="0" w:color="auto"/>
            </w:tcBorders>
            <w:shd w:val="clear" w:color="auto" w:fill="auto"/>
            <w:noWrap/>
            <w:vAlign w:val="center"/>
            <w:hideMark/>
          </w:tcPr>
          <w:p w14:paraId="5C0E5DB6"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GasNatural</w:t>
            </w:r>
          </w:p>
        </w:tc>
        <w:tc>
          <w:tcPr>
            <w:tcW w:w="1660" w:type="dxa"/>
            <w:tcBorders>
              <w:top w:val="nil"/>
              <w:left w:val="nil"/>
              <w:bottom w:val="single" w:sz="4" w:space="0" w:color="auto"/>
              <w:right w:val="single" w:sz="4" w:space="0" w:color="auto"/>
            </w:tcBorders>
            <w:shd w:val="clear" w:color="auto" w:fill="auto"/>
            <w:noWrap/>
            <w:vAlign w:val="center"/>
            <w:hideMark/>
          </w:tcPr>
          <w:p w14:paraId="2E2DED01"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95,558,795,549</w:t>
            </w:r>
          </w:p>
        </w:tc>
        <w:tc>
          <w:tcPr>
            <w:tcW w:w="1720" w:type="dxa"/>
            <w:tcBorders>
              <w:top w:val="nil"/>
              <w:left w:val="nil"/>
              <w:bottom w:val="single" w:sz="4" w:space="0" w:color="auto"/>
              <w:right w:val="single" w:sz="4" w:space="0" w:color="auto"/>
            </w:tcBorders>
            <w:shd w:val="clear" w:color="auto" w:fill="auto"/>
            <w:noWrap/>
            <w:vAlign w:val="center"/>
            <w:hideMark/>
          </w:tcPr>
          <w:p w14:paraId="32EA09B1"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6,607,226,000</w:t>
            </w:r>
          </w:p>
        </w:tc>
      </w:tr>
      <w:tr w:rsidR="00117702" w:rsidRPr="00117702" w14:paraId="547EADFA"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4B1A1B56"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224</w:t>
            </w:r>
          </w:p>
        </w:tc>
        <w:tc>
          <w:tcPr>
            <w:tcW w:w="900" w:type="dxa"/>
            <w:tcBorders>
              <w:top w:val="nil"/>
              <w:left w:val="nil"/>
              <w:bottom w:val="single" w:sz="4" w:space="0" w:color="auto"/>
              <w:right w:val="single" w:sz="4" w:space="0" w:color="auto"/>
            </w:tcBorders>
            <w:shd w:val="clear" w:color="auto" w:fill="auto"/>
            <w:noWrap/>
            <w:vAlign w:val="center"/>
            <w:hideMark/>
          </w:tcPr>
          <w:p w14:paraId="43977FA5"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817001892</w:t>
            </w:r>
          </w:p>
        </w:tc>
        <w:tc>
          <w:tcPr>
            <w:tcW w:w="3660" w:type="dxa"/>
            <w:tcBorders>
              <w:top w:val="nil"/>
              <w:left w:val="nil"/>
              <w:bottom w:val="single" w:sz="4" w:space="0" w:color="auto"/>
              <w:right w:val="single" w:sz="4" w:space="0" w:color="auto"/>
            </w:tcBorders>
            <w:shd w:val="clear" w:color="auto" w:fill="auto"/>
            <w:vAlign w:val="center"/>
            <w:hideMark/>
          </w:tcPr>
          <w:p w14:paraId="2608A8C5"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VATIA S.A. E.S.P.</w:t>
            </w:r>
          </w:p>
        </w:tc>
        <w:tc>
          <w:tcPr>
            <w:tcW w:w="800" w:type="dxa"/>
            <w:tcBorders>
              <w:top w:val="nil"/>
              <w:left w:val="nil"/>
              <w:bottom w:val="single" w:sz="4" w:space="0" w:color="auto"/>
              <w:right w:val="single" w:sz="4" w:space="0" w:color="auto"/>
            </w:tcBorders>
            <w:shd w:val="clear" w:color="auto" w:fill="auto"/>
            <w:noWrap/>
            <w:vAlign w:val="center"/>
            <w:hideMark/>
          </w:tcPr>
          <w:p w14:paraId="353F6083"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Energia</w:t>
            </w:r>
          </w:p>
        </w:tc>
        <w:tc>
          <w:tcPr>
            <w:tcW w:w="1660" w:type="dxa"/>
            <w:tcBorders>
              <w:top w:val="nil"/>
              <w:left w:val="nil"/>
              <w:bottom w:val="single" w:sz="4" w:space="0" w:color="auto"/>
              <w:right w:val="single" w:sz="4" w:space="0" w:color="auto"/>
            </w:tcBorders>
            <w:shd w:val="clear" w:color="auto" w:fill="auto"/>
            <w:noWrap/>
            <w:vAlign w:val="center"/>
            <w:hideMark/>
          </w:tcPr>
          <w:p w14:paraId="5B665E5A"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217,285,686,802</w:t>
            </w:r>
          </w:p>
        </w:tc>
        <w:tc>
          <w:tcPr>
            <w:tcW w:w="1720" w:type="dxa"/>
            <w:tcBorders>
              <w:top w:val="nil"/>
              <w:left w:val="nil"/>
              <w:bottom w:val="single" w:sz="4" w:space="0" w:color="auto"/>
              <w:right w:val="single" w:sz="4" w:space="0" w:color="auto"/>
            </w:tcBorders>
            <w:shd w:val="clear" w:color="auto" w:fill="auto"/>
            <w:noWrap/>
            <w:vAlign w:val="center"/>
            <w:hideMark/>
          </w:tcPr>
          <w:p w14:paraId="013E7798"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16,149,351,176</w:t>
            </w:r>
          </w:p>
        </w:tc>
      </w:tr>
      <w:tr w:rsidR="00117702" w:rsidRPr="00117702" w14:paraId="4F366C9D"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1AE52CA9"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225</w:t>
            </w:r>
          </w:p>
        </w:tc>
        <w:tc>
          <w:tcPr>
            <w:tcW w:w="900" w:type="dxa"/>
            <w:tcBorders>
              <w:top w:val="nil"/>
              <w:left w:val="nil"/>
              <w:bottom w:val="single" w:sz="4" w:space="0" w:color="auto"/>
              <w:right w:val="single" w:sz="4" w:space="0" w:color="auto"/>
            </w:tcBorders>
            <w:shd w:val="clear" w:color="auto" w:fill="auto"/>
            <w:noWrap/>
            <w:vAlign w:val="center"/>
            <w:hideMark/>
          </w:tcPr>
          <w:p w14:paraId="64EF105B"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805003583</w:t>
            </w:r>
          </w:p>
        </w:tc>
        <w:tc>
          <w:tcPr>
            <w:tcW w:w="3660" w:type="dxa"/>
            <w:tcBorders>
              <w:top w:val="nil"/>
              <w:left w:val="nil"/>
              <w:bottom w:val="single" w:sz="4" w:space="0" w:color="auto"/>
              <w:right w:val="single" w:sz="4" w:space="0" w:color="auto"/>
            </w:tcBorders>
            <w:shd w:val="clear" w:color="auto" w:fill="auto"/>
            <w:vAlign w:val="center"/>
            <w:hideMark/>
          </w:tcPr>
          <w:p w14:paraId="42535F68"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VELOGAS DE OCCIDENTE S.A. E.S.P.</w:t>
            </w:r>
          </w:p>
        </w:tc>
        <w:tc>
          <w:tcPr>
            <w:tcW w:w="800" w:type="dxa"/>
            <w:tcBorders>
              <w:top w:val="nil"/>
              <w:left w:val="nil"/>
              <w:bottom w:val="single" w:sz="4" w:space="0" w:color="auto"/>
              <w:right w:val="single" w:sz="4" w:space="0" w:color="auto"/>
            </w:tcBorders>
            <w:shd w:val="clear" w:color="auto" w:fill="auto"/>
            <w:noWrap/>
            <w:vAlign w:val="center"/>
            <w:hideMark/>
          </w:tcPr>
          <w:p w14:paraId="137FE549"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GLP</w:t>
            </w:r>
          </w:p>
        </w:tc>
        <w:tc>
          <w:tcPr>
            <w:tcW w:w="1660" w:type="dxa"/>
            <w:tcBorders>
              <w:top w:val="nil"/>
              <w:left w:val="nil"/>
              <w:bottom w:val="single" w:sz="4" w:space="0" w:color="auto"/>
              <w:right w:val="single" w:sz="4" w:space="0" w:color="auto"/>
            </w:tcBorders>
            <w:shd w:val="clear" w:color="auto" w:fill="auto"/>
            <w:noWrap/>
            <w:vAlign w:val="center"/>
            <w:hideMark/>
          </w:tcPr>
          <w:p w14:paraId="2C8BE674"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8,519,048,000</w:t>
            </w:r>
          </w:p>
        </w:tc>
        <w:tc>
          <w:tcPr>
            <w:tcW w:w="1720" w:type="dxa"/>
            <w:tcBorders>
              <w:top w:val="nil"/>
              <w:left w:val="nil"/>
              <w:bottom w:val="single" w:sz="4" w:space="0" w:color="auto"/>
              <w:right w:val="single" w:sz="4" w:space="0" w:color="auto"/>
            </w:tcBorders>
            <w:shd w:val="clear" w:color="auto" w:fill="auto"/>
            <w:noWrap/>
            <w:vAlign w:val="center"/>
            <w:hideMark/>
          </w:tcPr>
          <w:p w14:paraId="0E14CE2E"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310,208,785</w:t>
            </w:r>
          </w:p>
        </w:tc>
      </w:tr>
      <w:tr w:rsidR="00117702" w:rsidRPr="00117702" w14:paraId="451ED7F5"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75F19BD2"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226</w:t>
            </w:r>
          </w:p>
        </w:tc>
        <w:tc>
          <w:tcPr>
            <w:tcW w:w="900" w:type="dxa"/>
            <w:tcBorders>
              <w:top w:val="nil"/>
              <w:left w:val="nil"/>
              <w:bottom w:val="single" w:sz="4" w:space="0" w:color="auto"/>
              <w:right w:val="single" w:sz="4" w:space="0" w:color="auto"/>
            </w:tcBorders>
            <w:shd w:val="clear" w:color="auto" w:fill="auto"/>
            <w:noWrap/>
            <w:vAlign w:val="center"/>
            <w:hideMark/>
          </w:tcPr>
          <w:p w14:paraId="50F3D0DB"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800166132</w:t>
            </w:r>
          </w:p>
        </w:tc>
        <w:tc>
          <w:tcPr>
            <w:tcW w:w="3660" w:type="dxa"/>
            <w:tcBorders>
              <w:top w:val="nil"/>
              <w:left w:val="nil"/>
              <w:bottom w:val="single" w:sz="4" w:space="0" w:color="auto"/>
              <w:right w:val="single" w:sz="4" w:space="0" w:color="auto"/>
            </w:tcBorders>
            <w:shd w:val="clear" w:color="auto" w:fill="auto"/>
            <w:vAlign w:val="center"/>
            <w:hideMark/>
          </w:tcPr>
          <w:p w14:paraId="34A04E48"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VELOGAS S.A.  E.S.P.</w:t>
            </w:r>
          </w:p>
        </w:tc>
        <w:tc>
          <w:tcPr>
            <w:tcW w:w="800" w:type="dxa"/>
            <w:tcBorders>
              <w:top w:val="nil"/>
              <w:left w:val="nil"/>
              <w:bottom w:val="single" w:sz="4" w:space="0" w:color="auto"/>
              <w:right w:val="single" w:sz="4" w:space="0" w:color="auto"/>
            </w:tcBorders>
            <w:shd w:val="clear" w:color="auto" w:fill="auto"/>
            <w:noWrap/>
            <w:vAlign w:val="center"/>
            <w:hideMark/>
          </w:tcPr>
          <w:p w14:paraId="04E7E924"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GLP</w:t>
            </w:r>
          </w:p>
        </w:tc>
        <w:tc>
          <w:tcPr>
            <w:tcW w:w="1660" w:type="dxa"/>
            <w:tcBorders>
              <w:top w:val="nil"/>
              <w:left w:val="nil"/>
              <w:bottom w:val="single" w:sz="4" w:space="0" w:color="auto"/>
              <w:right w:val="single" w:sz="4" w:space="0" w:color="auto"/>
            </w:tcBorders>
            <w:shd w:val="clear" w:color="auto" w:fill="auto"/>
            <w:noWrap/>
            <w:vAlign w:val="center"/>
            <w:hideMark/>
          </w:tcPr>
          <w:p w14:paraId="4FE7BA68"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2,098,335,996</w:t>
            </w:r>
          </w:p>
        </w:tc>
        <w:tc>
          <w:tcPr>
            <w:tcW w:w="1720" w:type="dxa"/>
            <w:tcBorders>
              <w:top w:val="nil"/>
              <w:left w:val="nil"/>
              <w:bottom w:val="single" w:sz="4" w:space="0" w:color="auto"/>
              <w:right w:val="single" w:sz="4" w:space="0" w:color="auto"/>
            </w:tcBorders>
            <w:shd w:val="clear" w:color="auto" w:fill="auto"/>
            <w:noWrap/>
            <w:vAlign w:val="center"/>
            <w:hideMark/>
          </w:tcPr>
          <w:p w14:paraId="07E707B1"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334,966,348</w:t>
            </w:r>
          </w:p>
        </w:tc>
      </w:tr>
      <w:tr w:rsidR="00117702" w:rsidRPr="00117702" w14:paraId="565CA70B"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4B4FB6DB"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227</w:t>
            </w:r>
          </w:p>
        </w:tc>
        <w:tc>
          <w:tcPr>
            <w:tcW w:w="900" w:type="dxa"/>
            <w:tcBorders>
              <w:top w:val="nil"/>
              <w:left w:val="nil"/>
              <w:bottom w:val="single" w:sz="4" w:space="0" w:color="auto"/>
              <w:right w:val="single" w:sz="4" w:space="0" w:color="auto"/>
            </w:tcBorders>
            <w:shd w:val="clear" w:color="auto" w:fill="auto"/>
            <w:noWrap/>
            <w:vAlign w:val="center"/>
            <w:hideMark/>
          </w:tcPr>
          <w:p w14:paraId="4C26DC21"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900666756</w:t>
            </w:r>
          </w:p>
        </w:tc>
        <w:tc>
          <w:tcPr>
            <w:tcW w:w="3660" w:type="dxa"/>
            <w:tcBorders>
              <w:top w:val="nil"/>
              <w:left w:val="nil"/>
              <w:bottom w:val="single" w:sz="4" w:space="0" w:color="auto"/>
              <w:right w:val="single" w:sz="4" w:space="0" w:color="auto"/>
            </w:tcBorders>
            <w:shd w:val="clear" w:color="auto" w:fill="auto"/>
            <w:vAlign w:val="center"/>
            <w:hideMark/>
          </w:tcPr>
          <w:p w14:paraId="09D7BF66"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VIDA GAS POR NATURALEZA S.A. E.S.P.</w:t>
            </w:r>
          </w:p>
        </w:tc>
        <w:tc>
          <w:tcPr>
            <w:tcW w:w="800" w:type="dxa"/>
            <w:tcBorders>
              <w:top w:val="nil"/>
              <w:left w:val="nil"/>
              <w:bottom w:val="single" w:sz="4" w:space="0" w:color="auto"/>
              <w:right w:val="single" w:sz="4" w:space="0" w:color="auto"/>
            </w:tcBorders>
            <w:shd w:val="clear" w:color="auto" w:fill="auto"/>
            <w:noWrap/>
            <w:vAlign w:val="center"/>
            <w:hideMark/>
          </w:tcPr>
          <w:p w14:paraId="34D664A0"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GasNatural</w:t>
            </w:r>
          </w:p>
        </w:tc>
        <w:tc>
          <w:tcPr>
            <w:tcW w:w="1660" w:type="dxa"/>
            <w:tcBorders>
              <w:top w:val="nil"/>
              <w:left w:val="nil"/>
              <w:bottom w:val="single" w:sz="4" w:space="0" w:color="auto"/>
              <w:right w:val="single" w:sz="4" w:space="0" w:color="auto"/>
            </w:tcBorders>
            <w:shd w:val="clear" w:color="auto" w:fill="auto"/>
            <w:noWrap/>
            <w:vAlign w:val="center"/>
            <w:hideMark/>
          </w:tcPr>
          <w:p w14:paraId="1FDF2D49"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768,271,777</w:t>
            </w:r>
          </w:p>
        </w:tc>
        <w:tc>
          <w:tcPr>
            <w:tcW w:w="1720" w:type="dxa"/>
            <w:tcBorders>
              <w:top w:val="nil"/>
              <w:left w:val="nil"/>
              <w:bottom w:val="single" w:sz="4" w:space="0" w:color="auto"/>
              <w:right w:val="single" w:sz="4" w:space="0" w:color="auto"/>
            </w:tcBorders>
            <w:shd w:val="clear" w:color="auto" w:fill="auto"/>
            <w:noWrap/>
            <w:vAlign w:val="center"/>
            <w:hideMark/>
          </w:tcPr>
          <w:p w14:paraId="4FD91738"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133,360,642</w:t>
            </w:r>
          </w:p>
        </w:tc>
      </w:tr>
      <w:tr w:rsidR="00117702" w:rsidRPr="00117702" w14:paraId="5FA23609"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3B8139D2"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lastRenderedPageBreak/>
              <w:t>228</w:t>
            </w:r>
          </w:p>
        </w:tc>
        <w:tc>
          <w:tcPr>
            <w:tcW w:w="900" w:type="dxa"/>
            <w:tcBorders>
              <w:top w:val="nil"/>
              <w:left w:val="nil"/>
              <w:bottom w:val="single" w:sz="4" w:space="0" w:color="auto"/>
              <w:right w:val="single" w:sz="4" w:space="0" w:color="auto"/>
            </w:tcBorders>
            <w:shd w:val="clear" w:color="auto" w:fill="auto"/>
            <w:noWrap/>
            <w:vAlign w:val="center"/>
            <w:hideMark/>
          </w:tcPr>
          <w:p w14:paraId="67940B8C"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860025611</w:t>
            </w:r>
          </w:p>
        </w:tc>
        <w:tc>
          <w:tcPr>
            <w:tcW w:w="3660" w:type="dxa"/>
            <w:tcBorders>
              <w:top w:val="nil"/>
              <w:left w:val="nil"/>
              <w:bottom w:val="single" w:sz="4" w:space="0" w:color="auto"/>
              <w:right w:val="single" w:sz="4" w:space="0" w:color="auto"/>
            </w:tcBorders>
            <w:shd w:val="clear" w:color="auto" w:fill="auto"/>
            <w:vAlign w:val="center"/>
            <w:hideMark/>
          </w:tcPr>
          <w:p w14:paraId="358BE708"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VILLA GAS S.A. E.S.P.</w:t>
            </w:r>
          </w:p>
        </w:tc>
        <w:tc>
          <w:tcPr>
            <w:tcW w:w="800" w:type="dxa"/>
            <w:tcBorders>
              <w:top w:val="nil"/>
              <w:left w:val="nil"/>
              <w:bottom w:val="single" w:sz="4" w:space="0" w:color="auto"/>
              <w:right w:val="single" w:sz="4" w:space="0" w:color="auto"/>
            </w:tcBorders>
            <w:shd w:val="clear" w:color="auto" w:fill="auto"/>
            <w:noWrap/>
            <w:vAlign w:val="center"/>
            <w:hideMark/>
          </w:tcPr>
          <w:p w14:paraId="532AEA55"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GLP</w:t>
            </w:r>
          </w:p>
        </w:tc>
        <w:tc>
          <w:tcPr>
            <w:tcW w:w="1660" w:type="dxa"/>
            <w:tcBorders>
              <w:top w:val="nil"/>
              <w:left w:val="nil"/>
              <w:bottom w:val="single" w:sz="4" w:space="0" w:color="auto"/>
              <w:right w:val="single" w:sz="4" w:space="0" w:color="auto"/>
            </w:tcBorders>
            <w:shd w:val="clear" w:color="auto" w:fill="auto"/>
            <w:noWrap/>
            <w:vAlign w:val="center"/>
            <w:hideMark/>
          </w:tcPr>
          <w:p w14:paraId="306CA336"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4,075,097,000</w:t>
            </w:r>
          </w:p>
        </w:tc>
        <w:tc>
          <w:tcPr>
            <w:tcW w:w="1720" w:type="dxa"/>
            <w:tcBorders>
              <w:top w:val="nil"/>
              <w:left w:val="nil"/>
              <w:bottom w:val="single" w:sz="4" w:space="0" w:color="auto"/>
              <w:right w:val="single" w:sz="4" w:space="0" w:color="auto"/>
            </w:tcBorders>
            <w:shd w:val="clear" w:color="auto" w:fill="auto"/>
            <w:noWrap/>
            <w:vAlign w:val="center"/>
            <w:hideMark/>
          </w:tcPr>
          <w:p w14:paraId="52BE0A69"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489,149,644</w:t>
            </w:r>
          </w:p>
        </w:tc>
      </w:tr>
      <w:tr w:rsidR="00117702" w:rsidRPr="00117702" w14:paraId="028ED073"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6CFFD394"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229</w:t>
            </w:r>
          </w:p>
        </w:tc>
        <w:tc>
          <w:tcPr>
            <w:tcW w:w="900" w:type="dxa"/>
            <w:tcBorders>
              <w:top w:val="nil"/>
              <w:left w:val="nil"/>
              <w:bottom w:val="single" w:sz="4" w:space="0" w:color="auto"/>
              <w:right w:val="single" w:sz="4" w:space="0" w:color="auto"/>
            </w:tcBorders>
            <w:shd w:val="clear" w:color="auto" w:fill="auto"/>
            <w:noWrap/>
            <w:vAlign w:val="center"/>
            <w:hideMark/>
          </w:tcPr>
          <w:p w14:paraId="2D64CC94"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900305404</w:t>
            </w:r>
          </w:p>
        </w:tc>
        <w:tc>
          <w:tcPr>
            <w:tcW w:w="3660" w:type="dxa"/>
            <w:tcBorders>
              <w:top w:val="nil"/>
              <w:left w:val="nil"/>
              <w:bottom w:val="single" w:sz="4" w:space="0" w:color="auto"/>
              <w:right w:val="single" w:sz="4" w:space="0" w:color="auto"/>
            </w:tcBorders>
            <w:shd w:val="clear" w:color="auto" w:fill="auto"/>
            <w:vAlign w:val="center"/>
            <w:hideMark/>
          </w:tcPr>
          <w:p w14:paraId="0F090E54"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VP INGENERGIA S.A. E.S.P.</w:t>
            </w:r>
          </w:p>
        </w:tc>
        <w:tc>
          <w:tcPr>
            <w:tcW w:w="800" w:type="dxa"/>
            <w:tcBorders>
              <w:top w:val="nil"/>
              <w:left w:val="nil"/>
              <w:bottom w:val="single" w:sz="4" w:space="0" w:color="auto"/>
              <w:right w:val="single" w:sz="4" w:space="0" w:color="auto"/>
            </w:tcBorders>
            <w:shd w:val="clear" w:color="auto" w:fill="auto"/>
            <w:noWrap/>
            <w:vAlign w:val="center"/>
            <w:hideMark/>
          </w:tcPr>
          <w:p w14:paraId="697767B5"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GasNatural</w:t>
            </w:r>
          </w:p>
        </w:tc>
        <w:tc>
          <w:tcPr>
            <w:tcW w:w="1660" w:type="dxa"/>
            <w:tcBorders>
              <w:top w:val="nil"/>
              <w:left w:val="nil"/>
              <w:bottom w:val="single" w:sz="4" w:space="0" w:color="auto"/>
              <w:right w:val="single" w:sz="4" w:space="0" w:color="auto"/>
            </w:tcBorders>
            <w:shd w:val="clear" w:color="auto" w:fill="auto"/>
            <w:noWrap/>
            <w:vAlign w:val="center"/>
            <w:hideMark/>
          </w:tcPr>
          <w:p w14:paraId="24D277A0"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309,233,627,000</w:t>
            </w:r>
          </w:p>
        </w:tc>
        <w:tc>
          <w:tcPr>
            <w:tcW w:w="1720" w:type="dxa"/>
            <w:tcBorders>
              <w:top w:val="nil"/>
              <w:left w:val="nil"/>
              <w:bottom w:val="single" w:sz="4" w:space="0" w:color="auto"/>
              <w:right w:val="single" w:sz="4" w:space="0" w:color="auto"/>
            </w:tcBorders>
            <w:shd w:val="clear" w:color="auto" w:fill="auto"/>
            <w:noWrap/>
            <w:vAlign w:val="center"/>
            <w:hideMark/>
          </w:tcPr>
          <w:p w14:paraId="39440C0B"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1,470,135,000</w:t>
            </w:r>
          </w:p>
        </w:tc>
      </w:tr>
      <w:tr w:rsidR="00117702" w:rsidRPr="00117702" w14:paraId="3812D9EE"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3BDF8612"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230</w:t>
            </w:r>
          </w:p>
        </w:tc>
        <w:tc>
          <w:tcPr>
            <w:tcW w:w="900" w:type="dxa"/>
            <w:tcBorders>
              <w:top w:val="nil"/>
              <w:left w:val="nil"/>
              <w:bottom w:val="single" w:sz="4" w:space="0" w:color="auto"/>
              <w:right w:val="single" w:sz="4" w:space="0" w:color="auto"/>
            </w:tcBorders>
            <w:shd w:val="clear" w:color="auto" w:fill="auto"/>
            <w:noWrap/>
            <w:vAlign w:val="center"/>
            <w:hideMark/>
          </w:tcPr>
          <w:p w14:paraId="09274686"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830013746</w:t>
            </w:r>
          </w:p>
        </w:tc>
        <w:tc>
          <w:tcPr>
            <w:tcW w:w="3660" w:type="dxa"/>
            <w:tcBorders>
              <w:top w:val="nil"/>
              <w:left w:val="nil"/>
              <w:bottom w:val="single" w:sz="4" w:space="0" w:color="auto"/>
              <w:right w:val="single" w:sz="4" w:space="0" w:color="auto"/>
            </w:tcBorders>
            <w:shd w:val="clear" w:color="auto" w:fill="auto"/>
            <w:vAlign w:val="center"/>
            <w:hideMark/>
          </w:tcPr>
          <w:p w14:paraId="42C92EF6" w14:textId="77777777" w:rsidR="00117702" w:rsidRPr="00D26825" w:rsidRDefault="00117702" w:rsidP="00117702">
            <w:pPr>
              <w:jc w:val="left"/>
              <w:rPr>
                <w:rFonts w:ascii="Arial Narrow" w:hAnsi="Arial Narrow" w:cs="Arial"/>
                <w:color w:val="000000"/>
                <w:spacing w:val="0"/>
                <w:sz w:val="18"/>
                <w:szCs w:val="18"/>
                <w:lang w:val="en-US" w:eastAsia="es-CO"/>
              </w:rPr>
            </w:pPr>
            <w:r w:rsidRPr="00D26825">
              <w:rPr>
                <w:rFonts w:ascii="Arial Narrow" w:hAnsi="Arial Narrow" w:cs="Arial"/>
                <w:color w:val="000000"/>
                <w:spacing w:val="0"/>
                <w:sz w:val="18"/>
                <w:szCs w:val="18"/>
                <w:lang w:val="en-US" w:eastAsia="es-CO"/>
              </w:rPr>
              <w:t>WATTLE PETROLEUM COMPANY S.A.S.</w:t>
            </w:r>
          </w:p>
        </w:tc>
        <w:tc>
          <w:tcPr>
            <w:tcW w:w="800" w:type="dxa"/>
            <w:tcBorders>
              <w:top w:val="nil"/>
              <w:left w:val="nil"/>
              <w:bottom w:val="single" w:sz="4" w:space="0" w:color="auto"/>
              <w:right w:val="single" w:sz="4" w:space="0" w:color="auto"/>
            </w:tcBorders>
            <w:shd w:val="clear" w:color="auto" w:fill="auto"/>
            <w:noWrap/>
            <w:vAlign w:val="center"/>
            <w:hideMark/>
          </w:tcPr>
          <w:p w14:paraId="3B1B7A9E"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GasNatural</w:t>
            </w:r>
          </w:p>
        </w:tc>
        <w:tc>
          <w:tcPr>
            <w:tcW w:w="1660" w:type="dxa"/>
            <w:tcBorders>
              <w:top w:val="nil"/>
              <w:left w:val="nil"/>
              <w:bottom w:val="single" w:sz="4" w:space="0" w:color="auto"/>
              <w:right w:val="single" w:sz="4" w:space="0" w:color="auto"/>
            </w:tcBorders>
            <w:shd w:val="clear" w:color="auto" w:fill="auto"/>
            <w:noWrap/>
            <w:vAlign w:val="center"/>
            <w:hideMark/>
          </w:tcPr>
          <w:p w14:paraId="283BE4C7"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3,752,203,000</w:t>
            </w:r>
          </w:p>
        </w:tc>
        <w:tc>
          <w:tcPr>
            <w:tcW w:w="1720" w:type="dxa"/>
            <w:tcBorders>
              <w:top w:val="nil"/>
              <w:left w:val="nil"/>
              <w:bottom w:val="single" w:sz="4" w:space="0" w:color="auto"/>
              <w:right w:val="single" w:sz="4" w:space="0" w:color="auto"/>
            </w:tcBorders>
            <w:shd w:val="clear" w:color="auto" w:fill="auto"/>
            <w:noWrap/>
            <w:vAlign w:val="center"/>
            <w:hideMark/>
          </w:tcPr>
          <w:p w14:paraId="1CC476EB"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1,972,424,489</w:t>
            </w:r>
          </w:p>
        </w:tc>
      </w:tr>
      <w:tr w:rsidR="00117702" w:rsidRPr="00117702" w14:paraId="46EBA0AD"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463F6104"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231</w:t>
            </w:r>
          </w:p>
        </w:tc>
        <w:tc>
          <w:tcPr>
            <w:tcW w:w="900" w:type="dxa"/>
            <w:tcBorders>
              <w:top w:val="nil"/>
              <w:left w:val="nil"/>
              <w:bottom w:val="single" w:sz="4" w:space="0" w:color="auto"/>
              <w:right w:val="single" w:sz="4" w:space="0" w:color="auto"/>
            </w:tcBorders>
            <w:shd w:val="clear" w:color="auto" w:fill="auto"/>
            <w:noWrap/>
            <w:vAlign w:val="center"/>
            <w:hideMark/>
          </w:tcPr>
          <w:p w14:paraId="0879C354"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900522263</w:t>
            </w:r>
          </w:p>
        </w:tc>
        <w:tc>
          <w:tcPr>
            <w:tcW w:w="3660" w:type="dxa"/>
            <w:tcBorders>
              <w:top w:val="nil"/>
              <w:left w:val="nil"/>
              <w:bottom w:val="single" w:sz="4" w:space="0" w:color="auto"/>
              <w:right w:val="single" w:sz="4" w:space="0" w:color="auto"/>
            </w:tcBorders>
            <w:shd w:val="clear" w:color="auto" w:fill="auto"/>
            <w:vAlign w:val="center"/>
            <w:hideMark/>
          </w:tcPr>
          <w:p w14:paraId="42471E12"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YAVEGAS S.A. E.S.P.</w:t>
            </w:r>
          </w:p>
        </w:tc>
        <w:tc>
          <w:tcPr>
            <w:tcW w:w="800" w:type="dxa"/>
            <w:tcBorders>
              <w:top w:val="nil"/>
              <w:left w:val="nil"/>
              <w:bottom w:val="single" w:sz="4" w:space="0" w:color="auto"/>
              <w:right w:val="single" w:sz="4" w:space="0" w:color="auto"/>
            </w:tcBorders>
            <w:shd w:val="clear" w:color="auto" w:fill="auto"/>
            <w:noWrap/>
            <w:vAlign w:val="center"/>
            <w:hideMark/>
          </w:tcPr>
          <w:p w14:paraId="3D5966FD"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GasNatural</w:t>
            </w:r>
          </w:p>
        </w:tc>
        <w:tc>
          <w:tcPr>
            <w:tcW w:w="1660" w:type="dxa"/>
            <w:tcBorders>
              <w:top w:val="nil"/>
              <w:left w:val="nil"/>
              <w:bottom w:val="single" w:sz="4" w:space="0" w:color="auto"/>
              <w:right w:val="single" w:sz="4" w:space="0" w:color="auto"/>
            </w:tcBorders>
            <w:shd w:val="clear" w:color="auto" w:fill="auto"/>
            <w:noWrap/>
            <w:vAlign w:val="center"/>
            <w:hideMark/>
          </w:tcPr>
          <w:p w14:paraId="29D0D892"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6,753,197,725</w:t>
            </w:r>
          </w:p>
        </w:tc>
        <w:tc>
          <w:tcPr>
            <w:tcW w:w="1720" w:type="dxa"/>
            <w:tcBorders>
              <w:top w:val="nil"/>
              <w:left w:val="nil"/>
              <w:bottom w:val="single" w:sz="4" w:space="0" w:color="auto"/>
              <w:right w:val="single" w:sz="4" w:space="0" w:color="auto"/>
            </w:tcBorders>
            <w:shd w:val="clear" w:color="auto" w:fill="auto"/>
            <w:noWrap/>
            <w:vAlign w:val="center"/>
            <w:hideMark/>
          </w:tcPr>
          <w:p w14:paraId="4C1118A7"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539,583,104</w:t>
            </w:r>
          </w:p>
        </w:tc>
      </w:tr>
      <w:tr w:rsidR="00117702" w:rsidRPr="00117702" w14:paraId="68006EB0" w14:textId="77777777" w:rsidTr="00117702">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587FD6CD"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232</w:t>
            </w:r>
          </w:p>
        </w:tc>
        <w:tc>
          <w:tcPr>
            <w:tcW w:w="900" w:type="dxa"/>
            <w:tcBorders>
              <w:top w:val="nil"/>
              <w:left w:val="nil"/>
              <w:bottom w:val="single" w:sz="4" w:space="0" w:color="auto"/>
              <w:right w:val="single" w:sz="4" w:space="0" w:color="auto"/>
            </w:tcBorders>
            <w:shd w:val="clear" w:color="auto" w:fill="auto"/>
            <w:noWrap/>
            <w:vAlign w:val="center"/>
            <w:hideMark/>
          </w:tcPr>
          <w:p w14:paraId="3B605B07"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830113630</w:t>
            </w:r>
          </w:p>
        </w:tc>
        <w:tc>
          <w:tcPr>
            <w:tcW w:w="3660" w:type="dxa"/>
            <w:tcBorders>
              <w:top w:val="nil"/>
              <w:left w:val="nil"/>
              <w:bottom w:val="single" w:sz="4" w:space="0" w:color="auto"/>
              <w:right w:val="single" w:sz="4" w:space="0" w:color="auto"/>
            </w:tcBorders>
            <w:shd w:val="clear" w:color="auto" w:fill="auto"/>
            <w:vAlign w:val="center"/>
            <w:hideMark/>
          </w:tcPr>
          <w:p w14:paraId="7A90EC3D" w14:textId="77777777" w:rsidR="00117702" w:rsidRPr="00117702" w:rsidRDefault="00117702" w:rsidP="00117702">
            <w:pPr>
              <w:jc w:val="lef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ZONA FRANCA CELSIA S.A. E.S.P.</w:t>
            </w:r>
          </w:p>
        </w:tc>
        <w:tc>
          <w:tcPr>
            <w:tcW w:w="800" w:type="dxa"/>
            <w:tcBorders>
              <w:top w:val="nil"/>
              <w:left w:val="nil"/>
              <w:bottom w:val="single" w:sz="4" w:space="0" w:color="auto"/>
              <w:right w:val="single" w:sz="4" w:space="0" w:color="auto"/>
            </w:tcBorders>
            <w:shd w:val="clear" w:color="auto" w:fill="auto"/>
            <w:noWrap/>
            <w:vAlign w:val="center"/>
            <w:hideMark/>
          </w:tcPr>
          <w:p w14:paraId="24C3D20E" w14:textId="77777777" w:rsidR="00117702" w:rsidRPr="00117702" w:rsidRDefault="00117702" w:rsidP="00117702">
            <w:pPr>
              <w:jc w:val="center"/>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Energia</w:t>
            </w:r>
          </w:p>
        </w:tc>
        <w:tc>
          <w:tcPr>
            <w:tcW w:w="1660" w:type="dxa"/>
            <w:tcBorders>
              <w:top w:val="nil"/>
              <w:left w:val="nil"/>
              <w:bottom w:val="single" w:sz="4" w:space="0" w:color="auto"/>
              <w:right w:val="single" w:sz="4" w:space="0" w:color="auto"/>
            </w:tcBorders>
            <w:shd w:val="clear" w:color="auto" w:fill="auto"/>
            <w:noWrap/>
            <w:vAlign w:val="center"/>
            <w:hideMark/>
          </w:tcPr>
          <w:p w14:paraId="075E1A29"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801,471,112,000</w:t>
            </w:r>
          </w:p>
        </w:tc>
        <w:tc>
          <w:tcPr>
            <w:tcW w:w="1720" w:type="dxa"/>
            <w:tcBorders>
              <w:top w:val="nil"/>
              <w:left w:val="nil"/>
              <w:bottom w:val="single" w:sz="4" w:space="0" w:color="auto"/>
              <w:right w:val="single" w:sz="4" w:space="0" w:color="auto"/>
            </w:tcBorders>
            <w:shd w:val="clear" w:color="auto" w:fill="auto"/>
            <w:noWrap/>
            <w:vAlign w:val="center"/>
            <w:hideMark/>
          </w:tcPr>
          <w:p w14:paraId="401E5DC7" w14:textId="77777777" w:rsidR="00117702" w:rsidRPr="00117702" w:rsidRDefault="00117702" w:rsidP="00117702">
            <w:pPr>
              <w:jc w:val="right"/>
              <w:rPr>
                <w:rFonts w:ascii="Arial Narrow" w:hAnsi="Arial Narrow" w:cs="Arial"/>
                <w:color w:val="000000"/>
                <w:spacing w:val="0"/>
                <w:sz w:val="18"/>
                <w:szCs w:val="18"/>
                <w:lang w:eastAsia="es-CO"/>
              </w:rPr>
            </w:pPr>
            <w:r w:rsidRPr="00117702">
              <w:rPr>
                <w:rFonts w:ascii="Arial Narrow" w:hAnsi="Arial Narrow" w:cs="Arial"/>
                <w:color w:val="000000"/>
                <w:spacing w:val="0"/>
                <w:sz w:val="18"/>
                <w:szCs w:val="18"/>
                <w:lang w:eastAsia="es-CO"/>
              </w:rPr>
              <w:t>119,866,000,000</w:t>
            </w:r>
          </w:p>
        </w:tc>
      </w:tr>
    </w:tbl>
    <w:p w14:paraId="04F3BFEF" w14:textId="77777777" w:rsidR="00117702" w:rsidRDefault="00117702" w:rsidP="008D2091">
      <w:pPr>
        <w:pStyle w:val="Textoindependiente"/>
        <w:spacing w:after="0" w:line="240" w:lineRule="auto"/>
        <w:rPr>
          <w:color w:val="FF0000"/>
        </w:rPr>
      </w:pPr>
    </w:p>
    <w:p w14:paraId="0430FDDE" w14:textId="77777777" w:rsidR="001E6A7C" w:rsidRPr="0085721C" w:rsidRDefault="001E6A7C" w:rsidP="008D2091">
      <w:pPr>
        <w:pStyle w:val="Textoindependiente"/>
        <w:spacing w:after="0" w:line="240" w:lineRule="auto"/>
        <w:rPr>
          <w:color w:val="FF0000"/>
        </w:rPr>
      </w:pPr>
    </w:p>
    <w:p w14:paraId="17BA50D8" w14:textId="26BD2F27" w:rsidR="00FF07E7" w:rsidRPr="0085721C" w:rsidRDefault="006B0990" w:rsidP="0085721C">
      <w:pPr>
        <w:pStyle w:val="Subttulo"/>
        <w:numPr>
          <w:ilvl w:val="1"/>
          <w:numId w:val="37"/>
        </w:numPr>
        <w:spacing w:after="0"/>
        <w:ind w:left="357" w:hanging="357"/>
        <w:jc w:val="left"/>
        <w:rPr>
          <w:b/>
          <w:bCs/>
          <w:sz w:val="22"/>
          <w:szCs w:val="22"/>
        </w:rPr>
      </w:pPr>
      <w:bookmarkStart w:id="47" w:name="_Toc88126851"/>
      <w:r w:rsidRPr="0085721C">
        <w:rPr>
          <w:b/>
          <w:bCs/>
          <w:sz w:val="22"/>
          <w:szCs w:val="22"/>
        </w:rPr>
        <w:t>EMPRESAS QUE REPORTARON EN EL SISTEMA SUI INFORMACIÓN AL CIERRE DE DICIEMBRE 31 DE 201</w:t>
      </w:r>
      <w:r w:rsidR="0085721C">
        <w:rPr>
          <w:b/>
          <w:bCs/>
          <w:sz w:val="22"/>
          <w:szCs w:val="22"/>
        </w:rPr>
        <w:t>9</w:t>
      </w:r>
      <w:r w:rsidRPr="0085721C">
        <w:rPr>
          <w:b/>
          <w:bCs/>
          <w:sz w:val="22"/>
          <w:szCs w:val="22"/>
        </w:rPr>
        <w:t xml:space="preserve"> Y NO REPORTARON </w:t>
      </w:r>
      <w:r w:rsidR="00BA3CA4" w:rsidRPr="0085721C">
        <w:rPr>
          <w:b/>
          <w:bCs/>
          <w:sz w:val="22"/>
          <w:szCs w:val="22"/>
        </w:rPr>
        <w:t xml:space="preserve">CON CORTE AL </w:t>
      </w:r>
      <w:r w:rsidR="0085721C">
        <w:rPr>
          <w:b/>
          <w:bCs/>
          <w:sz w:val="22"/>
          <w:szCs w:val="22"/>
        </w:rPr>
        <w:t>21</w:t>
      </w:r>
      <w:r w:rsidR="00BA3CA4" w:rsidRPr="0085721C">
        <w:rPr>
          <w:b/>
          <w:bCs/>
          <w:sz w:val="22"/>
          <w:szCs w:val="22"/>
        </w:rPr>
        <w:t xml:space="preserve"> DE </w:t>
      </w:r>
      <w:r w:rsidR="0085721C">
        <w:rPr>
          <w:b/>
          <w:bCs/>
          <w:sz w:val="22"/>
          <w:szCs w:val="22"/>
        </w:rPr>
        <w:t>SEPTIEMBRE</w:t>
      </w:r>
      <w:r w:rsidR="00BA3CA4" w:rsidRPr="0085721C">
        <w:rPr>
          <w:b/>
          <w:bCs/>
          <w:sz w:val="22"/>
          <w:szCs w:val="22"/>
        </w:rPr>
        <w:t xml:space="preserve"> DE 20</w:t>
      </w:r>
      <w:r w:rsidR="0085721C">
        <w:rPr>
          <w:b/>
          <w:bCs/>
          <w:sz w:val="22"/>
          <w:szCs w:val="22"/>
        </w:rPr>
        <w:t>21</w:t>
      </w:r>
      <w:r w:rsidR="00BA3CA4" w:rsidRPr="0085721C">
        <w:rPr>
          <w:b/>
          <w:bCs/>
          <w:sz w:val="22"/>
          <w:szCs w:val="22"/>
        </w:rPr>
        <w:t xml:space="preserve">, EL CIERRE </w:t>
      </w:r>
      <w:r w:rsidR="000B0FD7">
        <w:rPr>
          <w:b/>
          <w:bCs/>
          <w:sz w:val="22"/>
          <w:szCs w:val="22"/>
        </w:rPr>
        <w:t>A</w:t>
      </w:r>
      <w:r w:rsidR="000B0FD7" w:rsidRPr="0085721C">
        <w:rPr>
          <w:b/>
          <w:bCs/>
          <w:sz w:val="22"/>
          <w:szCs w:val="22"/>
        </w:rPr>
        <w:t xml:space="preserve"> </w:t>
      </w:r>
      <w:r w:rsidR="00BA3CA4" w:rsidRPr="0085721C">
        <w:rPr>
          <w:b/>
          <w:bCs/>
          <w:sz w:val="22"/>
          <w:szCs w:val="22"/>
        </w:rPr>
        <w:t>DICIEMBRE 31 DE 20</w:t>
      </w:r>
      <w:r w:rsidR="0085721C">
        <w:rPr>
          <w:b/>
          <w:bCs/>
          <w:sz w:val="22"/>
          <w:szCs w:val="22"/>
        </w:rPr>
        <w:t>20</w:t>
      </w:r>
      <w:r w:rsidR="00BA3CA4" w:rsidRPr="0085721C">
        <w:rPr>
          <w:b/>
          <w:bCs/>
          <w:sz w:val="22"/>
          <w:szCs w:val="22"/>
        </w:rPr>
        <w:t>:</w:t>
      </w:r>
      <w:bookmarkEnd w:id="47"/>
    </w:p>
    <w:p w14:paraId="61BC3D97" w14:textId="77777777" w:rsidR="00C00BAD" w:rsidRPr="00FA4A1E" w:rsidRDefault="00C00BAD" w:rsidP="00AF1AA7">
      <w:pPr>
        <w:pStyle w:val="Textoindependiente"/>
        <w:spacing w:after="0" w:line="240" w:lineRule="auto"/>
        <w:rPr>
          <w:rFonts w:cs="Arial"/>
          <w:b/>
          <w:sz w:val="16"/>
          <w:szCs w:val="16"/>
          <w:lang w:val="es-MX"/>
        </w:rPr>
      </w:pPr>
    </w:p>
    <w:p w14:paraId="0D93C2DE" w14:textId="59CBBC00" w:rsidR="00920402" w:rsidRDefault="00EE089F" w:rsidP="00E05DD4">
      <w:pPr>
        <w:rPr>
          <w:rFonts w:cs="Arial"/>
          <w:sz w:val="22"/>
          <w:szCs w:val="22"/>
        </w:rPr>
      </w:pPr>
      <w:r>
        <w:rPr>
          <w:rFonts w:cs="Arial"/>
          <w:sz w:val="22"/>
          <w:szCs w:val="22"/>
          <w:lang w:val="es-MX"/>
        </w:rPr>
        <w:t xml:space="preserve">Son </w:t>
      </w:r>
      <w:r w:rsidR="00D93DFB">
        <w:rPr>
          <w:rFonts w:cs="Arial"/>
          <w:sz w:val="22"/>
          <w:szCs w:val="22"/>
          <w:lang w:val="es-MX"/>
        </w:rPr>
        <w:t>42</w:t>
      </w:r>
      <w:r w:rsidR="0020577E">
        <w:rPr>
          <w:rFonts w:cs="Arial"/>
          <w:sz w:val="22"/>
          <w:szCs w:val="22"/>
          <w:lang w:val="es-MX"/>
        </w:rPr>
        <w:t xml:space="preserve"> empresas reguladas </w:t>
      </w:r>
      <w:r w:rsidR="00FA4A1E">
        <w:rPr>
          <w:rFonts w:cs="Arial"/>
          <w:sz w:val="22"/>
          <w:szCs w:val="22"/>
          <w:lang w:val="es-MX"/>
        </w:rPr>
        <w:t>que,</w:t>
      </w:r>
      <w:r w:rsidR="00B474AF" w:rsidRPr="00B474AF">
        <w:rPr>
          <w:rFonts w:cs="Arial"/>
          <w:sz w:val="22"/>
          <w:szCs w:val="22"/>
        </w:rPr>
        <w:t xml:space="preserve"> </w:t>
      </w:r>
      <w:r w:rsidR="00FA4A1E">
        <w:rPr>
          <w:rFonts w:cs="Arial"/>
          <w:sz w:val="22"/>
          <w:szCs w:val="22"/>
        </w:rPr>
        <w:t>con</w:t>
      </w:r>
      <w:r w:rsidR="00193FC1">
        <w:rPr>
          <w:rFonts w:cs="Arial"/>
          <w:sz w:val="22"/>
          <w:szCs w:val="22"/>
        </w:rPr>
        <w:t xml:space="preserve"> corte </w:t>
      </w:r>
      <w:r w:rsidR="00D93DFB">
        <w:rPr>
          <w:rFonts w:cs="Arial"/>
          <w:sz w:val="22"/>
          <w:szCs w:val="22"/>
        </w:rPr>
        <w:t>al</w:t>
      </w:r>
      <w:r w:rsidR="009030C3">
        <w:rPr>
          <w:rFonts w:cs="Arial"/>
          <w:sz w:val="22"/>
          <w:szCs w:val="22"/>
        </w:rPr>
        <w:t xml:space="preserve"> </w:t>
      </w:r>
      <w:r w:rsidR="00D93DFB">
        <w:rPr>
          <w:rFonts w:cs="Arial"/>
          <w:sz w:val="22"/>
          <w:szCs w:val="22"/>
        </w:rPr>
        <w:t>21</w:t>
      </w:r>
      <w:r w:rsidR="009030C3">
        <w:rPr>
          <w:rFonts w:cs="Arial"/>
          <w:sz w:val="22"/>
          <w:szCs w:val="22"/>
        </w:rPr>
        <w:t xml:space="preserve"> de </w:t>
      </w:r>
      <w:r w:rsidR="00D93DFB">
        <w:rPr>
          <w:rFonts w:cs="Arial"/>
          <w:sz w:val="22"/>
          <w:szCs w:val="22"/>
        </w:rPr>
        <w:t>septiembre</w:t>
      </w:r>
      <w:r w:rsidR="009030C3">
        <w:rPr>
          <w:rFonts w:cs="Arial"/>
          <w:sz w:val="22"/>
          <w:szCs w:val="22"/>
        </w:rPr>
        <w:t xml:space="preserve"> de</w:t>
      </w:r>
      <w:r w:rsidR="00193FC1">
        <w:rPr>
          <w:rFonts w:cs="Arial"/>
          <w:sz w:val="22"/>
          <w:szCs w:val="22"/>
        </w:rPr>
        <w:t xml:space="preserve"> 20</w:t>
      </w:r>
      <w:r w:rsidR="00D93DFB">
        <w:rPr>
          <w:rFonts w:cs="Arial"/>
          <w:sz w:val="22"/>
          <w:szCs w:val="22"/>
        </w:rPr>
        <w:t>21</w:t>
      </w:r>
      <w:r w:rsidR="00193FC1">
        <w:rPr>
          <w:rFonts w:cs="Arial"/>
          <w:sz w:val="22"/>
          <w:szCs w:val="22"/>
        </w:rPr>
        <w:t xml:space="preserve">, </w:t>
      </w:r>
      <w:r w:rsidR="005B4663">
        <w:rPr>
          <w:rFonts w:cs="Arial"/>
          <w:sz w:val="22"/>
          <w:szCs w:val="22"/>
        </w:rPr>
        <w:t xml:space="preserve">no </w:t>
      </w:r>
      <w:r w:rsidR="00FA4A1E">
        <w:rPr>
          <w:rFonts w:cs="Arial"/>
          <w:sz w:val="22"/>
          <w:szCs w:val="22"/>
        </w:rPr>
        <w:t xml:space="preserve">habían </w:t>
      </w:r>
      <w:r w:rsidR="005B4663">
        <w:rPr>
          <w:rFonts w:cs="Arial"/>
          <w:sz w:val="22"/>
          <w:szCs w:val="22"/>
        </w:rPr>
        <w:t>reporta</w:t>
      </w:r>
      <w:r w:rsidR="00FA4A1E">
        <w:rPr>
          <w:rFonts w:cs="Arial"/>
          <w:sz w:val="22"/>
          <w:szCs w:val="22"/>
        </w:rPr>
        <w:t>do</w:t>
      </w:r>
      <w:r w:rsidR="00B474AF" w:rsidRPr="00B474AF">
        <w:rPr>
          <w:rFonts w:cs="Arial"/>
          <w:sz w:val="22"/>
          <w:szCs w:val="22"/>
        </w:rPr>
        <w:t xml:space="preserve"> los estados financieros de la vigencia 20</w:t>
      </w:r>
      <w:r w:rsidR="00D93DFB">
        <w:rPr>
          <w:rFonts w:cs="Arial"/>
          <w:sz w:val="22"/>
          <w:szCs w:val="22"/>
        </w:rPr>
        <w:t>20</w:t>
      </w:r>
      <w:r w:rsidR="00FA4A1E">
        <w:rPr>
          <w:rFonts w:cs="Arial"/>
          <w:sz w:val="22"/>
          <w:szCs w:val="22"/>
        </w:rPr>
        <w:t xml:space="preserve"> al SUI</w:t>
      </w:r>
      <w:r w:rsidR="00D25553">
        <w:rPr>
          <w:rFonts w:cs="Arial"/>
          <w:sz w:val="22"/>
          <w:szCs w:val="22"/>
        </w:rPr>
        <w:t>.</w:t>
      </w:r>
      <w:r w:rsidR="00B474AF" w:rsidRPr="00B474AF">
        <w:rPr>
          <w:rFonts w:cs="Arial"/>
          <w:sz w:val="22"/>
          <w:szCs w:val="22"/>
        </w:rPr>
        <w:t xml:space="preserve"> </w:t>
      </w:r>
      <w:r w:rsidR="00D25553">
        <w:rPr>
          <w:rFonts w:cs="Arial"/>
          <w:sz w:val="22"/>
          <w:szCs w:val="22"/>
        </w:rPr>
        <w:t>P</w:t>
      </w:r>
      <w:r w:rsidR="00ED3AB3">
        <w:rPr>
          <w:rFonts w:cs="Arial"/>
          <w:sz w:val="22"/>
          <w:szCs w:val="22"/>
        </w:rPr>
        <w:t xml:space="preserve">ara </w:t>
      </w:r>
      <w:r w:rsidR="00D25553">
        <w:rPr>
          <w:rFonts w:cs="Arial"/>
          <w:sz w:val="22"/>
          <w:szCs w:val="22"/>
        </w:rPr>
        <w:t xml:space="preserve">tales regulados, </w:t>
      </w:r>
      <w:r w:rsidR="005B4663">
        <w:rPr>
          <w:rFonts w:cs="Arial"/>
          <w:sz w:val="22"/>
          <w:szCs w:val="22"/>
        </w:rPr>
        <w:t xml:space="preserve">la CREG </w:t>
      </w:r>
      <w:r w:rsidR="00B474AF" w:rsidRPr="00B474AF">
        <w:rPr>
          <w:rFonts w:cs="Arial"/>
          <w:sz w:val="22"/>
          <w:szCs w:val="22"/>
        </w:rPr>
        <w:t xml:space="preserve">tomará como base la última información financiera </w:t>
      </w:r>
      <w:r w:rsidR="00FB29E6">
        <w:rPr>
          <w:rFonts w:cs="Arial"/>
          <w:sz w:val="22"/>
          <w:szCs w:val="22"/>
        </w:rPr>
        <w:t>reportada y certificada al SUI</w:t>
      </w:r>
      <w:r w:rsidR="0018631B">
        <w:rPr>
          <w:rFonts w:cs="Arial"/>
          <w:sz w:val="22"/>
          <w:szCs w:val="22"/>
        </w:rPr>
        <w:t xml:space="preserve"> (2019)</w:t>
      </w:r>
      <w:r w:rsidR="00ED3AB3">
        <w:rPr>
          <w:rFonts w:cs="Arial"/>
          <w:sz w:val="22"/>
          <w:szCs w:val="22"/>
        </w:rPr>
        <w:t xml:space="preserve">, la cual </w:t>
      </w:r>
      <w:r w:rsidR="00FB29E6">
        <w:rPr>
          <w:rFonts w:cs="Arial"/>
          <w:sz w:val="22"/>
          <w:szCs w:val="22"/>
        </w:rPr>
        <w:t>será indexada</w:t>
      </w:r>
      <w:r w:rsidR="00B474AF" w:rsidRPr="00B474AF">
        <w:rPr>
          <w:rFonts w:cs="Arial"/>
          <w:sz w:val="22"/>
          <w:szCs w:val="22"/>
        </w:rPr>
        <w:t xml:space="preserve"> aplicando el </w:t>
      </w:r>
      <w:r w:rsidR="00830D9E">
        <w:rPr>
          <w:rFonts w:cs="Arial"/>
          <w:sz w:val="22"/>
          <w:szCs w:val="22"/>
        </w:rPr>
        <w:t xml:space="preserve">porcentaje de </w:t>
      </w:r>
      <w:r w:rsidR="00B474AF" w:rsidRPr="00B474AF">
        <w:rPr>
          <w:rFonts w:cs="Arial"/>
          <w:sz w:val="22"/>
          <w:szCs w:val="22"/>
        </w:rPr>
        <w:t>incremento del I</w:t>
      </w:r>
      <w:r w:rsidR="005B4663">
        <w:rPr>
          <w:rFonts w:cs="Arial"/>
          <w:sz w:val="22"/>
          <w:szCs w:val="22"/>
        </w:rPr>
        <w:t>P</w:t>
      </w:r>
      <w:r w:rsidR="00B474AF" w:rsidRPr="00B474AF">
        <w:rPr>
          <w:rFonts w:cs="Arial"/>
          <w:sz w:val="22"/>
          <w:szCs w:val="22"/>
        </w:rPr>
        <w:t>C, certificado por el Departamento Administr</w:t>
      </w:r>
      <w:r w:rsidR="005B4663">
        <w:rPr>
          <w:rFonts w:cs="Arial"/>
          <w:sz w:val="22"/>
          <w:szCs w:val="22"/>
        </w:rPr>
        <w:t>ativo Nacional de Estadística (</w:t>
      </w:r>
      <w:r w:rsidR="00B474AF" w:rsidRPr="00B474AF">
        <w:rPr>
          <w:rFonts w:cs="Arial"/>
          <w:sz w:val="22"/>
          <w:szCs w:val="22"/>
        </w:rPr>
        <w:t>DANE</w:t>
      </w:r>
      <w:r w:rsidR="005B4663">
        <w:rPr>
          <w:rFonts w:cs="Arial"/>
          <w:sz w:val="22"/>
          <w:szCs w:val="22"/>
        </w:rPr>
        <w:t>)</w:t>
      </w:r>
      <w:r w:rsidR="00CF27B7">
        <w:rPr>
          <w:rFonts w:cs="Arial"/>
          <w:sz w:val="22"/>
          <w:szCs w:val="22"/>
        </w:rPr>
        <w:t>.</w:t>
      </w:r>
    </w:p>
    <w:p w14:paraId="362EB21B" w14:textId="21C6A77D" w:rsidR="0037152F" w:rsidRDefault="0037152F" w:rsidP="008141A0">
      <w:pPr>
        <w:rPr>
          <w:rFonts w:cs="Arial"/>
          <w:color w:val="FF0000"/>
          <w:sz w:val="22"/>
          <w:szCs w:val="22"/>
        </w:rPr>
      </w:pPr>
    </w:p>
    <w:tbl>
      <w:tblPr>
        <w:tblW w:w="9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0"/>
        <w:gridCol w:w="879"/>
        <w:gridCol w:w="4716"/>
        <w:gridCol w:w="805"/>
        <w:gridCol w:w="1180"/>
        <w:gridCol w:w="1180"/>
      </w:tblGrid>
      <w:tr w:rsidR="00731E92" w:rsidRPr="00DA783E" w14:paraId="60002C26" w14:textId="77777777" w:rsidTr="00731E92">
        <w:trPr>
          <w:trHeight w:val="300"/>
          <w:tblHeader/>
        </w:trPr>
        <w:tc>
          <w:tcPr>
            <w:tcW w:w="580" w:type="dxa"/>
            <w:shd w:val="clear" w:color="000000" w:fill="F2F2F2"/>
            <w:noWrap/>
            <w:vAlign w:val="center"/>
            <w:hideMark/>
          </w:tcPr>
          <w:p w14:paraId="3688684E" w14:textId="77777777" w:rsidR="00DA783E" w:rsidRPr="00DA783E" w:rsidRDefault="00DA783E" w:rsidP="0018631B">
            <w:pPr>
              <w:jc w:val="center"/>
              <w:rPr>
                <w:rFonts w:ascii="Arial Narrow" w:hAnsi="Arial Narrow" w:cs="Calibri"/>
                <w:b/>
                <w:bCs/>
                <w:color w:val="000000"/>
                <w:spacing w:val="0"/>
                <w:sz w:val="18"/>
                <w:szCs w:val="18"/>
                <w:lang w:eastAsia="es-CO"/>
              </w:rPr>
            </w:pPr>
            <w:r w:rsidRPr="00DA783E">
              <w:rPr>
                <w:rFonts w:ascii="Arial Narrow" w:hAnsi="Arial Narrow" w:cs="Calibri"/>
                <w:b/>
                <w:bCs/>
                <w:color w:val="000000"/>
                <w:spacing w:val="0"/>
                <w:sz w:val="18"/>
                <w:szCs w:val="18"/>
                <w:lang w:eastAsia="es-CO"/>
              </w:rPr>
              <w:t>N°</w:t>
            </w:r>
          </w:p>
        </w:tc>
        <w:tc>
          <w:tcPr>
            <w:tcW w:w="879" w:type="dxa"/>
            <w:shd w:val="clear" w:color="000000" w:fill="F2F2F2"/>
            <w:noWrap/>
            <w:vAlign w:val="center"/>
            <w:hideMark/>
          </w:tcPr>
          <w:p w14:paraId="2A164C2F" w14:textId="77777777" w:rsidR="00DA783E" w:rsidRPr="00DA783E" w:rsidRDefault="00DA783E" w:rsidP="0018631B">
            <w:pPr>
              <w:jc w:val="center"/>
              <w:rPr>
                <w:rFonts w:ascii="Arial Narrow" w:hAnsi="Arial Narrow" w:cs="Calibri"/>
                <w:b/>
                <w:bCs/>
                <w:color w:val="000000"/>
                <w:spacing w:val="0"/>
                <w:sz w:val="18"/>
                <w:szCs w:val="18"/>
                <w:lang w:eastAsia="es-CO"/>
              </w:rPr>
            </w:pPr>
            <w:r w:rsidRPr="00DA783E">
              <w:rPr>
                <w:rFonts w:ascii="Arial Narrow" w:hAnsi="Arial Narrow" w:cs="Calibri"/>
                <w:b/>
                <w:bCs/>
                <w:color w:val="000000"/>
                <w:spacing w:val="0"/>
                <w:sz w:val="18"/>
                <w:szCs w:val="18"/>
                <w:lang w:eastAsia="es-CO"/>
              </w:rPr>
              <w:t>NIT</w:t>
            </w:r>
          </w:p>
        </w:tc>
        <w:tc>
          <w:tcPr>
            <w:tcW w:w="4716" w:type="dxa"/>
            <w:shd w:val="clear" w:color="000000" w:fill="F2F2F2"/>
            <w:vAlign w:val="center"/>
            <w:hideMark/>
          </w:tcPr>
          <w:p w14:paraId="3475645E" w14:textId="77777777" w:rsidR="00DA783E" w:rsidRPr="00DA783E" w:rsidRDefault="00DA783E" w:rsidP="0018631B">
            <w:pPr>
              <w:jc w:val="center"/>
              <w:rPr>
                <w:rFonts w:ascii="Arial Narrow" w:hAnsi="Arial Narrow" w:cs="Calibri"/>
                <w:b/>
                <w:bCs/>
                <w:color w:val="000000"/>
                <w:spacing w:val="0"/>
                <w:sz w:val="18"/>
                <w:szCs w:val="18"/>
                <w:lang w:eastAsia="es-CO"/>
              </w:rPr>
            </w:pPr>
            <w:r w:rsidRPr="00DA783E">
              <w:rPr>
                <w:rFonts w:ascii="Arial Narrow" w:hAnsi="Arial Narrow" w:cs="Calibri"/>
                <w:b/>
                <w:bCs/>
                <w:color w:val="000000"/>
                <w:spacing w:val="0"/>
                <w:sz w:val="18"/>
                <w:szCs w:val="18"/>
                <w:lang w:eastAsia="es-CO"/>
              </w:rPr>
              <w:t>RAZÓN SOCIAL</w:t>
            </w:r>
          </w:p>
        </w:tc>
        <w:tc>
          <w:tcPr>
            <w:tcW w:w="805" w:type="dxa"/>
            <w:shd w:val="clear" w:color="000000" w:fill="F2F2F2"/>
            <w:noWrap/>
            <w:vAlign w:val="center"/>
            <w:hideMark/>
          </w:tcPr>
          <w:p w14:paraId="169833F5" w14:textId="77777777" w:rsidR="00DA783E" w:rsidRPr="00DA783E" w:rsidRDefault="00DA783E" w:rsidP="0018631B">
            <w:pPr>
              <w:jc w:val="center"/>
              <w:rPr>
                <w:rFonts w:ascii="Arial Narrow" w:hAnsi="Arial Narrow" w:cs="Calibri"/>
                <w:b/>
                <w:bCs/>
                <w:color w:val="000000"/>
                <w:spacing w:val="0"/>
                <w:sz w:val="18"/>
                <w:szCs w:val="18"/>
                <w:lang w:eastAsia="es-CO"/>
              </w:rPr>
            </w:pPr>
            <w:r w:rsidRPr="00DA783E">
              <w:rPr>
                <w:rFonts w:ascii="Arial Narrow" w:hAnsi="Arial Narrow" w:cs="Calibri"/>
                <w:b/>
                <w:bCs/>
                <w:color w:val="000000"/>
                <w:spacing w:val="0"/>
                <w:sz w:val="18"/>
                <w:szCs w:val="18"/>
                <w:lang w:eastAsia="es-CO"/>
              </w:rPr>
              <w:t>Servicio</w:t>
            </w:r>
          </w:p>
        </w:tc>
        <w:tc>
          <w:tcPr>
            <w:tcW w:w="1180" w:type="dxa"/>
            <w:shd w:val="clear" w:color="000000" w:fill="F2F2F2"/>
            <w:noWrap/>
            <w:vAlign w:val="center"/>
            <w:hideMark/>
          </w:tcPr>
          <w:p w14:paraId="680DEE41" w14:textId="26F38DC4" w:rsidR="00DA783E" w:rsidRPr="00DA783E" w:rsidRDefault="00DA783E" w:rsidP="0018631B">
            <w:pPr>
              <w:jc w:val="center"/>
              <w:rPr>
                <w:rFonts w:ascii="Arial Narrow" w:hAnsi="Arial Narrow" w:cs="Calibri"/>
                <w:b/>
                <w:bCs/>
                <w:color w:val="000000"/>
                <w:spacing w:val="0"/>
                <w:sz w:val="18"/>
                <w:szCs w:val="18"/>
                <w:lang w:eastAsia="es-CO"/>
              </w:rPr>
            </w:pPr>
            <w:r w:rsidRPr="00DA783E">
              <w:rPr>
                <w:rFonts w:ascii="Arial Narrow" w:hAnsi="Arial Narrow" w:cs="Calibri"/>
                <w:b/>
                <w:bCs/>
                <w:color w:val="000000"/>
                <w:spacing w:val="0"/>
                <w:sz w:val="18"/>
                <w:szCs w:val="18"/>
                <w:lang w:eastAsia="es-CO"/>
              </w:rPr>
              <w:t>BASE</w:t>
            </w:r>
            <w:r w:rsidR="0018631B">
              <w:rPr>
                <w:rFonts w:ascii="Arial Narrow" w:hAnsi="Arial Narrow" w:cs="Calibri"/>
                <w:b/>
                <w:bCs/>
                <w:color w:val="000000"/>
                <w:spacing w:val="0"/>
                <w:sz w:val="18"/>
                <w:szCs w:val="18"/>
                <w:lang w:eastAsia="es-CO"/>
              </w:rPr>
              <w:t xml:space="preserve"> GRAVABLE</w:t>
            </w:r>
            <w:r w:rsidRPr="00DA783E">
              <w:rPr>
                <w:rFonts w:ascii="Arial Narrow" w:hAnsi="Arial Narrow" w:cs="Calibri"/>
                <w:b/>
                <w:bCs/>
                <w:color w:val="000000"/>
                <w:spacing w:val="0"/>
                <w:sz w:val="18"/>
                <w:szCs w:val="18"/>
                <w:lang w:eastAsia="es-CO"/>
              </w:rPr>
              <w:t xml:space="preserve"> </w:t>
            </w:r>
            <w:r w:rsidR="0018631B">
              <w:rPr>
                <w:rFonts w:ascii="Arial Narrow" w:hAnsi="Arial Narrow" w:cs="Calibri"/>
                <w:b/>
                <w:bCs/>
                <w:color w:val="000000"/>
                <w:spacing w:val="0"/>
                <w:sz w:val="18"/>
                <w:szCs w:val="18"/>
                <w:lang w:eastAsia="es-CO"/>
              </w:rPr>
              <w:t>INDEXADA 2020</w:t>
            </w:r>
          </w:p>
        </w:tc>
        <w:tc>
          <w:tcPr>
            <w:tcW w:w="1180" w:type="dxa"/>
            <w:shd w:val="clear" w:color="000000" w:fill="F2F2F2"/>
            <w:noWrap/>
            <w:vAlign w:val="center"/>
            <w:hideMark/>
          </w:tcPr>
          <w:p w14:paraId="797A32EA" w14:textId="762ADA16" w:rsidR="00DA783E" w:rsidRPr="00DA783E" w:rsidRDefault="00DA783E" w:rsidP="0018631B">
            <w:pPr>
              <w:jc w:val="center"/>
              <w:rPr>
                <w:rFonts w:ascii="Arial Narrow" w:hAnsi="Arial Narrow" w:cs="Calibri"/>
                <w:b/>
                <w:bCs/>
                <w:color w:val="000000"/>
                <w:spacing w:val="0"/>
                <w:sz w:val="18"/>
                <w:szCs w:val="18"/>
                <w:lang w:eastAsia="es-CO"/>
              </w:rPr>
            </w:pPr>
            <w:r w:rsidRPr="00DA783E">
              <w:rPr>
                <w:rFonts w:ascii="Arial Narrow" w:hAnsi="Arial Narrow" w:cs="Calibri"/>
                <w:b/>
                <w:bCs/>
                <w:color w:val="000000"/>
                <w:spacing w:val="0"/>
                <w:sz w:val="18"/>
                <w:szCs w:val="18"/>
                <w:lang w:eastAsia="es-CO"/>
              </w:rPr>
              <w:t xml:space="preserve">BASE </w:t>
            </w:r>
            <w:r w:rsidR="0018631B">
              <w:rPr>
                <w:rFonts w:ascii="Arial Narrow" w:hAnsi="Arial Narrow" w:cs="Calibri"/>
                <w:b/>
                <w:bCs/>
                <w:color w:val="000000"/>
                <w:spacing w:val="0"/>
                <w:sz w:val="18"/>
                <w:szCs w:val="18"/>
                <w:lang w:eastAsia="es-CO"/>
              </w:rPr>
              <w:t xml:space="preserve">GRAVABLE </w:t>
            </w:r>
            <w:r w:rsidRPr="00DA783E">
              <w:rPr>
                <w:rFonts w:ascii="Arial Narrow" w:hAnsi="Arial Narrow" w:cs="Calibri"/>
                <w:b/>
                <w:bCs/>
                <w:color w:val="000000"/>
                <w:spacing w:val="0"/>
                <w:sz w:val="18"/>
                <w:szCs w:val="18"/>
                <w:lang w:eastAsia="es-CO"/>
              </w:rPr>
              <w:t>E</w:t>
            </w:r>
            <w:r w:rsidR="0018631B">
              <w:rPr>
                <w:rFonts w:ascii="Arial Narrow" w:hAnsi="Arial Narrow" w:cs="Calibri"/>
                <w:b/>
                <w:bCs/>
                <w:color w:val="000000"/>
                <w:spacing w:val="0"/>
                <w:sz w:val="18"/>
                <w:szCs w:val="18"/>
                <w:lang w:eastAsia="es-CO"/>
              </w:rPr>
              <w:t>E</w:t>
            </w:r>
            <w:r w:rsidRPr="00DA783E">
              <w:rPr>
                <w:rFonts w:ascii="Arial Narrow" w:hAnsi="Arial Narrow" w:cs="Calibri"/>
                <w:b/>
                <w:bCs/>
                <w:color w:val="000000"/>
                <w:spacing w:val="0"/>
                <w:sz w:val="18"/>
                <w:szCs w:val="18"/>
                <w:lang w:eastAsia="es-CO"/>
              </w:rPr>
              <w:t>F</w:t>
            </w:r>
            <w:r w:rsidR="0018631B">
              <w:rPr>
                <w:rFonts w:ascii="Arial Narrow" w:hAnsi="Arial Narrow" w:cs="Calibri"/>
                <w:b/>
                <w:bCs/>
                <w:color w:val="000000"/>
                <w:spacing w:val="0"/>
                <w:sz w:val="18"/>
                <w:szCs w:val="18"/>
                <w:lang w:eastAsia="es-CO"/>
              </w:rPr>
              <w:t>F</w:t>
            </w:r>
            <w:r w:rsidRPr="00DA783E">
              <w:rPr>
                <w:rFonts w:ascii="Arial Narrow" w:hAnsi="Arial Narrow" w:cs="Calibri"/>
                <w:b/>
                <w:bCs/>
                <w:color w:val="000000"/>
                <w:spacing w:val="0"/>
                <w:sz w:val="18"/>
                <w:szCs w:val="18"/>
                <w:lang w:eastAsia="es-CO"/>
              </w:rPr>
              <w:t xml:space="preserve"> 2019</w:t>
            </w:r>
          </w:p>
        </w:tc>
      </w:tr>
      <w:tr w:rsidR="00DA783E" w:rsidRPr="00DA783E" w14:paraId="7D1EF3E0" w14:textId="77777777" w:rsidTr="00731E92">
        <w:trPr>
          <w:trHeight w:val="300"/>
        </w:trPr>
        <w:tc>
          <w:tcPr>
            <w:tcW w:w="580" w:type="dxa"/>
            <w:shd w:val="clear" w:color="auto" w:fill="auto"/>
            <w:noWrap/>
            <w:vAlign w:val="center"/>
            <w:hideMark/>
          </w:tcPr>
          <w:p w14:paraId="01AA9270" w14:textId="77777777" w:rsidR="00DA783E" w:rsidRPr="00DA783E" w:rsidRDefault="00DA783E" w:rsidP="00DA783E">
            <w:pPr>
              <w:jc w:val="center"/>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1</w:t>
            </w:r>
          </w:p>
        </w:tc>
        <w:tc>
          <w:tcPr>
            <w:tcW w:w="879" w:type="dxa"/>
            <w:shd w:val="clear" w:color="auto" w:fill="auto"/>
            <w:noWrap/>
            <w:vAlign w:val="center"/>
            <w:hideMark/>
          </w:tcPr>
          <w:p w14:paraId="07C083FE" w14:textId="77777777" w:rsidR="00DA783E" w:rsidRPr="00DA783E" w:rsidRDefault="00DA783E" w:rsidP="00DA783E">
            <w:pPr>
              <w:jc w:val="righ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800176319</w:t>
            </w:r>
          </w:p>
        </w:tc>
        <w:tc>
          <w:tcPr>
            <w:tcW w:w="4716" w:type="dxa"/>
            <w:shd w:val="clear" w:color="auto" w:fill="auto"/>
            <w:vAlign w:val="center"/>
            <w:hideMark/>
          </w:tcPr>
          <w:p w14:paraId="7F946EAE" w14:textId="77777777" w:rsidR="00DA783E" w:rsidRPr="00DA783E" w:rsidRDefault="00DA783E" w:rsidP="00DA783E">
            <w:pPr>
              <w:jc w:val="lef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ALMALLANO S.A. ESP</w:t>
            </w:r>
          </w:p>
        </w:tc>
        <w:tc>
          <w:tcPr>
            <w:tcW w:w="805" w:type="dxa"/>
            <w:shd w:val="clear" w:color="auto" w:fill="auto"/>
            <w:noWrap/>
            <w:vAlign w:val="center"/>
            <w:hideMark/>
          </w:tcPr>
          <w:p w14:paraId="7C66FE03" w14:textId="77777777" w:rsidR="00DA783E" w:rsidRPr="00DA783E" w:rsidRDefault="00DA783E" w:rsidP="00DA783E">
            <w:pPr>
              <w:jc w:val="lef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GLP</w:t>
            </w:r>
          </w:p>
        </w:tc>
        <w:tc>
          <w:tcPr>
            <w:tcW w:w="1180" w:type="dxa"/>
            <w:shd w:val="clear" w:color="auto" w:fill="auto"/>
            <w:noWrap/>
            <w:vAlign w:val="bottom"/>
            <w:hideMark/>
          </w:tcPr>
          <w:p w14:paraId="162BB0E7" w14:textId="71552A83" w:rsidR="00DA783E" w:rsidRPr="00DA783E" w:rsidRDefault="00DA783E" w:rsidP="00DA783E">
            <w:pPr>
              <w:jc w:val="righ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 xml:space="preserve">    3</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566</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149</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 xml:space="preserve">268 </w:t>
            </w:r>
          </w:p>
        </w:tc>
        <w:tc>
          <w:tcPr>
            <w:tcW w:w="1180" w:type="dxa"/>
            <w:shd w:val="clear" w:color="auto" w:fill="auto"/>
            <w:noWrap/>
            <w:vAlign w:val="bottom"/>
            <w:hideMark/>
          </w:tcPr>
          <w:p w14:paraId="252E527B" w14:textId="3FB7A6AD" w:rsidR="00DA783E" w:rsidRPr="00DA783E" w:rsidRDefault="00DA783E" w:rsidP="00DA783E">
            <w:pPr>
              <w:jc w:val="righ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 xml:space="preserve">    3</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509</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644</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 xml:space="preserve">000 </w:t>
            </w:r>
          </w:p>
        </w:tc>
      </w:tr>
      <w:tr w:rsidR="00DA783E" w:rsidRPr="00DA783E" w14:paraId="498F09D4" w14:textId="77777777" w:rsidTr="00731E92">
        <w:trPr>
          <w:trHeight w:val="300"/>
        </w:trPr>
        <w:tc>
          <w:tcPr>
            <w:tcW w:w="580" w:type="dxa"/>
            <w:shd w:val="clear" w:color="auto" w:fill="auto"/>
            <w:noWrap/>
            <w:vAlign w:val="center"/>
            <w:hideMark/>
          </w:tcPr>
          <w:p w14:paraId="277EC53F" w14:textId="77777777" w:rsidR="00DA783E" w:rsidRPr="00DA783E" w:rsidRDefault="00DA783E" w:rsidP="00DA783E">
            <w:pPr>
              <w:jc w:val="center"/>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2</w:t>
            </w:r>
          </w:p>
        </w:tc>
        <w:tc>
          <w:tcPr>
            <w:tcW w:w="879" w:type="dxa"/>
            <w:shd w:val="clear" w:color="auto" w:fill="auto"/>
            <w:noWrap/>
            <w:vAlign w:val="center"/>
            <w:hideMark/>
          </w:tcPr>
          <w:p w14:paraId="4561D8E1" w14:textId="77777777" w:rsidR="00DA783E" w:rsidRPr="00DA783E" w:rsidRDefault="00DA783E" w:rsidP="00DA783E">
            <w:pPr>
              <w:jc w:val="righ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860352913</w:t>
            </w:r>
          </w:p>
        </w:tc>
        <w:tc>
          <w:tcPr>
            <w:tcW w:w="4716" w:type="dxa"/>
            <w:shd w:val="clear" w:color="auto" w:fill="auto"/>
            <w:vAlign w:val="center"/>
            <w:hideMark/>
          </w:tcPr>
          <w:p w14:paraId="55CA0528" w14:textId="6B5C0055" w:rsidR="00DA783E" w:rsidRPr="00DA783E" w:rsidRDefault="00DA783E" w:rsidP="00DA783E">
            <w:pPr>
              <w:jc w:val="lef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ALMANSILLA S.A. E.S.P.</w:t>
            </w:r>
          </w:p>
        </w:tc>
        <w:tc>
          <w:tcPr>
            <w:tcW w:w="805" w:type="dxa"/>
            <w:shd w:val="clear" w:color="auto" w:fill="auto"/>
            <w:noWrap/>
            <w:vAlign w:val="center"/>
            <w:hideMark/>
          </w:tcPr>
          <w:p w14:paraId="4234AC11" w14:textId="77777777" w:rsidR="00DA783E" w:rsidRPr="00DA783E" w:rsidRDefault="00DA783E" w:rsidP="00DA783E">
            <w:pPr>
              <w:jc w:val="lef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GLP</w:t>
            </w:r>
          </w:p>
        </w:tc>
        <w:tc>
          <w:tcPr>
            <w:tcW w:w="1180" w:type="dxa"/>
            <w:shd w:val="clear" w:color="auto" w:fill="auto"/>
            <w:noWrap/>
            <w:vAlign w:val="bottom"/>
            <w:hideMark/>
          </w:tcPr>
          <w:p w14:paraId="79B9EE86" w14:textId="1285DFBE" w:rsidR="00DA783E" w:rsidRPr="00DA783E" w:rsidRDefault="00DA783E" w:rsidP="00DA783E">
            <w:pPr>
              <w:jc w:val="righ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 xml:space="preserve">         48</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169</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 xml:space="preserve">722 </w:t>
            </w:r>
          </w:p>
        </w:tc>
        <w:tc>
          <w:tcPr>
            <w:tcW w:w="1180" w:type="dxa"/>
            <w:shd w:val="clear" w:color="auto" w:fill="auto"/>
            <w:noWrap/>
            <w:vAlign w:val="bottom"/>
            <w:hideMark/>
          </w:tcPr>
          <w:p w14:paraId="6D008F86" w14:textId="21804A4D" w:rsidR="00DA783E" w:rsidRPr="00DA783E" w:rsidRDefault="00DA783E" w:rsidP="00DA783E">
            <w:pPr>
              <w:jc w:val="righ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 xml:space="preserve">         47</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406</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 xml:space="preserve">478 </w:t>
            </w:r>
          </w:p>
        </w:tc>
      </w:tr>
      <w:tr w:rsidR="00DA783E" w:rsidRPr="00DA783E" w14:paraId="43C6E11A" w14:textId="77777777" w:rsidTr="00731E92">
        <w:trPr>
          <w:trHeight w:val="470"/>
        </w:trPr>
        <w:tc>
          <w:tcPr>
            <w:tcW w:w="580" w:type="dxa"/>
            <w:shd w:val="clear" w:color="auto" w:fill="auto"/>
            <w:noWrap/>
            <w:vAlign w:val="center"/>
            <w:hideMark/>
          </w:tcPr>
          <w:p w14:paraId="0F78F77D" w14:textId="77777777" w:rsidR="00DA783E" w:rsidRPr="00DA783E" w:rsidRDefault="00DA783E" w:rsidP="00DA783E">
            <w:pPr>
              <w:jc w:val="center"/>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3</w:t>
            </w:r>
          </w:p>
        </w:tc>
        <w:tc>
          <w:tcPr>
            <w:tcW w:w="879" w:type="dxa"/>
            <w:shd w:val="clear" w:color="auto" w:fill="auto"/>
            <w:noWrap/>
            <w:vAlign w:val="center"/>
            <w:hideMark/>
          </w:tcPr>
          <w:p w14:paraId="2EBB3859" w14:textId="77777777" w:rsidR="00DA783E" w:rsidRPr="00DA783E" w:rsidRDefault="00DA783E" w:rsidP="00DA783E">
            <w:pPr>
              <w:jc w:val="righ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900428270</w:t>
            </w:r>
          </w:p>
        </w:tc>
        <w:tc>
          <w:tcPr>
            <w:tcW w:w="4716" w:type="dxa"/>
            <w:shd w:val="clear" w:color="auto" w:fill="auto"/>
            <w:vAlign w:val="center"/>
            <w:hideMark/>
          </w:tcPr>
          <w:p w14:paraId="5F6D822D" w14:textId="77777777" w:rsidR="00DA783E" w:rsidRPr="00DA783E" w:rsidRDefault="00DA783E" w:rsidP="00DA783E">
            <w:pPr>
              <w:jc w:val="lef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ASOCIACION DE ENERGIA DE LAS ZONAS RURALES DEL MUNICIPIO DE EL CHARCO</w:t>
            </w:r>
          </w:p>
        </w:tc>
        <w:tc>
          <w:tcPr>
            <w:tcW w:w="805" w:type="dxa"/>
            <w:shd w:val="clear" w:color="auto" w:fill="auto"/>
            <w:noWrap/>
            <w:vAlign w:val="center"/>
            <w:hideMark/>
          </w:tcPr>
          <w:p w14:paraId="0727DC02" w14:textId="77777777" w:rsidR="00DA783E" w:rsidRPr="00DA783E" w:rsidRDefault="00DA783E" w:rsidP="00DA783E">
            <w:pPr>
              <w:jc w:val="lef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ENERGIA</w:t>
            </w:r>
          </w:p>
        </w:tc>
        <w:tc>
          <w:tcPr>
            <w:tcW w:w="1180" w:type="dxa"/>
            <w:shd w:val="clear" w:color="auto" w:fill="auto"/>
            <w:noWrap/>
            <w:vAlign w:val="bottom"/>
            <w:hideMark/>
          </w:tcPr>
          <w:p w14:paraId="1F2FDC2C" w14:textId="42ED4385" w:rsidR="00DA783E" w:rsidRPr="00DA783E" w:rsidRDefault="00DA783E" w:rsidP="00DA783E">
            <w:pPr>
              <w:jc w:val="righ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 xml:space="preserve">       465</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404</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 xml:space="preserve">669 </w:t>
            </w:r>
          </w:p>
        </w:tc>
        <w:tc>
          <w:tcPr>
            <w:tcW w:w="1180" w:type="dxa"/>
            <w:shd w:val="clear" w:color="auto" w:fill="auto"/>
            <w:noWrap/>
            <w:vAlign w:val="bottom"/>
            <w:hideMark/>
          </w:tcPr>
          <w:p w14:paraId="0A1E343E" w14:textId="5FFAC0B0" w:rsidR="00DA783E" w:rsidRPr="00DA783E" w:rsidRDefault="00DA783E" w:rsidP="00DA783E">
            <w:pPr>
              <w:jc w:val="righ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 xml:space="preserve">       458</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030</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 xml:space="preserve">380 </w:t>
            </w:r>
          </w:p>
        </w:tc>
      </w:tr>
      <w:tr w:rsidR="00DA783E" w:rsidRPr="00DA783E" w14:paraId="44485C12" w14:textId="77777777" w:rsidTr="00731E92">
        <w:trPr>
          <w:trHeight w:val="470"/>
        </w:trPr>
        <w:tc>
          <w:tcPr>
            <w:tcW w:w="580" w:type="dxa"/>
            <w:shd w:val="clear" w:color="auto" w:fill="auto"/>
            <w:noWrap/>
            <w:vAlign w:val="center"/>
            <w:hideMark/>
          </w:tcPr>
          <w:p w14:paraId="3FB66D39" w14:textId="77777777" w:rsidR="00DA783E" w:rsidRPr="00DA783E" w:rsidRDefault="00DA783E" w:rsidP="00DA783E">
            <w:pPr>
              <w:jc w:val="center"/>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4</w:t>
            </w:r>
          </w:p>
        </w:tc>
        <w:tc>
          <w:tcPr>
            <w:tcW w:w="879" w:type="dxa"/>
            <w:shd w:val="clear" w:color="auto" w:fill="auto"/>
            <w:noWrap/>
            <w:vAlign w:val="center"/>
            <w:hideMark/>
          </w:tcPr>
          <w:p w14:paraId="5489082F" w14:textId="77777777" w:rsidR="00DA783E" w:rsidRPr="00DA783E" w:rsidRDefault="00DA783E" w:rsidP="00DA783E">
            <w:pPr>
              <w:jc w:val="righ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835000804</w:t>
            </w:r>
          </w:p>
        </w:tc>
        <w:tc>
          <w:tcPr>
            <w:tcW w:w="4716" w:type="dxa"/>
            <w:shd w:val="clear" w:color="auto" w:fill="auto"/>
            <w:vAlign w:val="center"/>
            <w:hideMark/>
          </w:tcPr>
          <w:p w14:paraId="280BE32B" w14:textId="77777777" w:rsidR="00DA783E" w:rsidRPr="00DA783E" w:rsidRDefault="00DA783E" w:rsidP="00DA783E">
            <w:pPr>
              <w:jc w:val="lef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ASOCIACION DE USUARIOS DEL SERVICIO DE EN DE PUERTO MERIZALDE</w:t>
            </w:r>
          </w:p>
        </w:tc>
        <w:tc>
          <w:tcPr>
            <w:tcW w:w="805" w:type="dxa"/>
            <w:shd w:val="clear" w:color="auto" w:fill="auto"/>
            <w:noWrap/>
            <w:vAlign w:val="center"/>
            <w:hideMark/>
          </w:tcPr>
          <w:p w14:paraId="6B16B844" w14:textId="77777777" w:rsidR="00DA783E" w:rsidRPr="00DA783E" w:rsidRDefault="00DA783E" w:rsidP="00DA783E">
            <w:pPr>
              <w:jc w:val="lef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ENERGIA</w:t>
            </w:r>
          </w:p>
        </w:tc>
        <w:tc>
          <w:tcPr>
            <w:tcW w:w="1180" w:type="dxa"/>
            <w:shd w:val="clear" w:color="auto" w:fill="auto"/>
            <w:noWrap/>
            <w:vAlign w:val="bottom"/>
            <w:hideMark/>
          </w:tcPr>
          <w:p w14:paraId="61A80C20" w14:textId="131EC93A" w:rsidR="00DA783E" w:rsidRPr="00DA783E" w:rsidRDefault="00DA783E" w:rsidP="00DA783E">
            <w:pPr>
              <w:jc w:val="righ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 xml:space="preserve">         25</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029</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 xml:space="preserve">987 </w:t>
            </w:r>
          </w:p>
        </w:tc>
        <w:tc>
          <w:tcPr>
            <w:tcW w:w="1180" w:type="dxa"/>
            <w:shd w:val="clear" w:color="auto" w:fill="auto"/>
            <w:noWrap/>
            <w:vAlign w:val="bottom"/>
            <w:hideMark/>
          </w:tcPr>
          <w:p w14:paraId="06E6188C" w14:textId="05F110AA" w:rsidR="00DA783E" w:rsidRPr="00DA783E" w:rsidRDefault="00DA783E" w:rsidP="00DA783E">
            <w:pPr>
              <w:jc w:val="righ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 xml:space="preserve">         24</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633</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 xml:space="preserve">390 </w:t>
            </w:r>
          </w:p>
        </w:tc>
      </w:tr>
      <w:tr w:rsidR="00DA783E" w:rsidRPr="00DA783E" w14:paraId="111471DF" w14:textId="77777777" w:rsidTr="00731E92">
        <w:trPr>
          <w:trHeight w:val="300"/>
        </w:trPr>
        <w:tc>
          <w:tcPr>
            <w:tcW w:w="580" w:type="dxa"/>
            <w:shd w:val="clear" w:color="auto" w:fill="auto"/>
            <w:noWrap/>
            <w:vAlign w:val="center"/>
            <w:hideMark/>
          </w:tcPr>
          <w:p w14:paraId="2700F4A2" w14:textId="77777777" w:rsidR="00DA783E" w:rsidRPr="00DA783E" w:rsidRDefault="00DA783E" w:rsidP="00DA783E">
            <w:pPr>
              <w:jc w:val="center"/>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5</w:t>
            </w:r>
          </w:p>
        </w:tc>
        <w:tc>
          <w:tcPr>
            <w:tcW w:w="879" w:type="dxa"/>
            <w:shd w:val="clear" w:color="auto" w:fill="auto"/>
            <w:noWrap/>
            <w:vAlign w:val="center"/>
            <w:hideMark/>
          </w:tcPr>
          <w:p w14:paraId="6AB5B960" w14:textId="77777777" w:rsidR="00DA783E" w:rsidRPr="00DA783E" w:rsidRDefault="00DA783E" w:rsidP="00DA783E">
            <w:pPr>
              <w:jc w:val="righ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900689029</w:t>
            </w:r>
          </w:p>
        </w:tc>
        <w:tc>
          <w:tcPr>
            <w:tcW w:w="4716" w:type="dxa"/>
            <w:shd w:val="clear" w:color="auto" w:fill="auto"/>
            <w:vAlign w:val="center"/>
            <w:hideMark/>
          </w:tcPr>
          <w:p w14:paraId="58957F80" w14:textId="77777777" w:rsidR="00DA783E" w:rsidRPr="00DA783E" w:rsidRDefault="00DA783E" w:rsidP="00DA783E">
            <w:pPr>
              <w:jc w:val="lef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COMERCIALIZADORA DE GAS CASANARE S.A.S. E.S.P.</w:t>
            </w:r>
          </w:p>
        </w:tc>
        <w:tc>
          <w:tcPr>
            <w:tcW w:w="805" w:type="dxa"/>
            <w:shd w:val="clear" w:color="auto" w:fill="auto"/>
            <w:noWrap/>
            <w:vAlign w:val="center"/>
            <w:hideMark/>
          </w:tcPr>
          <w:p w14:paraId="7A49335A" w14:textId="77777777" w:rsidR="00DA783E" w:rsidRPr="00DA783E" w:rsidRDefault="00DA783E" w:rsidP="00DA783E">
            <w:pPr>
              <w:jc w:val="lef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GLP</w:t>
            </w:r>
          </w:p>
        </w:tc>
        <w:tc>
          <w:tcPr>
            <w:tcW w:w="1180" w:type="dxa"/>
            <w:shd w:val="clear" w:color="auto" w:fill="auto"/>
            <w:noWrap/>
            <w:vAlign w:val="bottom"/>
            <w:hideMark/>
          </w:tcPr>
          <w:p w14:paraId="65440C70" w14:textId="5CC7B0AA" w:rsidR="00DA783E" w:rsidRPr="00DA783E" w:rsidRDefault="00DA783E" w:rsidP="00DA783E">
            <w:pPr>
              <w:jc w:val="righ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 xml:space="preserve">         97</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170</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 xml:space="preserve">659 </w:t>
            </w:r>
          </w:p>
        </w:tc>
        <w:tc>
          <w:tcPr>
            <w:tcW w:w="1180" w:type="dxa"/>
            <w:shd w:val="clear" w:color="auto" w:fill="auto"/>
            <w:noWrap/>
            <w:vAlign w:val="bottom"/>
            <w:hideMark/>
          </w:tcPr>
          <w:p w14:paraId="7E9E118E" w14:textId="1EF1FF76" w:rsidR="00DA783E" w:rsidRPr="00DA783E" w:rsidRDefault="00DA783E" w:rsidP="00DA783E">
            <w:pPr>
              <w:jc w:val="righ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 xml:space="preserve">         95</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631</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 xml:space="preserve">000 </w:t>
            </w:r>
          </w:p>
        </w:tc>
      </w:tr>
      <w:tr w:rsidR="00DA783E" w:rsidRPr="00DA783E" w14:paraId="6044BFF9" w14:textId="77777777" w:rsidTr="00731E92">
        <w:trPr>
          <w:trHeight w:val="300"/>
        </w:trPr>
        <w:tc>
          <w:tcPr>
            <w:tcW w:w="580" w:type="dxa"/>
            <w:shd w:val="clear" w:color="auto" w:fill="auto"/>
            <w:noWrap/>
            <w:vAlign w:val="center"/>
            <w:hideMark/>
          </w:tcPr>
          <w:p w14:paraId="58612019" w14:textId="77777777" w:rsidR="00DA783E" w:rsidRPr="00DA783E" w:rsidRDefault="00DA783E" w:rsidP="00DA783E">
            <w:pPr>
              <w:jc w:val="center"/>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6</w:t>
            </w:r>
          </w:p>
        </w:tc>
        <w:tc>
          <w:tcPr>
            <w:tcW w:w="879" w:type="dxa"/>
            <w:shd w:val="clear" w:color="auto" w:fill="auto"/>
            <w:noWrap/>
            <w:vAlign w:val="center"/>
            <w:hideMark/>
          </w:tcPr>
          <w:p w14:paraId="21193FBE" w14:textId="77777777" w:rsidR="00DA783E" w:rsidRPr="00DA783E" w:rsidRDefault="00DA783E" w:rsidP="00DA783E">
            <w:pPr>
              <w:jc w:val="righ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845000021</w:t>
            </w:r>
          </w:p>
        </w:tc>
        <w:tc>
          <w:tcPr>
            <w:tcW w:w="4716" w:type="dxa"/>
            <w:shd w:val="clear" w:color="auto" w:fill="auto"/>
            <w:vAlign w:val="center"/>
            <w:hideMark/>
          </w:tcPr>
          <w:p w14:paraId="60AF1BA3" w14:textId="77777777" w:rsidR="00DA783E" w:rsidRPr="00DA783E" w:rsidRDefault="00DA783E" w:rsidP="00DA783E">
            <w:pPr>
              <w:jc w:val="lef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DEPARTAMENTO DEL VAUPES</w:t>
            </w:r>
          </w:p>
        </w:tc>
        <w:tc>
          <w:tcPr>
            <w:tcW w:w="805" w:type="dxa"/>
            <w:shd w:val="clear" w:color="auto" w:fill="auto"/>
            <w:noWrap/>
            <w:vAlign w:val="center"/>
            <w:hideMark/>
          </w:tcPr>
          <w:p w14:paraId="38C41E39" w14:textId="77777777" w:rsidR="00DA783E" w:rsidRPr="00DA783E" w:rsidRDefault="00DA783E" w:rsidP="00DA783E">
            <w:pPr>
              <w:jc w:val="lef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ENERGIA</w:t>
            </w:r>
          </w:p>
        </w:tc>
        <w:tc>
          <w:tcPr>
            <w:tcW w:w="1180" w:type="dxa"/>
            <w:shd w:val="clear" w:color="auto" w:fill="auto"/>
            <w:noWrap/>
            <w:vAlign w:val="bottom"/>
            <w:hideMark/>
          </w:tcPr>
          <w:p w14:paraId="56C83AA9" w14:textId="2CE70B14" w:rsidR="00DA783E" w:rsidRPr="00DA783E" w:rsidRDefault="00DA783E" w:rsidP="00DA783E">
            <w:pPr>
              <w:jc w:val="righ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 xml:space="preserve">       427</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960</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 xml:space="preserve">998 </w:t>
            </w:r>
          </w:p>
        </w:tc>
        <w:tc>
          <w:tcPr>
            <w:tcW w:w="1180" w:type="dxa"/>
            <w:shd w:val="clear" w:color="auto" w:fill="auto"/>
            <w:noWrap/>
            <w:vAlign w:val="bottom"/>
            <w:hideMark/>
          </w:tcPr>
          <w:p w14:paraId="5A7F49F2" w14:textId="13B91F7C" w:rsidR="00DA783E" w:rsidRPr="00DA783E" w:rsidRDefault="00DA783E" w:rsidP="00DA783E">
            <w:pPr>
              <w:jc w:val="righ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 xml:space="preserve">       421</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180</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 xml:space="preserve">000 </w:t>
            </w:r>
          </w:p>
        </w:tc>
      </w:tr>
      <w:tr w:rsidR="00DA783E" w:rsidRPr="00DA783E" w14:paraId="112C8640" w14:textId="77777777" w:rsidTr="00731E92">
        <w:trPr>
          <w:trHeight w:val="300"/>
        </w:trPr>
        <w:tc>
          <w:tcPr>
            <w:tcW w:w="580" w:type="dxa"/>
            <w:shd w:val="clear" w:color="auto" w:fill="auto"/>
            <w:noWrap/>
            <w:vAlign w:val="center"/>
            <w:hideMark/>
          </w:tcPr>
          <w:p w14:paraId="4885A559" w14:textId="77777777" w:rsidR="00DA783E" w:rsidRPr="00DA783E" w:rsidRDefault="00DA783E" w:rsidP="00DA783E">
            <w:pPr>
              <w:jc w:val="center"/>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7</w:t>
            </w:r>
          </w:p>
        </w:tc>
        <w:tc>
          <w:tcPr>
            <w:tcW w:w="879" w:type="dxa"/>
            <w:shd w:val="clear" w:color="auto" w:fill="auto"/>
            <w:noWrap/>
            <w:vAlign w:val="center"/>
            <w:hideMark/>
          </w:tcPr>
          <w:p w14:paraId="4A2524C4" w14:textId="77777777" w:rsidR="00DA783E" w:rsidRPr="00DA783E" w:rsidRDefault="00DA783E" w:rsidP="00DA783E">
            <w:pPr>
              <w:jc w:val="righ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818000202</w:t>
            </w:r>
          </w:p>
        </w:tc>
        <w:tc>
          <w:tcPr>
            <w:tcW w:w="4716" w:type="dxa"/>
            <w:shd w:val="clear" w:color="auto" w:fill="auto"/>
            <w:vAlign w:val="center"/>
            <w:hideMark/>
          </w:tcPr>
          <w:p w14:paraId="0E006074" w14:textId="77777777" w:rsidR="00DA783E" w:rsidRPr="00DA783E" w:rsidRDefault="00DA783E" w:rsidP="00DA783E">
            <w:pPr>
              <w:jc w:val="lef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E. S. P. DE EN DE BAJO BAUDO PIZARRO S.A.</w:t>
            </w:r>
          </w:p>
        </w:tc>
        <w:tc>
          <w:tcPr>
            <w:tcW w:w="805" w:type="dxa"/>
            <w:shd w:val="clear" w:color="auto" w:fill="auto"/>
            <w:noWrap/>
            <w:vAlign w:val="center"/>
            <w:hideMark/>
          </w:tcPr>
          <w:p w14:paraId="3F80EF2C" w14:textId="77777777" w:rsidR="00DA783E" w:rsidRPr="00DA783E" w:rsidRDefault="00DA783E" w:rsidP="00DA783E">
            <w:pPr>
              <w:jc w:val="lef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ENERGIA</w:t>
            </w:r>
          </w:p>
        </w:tc>
        <w:tc>
          <w:tcPr>
            <w:tcW w:w="1180" w:type="dxa"/>
            <w:shd w:val="clear" w:color="auto" w:fill="auto"/>
            <w:noWrap/>
            <w:vAlign w:val="bottom"/>
            <w:hideMark/>
          </w:tcPr>
          <w:p w14:paraId="50644B31" w14:textId="032CE7B1" w:rsidR="00DA783E" w:rsidRPr="00DA783E" w:rsidRDefault="00DA783E" w:rsidP="00DA783E">
            <w:pPr>
              <w:jc w:val="righ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 xml:space="preserve">       115</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018</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 xml:space="preserve">416 </w:t>
            </w:r>
          </w:p>
        </w:tc>
        <w:tc>
          <w:tcPr>
            <w:tcW w:w="1180" w:type="dxa"/>
            <w:shd w:val="clear" w:color="auto" w:fill="auto"/>
            <w:noWrap/>
            <w:vAlign w:val="bottom"/>
            <w:hideMark/>
          </w:tcPr>
          <w:p w14:paraId="32A57955" w14:textId="3055267F" w:rsidR="00DA783E" w:rsidRPr="00DA783E" w:rsidRDefault="00DA783E" w:rsidP="00DA783E">
            <w:pPr>
              <w:jc w:val="righ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 xml:space="preserve">       113</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195</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 xml:space="preserve">961 </w:t>
            </w:r>
          </w:p>
        </w:tc>
      </w:tr>
      <w:tr w:rsidR="00DA783E" w:rsidRPr="00DA783E" w14:paraId="6E3D1C1C" w14:textId="77777777" w:rsidTr="00731E92">
        <w:trPr>
          <w:trHeight w:val="300"/>
        </w:trPr>
        <w:tc>
          <w:tcPr>
            <w:tcW w:w="580" w:type="dxa"/>
            <w:shd w:val="clear" w:color="auto" w:fill="auto"/>
            <w:noWrap/>
            <w:vAlign w:val="center"/>
            <w:hideMark/>
          </w:tcPr>
          <w:p w14:paraId="74270CF4" w14:textId="77777777" w:rsidR="00DA783E" w:rsidRPr="00DA783E" w:rsidRDefault="00DA783E" w:rsidP="00DA783E">
            <w:pPr>
              <w:jc w:val="center"/>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8</w:t>
            </w:r>
          </w:p>
        </w:tc>
        <w:tc>
          <w:tcPr>
            <w:tcW w:w="879" w:type="dxa"/>
            <w:shd w:val="clear" w:color="auto" w:fill="auto"/>
            <w:noWrap/>
            <w:vAlign w:val="center"/>
            <w:hideMark/>
          </w:tcPr>
          <w:p w14:paraId="1928E654" w14:textId="77777777" w:rsidR="00DA783E" w:rsidRPr="00DA783E" w:rsidRDefault="00DA783E" w:rsidP="00DA783E">
            <w:pPr>
              <w:jc w:val="righ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840000937</w:t>
            </w:r>
          </w:p>
        </w:tc>
        <w:tc>
          <w:tcPr>
            <w:tcW w:w="4716" w:type="dxa"/>
            <w:shd w:val="clear" w:color="auto" w:fill="auto"/>
            <w:vAlign w:val="center"/>
            <w:hideMark/>
          </w:tcPr>
          <w:p w14:paraId="5118D764" w14:textId="77777777" w:rsidR="00DA783E" w:rsidRPr="00DA783E" w:rsidRDefault="00DA783E" w:rsidP="00DA783E">
            <w:pPr>
              <w:jc w:val="lef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EAT ELECTRIFICADORA DE LA ZONA RURAL DE TUMACO</w:t>
            </w:r>
          </w:p>
        </w:tc>
        <w:tc>
          <w:tcPr>
            <w:tcW w:w="805" w:type="dxa"/>
            <w:shd w:val="clear" w:color="auto" w:fill="auto"/>
            <w:noWrap/>
            <w:vAlign w:val="center"/>
            <w:hideMark/>
          </w:tcPr>
          <w:p w14:paraId="410BFDFB" w14:textId="77777777" w:rsidR="00DA783E" w:rsidRPr="00DA783E" w:rsidRDefault="00DA783E" w:rsidP="00DA783E">
            <w:pPr>
              <w:jc w:val="lef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ENERGIA</w:t>
            </w:r>
          </w:p>
        </w:tc>
        <w:tc>
          <w:tcPr>
            <w:tcW w:w="1180" w:type="dxa"/>
            <w:shd w:val="clear" w:color="auto" w:fill="auto"/>
            <w:noWrap/>
            <w:vAlign w:val="bottom"/>
            <w:hideMark/>
          </w:tcPr>
          <w:p w14:paraId="041B5A2F" w14:textId="58858ED6" w:rsidR="00DA783E" w:rsidRPr="00DA783E" w:rsidRDefault="00DA783E" w:rsidP="00DA783E">
            <w:pPr>
              <w:jc w:val="righ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 xml:space="preserve">       235</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665</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 xml:space="preserve">785 </w:t>
            </w:r>
          </w:p>
        </w:tc>
        <w:tc>
          <w:tcPr>
            <w:tcW w:w="1180" w:type="dxa"/>
            <w:shd w:val="clear" w:color="auto" w:fill="auto"/>
            <w:noWrap/>
            <w:vAlign w:val="bottom"/>
            <w:hideMark/>
          </w:tcPr>
          <w:p w14:paraId="285F61F1" w14:textId="0FC16DFC" w:rsidR="00DA783E" w:rsidRPr="00DA783E" w:rsidRDefault="00DA783E" w:rsidP="00DA783E">
            <w:pPr>
              <w:jc w:val="righ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 xml:space="preserve">       231</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931</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 xml:space="preserve">685 </w:t>
            </w:r>
          </w:p>
        </w:tc>
      </w:tr>
      <w:tr w:rsidR="00DA783E" w:rsidRPr="00DA783E" w14:paraId="113DE782" w14:textId="77777777" w:rsidTr="00731E92">
        <w:trPr>
          <w:trHeight w:val="300"/>
        </w:trPr>
        <w:tc>
          <w:tcPr>
            <w:tcW w:w="580" w:type="dxa"/>
            <w:shd w:val="clear" w:color="auto" w:fill="auto"/>
            <w:noWrap/>
            <w:vAlign w:val="center"/>
            <w:hideMark/>
          </w:tcPr>
          <w:p w14:paraId="396C5BE7" w14:textId="77777777" w:rsidR="00DA783E" w:rsidRPr="00DA783E" w:rsidRDefault="00DA783E" w:rsidP="00DA783E">
            <w:pPr>
              <w:jc w:val="center"/>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9</w:t>
            </w:r>
          </w:p>
        </w:tc>
        <w:tc>
          <w:tcPr>
            <w:tcW w:w="879" w:type="dxa"/>
            <w:shd w:val="clear" w:color="auto" w:fill="auto"/>
            <w:noWrap/>
            <w:vAlign w:val="center"/>
            <w:hideMark/>
          </w:tcPr>
          <w:p w14:paraId="0D0E7EF8" w14:textId="77777777" w:rsidR="00DA783E" w:rsidRPr="00DA783E" w:rsidRDefault="00DA783E" w:rsidP="00DA783E">
            <w:pPr>
              <w:jc w:val="righ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901100124</w:t>
            </w:r>
          </w:p>
        </w:tc>
        <w:tc>
          <w:tcPr>
            <w:tcW w:w="4716" w:type="dxa"/>
            <w:shd w:val="clear" w:color="auto" w:fill="auto"/>
            <w:vAlign w:val="center"/>
            <w:hideMark/>
          </w:tcPr>
          <w:p w14:paraId="00299F9A" w14:textId="5D5DE6BE" w:rsidR="00DA783E" w:rsidRPr="00DA783E" w:rsidRDefault="00DA783E" w:rsidP="00DA783E">
            <w:pPr>
              <w:jc w:val="lef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EL PASO SOLAR S.A.S. E.S.P</w:t>
            </w:r>
            <w:r w:rsidR="00333F41">
              <w:rPr>
                <w:rFonts w:ascii="Arial Narrow" w:hAnsi="Arial Narrow" w:cs="Calibri"/>
                <w:color w:val="000000"/>
                <w:spacing w:val="0"/>
                <w:sz w:val="18"/>
                <w:szCs w:val="18"/>
                <w:lang w:eastAsia="es-CO"/>
              </w:rPr>
              <w:t>.</w:t>
            </w:r>
          </w:p>
        </w:tc>
        <w:tc>
          <w:tcPr>
            <w:tcW w:w="805" w:type="dxa"/>
            <w:shd w:val="clear" w:color="auto" w:fill="auto"/>
            <w:noWrap/>
            <w:vAlign w:val="center"/>
            <w:hideMark/>
          </w:tcPr>
          <w:p w14:paraId="57DC9090" w14:textId="77777777" w:rsidR="00DA783E" w:rsidRPr="00DA783E" w:rsidRDefault="00DA783E" w:rsidP="00DA783E">
            <w:pPr>
              <w:jc w:val="lef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GLP</w:t>
            </w:r>
          </w:p>
        </w:tc>
        <w:tc>
          <w:tcPr>
            <w:tcW w:w="1180" w:type="dxa"/>
            <w:shd w:val="clear" w:color="auto" w:fill="auto"/>
            <w:noWrap/>
            <w:vAlign w:val="bottom"/>
            <w:hideMark/>
          </w:tcPr>
          <w:p w14:paraId="43A2D84E" w14:textId="3DE24524" w:rsidR="00DA783E" w:rsidRPr="00DA783E" w:rsidRDefault="00DA783E" w:rsidP="00DA783E">
            <w:pPr>
              <w:jc w:val="righ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 xml:space="preserve">    1</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600</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733</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 xml:space="preserve">787 </w:t>
            </w:r>
          </w:p>
        </w:tc>
        <w:tc>
          <w:tcPr>
            <w:tcW w:w="1180" w:type="dxa"/>
            <w:shd w:val="clear" w:color="auto" w:fill="auto"/>
            <w:noWrap/>
            <w:vAlign w:val="bottom"/>
            <w:hideMark/>
          </w:tcPr>
          <w:p w14:paraId="5950F117" w14:textId="2D2D0E75" w:rsidR="00DA783E" w:rsidRPr="00DA783E" w:rsidRDefault="00DA783E" w:rsidP="00DA783E">
            <w:pPr>
              <w:jc w:val="righ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 xml:space="preserve">    1</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575</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370</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 xml:space="preserve">325 </w:t>
            </w:r>
          </w:p>
        </w:tc>
      </w:tr>
      <w:tr w:rsidR="00DA783E" w:rsidRPr="00DA783E" w14:paraId="75BE50B0" w14:textId="77777777" w:rsidTr="00731E92">
        <w:trPr>
          <w:trHeight w:val="470"/>
        </w:trPr>
        <w:tc>
          <w:tcPr>
            <w:tcW w:w="580" w:type="dxa"/>
            <w:shd w:val="clear" w:color="auto" w:fill="auto"/>
            <w:noWrap/>
            <w:vAlign w:val="center"/>
            <w:hideMark/>
          </w:tcPr>
          <w:p w14:paraId="0EE72C23" w14:textId="77777777" w:rsidR="00DA783E" w:rsidRPr="00DA783E" w:rsidRDefault="00DA783E" w:rsidP="00DA783E">
            <w:pPr>
              <w:jc w:val="center"/>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10</w:t>
            </w:r>
          </w:p>
        </w:tc>
        <w:tc>
          <w:tcPr>
            <w:tcW w:w="879" w:type="dxa"/>
            <w:shd w:val="clear" w:color="auto" w:fill="auto"/>
            <w:noWrap/>
            <w:vAlign w:val="center"/>
            <w:hideMark/>
          </w:tcPr>
          <w:p w14:paraId="5595003F" w14:textId="77777777" w:rsidR="00DA783E" w:rsidRPr="00DA783E" w:rsidRDefault="00DA783E" w:rsidP="00DA783E">
            <w:pPr>
              <w:jc w:val="righ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900715327</w:t>
            </w:r>
          </w:p>
        </w:tc>
        <w:tc>
          <w:tcPr>
            <w:tcW w:w="4716" w:type="dxa"/>
            <w:shd w:val="clear" w:color="auto" w:fill="auto"/>
            <w:vAlign w:val="center"/>
            <w:hideMark/>
          </w:tcPr>
          <w:p w14:paraId="5037604E" w14:textId="77777777" w:rsidR="00DA783E" w:rsidRPr="00DA783E" w:rsidRDefault="00DA783E" w:rsidP="00DA783E">
            <w:pPr>
              <w:jc w:val="lef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EMPRESA DE ACUEDUCTO, ALCANTARILLADO, ASEO Y ENERGIA (ZNI) DE PUERTO GUZMAN S.A ESP</w:t>
            </w:r>
          </w:p>
        </w:tc>
        <w:tc>
          <w:tcPr>
            <w:tcW w:w="805" w:type="dxa"/>
            <w:shd w:val="clear" w:color="auto" w:fill="auto"/>
            <w:noWrap/>
            <w:vAlign w:val="center"/>
            <w:hideMark/>
          </w:tcPr>
          <w:p w14:paraId="77766DFE" w14:textId="77777777" w:rsidR="00DA783E" w:rsidRPr="00DA783E" w:rsidRDefault="00DA783E" w:rsidP="00DA783E">
            <w:pPr>
              <w:jc w:val="lef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ENERGIA</w:t>
            </w:r>
          </w:p>
        </w:tc>
        <w:tc>
          <w:tcPr>
            <w:tcW w:w="1180" w:type="dxa"/>
            <w:shd w:val="clear" w:color="auto" w:fill="auto"/>
            <w:noWrap/>
            <w:vAlign w:val="bottom"/>
            <w:hideMark/>
          </w:tcPr>
          <w:p w14:paraId="1566AB6D" w14:textId="40F19079" w:rsidR="00DA783E" w:rsidRPr="00DA783E" w:rsidRDefault="00DA783E" w:rsidP="00DA783E">
            <w:pPr>
              <w:jc w:val="righ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 xml:space="preserve">       264</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497</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 xml:space="preserve">100 </w:t>
            </w:r>
          </w:p>
        </w:tc>
        <w:tc>
          <w:tcPr>
            <w:tcW w:w="1180" w:type="dxa"/>
            <w:shd w:val="clear" w:color="auto" w:fill="auto"/>
            <w:noWrap/>
            <w:vAlign w:val="bottom"/>
            <w:hideMark/>
          </w:tcPr>
          <w:p w14:paraId="1ECB3BB5" w14:textId="2697AB9A" w:rsidR="00DA783E" w:rsidRPr="00DA783E" w:rsidRDefault="00DA783E" w:rsidP="00DA783E">
            <w:pPr>
              <w:jc w:val="righ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 xml:space="preserve">       260</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306</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 xml:space="preserve">171 </w:t>
            </w:r>
          </w:p>
        </w:tc>
      </w:tr>
      <w:tr w:rsidR="00DA783E" w:rsidRPr="00DA783E" w14:paraId="2F4C12B8" w14:textId="77777777" w:rsidTr="00731E92">
        <w:trPr>
          <w:trHeight w:val="470"/>
        </w:trPr>
        <w:tc>
          <w:tcPr>
            <w:tcW w:w="580" w:type="dxa"/>
            <w:shd w:val="clear" w:color="auto" w:fill="auto"/>
            <w:noWrap/>
            <w:vAlign w:val="center"/>
            <w:hideMark/>
          </w:tcPr>
          <w:p w14:paraId="212A6A26" w14:textId="77777777" w:rsidR="00DA783E" w:rsidRPr="00DA783E" w:rsidRDefault="00DA783E" w:rsidP="00DA783E">
            <w:pPr>
              <w:jc w:val="center"/>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11</w:t>
            </w:r>
          </w:p>
        </w:tc>
        <w:tc>
          <w:tcPr>
            <w:tcW w:w="879" w:type="dxa"/>
            <w:shd w:val="clear" w:color="auto" w:fill="auto"/>
            <w:noWrap/>
            <w:vAlign w:val="center"/>
            <w:hideMark/>
          </w:tcPr>
          <w:p w14:paraId="7336F12B" w14:textId="77777777" w:rsidR="00DA783E" w:rsidRPr="00DA783E" w:rsidRDefault="00DA783E" w:rsidP="00DA783E">
            <w:pPr>
              <w:jc w:val="righ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900263570</w:t>
            </w:r>
          </w:p>
        </w:tc>
        <w:tc>
          <w:tcPr>
            <w:tcW w:w="4716" w:type="dxa"/>
            <w:shd w:val="clear" w:color="auto" w:fill="auto"/>
            <w:vAlign w:val="center"/>
            <w:hideMark/>
          </w:tcPr>
          <w:p w14:paraId="1DCEF5C2" w14:textId="77777777" w:rsidR="00DA783E" w:rsidRPr="00DA783E" w:rsidRDefault="00DA783E" w:rsidP="00DA783E">
            <w:pPr>
              <w:jc w:val="lef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EMPRESA DE EN DEL MUNICIPIO DE ROBERTO PAYAN S.A.S E.S.P</w:t>
            </w:r>
          </w:p>
        </w:tc>
        <w:tc>
          <w:tcPr>
            <w:tcW w:w="805" w:type="dxa"/>
            <w:shd w:val="clear" w:color="auto" w:fill="auto"/>
            <w:noWrap/>
            <w:vAlign w:val="center"/>
            <w:hideMark/>
          </w:tcPr>
          <w:p w14:paraId="27B6E620" w14:textId="77777777" w:rsidR="00DA783E" w:rsidRPr="00DA783E" w:rsidRDefault="00DA783E" w:rsidP="00DA783E">
            <w:pPr>
              <w:jc w:val="lef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ENERGIA</w:t>
            </w:r>
          </w:p>
        </w:tc>
        <w:tc>
          <w:tcPr>
            <w:tcW w:w="1180" w:type="dxa"/>
            <w:shd w:val="clear" w:color="auto" w:fill="auto"/>
            <w:noWrap/>
            <w:vAlign w:val="bottom"/>
            <w:hideMark/>
          </w:tcPr>
          <w:p w14:paraId="2EA71A84" w14:textId="459F2571" w:rsidR="00DA783E" w:rsidRPr="00DA783E" w:rsidRDefault="00DA783E" w:rsidP="00DA783E">
            <w:pPr>
              <w:jc w:val="righ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 xml:space="preserve">       256</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199</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 xml:space="preserve">194 </w:t>
            </w:r>
          </w:p>
        </w:tc>
        <w:tc>
          <w:tcPr>
            <w:tcW w:w="1180" w:type="dxa"/>
            <w:shd w:val="clear" w:color="auto" w:fill="auto"/>
            <w:noWrap/>
            <w:vAlign w:val="bottom"/>
            <w:hideMark/>
          </w:tcPr>
          <w:p w14:paraId="5BB0F8F7" w14:textId="6404D493" w:rsidR="00DA783E" w:rsidRPr="00DA783E" w:rsidRDefault="00DA783E" w:rsidP="00DA783E">
            <w:pPr>
              <w:jc w:val="righ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 xml:space="preserve">       252</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139</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 xml:space="preserve">744 </w:t>
            </w:r>
          </w:p>
        </w:tc>
      </w:tr>
      <w:tr w:rsidR="00DA783E" w:rsidRPr="00DA783E" w14:paraId="65C5239E" w14:textId="77777777" w:rsidTr="00731E92">
        <w:trPr>
          <w:trHeight w:val="300"/>
        </w:trPr>
        <w:tc>
          <w:tcPr>
            <w:tcW w:w="580" w:type="dxa"/>
            <w:shd w:val="clear" w:color="auto" w:fill="auto"/>
            <w:noWrap/>
            <w:vAlign w:val="center"/>
            <w:hideMark/>
          </w:tcPr>
          <w:p w14:paraId="1476E168" w14:textId="77777777" w:rsidR="00DA783E" w:rsidRPr="00DA783E" w:rsidRDefault="00DA783E" w:rsidP="00DA783E">
            <w:pPr>
              <w:jc w:val="center"/>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12</w:t>
            </w:r>
          </w:p>
        </w:tc>
        <w:tc>
          <w:tcPr>
            <w:tcW w:w="879" w:type="dxa"/>
            <w:shd w:val="clear" w:color="auto" w:fill="auto"/>
            <w:noWrap/>
            <w:vAlign w:val="center"/>
            <w:hideMark/>
          </w:tcPr>
          <w:p w14:paraId="2FB20DFA" w14:textId="77777777" w:rsidR="00DA783E" w:rsidRPr="00DA783E" w:rsidRDefault="00DA783E" w:rsidP="00DA783E">
            <w:pPr>
              <w:jc w:val="righ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840000929</w:t>
            </w:r>
          </w:p>
        </w:tc>
        <w:tc>
          <w:tcPr>
            <w:tcW w:w="4716" w:type="dxa"/>
            <w:shd w:val="clear" w:color="auto" w:fill="auto"/>
            <w:vAlign w:val="center"/>
            <w:hideMark/>
          </w:tcPr>
          <w:p w14:paraId="5CCEF654" w14:textId="77777777" w:rsidR="00DA783E" w:rsidRPr="00DA783E" w:rsidRDefault="00DA783E" w:rsidP="00DA783E">
            <w:pPr>
              <w:jc w:val="lef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EMPRESA DE ENERGIA DE MAGUI PAYAN S.A E.S.P</w:t>
            </w:r>
          </w:p>
        </w:tc>
        <w:tc>
          <w:tcPr>
            <w:tcW w:w="805" w:type="dxa"/>
            <w:shd w:val="clear" w:color="auto" w:fill="auto"/>
            <w:noWrap/>
            <w:vAlign w:val="center"/>
            <w:hideMark/>
          </w:tcPr>
          <w:p w14:paraId="0ACCCB70" w14:textId="77777777" w:rsidR="00DA783E" w:rsidRPr="00DA783E" w:rsidRDefault="00DA783E" w:rsidP="00DA783E">
            <w:pPr>
              <w:jc w:val="lef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ENERGIA</w:t>
            </w:r>
          </w:p>
        </w:tc>
        <w:tc>
          <w:tcPr>
            <w:tcW w:w="1180" w:type="dxa"/>
            <w:shd w:val="clear" w:color="auto" w:fill="auto"/>
            <w:noWrap/>
            <w:vAlign w:val="bottom"/>
            <w:hideMark/>
          </w:tcPr>
          <w:p w14:paraId="6DA52FC6" w14:textId="2AC8A431" w:rsidR="00DA783E" w:rsidRPr="00DA783E" w:rsidRDefault="00DA783E" w:rsidP="00DA783E">
            <w:pPr>
              <w:jc w:val="righ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 xml:space="preserve">       260</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729</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 xml:space="preserve">583 </w:t>
            </w:r>
          </w:p>
        </w:tc>
        <w:tc>
          <w:tcPr>
            <w:tcW w:w="1180" w:type="dxa"/>
            <w:shd w:val="clear" w:color="auto" w:fill="auto"/>
            <w:noWrap/>
            <w:vAlign w:val="bottom"/>
            <w:hideMark/>
          </w:tcPr>
          <w:p w14:paraId="75269F96" w14:textId="39C075DA" w:rsidR="00DA783E" w:rsidRPr="00DA783E" w:rsidRDefault="00DA783E" w:rsidP="00DA783E">
            <w:pPr>
              <w:jc w:val="righ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 xml:space="preserve">       256</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598</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 xml:space="preserve">349 </w:t>
            </w:r>
          </w:p>
        </w:tc>
      </w:tr>
      <w:tr w:rsidR="00DA783E" w:rsidRPr="00DA783E" w14:paraId="613A2A1F" w14:textId="77777777" w:rsidTr="00731E92">
        <w:trPr>
          <w:trHeight w:val="300"/>
        </w:trPr>
        <w:tc>
          <w:tcPr>
            <w:tcW w:w="580" w:type="dxa"/>
            <w:shd w:val="clear" w:color="auto" w:fill="auto"/>
            <w:noWrap/>
            <w:vAlign w:val="center"/>
            <w:hideMark/>
          </w:tcPr>
          <w:p w14:paraId="56F4546A" w14:textId="77777777" w:rsidR="00DA783E" w:rsidRPr="00DA783E" w:rsidRDefault="00DA783E" w:rsidP="00DA783E">
            <w:pPr>
              <w:jc w:val="center"/>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lastRenderedPageBreak/>
              <w:t>13</w:t>
            </w:r>
          </w:p>
        </w:tc>
        <w:tc>
          <w:tcPr>
            <w:tcW w:w="879" w:type="dxa"/>
            <w:shd w:val="clear" w:color="auto" w:fill="auto"/>
            <w:noWrap/>
            <w:vAlign w:val="center"/>
            <w:hideMark/>
          </w:tcPr>
          <w:p w14:paraId="7657558C" w14:textId="77777777" w:rsidR="00DA783E" w:rsidRPr="00DA783E" w:rsidRDefault="00DA783E" w:rsidP="00DA783E">
            <w:pPr>
              <w:jc w:val="righ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840000203</w:t>
            </w:r>
          </w:p>
        </w:tc>
        <w:tc>
          <w:tcPr>
            <w:tcW w:w="4716" w:type="dxa"/>
            <w:shd w:val="clear" w:color="auto" w:fill="auto"/>
            <w:vAlign w:val="center"/>
            <w:hideMark/>
          </w:tcPr>
          <w:p w14:paraId="0F79E368" w14:textId="77777777" w:rsidR="00DA783E" w:rsidRPr="00DA783E" w:rsidRDefault="00DA783E" w:rsidP="00DA783E">
            <w:pPr>
              <w:jc w:val="lef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EMPRESA DE ENERGIA DE SALAHONDA S.A. E.S.P.</w:t>
            </w:r>
          </w:p>
        </w:tc>
        <w:tc>
          <w:tcPr>
            <w:tcW w:w="805" w:type="dxa"/>
            <w:shd w:val="clear" w:color="auto" w:fill="auto"/>
            <w:noWrap/>
            <w:vAlign w:val="center"/>
            <w:hideMark/>
          </w:tcPr>
          <w:p w14:paraId="5215D6E2" w14:textId="77777777" w:rsidR="00DA783E" w:rsidRPr="00DA783E" w:rsidRDefault="00DA783E" w:rsidP="00DA783E">
            <w:pPr>
              <w:jc w:val="lef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ENERGIA</w:t>
            </w:r>
          </w:p>
        </w:tc>
        <w:tc>
          <w:tcPr>
            <w:tcW w:w="1180" w:type="dxa"/>
            <w:shd w:val="clear" w:color="auto" w:fill="auto"/>
            <w:noWrap/>
            <w:vAlign w:val="bottom"/>
            <w:hideMark/>
          </w:tcPr>
          <w:p w14:paraId="2AE18E98" w14:textId="233F291E" w:rsidR="00DA783E" w:rsidRPr="00DA783E" w:rsidRDefault="00DA783E" w:rsidP="00DA783E">
            <w:pPr>
              <w:jc w:val="righ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 xml:space="preserve">           3</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474</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 xml:space="preserve">497 </w:t>
            </w:r>
          </w:p>
        </w:tc>
        <w:tc>
          <w:tcPr>
            <w:tcW w:w="1180" w:type="dxa"/>
            <w:shd w:val="clear" w:color="auto" w:fill="auto"/>
            <w:noWrap/>
            <w:vAlign w:val="bottom"/>
            <w:hideMark/>
          </w:tcPr>
          <w:p w14:paraId="2A2825AD" w14:textId="3923E1E5" w:rsidR="00DA783E" w:rsidRPr="00DA783E" w:rsidRDefault="00DA783E" w:rsidP="00DA783E">
            <w:pPr>
              <w:jc w:val="righ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 xml:space="preserve">           3</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419</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 xml:space="preserve">444 </w:t>
            </w:r>
          </w:p>
        </w:tc>
      </w:tr>
      <w:tr w:rsidR="00DA783E" w:rsidRPr="00DA783E" w14:paraId="40D0CBC3" w14:textId="77777777" w:rsidTr="00731E92">
        <w:trPr>
          <w:trHeight w:val="470"/>
        </w:trPr>
        <w:tc>
          <w:tcPr>
            <w:tcW w:w="580" w:type="dxa"/>
            <w:shd w:val="clear" w:color="auto" w:fill="auto"/>
            <w:noWrap/>
            <w:vAlign w:val="center"/>
            <w:hideMark/>
          </w:tcPr>
          <w:p w14:paraId="0F6EE405" w14:textId="77777777" w:rsidR="00DA783E" w:rsidRPr="00DA783E" w:rsidRDefault="00DA783E" w:rsidP="00DA783E">
            <w:pPr>
              <w:jc w:val="center"/>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14</w:t>
            </w:r>
          </w:p>
        </w:tc>
        <w:tc>
          <w:tcPr>
            <w:tcW w:w="879" w:type="dxa"/>
            <w:shd w:val="clear" w:color="auto" w:fill="auto"/>
            <w:noWrap/>
            <w:vAlign w:val="center"/>
            <w:hideMark/>
          </w:tcPr>
          <w:p w14:paraId="2C2E57DA" w14:textId="77777777" w:rsidR="00DA783E" w:rsidRPr="00DA783E" w:rsidRDefault="00DA783E" w:rsidP="00DA783E">
            <w:pPr>
              <w:jc w:val="righ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901219090</w:t>
            </w:r>
          </w:p>
        </w:tc>
        <w:tc>
          <w:tcPr>
            <w:tcW w:w="4716" w:type="dxa"/>
            <w:shd w:val="clear" w:color="auto" w:fill="auto"/>
            <w:vAlign w:val="center"/>
            <w:hideMark/>
          </w:tcPr>
          <w:p w14:paraId="08ED1D57" w14:textId="77777777" w:rsidR="00DA783E" w:rsidRPr="00DA783E" w:rsidRDefault="00DA783E" w:rsidP="00DA783E">
            <w:pPr>
              <w:jc w:val="lef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EMPRESA DE SERVICIOS PÚBLICOS DE ENERGÍA LIMPIA DE COLOMBIA ENERLIMPIA S.A. E.S.P.</w:t>
            </w:r>
          </w:p>
        </w:tc>
        <w:tc>
          <w:tcPr>
            <w:tcW w:w="805" w:type="dxa"/>
            <w:shd w:val="clear" w:color="auto" w:fill="auto"/>
            <w:noWrap/>
            <w:vAlign w:val="center"/>
            <w:hideMark/>
          </w:tcPr>
          <w:p w14:paraId="0B8B4F9A" w14:textId="77777777" w:rsidR="00DA783E" w:rsidRPr="00DA783E" w:rsidRDefault="00DA783E" w:rsidP="00DA783E">
            <w:pPr>
              <w:jc w:val="lef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ENERGIA</w:t>
            </w:r>
          </w:p>
        </w:tc>
        <w:tc>
          <w:tcPr>
            <w:tcW w:w="1180" w:type="dxa"/>
            <w:shd w:val="clear" w:color="auto" w:fill="auto"/>
            <w:noWrap/>
            <w:vAlign w:val="bottom"/>
            <w:hideMark/>
          </w:tcPr>
          <w:p w14:paraId="7A7974E0" w14:textId="34A372BE" w:rsidR="00DA783E" w:rsidRPr="00DA783E" w:rsidRDefault="00DA783E" w:rsidP="00DA783E">
            <w:pPr>
              <w:jc w:val="righ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 xml:space="preserve">         99</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524</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 xml:space="preserve">294 </w:t>
            </w:r>
          </w:p>
        </w:tc>
        <w:tc>
          <w:tcPr>
            <w:tcW w:w="1180" w:type="dxa"/>
            <w:shd w:val="clear" w:color="auto" w:fill="auto"/>
            <w:noWrap/>
            <w:vAlign w:val="bottom"/>
            <w:hideMark/>
          </w:tcPr>
          <w:p w14:paraId="20859C7B" w14:textId="66332D51" w:rsidR="00DA783E" w:rsidRPr="00DA783E" w:rsidRDefault="00DA783E" w:rsidP="00DA783E">
            <w:pPr>
              <w:jc w:val="righ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 xml:space="preserve">         97</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947</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 xml:space="preserve">342 </w:t>
            </w:r>
          </w:p>
        </w:tc>
      </w:tr>
      <w:tr w:rsidR="00DA783E" w:rsidRPr="00DA783E" w14:paraId="5E3FDFF8" w14:textId="77777777" w:rsidTr="00731E92">
        <w:trPr>
          <w:trHeight w:val="300"/>
        </w:trPr>
        <w:tc>
          <w:tcPr>
            <w:tcW w:w="580" w:type="dxa"/>
            <w:shd w:val="clear" w:color="auto" w:fill="auto"/>
            <w:noWrap/>
            <w:vAlign w:val="center"/>
            <w:hideMark/>
          </w:tcPr>
          <w:p w14:paraId="2525D0B5" w14:textId="77777777" w:rsidR="00DA783E" w:rsidRPr="00DA783E" w:rsidRDefault="00DA783E" w:rsidP="00DA783E">
            <w:pPr>
              <w:jc w:val="center"/>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15</w:t>
            </w:r>
          </w:p>
        </w:tc>
        <w:tc>
          <w:tcPr>
            <w:tcW w:w="879" w:type="dxa"/>
            <w:shd w:val="clear" w:color="auto" w:fill="auto"/>
            <w:noWrap/>
            <w:vAlign w:val="center"/>
            <w:hideMark/>
          </w:tcPr>
          <w:p w14:paraId="36C47391" w14:textId="77777777" w:rsidR="00DA783E" w:rsidRPr="00DA783E" w:rsidRDefault="00DA783E" w:rsidP="00DA783E">
            <w:pPr>
              <w:jc w:val="righ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811034077</w:t>
            </w:r>
          </w:p>
        </w:tc>
        <w:tc>
          <w:tcPr>
            <w:tcW w:w="4716" w:type="dxa"/>
            <w:shd w:val="clear" w:color="auto" w:fill="auto"/>
            <w:vAlign w:val="center"/>
            <w:hideMark/>
          </w:tcPr>
          <w:p w14:paraId="299243EA" w14:textId="77777777" w:rsidR="00DA783E" w:rsidRPr="00DA783E" w:rsidRDefault="00DA783E" w:rsidP="00DA783E">
            <w:pPr>
              <w:jc w:val="lef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EMPRESA DE SERVICIOS PUBLICOS DE MURINDO S.A.S E.S.P.</w:t>
            </w:r>
          </w:p>
        </w:tc>
        <w:tc>
          <w:tcPr>
            <w:tcW w:w="805" w:type="dxa"/>
            <w:shd w:val="clear" w:color="auto" w:fill="auto"/>
            <w:noWrap/>
            <w:vAlign w:val="center"/>
            <w:hideMark/>
          </w:tcPr>
          <w:p w14:paraId="6B44315C" w14:textId="77777777" w:rsidR="00DA783E" w:rsidRPr="00DA783E" w:rsidRDefault="00DA783E" w:rsidP="00DA783E">
            <w:pPr>
              <w:jc w:val="lef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ENERGIA</w:t>
            </w:r>
          </w:p>
        </w:tc>
        <w:tc>
          <w:tcPr>
            <w:tcW w:w="1180" w:type="dxa"/>
            <w:shd w:val="clear" w:color="auto" w:fill="auto"/>
            <w:noWrap/>
            <w:vAlign w:val="bottom"/>
            <w:hideMark/>
          </w:tcPr>
          <w:p w14:paraId="32268FF5" w14:textId="3167FBDB" w:rsidR="00DA783E" w:rsidRPr="00DA783E" w:rsidRDefault="00DA783E" w:rsidP="00DA783E">
            <w:pPr>
              <w:jc w:val="righ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 xml:space="preserve">    1</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361</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749</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 xml:space="preserve">307 </w:t>
            </w:r>
          </w:p>
        </w:tc>
        <w:tc>
          <w:tcPr>
            <w:tcW w:w="1180" w:type="dxa"/>
            <w:shd w:val="clear" w:color="auto" w:fill="auto"/>
            <w:noWrap/>
            <w:vAlign w:val="bottom"/>
            <w:hideMark/>
          </w:tcPr>
          <w:p w14:paraId="0C6D7576" w14:textId="0CE16572" w:rsidR="00DA783E" w:rsidRPr="00DA783E" w:rsidRDefault="00DA783E" w:rsidP="00DA783E">
            <w:pPr>
              <w:jc w:val="righ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 xml:space="preserve">    1</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340</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172</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 xml:space="preserve">529 </w:t>
            </w:r>
          </w:p>
        </w:tc>
      </w:tr>
      <w:tr w:rsidR="00DA783E" w:rsidRPr="00DA783E" w14:paraId="61E6A607" w14:textId="77777777" w:rsidTr="00731E92">
        <w:trPr>
          <w:trHeight w:val="470"/>
        </w:trPr>
        <w:tc>
          <w:tcPr>
            <w:tcW w:w="580" w:type="dxa"/>
            <w:shd w:val="clear" w:color="auto" w:fill="auto"/>
            <w:noWrap/>
            <w:vAlign w:val="center"/>
            <w:hideMark/>
          </w:tcPr>
          <w:p w14:paraId="53801E76" w14:textId="77777777" w:rsidR="00DA783E" w:rsidRPr="00DA783E" w:rsidRDefault="00DA783E" w:rsidP="00DA783E">
            <w:pPr>
              <w:jc w:val="center"/>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16</w:t>
            </w:r>
          </w:p>
        </w:tc>
        <w:tc>
          <w:tcPr>
            <w:tcW w:w="879" w:type="dxa"/>
            <w:shd w:val="clear" w:color="auto" w:fill="auto"/>
            <w:noWrap/>
            <w:vAlign w:val="center"/>
            <w:hideMark/>
          </w:tcPr>
          <w:p w14:paraId="751D67E3" w14:textId="77777777" w:rsidR="00DA783E" w:rsidRPr="00DA783E" w:rsidRDefault="00DA783E" w:rsidP="00DA783E">
            <w:pPr>
              <w:jc w:val="righ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900662075</w:t>
            </w:r>
          </w:p>
        </w:tc>
        <w:tc>
          <w:tcPr>
            <w:tcW w:w="4716" w:type="dxa"/>
            <w:shd w:val="clear" w:color="auto" w:fill="auto"/>
            <w:vAlign w:val="center"/>
            <w:hideMark/>
          </w:tcPr>
          <w:p w14:paraId="04275333" w14:textId="77777777" w:rsidR="00DA783E" w:rsidRPr="00DA783E" w:rsidRDefault="00DA783E" w:rsidP="00DA783E">
            <w:pPr>
              <w:jc w:val="lef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EMPRESA DE SERVICIOS PUBLICOS DEL OCCIDENTE COLOMBIANO S.A.</w:t>
            </w:r>
          </w:p>
        </w:tc>
        <w:tc>
          <w:tcPr>
            <w:tcW w:w="805" w:type="dxa"/>
            <w:shd w:val="clear" w:color="auto" w:fill="auto"/>
            <w:noWrap/>
            <w:vAlign w:val="center"/>
            <w:hideMark/>
          </w:tcPr>
          <w:p w14:paraId="73AF7602" w14:textId="77777777" w:rsidR="00DA783E" w:rsidRPr="00DA783E" w:rsidRDefault="00DA783E" w:rsidP="00DA783E">
            <w:pPr>
              <w:jc w:val="lef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ENERGIA</w:t>
            </w:r>
          </w:p>
        </w:tc>
        <w:tc>
          <w:tcPr>
            <w:tcW w:w="1180" w:type="dxa"/>
            <w:shd w:val="clear" w:color="auto" w:fill="auto"/>
            <w:noWrap/>
            <w:vAlign w:val="bottom"/>
            <w:hideMark/>
          </w:tcPr>
          <w:p w14:paraId="2D4F2A8E" w14:textId="3F487C51" w:rsidR="00DA783E" w:rsidRPr="00DA783E" w:rsidRDefault="00DA783E" w:rsidP="00DA783E">
            <w:pPr>
              <w:jc w:val="righ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 xml:space="preserve">       694</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284</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 xml:space="preserve">964 </w:t>
            </w:r>
          </w:p>
        </w:tc>
        <w:tc>
          <w:tcPr>
            <w:tcW w:w="1180" w:type="dxa"/>
            <w:shd w:val="clear" w:color="auto" w:fill="auto"/>
            <w:noWrap/>
            <w:vAlign w:val="bottom"/>
            <w:hideMark/>
          </w:tcPr>
          <w:p w14:paraId="51205EEE" w14:textId="1973491F" w:rsidR="00DA783E" w:rsidRPr="00DA783E" w:rsidRDefault="00DA783E" w:rsidP="00DA783E">
            <w:pPr>
              <w:jc w:val="righ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 xml:space="preserve">       683</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284</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 xml:space="preserve">090 </w:t>
            </w:r>
          </w:p>
        </w:tc>
      </w:tr>
      <w:tr w:rsidR="00DA783E" w:rsidRPr="00DA783E" w14:paraId="13DD648B" w14:textId="77777777" w:rsidTr="00731E92">
        <w:trPr>
          <w:trHeight w:val="300"/>
        </w:trPr>
        <w:tc>
          <w:tcPr>
            <w:tcW w:w="580" w:type="dxa"/>
            <w:shd w:val="clear" w:color="auto" w:fill="auto"/>
            <w:noWrap/>
            <w:vAlign w:val="center"/>
            <w:hideMark/>
          </w:tcPr>
          <w:p w14:paraId="687C4504" w14:textId="77777777" w:rsidR="00DA783E" w:rsidRPr="00DA783E" w:rsidRDefault="00DA783E" w:rsidP="00DA783E">
            <w:pPr>
              <w:jc w:val="center"/>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17</w:t>
            </w:r>
          </w:p>
        </w:tc>
        <w:tc>
          <w:tcPr>
            <w:tcW w:w="879" w:type="dxa"/>
            <w:shd w:val="clear" w:color="auto" w:fill="auto"/>
            <w:noWrap/>
            <w:vAlign w:val="center"/>
            <w:hideMark/>
          </w:tcPr>
          <w:p w14:paraId="02708891" w14:textId="77777777" w:rsidR="00DA783E" w:rsidRPr="00DA783E" w:rsidRDefault="00DA783E" w:rsidP="00DA783E">
            <w:pPr>
              <w:jc w:val="righ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818000293</w:t>
            </w:r>
          </w:p>
        </w:tc>
        <w:tc>
          <w:tcPr>
            <w:tcW w:w="4716" w:type="dxa"/>
            <w:shd w:val="clear" w:color="auto" w:fill="auto"/>
            <w:vAlign w:val="center"/>
            <w:hideMark/>
          </w:tcPr>
          <w:p w14:paraId="3233DB8C" w14:textId="77777777" w:rsidR="00DA783E" w:rsidRPr="00DA783E" w:rsidRDefault="00DA783E" w:rsidP="00DA783E">
            <w:pPr>
              <w:jc w:val="lef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EMPRESA DE SERVICOS PUBLICOS DE ACANDI S.A E.S.P.</w:t>
            </w:r>
          </w:p>
        </w:tc>
        <w:tc>
          <w:tcPr>
            <w:tcW w:w="805" w:type="dxa"/>
            <w:shd w:val="clear" w:color="auto" w:fill="auto"/>
            <w:noWrap/>
            <w:vAlign w:val="center"/>
            <w:hideMark/>
          </w:tcPr>
          <w:p w14:paraId="0A7A5E89" w14:textId="77777777" w:rsidR="00DA783E" w:rsidRPr="00DA783E" w:rsidRDefault="00DA783E" w:rsidP="00DA783E">
            <w:pPr>
              <w:jc w:val="lef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ENERGIA</w:t>
            </w:r>
          </w:p>
        </w:tc>
        <w:tc>
          <w:tcPr>
            <w:tcW w:w="1180" w:type="dxa"/>
            <w:shd w:val="clear" w:color="auto" w:fill="auto"/>
            <w:noWrap/>
            <w:vAlign w:val="bottom"/>
            <w:hideMark/>
          </w:tcPr>
          <w:p w14:paraId="13895BA1" w14:textId="3421F809" w:rsidR="00DA783E" w:rsidRPr="00DA783E" w:rsidRDefault="00DA783E" w:rsidP="00DA783E">
            <w:pPr>
              <w:jc w:val="righ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 xml:space="preserve">       352</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405</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 xml:space="preserve">767 </w:t>
            </w:r>
          </w:p>
        </w:tc>
        <w:tc>
          <w:tcPr>
            <w:tcW w:w="1180" w:type="dxa"/>
            <w:shd w:val="clear" w:color="auto" w:fill="auto"/>
            <w:noWrap/>
            <w:vAlign w:val="bottom"/>
            <w:hideMark/>
          </w:tcPr>
          <w:p w14:paraId="178CE943" w14:textId="492436B9" w:rsidR="00DA783E" w:rsidRPr="00DA783E" w:rsidRDefault="00DA783E" w:rsidP="00DA783E">
            <w:pPr>
              <w:jc w:val="righ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 xml:space="preserve">       346</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821</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 xml:space="preserve">933 </w:t>
            </w:r>
          </w:p>
        </w:tc>
      </w:tr>
      <w:tr w:rsidR="00DA783E" w:rsidRPr="00DA783E" w14:paraId="6C8050C8" w14:textId="77777777" w:rsidTr="00731E92">
        <w:trPr>
          <w:trHeight w:val="300"/>
        </w:trPr>
        <w:tc>
          <w:tcPr>
            <w:tcW w:w="580" w:type="dxa"/>
            <w:shd w:val="clear" w:color="auto" w:fill="auto"/>
            <w:noWrap/>
            <w:vAlign w:val="center"/>
            <w:hideMark/>
          </w:tcPr>
          <w:p w14:paraId="2F66DAA0" w14:textId="77777777" w:rsidR="00DA783E" w:rsidRPr="00DA783E" w:rsidRDefault="00DA783E" w:rsidP="00DA783E">
            <w:pPr>
              <w:jc w:val="center"/>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18</w:t>
            </w:r>
          </w:p>
        </w:tc>
        <w:tc>
          <w:tcPr>
            <w:tcW w:w="879" w:type="dxa"/>
            <w:shd w:val="clear" w:color="auto" w:fill="auto"/>
            <w:noWrap/>
            <w:vAlign w:val="center"/>
            <w:hideMark/>
          </w:tcPr>
          <w:p w14:paraId="17DDF376" w14:textId="77777777" w:rsidR="00DA783E" w:rsidRPr="00DA783E" w:rsidRDefault="00DA783E" w:rsidP="00DA783E">
            <w:pPr>
              <w:jc w:val="righ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801004102</w:t>
            </w:r>
          </w:p>
        </w:tc>
        <w:tc>
          <w:tcPr>
            <w:tcW w:w="4716" w:type="dxa"/>
            <w:shd w:val="clear" w:color="auto" w:fill="auto"/>
            <w:vAlign w:val="center"/>
            <w:hideMark/>
          </w:tcPr>
          <w:p w14:paraId="38D1A659" w14:textId="77777777" w:rsidR="00DA783E" w:rsidRPr="00DA783E" w:rsidRDefault="00DA783E" w:rsidP="00DA783E">
            <w:pPr>
              <w:jc w:val="lef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EMPRESA MULTIPROPOSITO DE CALARCA S.A.S. E.S.P.</w:t>
            </w:r>
          </w:p>
        </w:tc>
        <w:tc>
          <w:tcPr>
            <w:tcW w:w="805" w:type="dxa"/>
            <w:shd w:val="clear" w:color="auto" w:fill="auto"/>
            <w:noWrap/>
            <w:vAlign w:val="center"/>
            <w:hideMark/>
          </w:tcPr>
          <w:p w14:paraId="5DE76BD0" w14:textId="77777777" w:rsidR="00DA783E" w:rsidRPr="00DA783E" w:rsidRDefault="00DA783E" w:rsidP="00DA783E">
            <w:pPr>
              <w:jc w:val="lef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ENERGIA</w:t>
            </w:r>
          </w:p>
        </w:tc>
        <w:tc>
          <w:tcPr>
            <w:tcW w:w="1180" w:type="dxa"/>
            <w:shd w:val="clear" w:color="auto" w:fill="auto"/>
            <w:noWrap/>
            <w:vAlign w:val="bottom"/>
            <w:hideMark/>
          </w:tcPr>
          <w:p w14:paraId="121FEF58" w14:textId="483DAFB1" w:rsidR="00DA783E" w:rsidRPr="00DA783E" w:rsidRDefault="00DA783E" w:rsidP="00DA783E">
            <w:pPr>
              <w:jc w:val="righ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 xml:space="preserve">       184</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092</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 xml:space="preserve">985 </w:t>
            </w:r>
          </w:p>
        </w:tc>
        <w:tc>
          <w:tcPr>
            <w:tcW w:w="1180" w:type="dxa"/>
            <w:shd w:val="clear" w:color="auto" w:fill="auto"/>
            <w:noWrap/>
            <w:vAlign w:val="bottom"/>
            <w:hideMark/>
          </w:tcPr>
          <w:p w14:paraId="6E2DC235" w14:textId="233DBCB9" w:rsidR="00DA783E" w:rsidRPr="00DA783E" w:rsidRDefault="00DA783E" w:rsidP="00DA783E">
            <w:pPr>
              <w:jc w:val="righ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 xml:space="preserve">       181</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176</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 xml:space="preserve">050 </w:t>
            </w:r>
          </w:p>
        </w:tc>
      </w:tr>
      <w:tr w:rsidR="00DA783E" w:rsidRPr="00DA783E" w14:paraId="416943D8" w14:textId="77777777" w:rsidTr="00731E92">
        <w:trPr>
          <w:trHeight w:val="470"/>
        </w:trPr>
        <w:tc>
          <w:tcPr>
            <w:tcW w:w="580" w:type="dxa"/>
            <w:shd w:val="clear" w:color="auto" w:fill="auto"/>
            <w:noWrap/>
            <w:vAlign w:val="center"/>
            <w:hideMark/>
          </w:tcPr>
          <w:p w14:paraId="11A7E74B" w14:textId="77777777" w:rsidR="00DA783E" w:rsidRPr="00DA783E" w:rsidRDefault="00DA783E" w:rsidP="00DA783E">
            <w:pPr>
              <w:jc w:val="center"/>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19</w:t>
            </w:r>
          </w:p>
        </w:tc>
        <w:tc>
          <w:tcPr>
            <w:tcW w:w="879" w:type="dxa"/>
            <w:shd w:val="clear" w:color="auto" w:fill="auto"/>
            <w:noWrap/>
            <w:vAlign w:val="center"/>
            <w:hideMark/>
          </w:tcPr>
          <w:p w14:paraId="7160EB9B" w14:textId="77777777" w:rsidR="00DA783E" w:rsidRPr="00DA783E" w:rsidRDefault="00DA783E" w:rsidP="00DA783E">
            <w:pPr>
              <w:jc w:val="righ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900063884</w:t>
            </w:r>
          </w:p>
        </w:tc>
        <w:tc>
          <w:tcPr>
            <w:tcW w:w="4716" w:type="dxa"/>
            <w:shd w:val="clear" w:color="auto" w:fill="auto"/>
            <w:vAlign w:val="center"/>
            <w:hideMark/>
          </w:tcPr>
          <w:p w14:paraId="2E3B7E77" w14:textId="77777777" w:rsidR="00DA783E" w:rsidRPr="00DA783E" w:rsidRDefault="00DA783E" w:rsidP="00DA783E">
            <w:pPr>
              <w:jc w:val="lef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EMPRESA MUNICIPAL DE SERVICIOS PUBLICOS DE PUERTO PARRA EMSEPAR E.S.P. S.A.</w:t>
            </w:r>
          </w:p>
        </w:tc>
        <w:tc>
          <w:tcPr>
            <w:tcW w:w="805" w:type="dxa"/>
            <w:shd w:val="clear" w:color="auto" w:fill="auto"/>
            <w:noWrap/>
            <w:vAlign w:val="center"/>
            <w:hideMark/>
          </w:tcPr>
          <w:p w14:paraId="3B6F5719" w14:textId="77777777" w:rsidR="00DA783E" w:rsidRPr="00DA783E" w:rsidRDefault="00DA783E" w:rsidP="00DA783E">
            <w:pPr>
              <w:jc w:val="lef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GAS</w:t>
            </w:r>
          </w:p>
        </w:tc>
        <w:tc>
          <w:tcPr>
            <w:tcW w:w="1180" w:type="dxa"/>
            <w:shd w:val="clear" w:color="auto" w:fill="auto"/>
            <w:noWrap/>
            <w:vAlign w:val="bottom"/>
            <w:hideMark/>
          </w:tcPr>
          <w:p w14:paraId="396D38F1" w14:textId="302DAF1F" w:rsidR="00DA783E" w:rsidRPr="00DA783E" w:rsidRDefault="00DA783E" w:rsidP="00DA783E">
            <w:pPr>
              <w:jc w:val="righ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 xml:space="preserve">       151</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315</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 xml:space="preserve">001 </w:t>
            </w:r>
          </w:p>
        </w:tc>
        <w:tc>
          <w:tcPr>
            <w:tcW w:w="1180" w:type="dxa"/>
            <w:shd w:val="clear" w:color="auto" w:fill="auto"/>
            <w:noWrap/>
            <w:vAlign w:val="bottom"/>
            <w:hideMark/>
          </w:tcPr>
          <w:p w14:paraId="2E2E4DBE" w14:textId="691B6AF9" w:rsidR="00DA783E" w:rsidRPr="00DA783E" w:rsidRDefault="00DA783E" w:rsidP="00DA783E">
            <w:pPr>
              <w:jc w:val="righ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 xml:space="preserve">       148</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917</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 xml:space="preserve">430 </w:t>
            </w:r>
          </w:p>
        </w:tc>
      </w:tr>
      <w:tr w:rsidR="00DA783E" w:rsidRPr="00DA783E" w14:paraId="37310180" w14:textId="77777777" w:rsidTr="00731E92">
        <w:trPr>
          <w:trHeight w:val="300"/>
        </w:trPr>
        <w:tc>
          <w:tcPr>
            <w:tcW w:w="580" w:type="dxa"/>
            <w:shd w:val="clear" w:color="auto" w:fill="auto"/>
            <w:noWrap/>
            <w:vAlign w:val="center"/>
            <w:hideMark/>
          </w:tcPr>
          <w:p w14:paraId="7E5C9CCB" w14:textId="77777777" w:rsidR="00DA783E" w:rsidRPr="00DA783E" w:rsidRDefault="00DA783E" w:rsidP="00DA783E">
            <w:pPr>
              <w:jc w:val="center"/>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20</w:t>
            </w:r>
          </w:p>
        </w:tc>
        <w:tc>
          <w:tcPr>
            <w:tcW w:w="879" w:type="dxa"/>
            <w:shd w:val="clear" w:color="auto" w:fill="auto"/>
            <w:noWrap/>
            <w:vAlign w:val="center"/>
            <w:hideMark/>
          </w:tcPr>
          <w:p w14:paraId="41F80418" w14:textId="77777777" w:rsidR="00DA783E" w:rsidRPr="00DA783E" w:rsidRDefault="00DA783E" w:rsidP="00DA783E">
            <w:pPr>
              <w:jc w:val="righ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842000030</w:t>
            </w:r>
          </w:p>
        </w:tc>
        <w:tc>
          <w:tcPr>
            <w:tcW w:w="4716" w:type="dxa"/>
            <w:shd w:val="clear" w:color="auto" w:fill="auto"/>
            <w:vAlign w:val="center"/>
            <w:hideMark/>
          </w:tcPr>
          <w:p w14:paraId="62C1D95E" w14:textId="77777777" w:rsidR="00DA783E" w:rsidRPr="00DA783E" w:rsidRDefault="00DA783E" w:rsidP="00DA783E">
            <w:pPr>
              <w:jc w:val="lef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EMPRESA SIGLO XXI EICE ESP</w:t>
            </w:r>
          </w:p>
        </w:tc>
        <w:tc>
          <w:tcPr>
            <w:tcW w:w="805" w:type="dxa"/>
            <w:shd w:val="clear" w:color="auto" w:fill="auto"/>
            <w:noWrap/>
            <w:vAlign w:val="center"/>
            <w:hideMark/>
          </w:tcPr>
          <w:p w14:paraId="41BCE462" w14:textId="77777777" w:rsidR="00DA783E" w:rsidRPr="00DA783E" w:rsidRDefault="00DA783E" w:rsidP="00DA783E">
            <w:pPr>
              <w:jc w:val="lef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ENERGIA</w:t>
            </w:r>
          </w:p>
        </w:tc>
        <w:tc>
          <w:tcPr>
            <w:tcW w:w="1180" w:type="dxa"/>
            <w:shd w:val="clear" w:color="auto" w:fill="auto"/>
            <w:noWrap/>
            <w:vAlign w:val="bottom"/>
            <w:hideMark/>
          </w:tcPr>
          <w:p w14:paraId="06925966" w14:textId="6873E5B1" w:rsidR="00DA783E" w:rsidRPr="00DA783E" w:rsidRDefault="00DA783E" w:rsidP="00DA783E">
            <w:pPr>
              <w:jc w:val="righ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 xml:space="preserve">       383</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892</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 xml:space="preserve">346 </w:t>
            </w:r>
          </w:p>
        </w:tc>
        <w:tc>
          <w:tcPr>
            <w:tcW w:w="1180" w:type="dxa"/>
            <w:shd w:val="clear" w:color="auto" w:fill="auto"/>
            <w:noWrap/>
            <w:vAlign w:val="bottom"/>
            <w:hideMark/>
          </w:tcPr>
          <w:p w14:paraId="377C50B5" w14:textId="79415EB8" w:rsidR="00DA783E" w:rsidRPr="00DA783E" w:rsidRDefault="00DA783E" w:rsidP="00DA783E">
            <w:pPr>
              <w:jc w:val="righ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 xml:space="preserve">       377</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809</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 xml:space="preserve">612 </w:t>
            </w:r>
          </w:p>
        </w:tc>
      </w:tr>
      <w:tr w:rsidR="00DA783E" w:rsidRPr="00DA783E" w14:paraId="063C12D4" w14:textId="77777777" w:rsidTr="00731E92">
        <w:trPr>
          <w:trHeight w:val="470"/>
        </w:trPr>
        <w:tc>
          <w:tcPr>
            <w:tcW w:w="580" w:type="dxa"/>
            <w:shd w:val="clear" w:color="auto" w:fill="auto"/>
            <w:noWrap/>
            <w:vAlign w:val="center"/>
            <w:hideMark/>
          </w:tcPr>
          <w:p w14:paraId="6E136BDB" w14:textId="77777777" w:rsidR="00DA783E" w:rsidRPr="00DA783E" w:rsidRDefault="00DA783E" w:rsidP="00DA783E">
            <w:pPr>
              <w:jc w:val="center"/>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21</w:t>
            </w:r>
          </w:p>
        </w:tc>
        <w:tc>
          <w:tcPr>
            <w:tcW w:w="879" w:type="dxa"/>
            <w:shd w:val="clear" w:color="auto" w:fill="auto"/>
            <w:noWrap/>
            <w:vAlign w:val="center"/>
            <w:hideMark/>
          </w:tcPr>
          <w:p w14:paraId="7A1DA106" w14:textId="77777777" w:rsidR="00DA783E" w:rsidRPr="00DA783E" w:rsidRDefault="00DA783E" w:rsidP="00DA783E">
            <w:pPr>
              <w:jc w:val="righ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900189881</w:t>
            </w:r>
          </w:p>
        </w:tc>
        <w:tc>
          <w:tcPr>
            <w:tcW w:w="4716" w:type="dxa"/>
            <w:shd w:val="clear" w:color="auto" w:fill="auto"/>
            <w:vAlign w:val="center"/>
            <w:hideMark/>
          </w:tcPr>
          <w:p w14:paraId="5DB755BE" w14:textId="77777777" w:rsidR="00DA783E" w:rsidRPr="00DA783E" w:rsidRDefault="00DA783E" w:rsidP="00DA783E">
            <w:pPr>
              <w:jc w:val="lef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ENERCOR S.A. E.S.P. - COMERCIALIZADORA ENERGETICA DEL ORIENTE</w:t>
            </w:r>
          </w:p>
        </w:tc>
        <w:tc>
          <w:tcPr>
            <w:tcW w:w="805" w:type="dxa"/>
            <w:shd w:val="clear" w:color="auto" w:fill="auto"/>
            <w:noWrap/>
            <w:vAlign w:val="center"/>
            <w:hideMark/>
          </w:tcPr>
          <w:p w14:paraId="5D614FE2" w14:textId="77777777" w:rsidR="00DA783E" w:rsidRPr="00DA783E" w:rsidRDefault="00DA783E" w:rsidP="00DA783E">
            <w:pPr>
              <w:jc w:val="lef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GAS</w:t>
            </w:r>
          </w:p>
        </w:tc>
        <w:tc>
          <w:tcPr>
            <w:tcW w:w="1180" w:type="dxa"/>
            <w:shd w:val="clear" w:color="auto" w:fill="auto"/>
            <w:noWrap/>
            <w:vAlign w:val="bottom"/>
            <w:hideMark/>
          </w:tcPr>
          <w:p w14:paraId="79428696" w14:textId="43EEEA06" w:rsidR="00DA783E" w:rsidRPr="00DA783E" w:rsidRDefault="00DA783E" w:rsidP="00DA783E">
            <w:pPr>
              <w:jc w:val="righ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 xml:space="preserve">       302</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071</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 xml:space="preserve">289 </w:t>
            </w:r>
          </w:p>
        </w:tc>
        <w:tc>
          <w:tcPr>
            <w:tcW w:w="1180" w:type="dxa"/>
            <w:shd w:val="clear" w:color="auto" w:fill="auto"/>
            <w:noWrap/>
            <w:vAlign w:val="bottom"/>
            <w:hideMark/>
          </w:tcPr>
          <w:p w14:paraId="08322181" w14:textId="2FA670FB" w:rsidR="00DA783E" w:rsidRPr="00DA783E" w:rsidRDefault="00DA783E" w:rsidP="00DA783E">
            <w:pPr>
              <w:jc w:val="righ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 xml:space="preserve">       297</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285</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 xml:space="preserve">000 </w:t>
            </w:r>
          </w:p>
        </w:tc>
      </w:tr>
      <w:tr w:rsidR="00DA783E" w:rsidRPr="00DA783E" w14:paraId="44080CB4" w14:textId="77777777" w:rsidTr="00731E92">
        <w:trPr>
          <w:trHeight w:val="300"/>
        </w:trPr>
        <w:tc>
          <w:tcPr>
            <w:tcW w:w="580" w:type="dxa"/>
            <w:shd w:val="clear" w:color="auto" w:fill="auto"/>
            <w:noWrap/>
            <w:vAlign w:val="center"/>
            <w:hideMark/>
          </w:tcPr>
          <w:p w14:paraId="49AB1500" w14:textId="77777777" w:rsidR="00DA783E" w:rsidRPr="00DA783E" w:rsidRDefault="00DA783E" w:rsidP="00DA783E">
            <w:pPr>
              <w:jc w:val="center"/>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22</w:t>
            </w:r>
          </w:p>
        </w:tc>
        <w:tc>
          <w:tcPr>
            <w:tcW w:w="879" w:type="dxa"/>
            <w:shd w:val="clear" w:color="auto" w:fill="auto"/>
            <w:noWrap/>
            <w:vAlign w:val="center"/>
            <w:hideMark/>
          </w:tcPr>
          <w:p w14:paraId="43516D80" w14:textId="77777777" w:rsidR="00DA783E" w:rsidRPr="00DA783E" w:rsidRDefault="00DA783E" w:rsidP="00DA783E">
            <w:pPr>
              <w:jc w:val="righ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901024864</w:t>
            </w:r>
          </w:p>
        </w:tc>
        <w:tc>
          <w:tcPr>
            <w:tcW w:w="4716" w:type="dxa"/>
            <w:shd w:val="clear" w:color="auto" w:fill="auto"/>
            <w:vAlign w:val="center"/>
            <w:hideMark/>
          </w:tcPr>
          <w:p w14:paraId="25E2B2CD" w14:textId="77777777" w:rsidR="00DA783E" w:rsidRPr="00DA783E" w:rsidRDefault="00DA783E" w:rsidP="00DA783E">
            <w:pPr>
              <w:jc w:val="lef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ENTREGAMOS G.L.P. E.S.P. S.A.S.</w:t>
            </w:r>
          </w:p>
        </w:tc>
        <w:tc>
          <w:tcPr>
            <w:tcW w:w="805" w:type="dxa"/>
            <w:shd w:val="clear" w:color="auto" w:fill="auto"/>
            <w:noWrap/>
            <w:vAlign w:val="center"/>
            <w:hideMark/>
          </w:tcPr>
          <w:p w14:paraId="04F21A26" w14:textId="77777777" w:rsidR="00DA783E" w:rsidRPr="00DA783E" w:rsidRDefault="00DA783E" w:rsidP="00DA783E">
            <w:pPr>
              <w:jc w:val="lef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GLP</w:t>
            </w:r>
          </w:p>
        </w:tc>
        <w:tc>
          <w:tcPr>
            <w:tcW w:w="1180" w:type="dxa"/>
            <w:shd w:val="clear" w:color="auto" w:fill="auto"/>
            <w:noWrap/>
            <w:vAlign w:val="bottom"/>
            <w:hideMark/>
          </w:tcPr>
          <w:p w14:paraId="56E1D5B5" w14:textId="4D2B2B6F" w:rsidR="00DA783E" w:rsidRPr="00DA783E" w:rsidRDefault="00DA783E" w:rsidP="00DA783E">
            <w:pPr>
              <w:jc w:val="righ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 xml:space="preserve">         23</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986</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 xml:space="preserve">057 </w:t>
            </w:r>
          </w:p>
        </w:tc>
        <w:tc>
          <w:tcPr>
            <w:tcW w:w="1180" w:type="dxa"/>
            <w:shd w:val="clear" w:color="auto" w:fill="auto"/>
            <w:noWrap/>
            <w:vAlign w:val="bottom"/>
            <w:hideMark/>
          </w:tcPr>
          <w:p w14:paraId="30D0598C" w14:textId="7253B246" w:rsidR="00DA783E" w:rsidRPr="00DA783E" w:rsidRDefault="00DA783E" w:rsidP="00DA783E">
            <w:pPr>
              <w:jc w:val="righ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 xml:space="preserve">         23</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606</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 xml:space="preserve">000 </w:t>
            </w:r>
          </w:p>
        </w:tc>
      </w:tr>
      <w:tr w:rsidR="00DA783E" w:rsidRPr="00DA783E" w14:paraId="7F476CD8" w14:textId="77777777" w:rsidTr="00731E92">
        <w:trPr>
          <w:trHeight w:val="300"/>
        </w:trPr>
        <w:tc>
          <w:tcPr>
            <w:tcW w:w="580" w:type="dxa"/>
            <w:shd w:val="clear" w:color="auto" w:fill="auto"/>
            <w:noWrap/>
            <w:vAlign w:val="center"/>
            <w:hideMark/>
          </w:tcPr>
          <w:p w14:paraId="03DC1BC1" w14:textId="77777777" w:rsidR="00DA783E" w:rsidRPr="00DA783E" w:rsidRDefault="00DA783E" w:rsidP="00DA783E">
            <w:pPr>
              <w:jc w:val="center"/>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23</w:t>
            </w:r>
          </w:p>
        </w:tc>
        <w:tc>
          <w:tcPr>
            <w:tcW w:w="879" w:type="dxa"/>
            <w:shd w:val="clear" w:color="auto" w:fill="auto"/>
            <w:noWrap/>
            <w:vAlign w:val="center"/>
            <w:hideMark/>
          </w:tcPr>
          <w:p w14:paraId="2E215DBB" w14:textId="77777777" w:rsidR="00DA783E" w:rsidRPr="00DA783E" w:rsidRDefault="00DA783E" w:rsidP="00DA783E">
            <w:pPr>
              <w:jc w:val="righ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900089898</w:t>
            </w:r>
          </w:p>
        </w:tc>
        <w:tc>
          <w:tcPr>
            <w:tcW w:w="4716" w:type="dxa"/>
            <w:shd w:val="clear" w:color="auto" w:fill="auto"/>
            <w:vAlign w:val="center"/>
            <w:hideMark/>
          </w:tcPr>
          <w:p w14:paraId="5115A5A0" w14:textId="77777777" w:rsidR="00DA783E" w:rsidRPr="00DA783E" w:rsidRDefault="00DA783E" w:rsidP="00DA783E">
            <w:pPr>
              <w:jc w:val="lef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GAS SUPERIOR DE COLOMBIA SA ESP</w:t>
            </w:r>
          </w:p>
        </w:tc>
        <w:tc>
          <w:tcPr>
            <w:tcW w:w="805" w:type="dxa"/>
            <w:shd w:val="clear" w:color="auto" w:fill="auto"/>
            <w:noWrap/>
            <w:vAlign w:val="center"/>
            <w:hideMark/>
          </w:tcPr>
          <w:p w14:paraId="467FCB08" w14:textId="77777777" w:rsidR="00DA783E" w:rsidRPr="00DA783E" w:rsidRDefault="00DA783E" w:rsidP="00DA783E">
            <w:pPr>
              <w:jc w:val="lef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GLP</w:t>
            </w:r>
          </w:p>
        </w:tc>
        <w:tc>
          <w:tcPr>
            <w:tcW w:w="1180" w:type="dxa"/>
            <w:shd w:val="clear" w:color="auto" w:fill="auto"/>
            <w:noWrap/>
            <w:vAlign w:val="bottom"/>
            <w:hideMark/>
          </w:tcPr>
          <w:p w14:paraId="2F9CDEEE" w14:textId="365C2DE8" w:rsidR="00DA783E" w:rsidRPr="00DA783E" w:rsidRDefault="00DA783E" w:rsidP="00DA783E">
            <w:pPr>
              <w:jc w:val="righ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 xml:space="preserve">       447</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100</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 xml:space="preserve">627 </w:t>
            </w:r>
          </w:p>
        </w:tc>
        <w:tc>
          <w:tcPr>
            <w:tcW w:w="1180" w:type="dxa"/>
            <w:shd w:val="clear" w:color="auto" w:fill="auto"/>
            <w:noWrap/>
            <w:vAlign w:val="bottom"/>
            <w:hideMark/>
          </w:tcPr>
          <w:p w14:paraId="30210EF4" w14:textId="5E594721" w:rsidR="00DA783E" w:rsidRPr="00DA783E" w:rsidRDefault="00DA783E" w:rsidP="00DA783E">
            <w:pPr>
              <w:jc w:val="righ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 xml:space="preserve">       440</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016</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 xml:space="preserve">364 </w:t>
            </w:r>
          </w:p>
        </w:tc>
      </w:tr>
      <w:tr w:rsidR="00DA783E" w:rsidRPr="00DA783E" w14:paraId="721C441A" w14:textId="77777777" w:rsidTr="00731E92">
        <w:trPr>
          <w:trHeight w:val="300"/>
        </w:trPr>
        <w:tc>
          <w:tcPr>
            <w:tcW w:w="580" w:type="dxa"/>
            <w:shd w:val="clear" w:color="auto" w:fill="auto"/>
            <w:noWrap/>
            <w:vAlign w:val="center"/>
            <w:hideMark/>
          </w:tcPr>
          <w:p w14:paraId="7227A23C" w14:textId="77777777" w:rsidR="00DA783E" w:rsidRPr="00DA783E" w:rsidRDefault="00DA783E" w:rsidP="00DA783E">
            <w:pPr>
              <w:jc w:val="center"/>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24</w:t>
            </w:r>
          </w:p>
        </w:tc>
        <w:tc>
          <w:tcPr>
            <w:tcW w:w="879" w:type="dxa"/>
            <w:shd w:val="clear" w:color="auto" w:fill="auto"/>
            <w:noWrap/>
            <w:vAlign w:val="center"/>
            <w:hideMark/>
          </w:tcPr>
          <w:p w14:paraId="7587DD17" w14:textId="77777777" w:rsidR="00DA783E" w:rsidRPr="00DA783E" w:rsidRDefault="00DA783E" w:rsidP="00DA783E">
            <w:pPr>
              <w:jc w:val="righ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860026070</w:t>
            </w:r>
          </w:p>
        </w:tc>
        <w:tc>
          <w:tcPr>
            <w:tcW w:w="4716" w:type="dxa"/>
            <w:shd w:val="clear" w:color="auto" w:fill="auto"/>
            <w:vAlign w:val="center"/>
            <w:hideMark/>
          </w:tcPr>
          <w:p w14:paraId="7839C0F3" w14:textId="77777777" w:rsidR="00DA783E" w:rsidRPr="00DA783E" w:rsidRDefault="00DA783E" w:rsidP="00DA783E">
            <w:pPr>
              <w:jc w:val="lef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GAS ZIPA SAS  ESP</w:t>
            </w:r>
          </w:p>
        </w:tc>
        <w:tc>
          <w:tcPr>
            <w:tcW w:w="805" w:type="dxa"/>
            <w:shd w:val="clear" w:color="auto" w:fill="auto"/>
            <w:noWrap/>
            <w:vAlign w:val="center"/>
            <w:hideMark/>
          </w:tcPr>
          <w:p w14:paraId="5AAC2562" w14:textId="77777777" w:rsidR="00DA783E" w:rsidRPr="00DA783E" w:rsidRDefault="00DA783E" w:rsidP="00DA783E">
            <w:pPr>
              <w:jc w:val="lef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GLP</w:t>
            </w:r>
          </w:p>
        </w:tc>
        <w:tc>
          <w:tcPr>
            <w:tcW w:w="1180" w:type="dxa"/>
            <w:shd w:val="clear" w:color="auto" w:fill="auto"/>
            <w:noWrap/>
            <w:vAlign w:val="bottom"/>
            <w:hideMark/>
          </w:tcPr>
          <w:p w14:paraId="19230B3A" w14:textId="430B0095" w:rsidR="00DA783E" w:rsidRPr="00DA783E" w:rsidRDefault="00DA783E" w:rsidP="00DA783E">
            <w:pPr>
              <w:jc w:val="righ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 xml:space="preserve">  33</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839</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284</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 xml:space="preserve">991 </w:t>
            </w:r>
          </w:p>
        </w:tc>
        <w:tc>
          <w:tcPr>
            <w:tcW w:w="1180" w:type="dxa"/>
            <w:shd w:val="clear" w:color="auto" w:fill="auto"/>
            <w:noWrap/>
            <w:vAlign w:val="bottom"/>
            <w:hideMark/>
          </w:tcPr>
          <w:p w14:paraId="707275C0" w14:textId="4C57B5F2" w:rsidR="00DA783E" w:rsidRPr="00DA783E" w:rsidRDefault="00DA783E" w:rsidP="00DA783E">
            <w:pPr>
              <w:jc w:val="righ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 xml:space="preserve">  33</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303</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105</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 xml:space="preserve">000 </w:t>
            </w:r>
          </w:p>
        </w:tc>
      </w:tr>
      <w:tr w:rsidR="00DA783E" w:rsidRPr="00DA783E" w14:paraId="1D4EA368" w14:textId="77777777" w:rsidTr="00731E92">
        <w:trPr>
          <w:trHeight w:val="300"/>
        </w:trPr>
        <w:tc>
          <w:tcPr>
            <w:tcW w:w="580" w:type="dxa"/>
            <w:shd w:val="clear" w:color="auto" w:fill="auto"/>
            <w:noWrap/>
            <w:vAlign w:val="center"/>
            <w:hideMark/>
          </w:tcPr>
          <w:p w14:paraId="416D954D" w14:textId="77777777" w:rsidR="00DA783E" w:rsidRPr="00DA783E" w:rsidRDefault="00DA783E" w:rsidP="00DA783E">
            <w:pPr>
              <w:jc w:val="center"/>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25</w:t>
            </w:r>
          </w:p>
        </w:tc>
        <w:tc>
          <w:tcPr>
            <w:tcW w:w="879" w:type="dxa"/>
            <w:shd w:val="clear" w:color="auto" w:fill="auto"/>
            <w:noWrap/>
            <w:vAlign w:val="center"/>
            <w:hideMark/>
          </w:tcPr>
          <w:p w14:paraId="24058E8E" w14:textId="77777777" w:rsidR="00DA783E" w:rsidRPr="00DA783E" w:rsidRDefault="00DA783E" w:rsidP="00DA783E">
            <w:pPr>
              <w:jc w:val="righ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900282370</w:t>
            </w:r>
          </w:p>
        </w:tc>
        <w:tc>
          <w:tcPr>
            <w:tcW w:w="4716" w:type="dxa"/>
            <w:shd w:val="clear" w:color="auto" w:fill="auto"/>
            <w:vAlign w:val="center"/>
            <w:hideMark/>
          </w:tcPr>
          <w:p w14:paraId="043AA06D" w14:textId="77777777" w:rsidR="00DA783E" w:rsidRPr="00DA783E" w:rsidRDefault="00DA783E" w:rsidP="00DA783E">
            <w:pPr>
              <w:jc w:val="lef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GENDECAR S.A. E.S.P.</w:t>
            </w:r>
          </w:p>
        </w:tc>
        <w:tc>
          <w:tcPr>
            <w:tcW w:w="805" w:type="dxa"/>
            <w:shd w:val="clear" w:color="auto" w:fill="auto"/>
            <w:noWrap/>
            <w:vAlign w:val="center"/>
            <w:hideMark/>
          </w:tcPr>
          <w:p w14:paraId="582929F9" w14:textId="77777777" w:rsidR="00DA783E" w:rsidRPr="00DA783E" w:rsidRDefault="00DA783E" w:rsidP="00DA783E">
            <w:pPr>
              <w:jc w:val="lef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ENERGIA</w:t>
            </w:r>
          </w:p>
        </w:tc>
        <w:tc>
          <w:tcPr>
            <w:tcW w:w="1180" w:type="dxa"/>
            <w:shd w:val="clear" w:color="auto" w:fill="auto"/>
            <w:noWrap/>
            <w:vAlign w:val="bottom"/>
            <w:hideMark/>
          </w:tcPr>
          <w:p w14:paraId="3E3C0E06" w14:textId="326A3F6B" w:rsidR="00DA783E" w:rsidRPr="00DA783E" w:rsidRDefault="00DA783E" w:rsidP="00DA783E">
            <w:pPr>
              <w:jc w:val="righ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 xml:space="preserve">       171</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165</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 xml:space="preserve">518 </w:t>
            </w:r>
          </w:p>
        </w:tc>
        <w:tc>
          <w:tcPr>
            <w:tcW w:w="1180" w:type="dxa"/>
            <w:shd w:val="clear" w:color="auto" w:fill="auto"/>
            <w:noWrap/>
            <w:vAlign w:val="bottom"/>
            <w:hideMark/>
          </w:tcPr>
          <w:p w14:paraId="20F2CA7B" w14:textId="1346709A" w:rsidR="00DA783E" w:rsidRPr="00DA783E" w:rsidRDefault="00DA783E" w:rsidP="00DA783E">
            <w:pPr>
              <w:jc w:val="righ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 xml:space="preserve">       168</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453</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 xml:space="preserve">418 </w:t>
            </w:r>
          </w:p>
        </w:tc>
      </w:tr>
      <w:tr w:rsidR="00DA783E" w:rsidRPr="00DA783E" w14:paraId="5000DB39" w14:textId="77777777" w:rsidTr="00731E92">
        <w:trPr>
          <w:trHeight w:val="300"/>
        </w:trPr>
        <w:tc>
          <w:tcPr>
            <w:tcW w:w="580" w:type="dxa"/>
            <w:shd w:val="clear" w:color="auto" w:fill="auto"/>
            <w:noWrap/>
            <w:vAlign w:val="center"/>
            <w:hideMark/>
          </w:tcPr>
          <w:p w14:paraId="6CDF94A3" w14:textId="77777777" w:rsidR="00DA783E" w:rsidRPr="00DA783E" w:rsidRDefault="00DA783E" w:rsidP="00DA783E">
            <w:pPr>
              <w:jc w:val="center"/>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26</w:t>
            </w:r>
          </w:p>
        </w:tc>
        <w:tc>
          <w:tcPr>
            <w:tcW w:w="879" w:type="dxa"/>
            <w:shd w:val="clear" w:color="auto" w:fill="auto"/>
            <w:noWrap/>
            <w:vAlign w:val="center"/>
            <w:hideMark/>
          </w:tcPr>
          <w:p w14:paraId="58561278" w14:textId="77777777" w:rsidR="00DA783E" w:rsidRPr="00DA783E" w:rsidRDefault="00DA783E" w:rsidP="00DA783E">
            <w:pPr>
              <w:jc w:val="righ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830111971</w:t>
            </w:r>
          </w:p>
        </w:tc>
        <w:tc>
          <w:tcPr>
            <w:tcW w:w="4716" w:type="dxa"/>
            <w:shd w:val="clear" w:color="auto" w:fill="auto"/>
            <w:vAlign w:val="center"/>
            <w:hideMark/>
          </w:tcPr>
          <w:p w14:paraId="790F7D1A" w14:textId="77777777" w:rsidR="00DA783E" w:rsidRPr="00D26825" w:rsidRDefault="00DA783E" w:rsidP="00DA783E">
            <w:pPr>
              <w:jc w:val="left"/>
              <w:rPr>
                <w:rFonts w:ascii="Arial Narrow" w:hAnsi="Arial Narrow" w:cs="Calibri"/>
                <w:color w:val="000000"/>
                <w:spacing w:val="0"/>
                <w:sz w:val="18"/>
                <w:szCs w:val="18"/>
                <w:lang w:val="en-US" w:eastAsia="es-CO"/>
              </w:rPr>
            </w:pPr>
            <w:r w:rsidRPr="00D26825">
              <w:rPr>
                <w:rFonts w:ascii="Arial Narrow" w:hAnsi="Arial Narrow" w:cs="Calibri"/>
                <w:color w:val="000000"/>
                <w:spacing w:val="0"/>
                <w:sz w:val="18"/>
                <w:szCs w:val="18"/>
                <w:lang w:val="en-US" w:eastAsia="es-CO"/>
              </w:rPr>
              <w:t>GEOPRODUCTION OIL AND GAS COMPANY OF COLOMBIA</w:t>
            </w:r>
          </w:p>
        </w:tc>
        <w:tc>
          <w:tcPr>
            <w:tcW w:w="805" w:type="dxa"/>
            <w:shd w:val="clear" w:color="auto" w:fill="auto"/>
            <w:noWrap/>
            <w:vAlign w:val="center"/>
            <w:hideMark/>
          </w:tcPr>
          <w:p w14:paraId="623F43C8" w14:textId="77777777" w:rsidR="00DA783E" w:rsidRPr="00DA783E" w:rsidRDefault="00DA783E" w:rsidP="00DA783E">
            <w:pPr>
              <w:jc w:val="lef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GAS</w:t>
            </w:r>
          </w:p>
        </w:tc>
        <w:tc>
          <w:tcPr>
            <w:tcW w:w="1180" w:type="dxa"/>
            <w:shd w:val="clear" w:color="auto" w:fill="auto"/>
            <w:noWrap/>
            <w:vAlign w:val="bottom"/>
            <w:hideMark/>
          </w:tcPr>
          <w:p w14:paraId="30183AE1" w14:textId="5A8D7E2B" w:rsidR="00DA783E" w:rsidRPr="00DA783E" w:rsidRDefault="00DA783E" w:rsidP="00DA783E">
            <w:pPr>
              <w:jc w:val="righ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 xml:space="preserve">  21</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165</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454</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 xml:space="preserve">511 </w:t>
            </w:r>
          </w:p>
        </w:tc>
        <w:tc>
          <w:tcPr>
            <w:tcW w:w="1180" w:type="dxa"/>
            <w:shd w:val="clear" w:color="auto" w:fill="auto"/>
            <w:noWrap/>
            <w:vAlign w:val="bottom"/>
            <w:hideMark/>
          </w:tcPr>
          <w:p w14:paraId="2C97A0CE" w14:textId="164FD7E0" w:rsidR="00DA783E" w:rsidRPr="00DA783E" w:rsidRDefault="00DA783E" w:rsidP="00DA783E">
            <w:pPr>
              <w:jc w:val="righ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 xml:space="preserve">  20</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830</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090</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 xml:space="preserve">061 </w:t>
            </w:r>
          </w:p>
        </w:tc>
      </w:tr>
      <w:tr w:rsidR="00DA783E" w:rsidRPr="00DA783E" w14:paraId="370CEE64" w14:textId="77777777" w:rsidTr="00731E92">
        <w:trPr>
          <w:trHeight w:val="300"/>
        </w:trPr>
        <w:tc>
          <w:tcPr>
            <w:tcW w:w="580" w:type="dxa"/>
            <w:shd w:val="clear" w:color="auto" w:fill="auto"/>
            <w:noWrap/>
            <w:vAlign w:val="center"/>
            <w:hideMark/>
          </w:tcPr>
          <w:p w14:paraId="4BE6F21F" w14:textId="77777777" w:rsidR="00DA783E" w:rsidRPr="00DA783E" w:rsidRDefault="00DA783E" w:rsidP="00DA783E">
            <w:pPr>
              <w:jc w:val="center"/>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27</w:t>
            </w:r>
          </w:p>
        </w:tc>
        <w:tc>
          <w:tcPr>
            <w:tcW w:w="879" w:type="dxa"/>
            <w:shd w:val="clear" w:color="auto" w:fill="auto"/>
            <w:noWrap/>
            <w:vAlign w:val="center"/>
            <w:hideMark/>
          </w:tcPr>
          <w:p w14:paraId="75E375FC" w14:textId="77777777" w:rsidR="00DA783E" w:rsidRPr="00DA783E" w:rsidRDefault="00DA783E" w:rsidP="00DA783E">
            <w:pPr>
              <w:jc w:val="righ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901042368</w:t>
            </w:r>
          </w:p>
        </w:tc>
        <w:tc>
          <w:tcPr>
            <w:tcW w:w="4716" w:type="dxa"/>
            <w:shd w:val="clear" w:color="auto" w:fill="auto"/>
            <w:vAlign w:val="center"/>
            <w:hideMark/>
          </w:tcPr>
          <w:p w14:paraId="323245E0" w14:textId="77777777" w:rsidR="00DA783E" w:rsidRPr="00DA783E" w:rsidRDefault="00DA783E" w:rsidP="00DA783E">
            <w:pPr>
              <w:jc w:val="lef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HELIOS ENERGIA S.A. ESP</w:t>
            </w:r>
          </w:p>
        </w:tc>
        <w:tc>
          <w:tcPr>
            <w:tcW w:w="805" w:type="dxa"/>
            <w:shd w:val="clear" w:color="auto" w:fill="auto"/>
            <w:noWrap/>
            <w:vAlign w:val="center"/>
            <w:hideMark/>
          </w:tcPr>
          <w:p w14:paraId="4DAF69A2" w14:textId="77777777" w:rsidR="00DA783E" w:rsidRPr="00DA783E" w:rsidRDefault="00DA783E" w:rsidP="00DA783E">
            <w:pPr>
              <w:jc w:val="lef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ENERGIA</w:t>
            </w:r>
          </w:p>
        </w:tc>
        <w:tc>
          <w:tcPr>
            <w:tcW w:w="1180" w:type="dxa"/>
            <w:shd w:val="clear" w:color="auto" w:fill="auto"/>
            <w:noWrap/>
            <w:vAlign w:val="bottom"/>
            <w:hideMark/>
          </w:tcPr>
          <w:p w14:paraId="5D743BB9" w14:textId="02061688" w:rsidR="00DA783E" w:rsidRPr="00DA783E" w:rsidRDefault="00DA783E" w:rsidP="00DA783E">
            <w:pPr>
              <w:jc w:val="right"/>
              <w:rPr>
                <w:rFonts w:ascii="Arial Narrow" w:hAnsi="Arial Narrow" w:cs="Calibri"/>
                <w:color w:val="000000"/>
                <w:spacing w:val="0"/>
                <w:sz w:val="18"/>
                <w:szCs w:val="18"/>
                <w:lang w:eastAsia="es-CO"/>
              </w:rPr>
            </w:pP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899</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 xml:space="preserve">684 </w:t>
            </w:r>
          </w:p>
        </w:tc>
        <w:tc>
          <w:tcPr>
            <w:tcW w:w="1180" w:type="dxa"/>
            <w:shd w:val="clear" w:color="auto" w:fill="auto"/>
            <w:noWrap/>
            <w:vAlign w:val="bottom"/>
            <w:hideMark/>
          </w:tcPr>
          <w:p w14:paraId="4F241A2C" w14:textId="601880F0" w:rsidR="00DA783E" w:rsidRPr="00DA783E" w:rsidRDefault="00DA783E" w:rsidP="00DA783E">
            <w:pPr>
              <w:jc w:val="righ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 xml:space="preserve">       448</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676</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 xml:space="preserve">000 </w:t>
            </w:r>
          </w:p>
        </w:tc>
      </w:tr>
      <w:tr w:rsidR="00DA783E" w:rsidRPr="00DA783E" w14:paraId="646F38DF" w14:textId="77777777" w:rsidTr="00731E92">
        <w:trPr>
          <w:trHeight w:val="300"/>
        </w:trPr>
        <w:tc>
          <w:tcPr>
            <w:tcW w:w="580" w:type="dxa"/>
            <w:shd w:val="clear" w:color="auto" w:fill="auto"/>
            <w:noWrap/>
            <w:vAlign w:val="center"/>
            <w:hideMark/>
          </w:tcPr>
          <w:p w14:paraId="06223518" w14:textId="77777777" w:rsidR="00DA783E" w:rsidRPr="00DA783E" w:rsidRDefault="00DA783E" w:rsidP="00DA783E">
            <w:pPr>
              <w:jc w:val="center"/>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28</w:t>
            </w:r>
          </w:p>
        </w:tc>
        <w:tc>
          <w:tcPr>
            <w:tcW w:w="879" w:type="dxa"/>
            <w:shd w:val="clear" w:color="auto" w:fill="auto"/>
            <w:noWrap/>
            <w:vAlign w:val="center"/>
            <w:hideMark/>
          </w:tcPr>
          <w:p w14:paraId="695B8720" w14:textId="77777777" w:rsidR="00DA783E" w:rsidRPr="00DA783E" w:rsidRDefault="00DA783E" w:rsidP="00DA783E">
            <w:pPr>
              <w:jc w:val="righ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900344208</w:t>
            </w:r>
          </w:p>
        </w:tc>
        <w:tc>
          <w:tcPr>
            <w:tcW w:w="4716" w:type="dxa"/>
            <w:shd w:val="clear" w:color="auto" w:fill="auto"/>
            <w:vAlign w:val="center"/>
            <w:hideMark/>
          </w:tcPr>
          <w:p w14:paraId="775BB34F" w14:textId="77777777" w:rsidR="00DA783E" w:rsidRPr="00DA783E" w:rsidRDefault="00DA783E" w:rsidP="00DA783E">
            <w:pPr>
              <w:jc w:val="lef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IA ENERGIA Y GESTION S.A.S. E.S.P.</w:t>
            </w:r>
          </w:p>
        </w:tc>
        <w:tc>
          <w:tcPr>
            <w:tcW w:w="805" w:type="dxa"/>
            <w:shd w:val="clear" w:color="auto" w:fill="auto"/>
            <w:noWrap/>
            <w:vAlign w:val="center"/>
            <w:hideMark/>
          </w:tcPr>
          <w:p w14:paraId="13FAD1FE" w14:textId="77777777" w:rsidR="00DA783E" w:rsidRPr="00DA783E" w:rsidRDefault="00DA783E" w:rsidP="00DA783E">
            <w:pPr>
              <w:jc w:val="lef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ENERGIA</w:t>
            </w:r>
          </w:p>
        </w:tc>
        <w:tc>
          <w:tcPr>
            <w:tcW w:w="1180" w:type="dxa"/>
            <w:shd w:val="clear" w:color="auto" w:fill="auto"/>
            <w:noWrap/>
            <w:vAlign w:val="bottom"/>
            <w:hideMark/>
          </w:tcPr>
          <w:p w14:paraId="1856AD28" w14:textId="0285A25B" w:rsidR="00DA783E" w:rsidRPr="00DA783E" w:rsidRDefault="00DA783E" w:rsidP="00DA783E">
            <w:pPr>
              <w:jc w:val="righ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 xml:space="preserve">       203</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879</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 xml:space="preserve">449 </w:t>
            </w:r>
          </w:p>
        </w:tc>
        <w:tc>
          <w:tcPr>
            <w:tcW w:w="1180" w:type="dxa"/>
            <w:shd w:val="clear" w:color="auto" w:fill="auto"/>
            <w:noWrap/>
            <w:vAlign w:val="bottom"/>
            <w:hideMark/>
          </w:tcPr>
          <w:p w14:paraId="503D8DA1" w14:textId="0FAACBB3" w:rsidR="00DA783E" w:rsidRPr="00DA783E" w:rsidRDefault="00DA783E" w:rsidP="00DA783E">
            <w:pPr>
              <w:jc w:val="righ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 xml:space="preserve">       200</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649</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 xml:space="preserve">000 </w:t>
            </w:r>
          </w:p>
        </w:tc>
      </w:tr>
      <w:tr w:rsidR="00DA783E" w:rsidRPr="00DA783E" w14:paraId="386E4B9B" w14:textId="77777777" w:rsidTr="00731E92">
        <w:trPr>
          <w:trHeight w:val="300"/>
        </w:trPr>
        <w:tc>
          <w:tcPr>
            <w:tcW w:w="580" w:type="dxa"/>
            <w:shd w:val="clear" w:color="auto" w:fill="auto"/>
            <w:noWrap/>
            <w:vAlign w:val="center"/>
            <w:hideMark/>
          </w:tcPr>
          <w:p w14:paraId="19E5A59F" w14:textId="77777777" w:rsidR="00DA783E" w:rsidRPr="00DA783E" w:rsidRDefault="00DA783E" w:rsidP="00DA783E">
            <w:pPr>
              <w:jc w:val="center"/>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29</w:t>
            </w:r>
          </w:p>
        </w:tc>
        <w:tc>
          <w:tcPr>
            <w:tcW w:w="879" w:type="dxa"/>
            <w:shd w:val="clear" w:color="auto" w:fill="auto"/>
            <w:noWrap/>
            <w:vAlign w:val="center"/>
            <w:hideMark/>
          </w:tcPr>
          <w:p w14:paraId="1A0F79BD" w14:textId="77777777" w:rsidR="00DA783E" w:rsidRPr="00DA783E" w:rsidRDefault="00DA783E" w:rsidP="00DA783E">
            <w:pPr>
              <w:jc w:val="righ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901122935</w:t>
            </w:r>
          </w:p>
        </w:tc>
        <w:tc>
          <w:tcPr>
            <w:tcW w:w="4716" w:type="dxa"/>
            <w:shd w:val="clear" w:color="auto" w:fill="auto"/>
            <w:vAlign w:val="center"/>
            <w:hideMark/>
          </w:tcPr>
          <w:p w14:paraId="5EBE0B3E" w14:textId="77777777" w:rsidR="00DA783E" w:rsidRPr="00DA783E" w:rsidRDefault="00DA783E" w:rsidP="00DA783E">
            <w:pPr>
              <w:jc w:val="lef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LOGIGAS COLOMBIA SA ESP</w:t>
            </w:r>
          </w:p>
        </w:tc>
        <w:tc>
          <w:tcPr>
            <w:tcW w:w="805" w:type="dxa"/>
            <w:shd w:val="clear" w:color="auto" w:fill="auto"/>
            <w:noWrap/>
            <w:vAlign w:val="center"/>
            <w:hideMark/>
          </w:tcPr>
          <w:p w14:paraId="3BC24395" w14:textId="77777777" w:rsidR="00DA783E" w:rsidRPr="00DA783E" w:rsidRDefault="00DA783E" w:rsidP="00DA783E">
            <w:pPr>
              <w:jc w:val="lef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GLP</w:t>
            </w:r>
          </w:p>
        </w:tc>
        <w:tc>
          <w:tcPr>
            <w:tcW w:w="1180" w:type="dxa"/>
            <w:shd w:val="clear" w:color="auto" w:fill="auto"/>
            <w:noWrap/>
            <w:vAlign w:val="bottom"/>
            <w:hideMark/>
          </w:tcPr>
          <w:p w14:paraId="26A780D9" w14:textId="76227D25" w:rsidR="00DA783E" w:rsidRPr="00DA783E" w:rsidRDefault="00DA783E" w:rsidP="00DA783E">
            <w:pPr>
              <w:jc w:val="righ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 xml:space="preserve">           3</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682</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 xml:space="preserve">923 </w:t>
            </w:r>
          </w:p>
        </w:tc>
        <w:tc>
          <w:tcPr>
            <w:tcW w:w="1180" w:type="dxa"/>
            <w:shd w:val="clear" w:color="auto" w:fill="auto"/>
            <w:noWrap/>
            <w:vAlign w:val="bottom"/>
            <w:hideMark/>
          </w:tcPr>
          <w:p w14:paraId="0306D6E2" w14:textId="2454D951" w:rsidR="00DA783E" w:rsidRPr="00DA783E" w:rsidRDefault="00DA783E" w:rsidP="00DA783E">
            <w:pPr>
              <w:jc w:val="righ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 xml:space="preserve">           3</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624</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 xml:space="preserve">568 </w:t>
            </w:r>
          </w:p>
        </w:tc>
      </w:tr>
      <w:tr w:rsidR="00DA783E" w:rsidRPr="00DA783E" w14:paraId="2F1C7B0D" w14:textId="77777777" w:rsidTr="00731E92">
        <w:trPr>
          <w:trHeight w:val="300"/>
        </w:trPr>
        <w:tc>
          <w:tcPr>
            <w:tcW w:w="580" w:type="dxa"/>
            <w:shd w:val="clear" w:color="auto" w:fill="auto"/>
            <w:noWrap/>
            <w:vAlign w:val="center"/>
            <w:hideMark/>
          </w:tcPr>
          <w:p w14:paraId="7A57594A" w14:textId="77777777" w:rsidR="00DA783E" w:rsidRPr="00DA783E" w:rsidRDefault="00DA783E" w:rsidP="00DA783E">
            <w:pPr>
              <w:jc w:val="center"/>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30</w:t>
            </w:r>
          </w:p>
        </w:tc>
        <w:tc>
          <w:tcPr>
            <w:tcW w:w="879" w:type="dxa"/>
            <w:shd w:val="clear" w:color="auto" w:fill="auto"/>
            <w:noWrap/>
            <w:vAlign w:val="center"/>
            <w:hideMark/>
          </w:tcPr>
          <w:p w14:paraId="040976E1" w14:textId="77777777" w:rsidR="00DA783E" w:rsidRPr="00DA783E" w:rsidRDefault="00DA783E" w:rsidP="00DA783E">
            <w:pPr>
              <w:jc w:val="righ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900913507</w:t>
            </w:r>
          </w:p>
        </w:tc>
        <w:tc>
          <w:tcPr>
            <w:tcW w:w="4716" w:type="dxa"/>
            <w:shd w:val="clear" w:color="auto" w:fill="auto"/>
            <w:vAlign w:val="center"/>
            <w:hideMark/>
          </w:tcPr>
          <w:p w14:paraId="7A22471D" w14:textId="77777777" w:rsidR="00DA783E" w:rsidRPr="00DA783E" w:rsidRDefault="00DA783E" w:rsidP="00DA783E">
            <w:pPr>
              <w:jc w:val="lef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MEGAS S.A.S. ESP</w:t>
            </w:r>
          </w:p>
        </w:tc>
        <w:tc>
          <w:tcPr>
            <w:tcW w:w="805" w:type="dxa"/>
            <w:shd w:val="clear" w:color="auto" w:fill="auto"/>
            <w:noWrap/>
            <w:vAlign w:val="center"/>
            <w:hideMark/>
          </w:tcPr>
          <w:p w14:paraId="100F1847" w14:textId="77777777" w:rsidR="00DA783E" w:rsidRPr="00DA783E" w:rsidRDefault="00DA783E" w:rsidP="00DA783E">
            <w:pPr>
              <w:jc w:val="lef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GAS</w:t>
            </w:r>
          </w:p>
        </w:tc>
        <w:tc>
          <w:tcPr>
            <w:tcW w:w="1180" w:type="dxa"/>
            <w:shd w:val="clear" w:color="auto" w:fill="auto"/>
            <w:noWrap/>
            <w:vAlign w:val="bottom"/>
            <w:hideMark/>
          </w:tcPr>
          <w:p w14:paraId="2E230F45" w14:textId="464CAEEB" w:rsidR="00DA783E" w:rsidRPr="00DA783E" w:rsidRDefault="00DA783E" w:rsidP="00DA783E">
            <w:pPr>
              <w:jc w:val="righ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 xml:space="preserve">    1</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294</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366</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 xml:space="preserve">098 </w:t>
            </w:r>
          </w:p>
        </w:tc>
        <w:tc>
          <w:tcPr>
            <w:tcW w:w="1180" w:type="dxa"/>
            <w:shd w:val="clear" w:color="auto" w:fill="auto"/>
            <w:noWrap/>
            <w:vAlign w:val="bottom"/>
            <w:hideMark/>
          </w:tcPr>
          <w:p w14:paraId="120D9BBE" w14:textId="37D248EE" w:rsidR="00DA783E" w:rsidRPr="00DA783E" w:rsidRDefault="00DA783E" w:rsidP="00DA783E">
            <w:pPr>
              <w:jc w:val="righ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 xml:space="preserve">    1</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273</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857</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 xml:space="preserve">000 </w:t>
            </w:r>
          </w:p>
        </w:tc>
      </w:tr>
      <w:tr w:rsidR="00DA783E" w:rsidRPr="00DA783E" w14:paraId="05A598BD" w14:textId="77777777" w:rsidTr="00731E92">
        <w:trPr>
          <w:trHeight w:val="300"/>
        </w:trPr>
        <w:tc>
          <w:tcPr>
            <w:tcW w:w="580" w:type="dxa"/>
            <w:shd w:val="clear" w:color="auto" w:fill="auto"/>
            <w:noWrap/>
            <w:vAlign w:val="center"/>
            <w:hideMark/>
          </w:tcPr>
          <w:p w14:paraId="72A96FF2" w14:textId="77777777" w:rsidR="00DA783E" w:rsidRPr="00DA783E" w:rsidRDefault="00DA783E" w:rsidP="00DA783E">
            <w:pPr>
              <w:jc w:val="center"/>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31</w:t>
            </w:r>
          </w:p>
        </w:tc>
        <w:tc>
          <w:tcPr>
            <w:tcW w:w="879" w:type="dxa"/>
            <w:shd w:val="clear" w:color="auto" w:fill="auto"/>
            <w:noWrap/>
            <w:vAlign w:val="center"/>
            <w:hideMark/>
          </w:tcPr>
          <w:p w14:paraId="69388907" w14:textId="77777777" w:rsidR="00DA783E" w:rsidRPr="00DA783E" w:rsidRDefault="00DA783E" w:rsidP="00DA783E">
            <w:pPr>
              <w:jc w:val="righ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800095613</w:t>
            </w:r>
          </w:p>
        </w:tc>
        <w:tc>
          <w:tcPr>
            <w:tcW w:w="4716" w:type="dxa"/>
            <w:shd w:val="clear" w:color="auto" w:fill="auto"/>
            <w:vAlign w:val="center"/>
            <w:hideMark/>
          </w:tcPr>
          <w:p w14:paraId="38EDC3F6" w14:textId="77777777" w:rsidR="00DA783E" w:rsidRPr="00DA783E" w:rsidRDefault="00DA783E" w:rsidP="00DA783E">
            <w:pPr>
              <w:jc w:val="lef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MUNICIPIO DE SIPI</w:t>
            </w:r>
          </w:p>
        </w:tc>
        <w:tc>
          <w:tcPr>
            <w:tcW w:w="805" w:type="dxa"/>
            <w:shd w:val="clear" w:color="auto" w:fill="auto"/>
            <w:noWrap/>
            <w:vAlign w:val="center"/>
            <w:hideMark/>
          </w:tcPr>
          <w:p w14:paraId="148375DC" w14:textId="77777777" w:rsidR="00DA783E" w:rsidRPr="00DA783E" w:rsidRDefault="00DA783E" w:rsidP="00DA783E">
            <w:pPr>
              <w:jc w:val="lef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ENERGIA</w:t>
            </w:r>
          </w:p>
        </w:tc>
        <w:tc>
          <w:tcPr>
            <w:tcW w:w="1180" w:type="dxa"/>
            <w:shd w:val="clear" w:color="auto" w:fill="auto"/>
            <w:noWrap/>
            <w:vAlign w:val="bottom"/>
            <w:hideMark/>
          </w:tcPr>
          <w:p w14:paraId="124D22F6" w14:textId="5420E8C0" w:rsidR="00DA783E" w:rsidRPr="00DA783E" w:rsidRDefault="00DA783E" w:rsidP="00DA783E">
            <w:pPr>
              <w:jc w:val="righ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 xml:space="preserve">  12</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487</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983</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 xml:space="preserve">819 </w:t>
            </w:r>
          </w:p>
        </w:tc>
        <w:tc>
          <w:tcPr>
            <w:tcW w:w="1180" w:type="dxa"/>
            <w:shd w:val="clear" w:color="auto" w:fill="auto"/>
            <w:noWrap/>
            <w:vAlign w:val="bottom"/>
            <w:hideMark/>
          </w:tcPr>
          <w:p w14:paraId="3442E706" w14:textId="20FE33F1" w:rsidR="00DA783E" w:rsidRPr="00DA783E" w:rsidRDefault="00DA783E" w:rsidP="00DA783E">
            <w:pPr>
              <w:jc w:val="righ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 xml:space="preserve">  12</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290</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113</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 xml:space="preserve">000 </w:t>
            </w:r>
          </w:p>
        </w:tc>
      </w:tr>
      <w:tr w:rsidR="00DA783E" w:rsidRPr="00DA783E" w14:paraId="23263858" w14:textId="77777777" w:rsidTr="00731E92">
        <w:trPr>
          <w:trHeight w:val="300"/>
        </w:trPr>
        <w:tc>
          <w:tcPr>
            <w:tcW w:w="580" w:type="dxa"/>
            <w:shd w:val="clear" w:color="auto" w:fill="auto"/>
            <w:noWrap/>
            <w:vAlign w:val="center"/>
            <w:hideMark/>
          </w:tcPr>
          <w:p w14:paraId="3CE1500B" w14:textId="77777777" w:rsidR="00DA783E" w:rsidRPr="00DA783E" w:rsidRDefault="00DA783E" w:rsidP="00DA783E">
            <w:pPr>
              <w:jc w:val="center"/>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32</w:t>
            </w:r>
          </w:p>
        </w:tc>
        <w:tc>
          <w:tcPr>
            <w:tcW w:w="879" w:type="dxa"/>
            <w:shd w:val="clear" w:color="auto" w:fill="auto"/>
            <w:noWrap/>
            <w:vAlign w:val="center"/>
            <w:hideMark/>
          </w:tcPr>
          <w:p w14:paraId="2AC8977B" w14:textId="77777777" w:rsidR="00DA783E" w:rsidRPr="00DA783E" w:rsidRDefault="00DA783E" w:rsidP="00DA783E">
            <w:pPr>
              <w:jc w:val="righ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818001341</w:t>
            </w:r>
          </w:p>
        </w:tc>
        <w:tc>
          <w:tcPr>
            <w:tcW w:w="4716" w:type="dxa"/>
            <w:shd w:val="clear" w:color="auto" w:fill="auto"/>
            <w:vAlign w:val="center"/>
            <w:hideMark/>
          </w:tcPr>
          <w:p w14:paraId="6C680938" w14:textId="77777777" w:rsidR="00DA783E" w:rsidRPr="00DA783E" w:rsidRDefault="00DA783E" w:rsidP="00DA783E">
            <w:pPr>
              <w:jc w:val="lef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MUNICIPIO DEL CARMEN DEL DARIEN</w:t>
            </w:r>
          </w:p>
        </w:tc>
        <w:tc>
          <w:tcPr>
            <w:tcW w:w="805" w:type="dxa"/>
            <w:shd w:val="clear" w:color="auto" w:fill="auto"/>
            <w:noWrap/>
            <w:vAlign w:val="center"/>
            <w:hideMark/>
          </w:tcPr>
          <w:p w14:paraId="6E36AABE" w14:textId="77777777" w:rsidR="00DA783E" w:rsidRPr="00DA783E" w:rsidRDefault="00DA783E" w:rsidP="00DA783E">
            <w:pPr>
              <w:jc w:val="lef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ENERGIA</w:t>
            </w:r>
          </w:p>
        </w:tc>
        <w:tc>
          <w:tcPr>
            <w:tcW w:w="1180" w:type="dxa"/>
            <w:shd w:val="clear" w:color="auto" w:fill="auto"/>
            <w:noWrap/>
            <w:vAlign w:val="bottom"/>
            <w:hideMark/>
          </w:tcPr>
          <w:p w14:paraId="42412F8A" w14:textId="0E62185E" w:rsidR="00DA783E" w:rsidRPr="00DA783E" w:rsidRDefault="00DA783E" w:rsidP="00DA783E">
            <w:pPr>
              <w:jc w:val="righ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 xml:space="preserve">       332</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928</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 xml:space="preserve">213 </w:t>
            </w:r>
          </w:p>
        </w:tc>
        <w:tc>
          <w:tcPr>
            <w:tcW w:w="1180" w:type="dxa"/>
            <w:shd w:val="clear" w:color="auto" w:fill="auto"/>
            <w:noWrap/>
            <w:vAlign w:val="bottom"/>
            <w:hideMark/>
          </w:tcPr>
          <w:p w14:paraId="59C985FE" w14:textId="692786FC" w:rsidR="00DA783E" w:rsidRPr="00DA783E" w:rsidRDefault="00DA783E" w:rsidP="00DA783E">
            <w:pPr>
              <w:jc w:val="righ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 xml:space="preserve">       327</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653</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 xml:space="preserve">000 </w:t>
            </w:r>
          </w:p>
        </w:tc>
      </w:tr>
      <w:tr w:rsidR="00DA783E" w:rsidRPr="00DA783E" w14:paraId="3F19CF69" w14:textId="77777777" w:rsidTr="00731E92">
        <w:trPr>
          <w:trHeight w:val="300"/>
        </w:trPr>
        <w:tc>
          <w:tcPr>
            <w:tcW w:w="580" w:type="dxa"/>
            <w:shd w:val="clear" w:color="auto" w:fill="auto"/>
            <w:noWrap/>
            <w:vAlign w:val="center"/>
            <w:hideMark/>
          </w:tcPr>
          <w:p w14:paraId="0C4C3DFF" w14:textId="77777777" w:rsidR="00DA783E" w:rsidRPr="00DA783E" w:rsidRDefault="00DA783E" w:rsidP="00DA783E">
            <w:pPr>
              <w:jc w:val="center"/>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33</w:t>
            </w:r>
          </w:p>
        </w:tc>
        <w:tc>
          <w:tcPr>
            <w:tcW w:w="879" w:type="dxa"/>
            <w:shd w:val="clear" w:color="auto" w:fill="auto"/>
            <w:noWrap/>
            <w:vAlign w:val="center"/>
            <w:hideMark/>
          </w:tcPr>
          <w:p w14:paraId="63F311B0" w14:textId="77777777" w:rsidR="00DA783E" w:rsidRPr="00DA783E" w:rsidRDefault="00DA783E" w:rsidP="00DA783E">
            <w:pPr>
              <w:jc w:val="righ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811036688</w:t>
            </w:r>
          </w:p>
        </w:tc>
        <w:tc>
          <w:tcPr>
            <w:tcW w:w="4716" w:type="dxa"/>
            <w:shd w:val="clear" w:color="auto" w:fill="auto"/>
            <w:vAlign w:val="center"/>
            <w:hideMark/>
          </w:tcPr>
          <w:p w14:paraId="7EFA73A9" w14:textId="77777777" w:rsidR="00DA783E" w:rsidRPr="00DA783E" w:rsidRDefault="00DA783E" w:rsidP="00DA783E">
            <w:pPr>
              <w:jc w:val="lef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PIPEGAS S.A.S. E.S.P</w:t>
            </w:r>
          </w:p>
        </w:tc>
        <w:tc>
          <w:tcPr>
            <w:tcW w:w="805" w:type="dxa"/>
            <w:shd w:val="clear" w:color="auto" w:fill="auto"/>
            <w:noWrap/>
            <w:vAlign w:val="center"/>
            <w:hideMark/>
          </w:tcPr>
          <w:p w14:paraId="69341BB8" w14:textId="77777777" w:rsidR="00DA783E" w:rsidRPr="00DA783E" w:rsidRDefault="00DA783E" w:rsidP="00DA783E">
            <w:pPr>
              <w:jc w:val="lef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GAS</w:t>
            </w:r>
          </w:p>
        </w:tc>
        <w:tc>
          <w:tcPr>
            <w:tcW w:w="1180" w:type="dxa"/>
            <w:shd w:val="clear" w:color="auto" w:fill="auto"/>
            <w:noWrap/>
            <w:vAlign w:val="bottom"/>
            <w:hideMark/>
          </w:tcPr>
          <w:p w14:paraId="0F184F78" w14:textId="4A1D5B3A" w:rsidR="00DA783E" w:rsidRPr="00DA783E" w:rsidRDefault="00DA783E" w:rsidP="00DA783E">
            <w:pPr>
              <w:jc w:val="righ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 xml:space="preserve">       559</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858</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 xml:space="preserve">502 </w:t>
            </w:r>
          </w:p>
        </w:tc>
        <w:tc>
          <w:tcPr>
            <w:tcW w:w="1180" w:type="dxa"/>
            <w:shd w:val="clear" w:color="auto" w:fill="auto"/>
            <w:noWrap/>
            <w:vAlign w:val="bottom"/>
            <w:hideMark/>
          </w:tcPr>
          <w:p w14:paraId="32AD581B" w14:textId="41F8ACD2" w:rsidR="00DA783E" w:rsidRPr="00DA783E" w:rsidRDefault="00DA783E" w:rsidP="00DA783E">
            <w:pPr>
              <w:jc w:val="righ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 xml:space="preserve">       550</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987</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 xml:space="preserve">602 </w:t>
            </w:r>
          </w:p>
        </w:tc>
      </w:tr>
      <w:tr w:rsidR="00DA783E" w:rsidRPr="00DA783E" w14:paraId="35D33EA2" w14:textId="77777777" w:rsidTr="00731E92">
        <w:trPr>
          <w:trHeight w:val="470"/>
        </w:trPr>
        <w:tc>
          <w:tcPr>
            <w:tcW w:w="580" w:type="dxa"/>
            <w:shd w:val="clear" w:color="auto" w:fill="auto"/>
            <w:noWrap/>
            <w:vAlign w:val="center"/>
            <w:hideMark/>
          </w:tcPr>
          <w:p w14:paraId="5C36D38C" w14:textId="77777777" w:rsidR="00DA783E" w:rsidRPr="00DA783E" w:rsidRDefault="00DA783E" w:rsidP="00DA783E">
            <w:pPr>
              <w:jc w:val="center"/>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34</w:t>
            </w:r>
          </w:p>
        </w:tc>
        <w:tc>
          <w:tcPr>
            <w:tcW w:w="879" w:type="dxa"/>
            <w:shd w:val="clear" w:color="auto" w:fill="auto"/>
            <w:noWrap/>
            <w:vAlign w:val="center"/>
            <w:hideMark/>
          </w:tcPr>
          <w:p w14:paraId="3E5E8AFC" w14:textId="77777777" w:rsidR="00DA783E" w:rsidRPr="00DA783E" w:rsidRDefault="00DA783E" w:rsidP="00DA783E">
            <w:pPr>
              <w:jc w:val="righ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901063452</w:t>
            </w:r>
          </w:p>
        </w:tc>
        <w:tc>
          <w:tcPr>
            <w:tcW w:w="4716" w:type="dxa"/>
            <w:shd w:val="clear" w:color="auto" w:fill="auto"/>
            <w:vAlign w:val="center"/>
            <w:hideMark/>
          </w:tcPr>
          <w:p w14:paraId="4C06B951" w14:textId="77777777" w:rsidR="00DA783E" w:rsidRPr="00DA783E" w:rsidRDefault="00DA783E" w:rsidP="00DA783E">
            <w:pPr>
              <w:jc w:val="lef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Prestadora de Servicios Públicos y Energía en ZOnas No Conectadas ESP SAS</w:t>
            </w:r>
          </w:p>
        </w:tc>
        <w:tc>
          <w:tcPr>
            <w:tcW w:w="805" w:type="dxa"/>
            <w:shd w:val="clear" w:color="auto" w:fill="auto"/>
            <w:noWrap/>
            <w:vAlign w:val="center"/>
            <w:hideMark/>
          </w:tcPr>
          <w:p w14:paraId="3900351D" w14:textId="77777777" w:rsidR="00DA783E" w:rsidRPr="00DA783E" w:rsidRDefault="00DA783E" w:rsidP="00DA783E">
            <w:pPr>
              <w:jc w:val="lef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ENERGIA</w:t>
            </w:r>
          </w:p>
        </w:tc>
        <w:tc>
          <w:tcPr>
            <w:tcW w:w="1180" w:type="dxa"/>
            <w:shd w:val="clear" w:color="auto" w:fill="auto"/>
            <w:noWrap/>
            <w:vAlign w:val="bottom"/>
            <w:hideMark/>
          </w:tcPr>
          <w:p w14:paraId="58026776" w14:textId="52FD657D" w:rsidR="00DA783E" w:rsidRPr="00DA783E" w:rsidRDefault="00DA783E" w:rsidP="00DA783E">
            <w:pPr>
              <w:jc w:val="righ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 xml:space="preserve">         58</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282</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 xml:space="preserve">480 </w:t>
            </w:r>
          </w:p>
        </w:tc>
        <w:tc>
          <w:tcPr>
            <w:tcW w:w="1180" w:type="dxa"/>
            <w:shd w:val="clear" w:color="auto" w:fill="auto"/>
            <w:noWrap/>
            <w:vAlign w:val="bottom"/>
            <w:hideMark/>
          </w:tcPr>
          <w:p w14:paraId="6F47F01B" w14:textId="7FB634C3" w:rsidR="00DA783E" w:rsidRPr="00DA783E" w:rsidRDefault="00DA783E" w:rsidP="00DA783E">
            <w:pPr>
              <w:jc w:val="righ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 xml:space="preserve">         57</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359</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 xml:space="preserve">000 </w:t>
            </w:r>
          </w:p>
        </w:tc>
      </w:tr>
      <w:tr w:rsidR="00DA783E" w:rsidRPr="00DA783E" w14:paraId="2CE37B79" w14:textId="77777777" w:rsidTr="00731E92">
        <w:trPr>
          <w:trHeight w:val="300"/>
        </w:trPr>
        <w:tc>
          <w:tcPr>
            <w:tcW w:w="580" w:type="dxa"/>
            <w:shd w:val="clear" w:color="auto" w:fill="auto"/>
            <w:noWrap/>
            <w:vAlign w:val="center"/>
            <w:hideMark/>
          </w:tcPr>
          <w:p w14:paraId="0416AC64" w14:textId="77777777" w:rsidR="00DA783E" w:rsidRPr="00DA783E" w:rsidRDefault="00DA783E" w:rsidP="00DA783E">
            <w:pPr>
              <w:jc w:val="center"/>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35</w:t>
            </w:r>
          </w:p>
        </w:tc>
        <w:tc>
          <w:tcPr>
            <w:tcW w:w="879" w:type="dxa"/>
            <w:shd w:val="clear" w:color="auto" w:fill="auto"/>
            <w:noWrap/>
            <w:vAlign w:val="center"/>
            <w:hideMark/>
          </w:tcPr>
          <w:p w14:paraId="74E01C24" w14:textId="77777777" w:rsidR="00DA783E" w:rsidRPr="00DA783E" w:rsidRDefault="00DA783E" w:rsidP="00DA783E">
            <w:pPr>
              <w:jc w:val="righ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900443684</w:t>
            </w:r>
          </w:p>
        </w:tc>
        <w:tc>
          <w:tcPr>
            <w:tcW w:w="4716" w:type="dxa"/>
            <w:shd w:val="clear" w:color="auto" w:fill="auto"/>
            <w:vAlign w:val="center"/>
            <w:hideMark/>
          </w:tcPr>
          <w:p w14:paraId="54A48A89" w14:textId="77777777" w:rsidR="00DA783E" w:rsidRPr="00DA783E" w:rsidRDefault="00DA783E" w:rsidP="00DA783E">
            <w:pPr>
              <w:jc w:val="lef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RAPIDGAS SAS ESP</w:t>
            </w:r>
          </w:p>
        </w:tc>
        <w:tc>
          <w:tcPr>
            <w:tcW w:w="805" w:type="dxa"/>
            <w:shd w:val="clear" w:color="auto" w:fill="auto"/>
            <w:noWrap/>
            <w:vAlign w:val="center"/>
            <w:hideMark/>
          </w:tcPr>
          <w:p w14:paraId="4763948B" w14:textId="77777777" w:rsidR="00DA783E" w:rsidRPr="00DA783E" w:rsidRDefault="00DA783E" w:rsidP="00DA783E">
            <w:pPr>
              <w:jc w:val="lef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GLP</w:t>
            </w:r>
          </w:p>
        </w:tc>
        <w:tc>
          <w:tcPr>
            <w:tcW w:w="1180" w:type="dxa"/>
            <w:shd w:val="clear" w:color="auto" w:fill="auto"/>
            <w:noWrap/>
            <w:vAlign w:val="bottom"/>
            <w:hideMark/>
          </w:tcPr>
          <w:p w14:paraId="52466C1E" w14:textId="77337742" w:rsidR="00DA783E" w:rsidRPr="00DA783E" w:rsidRDefault="00DA783E" w:rsidP="00DA783E">
            <w:pPr>
              <w:jc w:val="righ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 xml:space="preserve">       182</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185</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 xml:space="preserve">714 </w:t>
            </w:r>
          </w:p>
        </w:tc>
        <w:tc>
          <w:tcPr>
            <w:tcW w:w="1180" w:type="dxa"/>
            <w:shd w:val="clear" w:color="auto" w:fill="auto"/>
            <w:noWrap/>
            <w:vAlign w:val="bottom"/>
            <w:hideMark/>
          </w:tcPr>
          <w:p w14:paraId="72AE89A5" w14:textId="16DE872E" w:rsidR="00DA783E" w:rsidRPr="00DA783E" w:rsidRDefault="00DA783E" w:rsidP="00DA783E">
            <w:pPr>
              <w:jc w:val="righ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 xml:space="preserve">       179</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299</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 xml:space="preserve">000 </w:t>
            </w:r>
          </w:p>
        </w:tc>
      </w:tr>
      <w:tr w:rsidR="00DA783E" w:rsidRPr="00DA783E" w14:paraId="54824D76" w14:textId="77777777" w:rsidTr="00731E92">
        <w:trPr>
          <w:trHeight w:val="300"/>
        </w:trPr>
        <w:tc>
          <w:tcPr>
            <w:tcW w:w="580" w:type="dxa"/>
            <w:shd w:val="clear" w:color="auto" w:fill="auto"/>
            <w:noWrap/>
            <w:vAlign w:val="center"/>
            <w:hideMark/>
          </w:tcPr>
          <w:p w14:paraId="2E04A69A" w14:textId="77777777" w:rsidR="00DA783E" w:rsidRPr="00DA783E" w:rsidRDefault="00DA783E" w:rsidP="00DA783E">
            <w:pPr>
              <w:jc w:val="center"/>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36</w:t>
            </w:r>
          </w:p>
        </w:tc>
        <w:tc>
          <w:tcPr>
            <w:tcW w:w="879" w:type="dxa"/>
            <w:shd w:val="clear" w:color="auto" w:fill="auto"/>
            <w:noWrap/>
            <w:vAlign w:val="center"/>
            <w:hideMark/>
          </w:tcPr>
          <w:p w14:paraId="03782D07" w14:textId="77777777" w:rsidR="00DA783E" w:rsidRPr="00DA783E" w:rsidRDefault="00DA783E" w:rsidP="00DA783E">
            <w:pPr>
              <w:jc w:val="righ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900108018</w:t>
            </w:r>
          </w:p>
        </w:tc>
        <w:tc>
          <w:tcPr>
            <w:tcW w:w="4716" w:type="dxa"/>
            <w:shd w:val="clear" w:color="auto" w:fill="auto"/>
            <w:vAlign w:val="center"/>
            <w:hideMark/>
          </w:tcPr>
          <w:p w14:paraId="3464192B" w14:textId="77777777" w:rsidR="00DA783E" w:rsidRPr="00DA783E" w:rsidRDefault="00DA783E" w:rsidP="00DA783E">
            <w:pPr>
              <w:jc w:val="lef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SHONA ENERGY COLOMBIA LIMITED</w:t>
            </w:r>
          </w:p>
        </w:tc>
        <w:tc>
          <w:tcPr>
            <w:tcW w:w="805" w:type="dxa"/>
            <w:shd w:val="clear" w:color="auto" w:fill="auto"/>
            <w:noWrap/>
            <w:vAlign w:val="center"/>
            <w:hideMark/>
          </w:tcPr>
          <w:p w14:paraId="7F26663A" w14:textId="77777777" w:rsidR="00DA783E" w:rsidRPr="00DA783E" w:rsidRDefault="00DA783E" w:rsidP="00DA783E">
            <w:pPr>
              <w:jc w:val="lef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ENERGIA</w:t>
            </w:r>
          </w:p>
        </w:tc>
        <w:tc>
          <w:tcPr>
            <w:tcW w:w="1180" w:type="dxa"/>
            <w:shd w:val="clear" w:color="auto" w:fill="auto"/>
            <w:noWrap/>
            <w:vAlign w:val="bottom"/>
            <w:hideMark/>
          </w:tcPr>
          <w:p w14:paraId="7F2CB694" w14:textId="6BBCBE23" w:rsidR="00DA783E" w:rsidRPr="00DA783E" w:rsidRDefault="00DA783E" w:rsidP="00DA783E">
            <w:pPr>
              <w:jc w:val="righ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 xml:space="preserve">  17</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267</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504</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 xml:space="preserve">825 </w:t>
            </w:r>
          </w:p>
        </w:tc>
        <w:tc>
          <w:tcPr>
            <w:tcW w:w="1180" w:type="dxa"/>
            <w:shd w:val="clear" w:color="auto" w:fill="auto"/>
            <w:noWrap/>
            <w:vAlign w:val="bottom"/>
            <w:hideMark/>
          </w:tcPr>
          <w:p w14:paraId="7165412D" w14:textId="36116F28" w:rsidR="00DA783E" w:rsidRPr="00DA783E" w:rsidRDefault="00DA783E" w:rsidP="00DA783E">
            <w:pPr>
              <w:jc w:val="righ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 xml:space="preserve">  16</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993</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902</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 xml:space="preserve">987 </w:t>
            </w:r>
          </w:p>
        </w:tc>
      </w:tr>
      <w:tr w:rsidR="00DA783E" w:rsidRPr="00DA783E" w14:paraId="22093EDB" w14:textId="77777777" w:rsidTr="00731E92">
        <w:trPr>
          <w:trHeight w:val="300"/>
        </w:trPr>
        <w:tc>
          <w:tcPr>
            <w:tcW w:w="580" w:type="dxa"/>
            <w:shd w:val="clear" w:color="auto" w:fill="auto"/>
            <w:noWrap/>
            <w:vAlign w:val="center"/>
            <w:hideMark/>
          </w:tcPr>
          <w:p w14:paraId="25E29A49" w14:textId="77777777" w:rsidR="00DA783E" w:rsidRPr="00DA783E" w:rsidRDefault="00DA783E" w:rsidP="00DA783E">
            <w:pPr>
              <w:jc w:val="center"/>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lastRenderedPageBreak/>
              <w:t>37</w:t>
            </w:r>
          </w:p>
        </w:tc>
        <w:tc>
          <w:tcPr>
            <w:tcW w:w="879" w:type="dxa"/>
            <w:shd w:val="clear" w:color="auto" w:fill="auto"/>
            <w:noWrap/>
            <w:vAlign w:val="center"/>
            <w:hideMark/>
          </w:tcPr>
          <w:p w14:paraId="0145A403" w14:textId="77777777" w:rsidR="00DA783E" w:rsidRPr="00DA783E" w:rsidRDefault="00DA783E" w:rsidP="00DA783E">
            <w:pPr>
              <w:jc w:val="righ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800033858</w:t>
            </w:r>
          </w:p>
        </w:tc>
        <w:tc>
          <w:tcPr>
            <w:tcW w:w="4716" w:type="dxa"/>
            <w:shd w:val="clear" w:color="auto" w:fill="auto"/>
            <w:vAlign w:val="center"/>
            <w:hideMark/>
          </w:tcPr>
          <w:p w14:paraId="67B1B11F" w14:textId="77777777" w:rsidR="00DA783E" w:rsidRPr="00DA783E" w:rsidRDefault="00DA783E" w:rsidP="00DA783E">
            <w:pPr>
              <w:jc w:val="lef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SOCIEDAD PORTUARIA EL CAYAO S.A E.S.P</w:t>
            </w:r>
          </w:p>
        </w:tc>
        <w:tc>
          <w:tcPr>
            <w:tcW w:w="805" w:type="dxa"/>
            <w:shd w:val="clear" w:color="auto" w:fill="auto"/>
            <w:noWrap/>
            <w:vAlign w:val="center"/>
            <w:hideMark/>
          </w:tcPr>
          <w:p w14:paraId="26E4EEA5" w14:textId="77777777" w:rsidR="00DA783E" w:rsidRPr="00DA783E" w:rsidRDefault="00DA783E" w:rsidP="00DA783E">
            <w:pPr>
              <w:jc w:val="lef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GAS</w:t>
            </w:r>
          </w:p>
        </w:tc>
        <w:tc>
          <w:tcPr>
            <w:tcW w:w="1180" w:type="dxa"/>
            <w:shd w:val="clear" w:color="auto" w:fill="auto"/>
            <w:noWrap/>
            <w:vAlign w:val="bottom"/>
            <w:hideMark/>
          </w:tcPr>
          <w:p w14:paraId="37A402F6" w14:textId="1389E5A8" w:rsidR="00DA783E" w:rsidRPr="00DA783E" w:rsidRDefault="00DA783E" w:rsidP="00DA783E">
            <w:pPr>
              <w:jc w:val="righ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 xml:space="preserve">  10</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258</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204</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 xml:space="preserve">664 </w:t>
            </w:r>
          </w:p>
        </w:tc>
        <w:tc>
          <w:tcPr>
            <w:tcW w:w="1180" w:type="dxa"/>
            <w:shd w:val="clear" w:color="auto" w:fill="auto"/>
            <w:noWrap/>
            <w:vAlign w:val="bottom"/>
            <w:hideMark/>
          </w:tcPr>
          <w:p w14:paraId="2A127B19" w14:textId="4F0F9144" w:rsidR="00DA783E" w:rsidRPr="00DA783E" w:rsidRDefault="00DA783E" w:rsidP="00DA783E">
            <w:pPr>
              <w:jc w:val="righ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 xml:space="preserve">  10</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095</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664</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 xml:space="preserve">466 </w:t>
            </w:r>
          </w:p>
        </w:tc>
      </w:tr>
      <w:tr w:rsidR="00DA783E" w:rsidRPr="00DA783E" w14:paraId="497C2C12" w14:textId="77777777" w:rsidTr="00731E92">
        <w:trPr>
          <w:trHeight w:val="470"/>
        </w:trPr>
        <w:tc>
          <w:tcPr>
            <w:tcW w:w="580" w:type="dxa"/>
            <w:shd w:val="clear" w:color="auto" w:fill="auto"/>
            <w:noWrap/>
            <w:vAlign w:val="center"/>
            <w:hideMark/>
          </w:tcPr>
          <w:p w14:paraId="57BD2A0E" w14:textId="77777777" w:rsidR="00DA783E" w:rsidRPr="00DA783E" w:rsidRDefault="00DA783E" w:rsidP="00DA783E">
            <w:pPr>
              <w:jc w:val="center"/>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38</w:t>
            </w:r>
          </w:p>
        </w:tc>
        <w:tc>
          <w:tcPr>
            <w:tcW w:w="879" w:type="dxa"/>
            <w:shd w:val="clear" w:color="auto" w:fill="auto"/>
            <w:noWrap/>
            <w:vAlign w:val="center"/>
            <w:hideMark/>
          </w:tcPr>
          <w:p w14:paraId="0F033467" w14:textId="77777777" w:rsidR="00DA783E" w:rsidRPr="00DA783E" w:rsidRDefault="00DA783E" w:rsidP="00DA783E">
            <w:pPr>
              <w:jc w:val="righ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827000108</w:t>
            </w:r>
          </w:p>
        </w:tc>
        <w:tc>
          <w:tcPr>
            <w:tcW w:w="4716" w:type="dxa"/>
            <w:shd w:val="clear" w:color="auto" w:fill="auto"/>
            <w:vAlign w:val="center"/>
            <w:hideMark/>
          </w:tcPr>
          <w:p w14:paraId="08FE1AAE" w14:textId="77777777" w:rsidR="00DA783E" w:rsidRPr="00DA783E" w:rsidRDefault="00DA783E" w:rsidP="00DA783E">
            <w:pPr>
              <w:jc w:val="lef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SOCIEDAD PRODUCTORA DE ENERGÍA DE SAN ANDRES Y PROVIDENCIA S.A. E.S.P.</w:t>
            </w:r>
          </w:p>
        </w:tc>
        <w:tc>
          <w:tcPr>
            <w:tcW w:w="805" w:type="dxa"/>
            <w:shd w:val="clear" w:color="auto" w:fill="auto"/>
            <w:noWrap/>
            <w:vAlign w:val="center"/>
            <w:hideMark/>
          </w:tcPr>
          <w:p w14:paraId="17522EB9" w14:textId="77777777" w:rsidR="00DA783E" w:rsidRPr="00DA783E" w:rsidRDefault="00DA783E" w:rsidP="00DA783E">
            <w:pPr>
              <w:jc w:val="lef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ENERGIA</w:t>
            </w:r>
          </w:p>
        </w:tc>
        <w:tc>
          <w:tcPr>
            <w:tcW w:w="1180" w:type="dxa"/>
            <w:shd w:val="clear" w:color="auto" w:fill="auto"/>
            <w:noWrap/>
            <w:vAlign w:val="bottom"/>
            <w:hideMark/>
          </w:tcPr>
          <w:p w14:paraId="46D73ACF" w14:textId="01518B70" w:rsidR="00DA783E" w:rsidRPr="00DA783E" w:rsidRDefault="00DA783E" w:rsidP="00DA783E">
            <w:pPr>
              <w:jc w:val="righ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 xml:space="preserve">    6</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879</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186</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 xml:space="preserve">843 </w:t>
            </w:r>
          </w:p>
        </w:tc>
        <w:tc>
          <w:tcPr>
            <w:tcW w:w="1180" w:type="dxa"/>
            <w:shd w:val="clear" w:color="auto" w:fill="auto"/>
            <w:noWrap/>
            <w:vAlign w:val="bottom"/>
            <w:hideMark/>
          </w:tcPr>
          <w:p w14:paraId="49F7FB9A" w14:textId="1AC4C9DB" w:rsidR="00DA783E" w:rsidRPr="00DA783E" w:rsidRDefault="00DA783E" w:rsidP="00DA783E">
            <w:pPr>
              <w:jc w:val="righ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 xml:space="preserve">    6</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770</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186</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 xml:space="preserve">835 </w:t>
            </w:r>
          </w:p>
        </w:tc>
      </w:tr>
      <w:tr w:rsidR="00DA783E" w:rsidRPr="00DA783E" w14:paraId="1770D582" w14:textId="77777777" w:rsidTr="00731E92">
        <w:trPr>
          <w:trHeight w:val="300"/>
        </w:trPr>
        <w:tc>
          <w:tcPr>
            <w:tcW w:w="580" w:type="dxa"/>
            <w:shd w:val="clear" w:color="auto" w:fill="auto"/>
            <w:noWrap/>
            <w:vAlign w:val="center"/>
            <w:hideMark/>
          </w:tcPr>
          <w:p w14:paraId="3BB3824F" w14:textId="77777777" w:rsidR="00DA783E" w:rsidRPr="00DA783E" w:rsidRDefault="00DA783E" w:rsidP="00DA783E">
            <w:pPr>
              <w:jc w:val="center"/>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39</w:t>
            </w:r>
          </w:p>
        </w:tc>
        <w:tc>
          <w:tcPr>
            <w:tcW w:w="879" w:type="dxa"/>
            <w:shd w:val="clear" w:color="auto" w:fill="auto"/>
            <w:noWrap/>
            <w:vAlign w:val="center"/>
            <w:hideMark/>
          </w:tcPr>
          <w:p w14:paraId="709AED62" w14:textId="77777777" w:rsidR="00DA783E" w:rsidRPr="00DA783E" w:rsidRDefault="00DA783E" w:rsidP="00DA783E">
            <w:pPr>
              <w:jc w:val="righ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901254731</w:t>
            </w:r>
          </w:p>
        </w:tc>
        <w:tc>
          <w:tcPr>
            <w:tcW w:w="4716" w:type="dxa"/>
            <w:shd w:val="clear" w:color="auto" w:fill="auto"/>
            <w:vAlign w:val="center"/>
            <w:hideMark/>
          </w:tcPr>
          <w:p w14:paraId="0291BCE5" w14:textId="77777777" w:rsidR="00DA783E" w:rsidRPr="00DA783E" w:rsidRDefault="00DA783E" w:rsidP="00DA783E">
            <w:pPr>
              <w:jc w:val="lef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SOLENERGETICAS S.A.S. E.S.P.</w:t>
            </w:r>
          </w:p>
        </w:tc>
        <w:tc>
          <w:tcPr>
            <w:tcW w:w="805" w:type="dxa"/>
            <w:shd w:val="clear" w:color="auto" w:fill="auto"/>
            <w:noWrap/>
            <w:vAlign w:val="center"/>
            <w:hideMark/>
          </w:tcPr>
          <w:p w14:paraId="2C084D12" w14:textId="77777777" w:rsidR="00DA783E" w:rsidRPr="00DA783E" w:rsidRDefault="00DA783E" w:rsidP="00DA783E">
            <w:pPr>
              <w:jc w:val="lef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ENERGIA</w:t>
            </w:r>
          </w:p>
        </w:tc>
        <w:tc>
          <w:tcPr>
            <w:tcW w:w="1180" w:type="dxa"/>
            <w:shd w:val="clear" w:color="auto" w:fill="auto"/>
            <w:noWrap/>
            <w:vAlign w:val="bottom"/>
            <w:hideMark/>
          </w:tcPr>
          <w:p w14:paraId="55818800" w14:textId="4B6DF770" w:rsidR="00DA783E" w:rsidRPr="00DA783E" w:rsidRDefault="00DA783E" w:rsidP="00DA783E">
            <w:pPr>
              <w:jc w:val="righ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 xml:space="preserve">       122</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806</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 xml:space="preserve">384 </w:t>
            </w:r>
          </w:p>
        </w:tc>
        <w:tc>
          <w:tcPr>
            <w:tcW w:w="1180" w:type="dxa"/>
            <w:shd w:val="clear" w:color="auto" w:fill="auto"/>
            <w:noWrap/>
            <w:vAlign w:val="bottom"/>
            <w:hideMark/>
          </w:tcPr>
          <w:p w14:paraId="654B5E62" w14:textId="774296A0" w:rsidR="00DA783E" w:rsidRPr="00DA783E" w:rsidRDefault="00DA783E" w:rsidP="00DA783E">
            <w:pPr>
              <w:jc w:val="righ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 xml:space="preserve">       120</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860</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 xml:space="preserve">529 </w:t>
            </w:r>
          </w:p>
        </w:tc>
      </w:tr>
      <w:tr w:rsidR="00DA783E" w:rsidRPr="00DA783E" w14:paraId="50F3556D" w14:textId="77777777" w:rsidTr="00731E92">
        <w:trPr>
          <w:trHeight w:val="470"/>
        </w:trPr>
        <w:tc>
          <w:tcPr>
            <w:tcW w:w="580" w:type="dxa"/>
            <w:shd w:val="clear" w:color="auto" w:fill="auto"/>
            <w:noWrap/>
            <w:vAlign w:val="center"/>
            <w:hideMark/>
          </w:tcPr>
          <w:p w14:paraId="5EBB9206" w14:textId="77777777" w:rsidR="00DA783E" w:rsidRPr="00DA783E" w:rsidRDefault="00DA783E" w:rsidP="00DA783E">
            <w:pPr>
              <w:jc w:val="center"/>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40</w:t>
            </w:r>
          </w:p>
        </w:tc>
        <w:tc>
          <w:tcPr>
            <w:tcW w:w="879" w:type="dxa"/>
            <w:shd w:val="clear" w:color="auto" w:fill="auto"/>
            <w:noWrap/>
            <w:vAlign w:val="center"/>
            <w:hideMark/>
          </w:tcPr>
          <w:p w14:paraId="5CDDDA0D" w14:textId="77777777" w:rsidR="00DA783E" w:rsidRPr="00DA783E" w:rsidRDefault="00DA783E" w:rsidP="00DA783E">
            <w:pPr>
              <w:jc w:val="righ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901179454</w:t>
            </w:r>
          </w:p>
        </w:tc>
        <w:tc>
          <w:tcPr>
            <w:tcW w:w="4716" w:type="dxa"/>
            <w:shd w:val="clear" w:color="auto" w:fill="auto"/>
            <w:vAlign w:val="center"/>
            <w:hideMark/>
          </w:tcPr>
          <w:p w14:paraId="460317D0" w14:textId="77777777" w:rsidR="00DA783E" w:rsidRPr="00DA783E" w:rsidRDefault="00DA783E" w:rsidP="00DA783E">
            <w:pPr>
              <w:jc w:val="lef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SOLUCIONES ENERGÉTICAS INTEGRALES DEL PACIFICO S.A.S. E.S.P.</w:t>
            </w:r>
          </w:p>
        </w:tc>
        <w:tc>
          <w:tcPr>
            <w:tcW w:w="805" w:type="dxa"/>
            <w:shd w:val="clear" w:color="auto" w:fill="auto"/>
            <w:noWrap/>
            <w:vAlign w:val="center"/>
            <w:hideMark/>
          </w:tcPr>
          <w:p w14:paraId="7FB56066" w14:textId="77777777" w:rsidR="00DA783E" w:rsidRPr="00DA783E" w:rsidRDefault="00DA783E" w:rsidP="00DA783E">
            <w:pPr>
              <w:jc w:val="lef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ENERGIA</w:t>
            </w:r>
          </w:p>
        </w:tc>
        <w:tc>
          <w:tcPr>
            <w:tcW w:w="1180" w:type="dxa"/>
            <w:shd w:val="clear" w:color="auto" w:fill="auto"/>
            <w:noWrap/>
            <w:vAlign w:val="bottom"/>
            <w:hideMark/>
          </w:tcPr>
          <w:p w14:paraId="6C402116" w14:textId="51677BB6" w:rsidR="00DA783E" w:rsidRPr="00DA783E" w:rsidRDefault="00DA783E" w:rsidP="00DA783E">
            <w:pPr>
              <w:jc w:val="righ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 xml:space="preserve">       198</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629</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 xml:space="preserve">461 </w:t>
            </w:r>
          </w:p>
        </w:tc>
        <w:tc>
          <w:tcPr>
            <w:tcW w:w="1180" w:type="dxa"/>
            <w:shd w:val="clear" w:color="auto" w:fill="auto"/>
            <w:noWrap/>
            <w:vAlign w:val="bottom"/>
            <w:hideMark/>
          </w:tcPr>
          <w:p w14:paraId="734248E4" w14:textId="28C838EA" w:rsidR="00DA783E" w:rsidRPr="00DA783E" w:rsidRDefault="00DA783E" w:rsidP="00DA783E">
            <w:pPr>
              <w:jc w:val="righ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 xml:space="preserve">       195</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482</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 xml:space="preserve">197 </w:t>
            </w:r>
          </w:p>
        </w:tc>
      </w:tr>
      <w:tr w:rsidR="00DA783E" w:rsidRPr="00DA783E" w14:paraId="40DC22F5" w14:textId="77777777" w:rsidTr="00731E92">
        <w:trPr>
          <w:trHeight w:val="300"/>
        </w:trPr>
        <w:tc>
          <w:tcPr>
            <w:tcW w:w="580" w:type="dxa"/>
            <w:shd w:val="clear" w:color="auto" w:fill="auto"/>
            <w:noWrap/>
            <w:vAlign w:val="center"/>
            <w:hideMark/>
          </w:tcPr>
          <w:p w14:paraId="22212784" w14:textId="77777777" w:rsidR="00DA783E" w:rsidRPr="00DA783E" w:rsidRDefault="00DA783E" w:rsidP="00DA783E">
            <w:pPr>
              <w:jc w:val="center"/>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41</w:t>
            </w:r>
          </w:p>
        </w:tc>
        <w:tc>
          <w:tcPr>
            <w:tcW w:w="879" w:type="dxa"/>
            <w:shd w:val="clear" w:color="auto" w:fill="auto"/>
            <w:noWrap/>
            <w:vAlign w:val="center"/>
            <w:hideMark/>
          </w:tcPr>
          <w:p w14:paraId="6CF5C286" w14:textId="77777777" w:rsidR="00DA783E" w:rsidRPr="00DA783E" w:rsidRDefault="00DA783E" w:rsidP="00DA783E">
            <w:pPr>
              <w:jc w:val="righ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901060669</w:t>
            </w:r>
          </w:p>
        </w:tc>
        <w:tc>
          <w:tcPr>
            <w:tcW w:w="4716" w:type="dxa"/>
            <w:shd w:val="clear" w:color="auto" w:fill="auto"/>
            <w:vAlign w:val="center"/>
            <w:hideMark/>
          </w:tcPr>
          <w:p w14:paraId="2B348B23" w14:textId="77777777" w:rsidR="00DA783E" w:rsidRPr="00DA783E" w:rsidRDefault="00DA783E" w:rsidP="00DA783E">
            <w:pPr>
              <w:jc w:val="lef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TERMOGAS SOLUCIONES ENERGETICAS SAS ESP</w:t>
            </w:r>
          </w:p>
        </w:tc>
        <w:tc>
          <w:tcPr>
            <w:tcW w:w="805" w:type="dxa"/>
            <w:shd w:val="clear" w:color="auto" w:fill="auto"/>
            <w:noWrap/>
            <w:vAlign w:val="center"/>
            <w:hideMark/>
          </w:tcPr>
          <w:p w14:paraId="19CA8C51" w14:textId="77777777" w:rsidR="00DA783E" w:rsidRPr="00DA783E" w:rsidRDefault="00DA783E" w:rsidP="00DA783E">
            <w:pPr>
              <w:jc w:val="lef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GLP</w:t>
            </w:r>
          </w:p>
        </w:tc>
        <w:tc>
          <w:tcPr>
            <w:tcW w:w="1180" w:type="dxa"/>
            <w:shd w:val="clear" w:color="auto" w:fill="auto"/>
            <w:noWrap/>
            <w:vAlign w:val="bottom"/>
            <w:hideMark/>
          </w:tcPr>
          <w:p w14:paraId="0A75C7A9" w14:textId="7C50B3D3" w:rsidR="00DA783E" w:rsidRPr="00DA783E" w:rsidRDefault="00DA783E" w:rsidP="00DA783E">
            <w:pPr>
              <w:jc w:val="righ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 xml:space="preserve">         51</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376</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 xml:space="preserve">048 </w:t>
            </w:r>
          </w:p>
        </w:tc>
        <w:tc>
          <w:tcPr>
            <w:tcW w:w="1180" w:type="dxa"/>
            <w:shd w:val="clear" w:color="auto" w:fill="auto"/>
            <w:noWrap/>
            <w:vAlign w:val="bottom"/>
            <w:hideMark/>
          </w:tcPr>
          <w:p w14:paraId="637955C4" w14:textId="2239117B" w:rsidR="00DA783E" w:rsidRPr="00DA783E" w:rsidRDefault="00DA783E" w:rsidP="00DA783E">
            <w:pPr>
              <w:jc w:val="righ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 xml:space="preserve">         50</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562</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 xml:space="preserve">000 </w:t>
            </w:r>
          </w:p>
        </w:tc>
      </w:tr>
      <w:tr w:rsidR="00DA783E" w:rsidRPr="00DA783E" w14:paraId="44D11728" w14:textId="77777777" w:rsidTr="00731E92">
        <w:trPr>
          <w:trHeight w:val="470"/>
        </w:trPr>
        <w:tc>
          <w:tcPr>
            <w:tcW w:w="580" w:type="dxa"/>
            <w:shd w:val="clear" w:color="auto" w:fill="auto"/>
            <w:noWrap/>
            <w:vAlign w:val="center"/>
            <w:hideMark/>
          </w:tcPr>
          <w:p w14:paraId="5835FA47" w14:textId="77777777" w:rsidR="00DA783E" w:rsidRPr="00DA783E" w:rsidRDefault="00DA783E" w:rsidP="00DA783E">
            <w:pPr>
              <w:jc w:val="center"/>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42</w:t>
            </w:r>
          </w:p>
        </w:tc>
        <w:tc>
          <w:tcPr>
            <w:tcW w:w="879" w:type="dxa"/>
            <w:shd w:val="clear" w:color="auto" w:fill="auto"/>
            <w:noWrap/>
            <w:vAlign w:val="center"/>
            <w:hideMark/>
          </w:tcPr>
          <w:p w14:paraId="29CF5780" w14:textId="77777777" w:rsidR="00DA783E" w:rsidRPr="00DA783E" w:rsidRDefault="00DA783E" w:rsidP="00DA783E">
            <w:pPr>
              <w:jc w:val="righ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818000002</w:t>
            </w:r>
          </w:p>
        </w:tc>
        <w:tc>
          <w:tcPr>
            <w:tcW w:w="4716" w:type="dxa"/>
            <w:shd w:val="clear" w:color="auto" w:fill="auto"/>
            <w:vAlign w:val="center"/>
            <w:hideMark/>
          </w:tcPr>
          <w:p w14:paraId="125C9DF3" w14:textId="77777777" w:rsidR="00DA783E" w:rsidRPr="00DA783E" w:rsidRDefault="00DA783E" w:rsidP="00DA783E">
            <w:pPr>
              <w:jc w:val="lef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UNIDAD DE SERVICIOS PUBLICOS DE ENERGIA, ACUEDUCTO, ALCANTARILLO Y ASEO DEL MUNICIPIO LITORAL DEL SAN JUAN</w:t>
            </w:r>
          </w:p>
        </w:tc>
        <w:tc>
          <w:tcPr>
            <w:tcW w:w="805" w:type="dxa"/>
            <w:shd w:val="clear" w:color="auto" w:fill="auto"/>
            <w:noWrap/>
            <w:vAlign w:val="center"/>
            <w:hideMark/>
          </w:tcPr>
          <w:p w14:paraId="06241B98" w14:textId="77777777" w:rsidR="00DA783E" w:rsidRPr="00DA783E" w:rsidRDefault="00DA783E" w:rsidP="00DA783E">
            <w:pPr>
              <w:jc w:val="lef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ENERGIA</w:t>
            </w:r>
          </w:p>
        </w:tc>
        <w:tc>
          <w:tcPr>
            <w:tcW w:w="1180" w:type="dxa"/>
            <w:shd w:val="clear" w:color="auto" w:fill="auto"/>
            <w:noWrap/>
            <w:vAlign w:val="bottom"/>
            <w:hideMark/>
          </w:tcPr>
          <w:p w14:paraId="32433F0E" w14:textId="2CD7DBEB" w:rsidR="00DA783E" w:rsidRPr="00DA783E" w:rsidRDefault="00DA783E" w:rsidP="00DA783E">
            <w:pPr>
              <w:jc w:val="righ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 xml:space="preserve">       130</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572</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 xml:space="preserve">370 </w:t>
            </w:r>
          </w:p>
        </w:tc>
        <w:tc>
          <w:tcPr>
            <w:tcW w:w="1180" w:type="dxa"/>
            <w:shd w:val="clear" w:color="auto" w:fill="auto"/>
            <w:noWrap/>
            <w:vAlign w:val="bottom"/>
            <w:hideMark/>
          </w:tcPr>
          <w:p w14:paraId="58D6D5B3" w14:textId="1B004F92" w:rsidR="00DA783E" w:rsidRPr="00DA783E" w:rsidRDefault="00DA783E" w:rsidP="00DA783E">
            <w:pPr>
              <w:jc w:val="right"/>
              <w:rPr>
                <w:rFonts w:ascii="Arial Narrow" w:hAnsi="Arial Narrow" w:cs="Calibri"/>
                <w:color w:val="000000"/>
                <w:spacing w:val="0"/>
                <w:sz w:val="18"/>
                <w:szCs w:val="18"/>
                <w:lang w:eastAsia="es-CO"/>
              </w:rPr>
            </w:pPr>
            <w:r w:rsidRPr="00DA783E">
              <w:rPr>
                <w:rFonts w:ascii="Arial Narrow" w:hAnsi="Arial Narrow" w:cs="Calibri"/>
                <w:color w:val="000000"/>
                <w:spacing w:val="0"/>
                <w:sz w:val="18"/>
                <w:szCs w:val="18"/>
                <w:lang w:eastAsia="es-CO"/>
              </w:rPr>
              <w:t xml:space="preserve">       128</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503</w:t>
            </w:r>
            <w:r>
              <w:rPr>
                <w:rFonts w:ascii="Arial Narrow" w:hAnsi="Arial Narrow" w:cs="Calibri"/>
                <w:color w:val="000000"/>
                <w:spacing w:val="0"/>
                <w:sz w:val="18"/>
                <w:szCs w:val="18"/>
                <w:lang w:eastAsia="es-CO"/>
              </w:rPr>
              <w:t>.</w:t>
            </w:r>
            <w:r w:rsidRPr="00DA783E">
              <w:rPr>
                <w:rFonts w:ascii="Arial Narrow" w:hAnsi="Arial Narrow" w:cs="Calibri"/>
                <w:color w:val="000000"/>
                <w:spacing w:val="0"/>
                <w:sz w:val="18"/>
                <w:szCs w:val="18"/>
                <w:lang w:eastAsia="es-CO"/>
              </w:rPr>
              <w:t xml:space="preserve">464 </w:t>
            </w:r>
          </w:p>
        </w:tc>
      </w:tr>
    </w:tbl>
    <w:p w14:paraId="452C60C3" w14:textId="77777777" w:rsidR="000D5C18" w:rsidRDefault="000D5C18" w:rsidP="008141A0">
      <w:pPr>
        <w:rPr>
          <w:rFonts w:cs="Arial"/>
          <w:color w:val="FF0000"/>
          <w:sz w:val="22"/>
          <w:szCs w:val="22"/>
        </w:rPr>
      </w:pPr>
    </w:p>
    <w:p w14:paraId="3296BC2C" w14:textId="0A977E2E" w:rsidR="00DA4C9A" w:rsidRPr="0085721C" w:rsidRDefault="00DA4C9A" w:rsidP="00DA4C9A">
      <w:pPr>
        <w:pStyle w:val="Subttulo"/>
        <w:numPr>
          <w:ilvl w:val="1"/>
          <w:numId w:val="37"/>
        </w:numPr>
        <w:spacing w:after="0"/>
        <w:ind w:left="357" w:hanging="357"/>
        <w:jc w:val="left"/>
        <w:rPr>
          <w:b/>
          <w:bCs/>
          <w:sz w:val="22"/>
          <w:szCs w:val="22"/>
        </w:rPr>
      </w:pPr>
      <w:bookmarkStart w:id="48" w:name="_Toc88126852"/>
      <w:r w:rsidRPr="0085721C">
        <w:rPr>
          <w:b/>
          <w:bCs/>
          <w:sz w:val="22"/>
          <w:szCs w:val="22"/>
        </w:rPr>
        <w:t>EMPRESAS QUE REPORTARON EN EL SISTEMA SUI INFORMACIÓN AL CIERRE DE DICIEMBRE 31 DE 201</w:t>
      </w:r>
      <w:r>
        <w:rPr>
          <w:b/>
          <w:bCs/>
          <w:sz w:val="22"/>
          <w:szCs w:val="22"/>
        </w:rPr>
        <w:t>8</w:t>
      </w:r>
      <w:r w:rsidRPr="0085721C">
        <w:rPr>
          <w:b/>
          <w:bCs/>
          <w:sz w:val="22"/>
          <w:szCs w:val="22"/>
        </w:rPr>
        <w:t xml:space="preserve"> Y NO REPORTARON CON CORTE AL </w:t>
      </w:r>
      <w:r>
        <w:rPr>
          <w:b/>
          <w:bCs/>
          <w:sz w:val="22"/>
          <w:szCs w:val="22"/>
        </w:rPr>
        <w:t>21</w:t>
      </w:r>
      <w:r w:rsidRPr="0085721C">
        <w:rPr>
          <w:b/>
          <w:bCs/>
          <w:sz w:val="22"/>
          <w:szCs w:val="22"/>
        </w:rPr>
        <w:t xml:space="preserve"> DE </w:t>
      </w:r>
      <w:r>
        <w:rPr>
          <w:b/>
          <w:bCs/>
          <w:sz w:val="22"/>
          <w:szCs w:val="22"/>
        </w:rPr>
        <w:t>SEPTIEMBRE</w:t>
      </w:r>
      <w:r w:rsidRPr="0085721C">
        <w:rPr>
          <w:b/>
          <w:bCs/>
          <w:sz w:val="22"/>
          <w:szCs w:val="22"/>
        </w:rPr>
        <w:t xml:space="preserve"> DE 20</w:t>
      </w:r>
      <w:r>
        <w:rPr>
          <w:b/>
          <w:bCs/>
          <w:sz w:val="22"/>
          <w:szCs w:val="22"/>
        </w:rPr>
        <w:t>21</w:t>
      </w:r>
      <w:r w:rsidRPr="0085721C">
        <w:rPr>
          <w:b/>
          <w:bCs/>
          <w:sz w:val="22"/>
          <w:szCs w:val="22"/>
        </w:rPr>
        <w:t xml:space="preserve">, EL CIERRE </w:t>
      </w:r>
      <w:r>
        <w:rPr>
          <w:b/>
          <w:bCs/>
          <w:sz w:val="22"/>
          <w:szCs w:val="22"/>
        </w:rPr>
        <w:t>A</w:t>
      </w:r>
      <w:r w:rsidRPr="0085721C">
        <w:rPr>
          <w:b/>
          <w:bCs/>
          <w:sz w:val="22"/>
          <w:szCs w:val="22"/>
        </w:rPr>
        <w:t xml:space="preserve"> DICIEMBRE 31 DE 20</w:t>
      </w:r>
      <w:r>
        <w:rPr>
          <w:b/>
          <w:bCs/>
          <w:sz w:val="22"/>
          <w:szCs w:val="22"/>
        </w:rPr>
        <w:t>20</w:t>
      </w:r>
      <w:r w:rsidRPr="0085721C">
        <w:rPr>
          <w:b/>
          <w:bCs/>
          <w:sz w:val="22"/>
          <w:szCs w:val="22"/>
        </w:rPr>
        <w:t>:</w:t>
      </w:r>
      <w:bookmarkEnd w:id="48"/>
    </w:p>
    <w:p w14:paraId="5F64A18E" w14:textId="0AFB57D9" w:rsidR="00DA4C9A" w:rsidRDefault="00DA4C9A" w:rsidP="00DA4C9A">
      <w:pPr>
        <w:jc w:val="left"/>
        <w:rPr>
          <w:rFonts w:cs="Arial"/>
          <w:sz w:val="22"/>
          <w:szCs w:val="22"/>
        </w:rPr>
      </w:pPr>
    </w:p>
    <w:p w14:paraId="46B08328" w14:textId="524483DF" w:rsidR="0018631B" w:rsidRDefault="0018631B" w:rsidP="0018631B">
      <w:pPr>
        <w:rPr>
          <w:rFonts w:cs="Arial"/>
          <w:sz w:val="22"/>
          <w:szCs w:val="22"/>
        </w:rPr>
      </w:pPr>
      <w:r>
        <w:rPr>
          <w:rFonts w:cs="Arial"/>
          <w:sz w:val="22"/>
          <w:szCs w:val="22"/>
          <w:lang w:val="es-MX"/>
        </w:rPr>
        <w:t xml:space="preserve">Son </w:t>
      </w:r>
      <w:r w:rsidR="00651F76">
        <w:rPr>
          <w:rFonts w:cs="Arial"/>
          <w:sz w:val="22"/>
          <w:szCs w:val="22"/>
          <w:lang w:val="es-MX"/>
        </w:rPr>
        <w:t>9</w:t>
      </w:r>
      <w:r>
        <w:rPr>
          <w:rFonts w:cs="Arial"/>
          <w:sz w:val="22"/>
          <w:szCs w:val="22"/>
          <w:lang w:val="es-MX"/>
        </w:rPr>
        <w:t xml:space="preserve"> empresas reguladas que,</w:t>
      </w:r>
      <w:r w:rsidRPr="00B474AF">
        <w:rPr>
          <w:rFonts w:cs="Arial"/>
          <w:sz w:val="22"/>
          <w:szCs w:val="22"/>
        </w:rPr>
        <w:t xml:space="preserve"> </w:t>
      </w:r>
      <w:r>
        <w:rPr>
          <w:rFonts w:cs="Arial"/>
          <w:sz w:val="22"/>
          <w:szCs w:val="22"/>
        </w:rPr>
        <w:t>con corte al 21 de septiembre de 2021, no habían reportado</w:t>
      </w:r>
      <w:r w:rsidRPr="00B474AF">
        <w:rPr>
          <w:rFonts w:cs="Arial"/>
          <w:sz w:val="22"/>
          <w:szCs w:val="22"/>
        </w:rPr>
        <w:t xml:space="preserve"> los estados financieros de la vigencia 20</w:t>
      </w:r>
      <w:r>
        <w:rPr>
          <w:rFonts w:cs="Arial"/>
          <w:sz w:val="22"/>
          <w:szCs w:val="22"/>
        </w:rPr>
        <w:t>18 al SUI.</w:t>
      </w:r>
      <w:r w:rsidRPr="00B474AF">
        <w:rPr>
          <w:rFonts w:cs="Arial"/>
          <w:sz w:val="22"/>
          <w:szCs w:val="22"/>
        </w:rPr>
        <w:t xml:space="preserve"> </w:t>
      </w:r>
      <w:r>
        <w:rPr>
          <w:rFonts w:cs="Arial"/>
          <w:sz w:val="22"/>
          <w:szCs w:val="22"/>
        </w:rPr>
        <w:t xml:space="preserve">Para tales regulados, la CREG </w:t>
      </w:r>
      <w:r w:rsidRPr="00B474AF">
        <w:rPr>
          <w:rFonts w:cs="Arial"/>
          <w:sz w:val="22"/>
          <w:szCs w:val="22"/>
        </w:rPr>
        <w:t xml:space="preserve">tomará como base la última información financiera </w:t>
      </w:r>
      <w:r>
        <w:rPr>
          <w:rFonts w:cs="Arial"/>
          <w:sz w:val="22"/>
          <w:szCs w:val="22"/>
        </w:rPr>
        <w:t>reportada y certificada al SUI (2018), la cual será indexada</w:t>
      </w:r>
      <w:r w:rsidRPr="00B474AF">
        <w:rPr>
          <w:rFonts w:cs="Arial"/>
          <w:sz w:val="22"/>
          <w:szCs w:val="22"/>
        </w:rPr>
        <w:t xml:space="preserve"> aplicando el </w:t>
      </w:r>
      <w:r>
        <w:rPr>
          <w:rFonts w:cs="Arial"/>
          <w:sz w:val="22"/>
          <w:szCs w:val="22"/>
        </w:rPr>
        <w:t xml:space="preserve">porcentaje de </w:t>
      </w:r>
      <w:r w:rsidRPr="00B474AF">
        <w:rPr>
          <w:rFonts w:cs="Arial"/>
          <w:sz w:val="22"/>
          <w:szCs w:val="22"/>
        </w:rPr>
        <w:t>incremento del I</w:t>
      </w:r>
      <w:r>
        <w:rPr>
          <w:rFonts w:cs="Arial"/>
          <w:sz w:val="22"/>
          <w:szCs w:val="22"/>
        </w:rPr>
        <w:t>P</w:t>
      </w:r>
      <w:r w:rsidRPr="00B474AF">
        <w:rPr>
          <w:rFonts w:cs="Arial"/>
          <w:sz w:val="22"/>
          <w:szCs w:val="22"/>
        </w:rPr>
        <w:t>C, certificado por el Departamento Administr</w:t>
      </w:r>
      <w:r>
        <w:rPr>
          <w:rFonts w:cs="Arial"/>
          <w:sz w:val="22"/>
          <w:szCs w:val="22"/>
        </w:rPr>
        <w:t>ativo Nacional de Estadística (</w:t>
      </w:r>
      <w:r w:rsidRPr="00B474AF">
        <w:rPr>
          <w:rFonts w:cs="Arial"/>
          <w:sz w:val="22"/>
          <w:szCs w:val="22"/>
        </w:rPr>
        <w:t>DANE</w:t>
      </w:r>
      <w:r>
        <w:rPr>
          <w:rFonts w:cs="Arial"/>
          <w:sz w:val="22"/>
          <w:szCs w:val="22"/>
        </w:rPr>
        <w:t>).</w:t>
      </w:r>
    </w:p>
    <w:p w14:paraId="08B10AE3" w14:textId="77777777" w:rsidR="0018631B" w:rsidRDefault="0018631B" w:rsidP="00DA4C9A">
      <w:pPr>
        <w:jc w:val="left"/>
        <w:rPr>
          <w:rFonts w:cs="Arial"/>
          <w:sz w:val="22"/>
          <w:szCs w:val="22"/>
        </w:rPr>
      </w:pP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9"/>
        <w:gridCol w:w="879"/>
        <w:gridCol w:w="4877"/>
        <w:gridCol w:w="866"/>
        <w:gridCol w:w="1119"/>
        <w:gridCol w:w="1180"/>
      </w:tblGrid>
      <w:tr w:rsidR="00731E92" w:rsidRPr="00651F76" w14:paraId="30885503" w14:textId="77777777" w:rsidTr="00651F76">
        <w:trPr>
          <w:trHeight w:val="450"/>
          <w:tblHeader/>
        </w:trPr>
        <w:tc>
          <w:tcPr>
            <w:tcW w:w="319" w:type="dxa"/>
            <w:shd w:val="clear" w:color="000000" w:fill="F2F2F2"/>
            <w:noWrap/>
            <w:vAlign w:val="center"/>
            <w:hideMark/>
          </w:tcPr>
          <w:p w14:paraId="42668903" w14:textId="77777777" w:rsidR="00DA783E" w:rsidRPr="00651F76" w:rsidRDefault="00DA783E" w:rsidP="00BB6280">
            <w:pPr>
              <w:jc w:val="center"/>
              <w:rPr>
                <w:rFonts w:ascii="Arial Narrow" w:hAnsi="Arial Narrow" w:cs="Calibri"/>
                <w:b/>
                <w:bCs/>
                <w:color w:val="000000"/>
                <w:spacing w:val="0"/>
                <w:sz w:val="16"/>
                <w:szCs w:val="16"/>
                <w:lang w:eastAsia="es-CO"/>
              </w:rPr>
            </w:pPr>
            <w:r w:rsidRPr="00651F76">
              <w:rPr>
                <w:rFonts w:ascii="Arial Narrow" w:hAnsi="Arial Narrow" w:cs="Calibri"/>
                <w:b/>
                <w:bCs/>
                <w:color w:val="000000"/>
                <w:spacing w:val="0"/>
                <w:sz w:val="16"/>
                <w:szCs w:val="16"/>
                <w:lang w:eastAsia="es-CO"/>
              </w:rPr>
              <w:t>N°</w:t>
            </w:r>
          </w:p>
        </w:tc>
        <w:tc>
          <w:tcPr>
            <w:tcW w:w="879" w:type="dxa"/>
            <w:shd w:val="clear" w:color="000000" w:fill="F2F2F2"/>
            <w:noWrap/>
            <w:vAlign w:val="center"/>
            <w:hideMark/>
          </w:tcPr>
          <w:p w14:paraId="72A311A0" w14:textId="77777777" w:rsidR="00DA783E" w:rsidRPr="00651F76" w:rsidRDefault="00DA783E" w:rsidP="00BB6280">
            <w:pPr>
              <w:jc w:val="center"/>
              <w:rPr>
                <w:rFonts w:ascii="Arial Narrow" w:hAnsi="Arial Narrow" w:cs="Calibri"/>
                <w:b/>
                <w:bCs/>
                <w:color w:val="000000"/>
                <w:spacing w:val="0"/>
                <w:sz w:val="16"/>
                <w:szCs w:val="16"/>
                <w:lang w:eastAsia="es-CO"/>
              </w:rPr>
            </w:pPr>
            <w:r w:rsidRPr="00651F76">
              <w:rPr>
                <w:rFonts w:ascii="Arial Narrow" w:hAnsi="Arial Narrow" w:cs="Calibri"/>
                <w:b/>
                <w:bCs/>
                <w:color w:val="000000"/>
                <w:spacing w:val="0"/>
                <w:sz w:val="16"/>
                <w:szCs w:val="16"/>
                <w:lang w:eastAsia="es-CO"/>
              </w:rPr>
              <w:t>NIT</w:t>
            </w:r>
          </w:p>
        </w:tc>
        <w:tc>
          <w:tcPr>
            <w:tcW w:w="4877" w:type="dxa"/>
            <w:shd w:val="clear" w:color="000000" w:fill="F2F2F2"/>
            <w:vAlign w:val="center"/>
            <w:hideMark/>
          </w:tcPr>
          <w:p w14:paraId="74E829A6" w14:textId="77777777" w:rsidR="00DA783E" w:rsidRPr="00651F76" w:rsidRDefault="00DA783E" w:rsidP="00BB6280">
            <w:pPr>
              <w:jc w:val="center"/>
              <w:rPr>
                <w:rFonts w:ascii="Arial Narrow" w:hAnsi="Arial Narrow" w:cs="Calibri"/>
                <w:b/>
                <w:bCs/>
                <w:color w:val="000000"/>
                <w:spacing w:val="0"/>
                <w:sz w:val="16"/>
                <w:szCs w:val="16"/>
                <w:lang w:eastAsia="es-CO"/>
              </w:rPr>
            </w:pPr>
            <w:r w:rsidRPr="00651F76">
              <w:rPr>
                <w:rFonts w:ascii="Arial Narrow" w:hAnsi="Arial Narrow" w:cs="Calibri"/>
                <w:b/>
                <w:bCs/>
                <w:color w:val="000000"/>
                <w:spacing w:val="0"/>
                <w:sz w:val="16"/>
                <w:szCs w:val="16"/>
                <w:lang w:eastAsia="es-CO"/>
              </w:rPr>
              <w:t>RAZÓN SOCIAL</w:t>
            </w:r>
          </w:p>
        </w:tc>
        <w:tc>
          <w:tcPr>
            <w:tcW w:w="866" w:type="dxa"/>
            <w:shd w:val="clear" w:color="000000" w:fill="F2F2F2"/>
            <w:noWrap/>
            <w:vAlign w:val="center"/>
            <w:hideMark/>
          </w:tcPr>
          <w:p w14:paraId="0992AF55" w14:textId="77777777" w:rsidR="00DA783E" w:rsidRPr="00651F76" w:rsidRDefault="00DA783E" w:rsidP="00BB6280">
            <w:pPr>
              <w:jc w:val="center"/>
              <w:rPr>
                <w:rFonts w:ascii="Arial Narrow" w:hAnsi="Arial Narrow" w:cs="Calibri"/>
                <w:b/>
                <w:bCs/>
                <w:color w:val="000000"/>
                <w:spacing w:val="0"/>
                <w:sz w:val="16"/>
                <w:szCs w:val="16"/>
                <w:lang w:eastAsia="es-CO"/>
              </w:rPr>
            </w:pPr>
            <w:r w:rsidRPr="00651F76">
              <w:rPr>
                <w:rFonts w:ascii="Arial Narrow" w:hAnsi="Arial Narrow" w:cs="Calibri"/>
                <w:b/>
                <w:bCs/>
                <w:color w:val="000000"/>
                <w:spacing w:val="0"/>
                <w:sz w:val="16"/>
                <w:szCs w:val="16"/>
                <w:lang w:eastAsia="es-CO"/>
              </w:rPr>
              <w:t>Servicio</w:t>
            </w:r>
          </w:p>
        </w:tc>
        <w:tc>
          <w:tcPr>
            <w:tcW w:w="1119" w:type="dxa"/>
            <w:shd w:val="clear" w:color="000000" w:fill="F2F2F2"/>
            <w:noWrap/>
            <w:vAlign w:val="center"/>
            <w:hideMark/>
          </w:tcPr>
          <w:p w14:paraId="5B5D0441" w14:textId="6040CA35" w:rsidR="00DA783E" w:rsidRPr="00651F76" w:rsidRDefault="00DA783E" w:rsidP="00BB6280">
            <w:pPr>
              <w:jc w:val="center"/>
              <w:rPr>
                <w:rFonts w:ascii="Arial Narrow" w:hAnsi="Arial Narrow" w:cs="Calibri"/>
                <w:b/>
                <w:bCs/>
                <w:color w:val="000000"/>
                <w:spacing w:val="0"/>
                <w:sz w:val="16"/>
                <w:szCs w:val="16"/>
                <w:lang w:eastAsia="es-CO"/>
              </w:rPr>
            </w:pPr>
            <w:r w:rsidRPr="00651F76">
              <w:rPr>
                <w:rFonts w:ascii="Arial Narrow" w:hAnsi="Arial Narrow" w:cs="Calibri"/>
                <w:b/>
                <w:bCs/>
                <w:color w:val="000000"/>
                <w:spacing w:val="0"/>
                <w:sz w:val="16"/>
                <w:szCs w:val="16"/>
                <w:lang w:eastAsia="es-CO"/>
              </w:rPr>
              <w:t>BASE</w:t>
            </w:r>
            <w:r w:rsidR="0018631B" w:rsidRPr="00651F76">
              <w:rPr>
                <w:rFonts w:ascii="Arial Narrow" w:hAnsi="Arial Narrow" w:cs="Calibri"/>
                <w:b/>
                <w:bCs/>
                <w:color w:val="000000"/>
                <w:spacing w:val="0"/>
                <w:sz w:val="16"/>
                <w:szCs w:val="16"/>
                <w:lang w:eastAsia="es-CO"/>
              </w:rPr>
              <w:t xml:space="preserve"> GRAVABLE</w:t>
            </w:r>
            <w:r w:rsidRPr="00651F76">
              <w:rPr>
                <w:rFonts w:ascii="Arial Narrow" w:hAnsi="Arial Narrow" w:cs="Calibri"/>
                <w:b/>
                <w:bCs/>
                <w:color w:val="000000"/>
                <w:spacing w:val="0"/>
                <w:sz w:val="16"/>
                <w:szCs w:val="16"/>
                <w:lang w:eastAsia="es-CO"/>
              </w:rPr>
              <w:t xml:space="preserve"> </w:t>
            </w:r>
            <w:r w:rsidR="0018631B" w:rsidRPr="00651F76">
              <w:rPr>
                <w:rFonts w:ascii="Arial Narrow" w:hAnsi="Arial Narrow" w:cs="Calibri"/>
                <w:b/>
                <w:bCs/>
                <w:color w:val="000000"/>
                <w:spacing w:val="0"/>
                <w:sz w:val="16"/>
                <w:szCs w:val="16"/>
                <w:lang w:eastAsia="es-CO"/>
              </w:rPr>
              <w:t>INDEXADA</w:t>
            </w:r>
            <w:r w:rsidRPr="00651F76">
              <w:rPr>
                <w:rFonts w:ascii="Arial Narrow" w:hAnsi="Arial Narrow" w:cs="Calibri"/>
                <w:b/>
                <w:bCs/>
                <w:color w:val="000000"/>
                <w:spacing w:val="0"/>
                <w:sz w:val="16"/>
                <w:szCs w:val="16"/>
                <w:lang w:eastAsia="es-CO"/>
              </w:rPr>
              <w:t xml:space="preserve"> 2020</w:t>
            </w:r>
          </w:p>
        </w:tc>
        <w:tc>
          <w:tcPr>
            <w:tcW w:w="1180" w:type="dxa"/>
            <w:shd w:val="clear" w:color="000000" w:fill="F2F2F2"/>
            <w:noWrap/>
            <w:vAlign w:val="center"/>
            <w:hideMark/>
          </w:tcPr>
          <w:p w14:paraId="1A790A2E" w14:textId="662AB2A0" w:rsidR="00DA783E" w:rsidRPr="00651F76" w:rsidRDefault="00DA783E" w:rsidP="00BB6280">
            <w:pPr>
              <w:jc w:val="center"/>
              <w:rPr>
                <w:rFonts w:ascii="Arial Narrow" w:hAnsi="Arial Narrow" w:cs="Calibri"/>
                <w:b/>
                <w:bCs/>
                <w:color w:val="000000"/>
                <w:spacing w:val="0"/>
                <w:sz w:val="16"/>
                <w:szCs w:val="16"/>
                <w:lang w:eastAsia="es-CO"/>
              </w:rPr>
            </w:pPr>
            <w:r w:rsidRPr="00651F76">
              <w:rPr>
                <w:rFonts w:ascii="Arial Narrow" w:hAnsi="Arial Narrow" w:cs="Calibri"/>
                <w:b/>
                <w:bCs/>
                <w:color w:val="000000"/>
                <w:spacing w:val="0"/>
                <w:sz w:val="16"/>
                <w:szCs w:val="16"/>
                <w:lang w:eastAsia="es-CO"/>
              </w:rPr>
              <w:t>BASE</w:t>
            </w:r>
            <w:r w:rsidR="0018631B" w:rsidRPr="00651F76">
              <w:rPr>
                <w:rFonts w:ascii="Arial Narrow" w:hAnsi="Arial Narrow" w:cs="Calibri"/>
                <w:b/>
                <w:bCs/>
                <w:color w:val="000000"/>
                <w:spacing w:val="0"/>
                <w:sz w:val="16"/>
                <w:szCs w:val="16"/>
                <w:lang w:eastAsia="es-CO"/>
              </w:rPr>
              <w:t xml:space="preserve"> GRAVABLE</w:t>
            </w:r>
            <w:r w:rsidRPr="00651F76">
              <w:rPr>
                <w:rFonts w:ascii="Arial Narrow" w:hAnsi="Arial Narrow" w:cs="Calibri"/>
                <w:b/>
                <w:bCs/>
                <w:color w:val="000000"/>
                <w:spacing w:val="0"/>
                <w:sz w:val="16"/>
                <w:szCs w:val="16"/>
                <w:lang w:eastAsia="es-CO"/>
              </w:rPr>
              <w:t xml:space="preserve"> E</w:t>
            </w:r>
            <w:r w:rsidR="0018631B" w:rsidRPr="00651F76">
              <w:rPr>
                <w:rFonts w:ascii="Arial Narrow" w:hAnsi="Arial Narrow" w:cs="Calibri"/>
                <w:b/>
                <w:bCs/>
                <w:color w:val="000000"/>
                <w:spacing w:val="0"/>
                <w:sz w:val="16"/>
                <w:szCs w:val="16"/>
                <w:lang w:eastAsia="es-CO"/>
              </w:rPr>
              <w:t>E</w:t>
            </w:r>
            <w:r w:rsidRPr="00651F76">
              <w:rPr>
                <w:rFonts w:ascii="Arial Narrow" w:hAnsi="Arial Narrow" w:cs="Calibri"/>
                <w:b/>
                <w:bCs/>
                <w:color w:val="000000"/>
                <w:spacing w:val="0"/>
                <w:sz w:val="16"/>
                <w:szCs w:val="16"/>
                <w:lang w:eastAsia="es-CO"/>
              </w:rPr>
              <w:t>F</w:t>
            </w:r>
            <w:r w:rsidR="0018631B" w:rsidRPr="00651F76">
              <w:rPr>
                <w:rFonts w:ascii="Arial Narrow" w:hAnsi="Arial Narrow" w:cs="Calibri"/>
                <w:b/>
                <w:bCs/>
                <w:color w:val="000000"/>
                <w:spacing w:val="0"/>
                <w:sz w:val="16"/>
                <w:szCs w:val="16"/>
                <w:lang w:eastAsia="es-CO"/>
              </w:rPr>
              <w:t>F</w:t>
            </w:r>
            <w:r w:rsidRPr="00651F76">
              <w:rPr>
                <w:rFonts w:ascii="Arial Narrow" w:hAnsi="Arial Narrow" w:cs="Calibri"/>
                <w:b/>
                <w:bCs/>
                <w:color w:val="000000"/>
                <w:spacing w:val="0"/>
                <w:sz w:val="16"/>
                <w:szCs w:val="16"/>
                <w:lang w:eastAsia="es-CO"/>
              </w:rPr>
              <w:t xml:space="preserve"> 201</w:t>
            </w:r>
            <w:r w:rsidR="00731E92" w:rsidRPr="00651F76">
              <w:rPr>
                <w:rFonts w:ascii="Arial Narrow" w:hAnsi="Arial Narrow" w:cs="Calibri"/>
                <w:b/>
                <w:bCs/>
                <w:color w:val="000000"/>
                <w:spacing w:val="0"/>
                <w:sz w:val="16"/>
                <w:szCs w:val="16"/>
                <w:lang w:eastAsia="es-CO"/>
              </w:rPr>
              <w:t>8</w:t>
            </w:r>
          </w:p>
        </w:tc>
      </w:tr>
      <w:tr w:rsidR="00DA783E" w:rsidRPr="00651F76" w14:paraId="259E6D2F" w14:textId="77777777" w:rsidTr="00BB6280">
        <w:trPr>
          <w:trHeight w:val="315"/>
        </w:trPr>
        <w:tc>
          <w:tcPr>
            <w:tcW w:w="319" w:type="dxa"/>
            <w:shd w:val="clear" w:color="auto" w:fill="auto"/>
            <w:noWrap/>
            <w:vAlign w:val="center"/>
            <w:hideMark/>
          </w:tcPr>
          <w:p w14:paraId="793226CF" w14:textId="77777777" w:rsidR="00DA783E" w:rsidRPr="00651F76" w:rsidRDefault="00DA783E" w:rsidP="00DA783E">
            <w:pPr>
              <w:jc w:val="center"/>
              <w:rPr>
                <w:rFonts w:ascii="Arial Narrow" w:hAnsi="Arial Narrow" w:cs="Calibri"/>
                <w:color w:val="000000"/>
                <w:spacing w:val="0"/>
                <w:sz w:val="16"/>
                <w:szCs w:val="16"/>
                <w:lang w:eastAsia="es-CO"/>
              </w:rPr>
            </w:pPr>
            <w:r w:rsidRPr="00651F76">
              <w:rPr>
                <w:rFonts w:ascii="Arial Narrow" w:hAnsi="Arial Narrow" w:cs="Calibri"/>
                <w:color w:val="000000"/>
                <w:spacing w:val="0"/>
                <w:sz w:val="16"/>
                <w:szCs w:val="16"/>
                <w:lang w:eastAsia="es-CO"/>
              </w:rPr>
              <w:t>1</w:t>
            </w:r>
          </w:p>
        </w:tc>
        <w:tc>
          <w:tcPr>
            <w:tcW w:w="879" w:type="dxa"/>
            <w:shd w:val="clear" w:color="auto" w:fill="auto"/>
            <w:noWrap/>
            <w:vAlign w:val="center"/>
            <w:hideMark/>
          </w:tcPr>
          <w:p w14:paraId="1407C16C" w14:textId="77777777" w:rsidR="00DA783E" w:rsidRPr="00651F76" w:rsidRDefault="00DA783E" w:rsidP="00DA783E">
            <w:pPr>
              <w:jc w:val="right"/>
              <w:rPr>
                <w:rFonts w:ascii="Arial Narrow" w:hAnsi="Arial Narrow" w:cs="Calibri"/>
                <w:color w:val="000000"/>
                <w:spacing w:val="0"/>
                <w:sz w:val="16"/>
                <w:szCs w:val="16"/>
                <w:lang w:eastAsia="es-CO"/>
              </w:rPr>
            </w:pPr>
            <w:r w:rsidRPr="00651F76">
              <w:rPr>
                <w:rFonts w:ascii="Arial Narrow" w:hAnsi="Arial Narrow" w:cs="Calibri"/>
                <w:color w:val="000000"/>
                <w:spacing w:val="0"/>
                <w:sz w:val="16"/>
                <w:szCs w:val="16"/>
                <w:lang w:eastAsia="es-CO"/>
              </w:rPr>
              <w:t>817000487</w:t>
            </w:r>
          </w:p>
        </w:tc>
        <w:tc>
          <w:tcPr>
            <w:tcW w:w="4877" w:type="dxa"/>
            <w:shd w:val="clear" w:color="auto" w:fill="auto"/>
            <w:vAlign w:val="center"/>
            <w:hideMark/>
          </w:tcPr>
          <w:p w14:paraId="08940735" w14:textId="77777777" w:rsidR="00DA783E" w:rsidRPr="00651F76" w:rsidRDefault="00DA783E" w:rsidP="00DA783E">
            <w:pPr>
              <w:jc w:val="left"/>
              <w:rPr>
                <w:rFonts w:ascii="Arial Narrow" w:hAnsi="Arial Narrow" w:cs="Calibri"/>
                <w:color w:val="000000"/>
                <w:spacing w:val="0"/>
                <w:sz w:val="16"/>
                <w:szCs w:val="16"/>
                <w:lang w:eastAsia="es-CO"/>
              </w:rPr>
            </w:pPr>
            <w:r w:rsidRPr="00651F76">
              <w:rPr>
                <w:rFonts w:ascii="Arial Narrow" w:hAnsi="Arial Narrow" w:cs="Calibri"/>
                <w:color w:val="000000"/>
                <w:spacing w:val="0"/>
                <w:sz w:val="16"/>
                <w:szCs w:val="16"/>
                <w:lang w:eastAsia="es-CO"/>
              </w:rPr>
              <w:t>EMPRESA MIXTA DE SERVICIOS PÚBLICOS DE ENERGÍA ELÉCTRICA DE TIMBIQUI S.A.</w:t>
            </w:r>
          </w:p>
        </w:tc>
        <w:tc>
          <w:tcPr>
            <w:tcW w:w="866" w:type="dxa"/>
            <w:shd w:val="clear" w:color="auto" w:fill="auto"/>
            <w:noWrap/>
            <w:vAlign w:val="center"/>
            <w:hideMark/>
          </w:tcPr>
          <w:p w14:paraId="31E52DDC" w14:textId="77777777" w:rsidR="00DA783E" w:rsidRPr="00651F76" w:rsidRDefault="00DA783E" w:rsidP="00DA783E">
            <w:pPr>
              <w:jc w:val="left"/>
              <w:rPr>
                <w:rFonts w:ascii="Arial Narrow" w:hAnsi="Arial Narrow" w:cs="Calibri"/>
                <w:color w:val="000000"/>
                <w:spacing w:val="0"/>
                <w:sz w:val="16"/>
                <w:szCs w:val="16"/>
                <w:lang w:eastAsia="es-CO"/>
              </w:rPr>
            </w:pPr>
            <w:r w:rsidRPr="00651F76">
              <w:rPr>
                <w:rFonts w:ascii="Arial Narrow" w:hAnsi="Arial Narrow" w:cs="Calibri"/>
                <w:color w:val="000000"/>
                <w:spacing w:val="0"/>
                <w:sz w:val="16"/>
                <w:szCs w:val="16"/>
                <w:lang w:eastAsia="es-CO"/>
              </w:rPr>
              <w:t>ENERGIA</w:t>
            </w:r>
          </w:p>
        </w:tc>
        <w:tc>
          <w:tcPr>
            <w:tcW w:w="1119" w:type="dxa"/>
            <w:shd w:val="clear" w:color="auto" w:fill="auto"/>
            <w:noWrap/>
            <w:vAlign w:val="center"/>
            <w:hideMark/>
          </w:tcPr>
          <w:p w14:paraId="401D0DD7" w14:textId="20FCE23C" w:rsidR="00DA783E" w:rsidRPr="00651F76" w:rsidRDefault="00DA783E" w:rsidP="00DA783E">
            <w:pPr>
              <w:jc w:val="right"/>
              <w:rPr>
                <w:rFonts w:ascii="Arial Narrow" w:hAnsi="Arial Narrow" w:cs="Calibri"/>
                <w:color w:val="000000"/>
                <w:spacing w:val="0"/>
                <w:sz w:val="16"/>
                <w:szCs w:val="16"/>
                <w:lang w:eastAsia="es-CO"/>
              </w:rPr>
            </w:pPr>
            <w:r w:rsidRPr="00651F76">
              <w:rPr>
                <w:rFonts w:ascii="Arial Narrow" w:hAnsi="Arial Narrow" w:cs="Calibri"/>
                <w:color w:val="000000"/>
                <w:spacing w:val="0"/>
                <w:sz w:val="16"/>
                <w:szCs w:val="16"/>
                <w:lang w:eastAsia="es-CO"/>
              </w:rPr>
              <w:t xml:space="preserve">     588.654.990 </w:t>
            </w:r>
          </w:p>
        </w:tc>
        <w:tc>
          <w:tcPr>
            <w:tcW w:w="1180" w:type="dxa"/>
            <w:shd w:val="clear" w:color="auto" w:fill="auto"/>
            <w:noWrap/>
            <w:vAlign w:val="center"/>
            <w:hideMark/>
          </w:tcPr>
          <w:p w14:paraId="35A8BE6F" w14:textId="2166BA54" w:rsidR="00DA783E" w:rsidRPr="00651F76" w:rsidRDefault="00DA783E" w:rsidP="00DA783E">
            <w:pPr>
              <w:jc w:val="right"/>
              <w:rPr>
                <w:rFonts w:ascii="Arial Narrow" w:hAnsi="Arial Narrow" w:cs="Calibri"/>
                <w:color w:val="000000"/>
                <w:spacing w:val="0"/>
                <w:sz w:val="16"/>
                <w:szCs w:val="16"/>
                <w:lang w:eastAsia="es-CO"/>
              </w:rPr>
            </w:pPr>
            <w:r w:rsidRPr="00651F76">
              <w:rPr>
                <w:rFonts w:ascii="Arial Narrow" w:hAnsi="Arial Narrow" w:cs="Calibri"/>
                <w:color w:val="000000"/>
                <w:spacing w:val="0"/>
                <w:sz w:val="16"/>
                <w:szCs w:val="16"/>
                <w:lang w:eastAsia="es-CO"/>
              </w:rPr>
              <w:t xml:space="preserve">     567.105.000 </w:t>
            </w:r>
          </w:p>
        </w:tc>
      </w:tr>
      <w:tr w:rsidR="00DA783E" w:rsidRPr="00651F76" w14:paraId="0FF6AE63" w14:textId="77777777" w:rsidTr="00651F76">
        <w:trPr>
          <w:trHeight w:val="324"/>
        </w:trPr>
        <w:tc>
          <w:tcPr>
            <w:tcW w:w="319" w:type="dxa"/>
            <w:shd w:val="clear" w:color="auto" w:fill="auto"/>
            <w:noWrap/>
            <w:vAlign w:val="center"/>
            <w:hideMark/>
          </w:tcPr>
          <w:p w14:paraId="49CF7B24" w14:textId="77777777" w:rsidR="00DA783E" w:rsidRPr="00651F76" w:rsidRDefault="00DA783E" w:rsidP="00DA783E">
            <w:pPr>
              <w:jc w:val="center"/>
              <w:rPr>
                <w:rFonts w:ascii="Arial Narrow" w:hAnsi="Arial Narrow" w:cs="Calibri"/>
                <w:color w:val="000000"/>
                <w:spacing w:val="0"/>
                <w:sz w:val="16"/>
                <w:szCs w:val="16"/>
                <w:lang w:eastAsia="es-CO"/>
              </w:rPr>
            </w:pPr>
            <w:r w:rsidRPr="00651F76">
              <w:rPr>
                <w:rFonts w:ascii="Arial Narrow" w:hAnsi="Arial Narrow" w:cs="Calibri"/>
                <w:color w:val="000000"/>
                <w:spacing w:val="0"/>
                <w:sz w:val="16"/>
                <w:szCs w:val="16"/>
                <w:lang w:eastAsia="es-CO"/>
              </w:rPr>
              <w:t>2</w:t>
            </w:r>
          </w:p>
        </w:tc>
        <w:tc>
          <w:tcPr>
            <w:tcW w:w="879" w:type="dxa"/>
            <w:shd w:val="clear" w:color="auto" w:fill="auto"/>
            <w:noWrap/>
            <w:vAlign w:val="center"/>
            <w:hideMark/>
          </w:tcPr>
          <w:p w14:paraId="37B3F077" w14:textId="77777777" w:rsidR="00DA783E" w:rsidRPr="00651F76" w:rsidRDefault="00DA783E" w:rsidP="00DA783E">
            <w:pPr>
              <w:jc w:val="right"/>
              <w:rPr>
                <w:rFonts w:ascii="Arial Narrow" w:hAnsi="Arial Narrow" w:cs="Calibri"/>
                <w:color w:val="000000"/>
                <w:spacing w:val="0"/>
                <w:sz w:val="16"/>
                <w:szCs w:val="16"/>
                <w:lang w:eastAsia="es-CO"/>
              </w:rPr>
            </w:pPr>
            <w:r w:rsidRPr="00651F76">
              <w:rPr>
                <w:rFonts w:ascii="Arial Narrow" w:hAnsi="Arial Narrow" w:cs="Calibri"/>
                <w:color w:val="000000"/>
                <w:spacing w:val="0"/>
                <w:sz w:val="16"/>
                <w:szCs w:val="16"/>
                <w:lang w:eastAsia="es-CO"/>
              </w:rPr>
              <w:t>800103198</w:t>
            </w:r>
          </w:p>
        </w:tc>
        <w:tc>
          <w:tcPr>
            <w:tcW w:w="4877" w:type="dxa"/>
            <w:shd w:val="clear" w:color="auto" w:fill="auto"/>
            <w:vAlign w:val="center"/>
            <w:hideMark/>
          </w:tcPr>
          <w:p w14:paraId="0D1CDDA6" w14:textId="77777777" w:rsidR="00DA783E" w:rsidRPr="00651F76" w:rsidRDefault="00DA783E" w:rsidP="00DA783E">
            <w:pPr>
              <w:jc w:val="left"/>
              <w:rPr>
                <w:rFonts w:ascii="Arial Narrow" w:hAnsi="Arial Narrow" w:cs="Calibri"/>
                <w:color w:val="000000"/>
                <w:spacing w:val="0"/>
                <w:sz w:val="16"/>
                <w:szCs w:val="16"/>
                <w:lang w:eastAsia="es-CO"/>
              </w:rPr>
            </w:pPr>
            <w:r w:rsidRPr="00651F76">
              <w:rPr>
                <w:rFonts w:ascii="Arial Narrow" w:hAnsi="Arial Narrow" w:cs="Calibri"/>
                <w:color w:val="000000"/>
                <w:spacing w:val="0"/>
                <w:sz w:val="16"/>
                <w:szCs w:val="16"/>
                <w:lang w:eastAsia="es-CO"/>
              </w:rPr>
              <w:t>MUNICIPIO DE MIRAFLORES GUAVIARE</w:t>
            </w:r>
          </w:p>
        </w:tc>
        <w:tc>
          <w:tcPr>
            <w:tcW w:w="866" w:type="dxa"/>
            <w:shd w:val="clear" w:color="auto" w:fill="auto"/>
            <w:noWrap/>
            <w:vAlign w:val="center"/>
            <w:hideMark/>
          </w:tcPr>
          <w:p w14:paraId="276FE9AB" w14:textId="77777777" w:rsidR="00DA783E" w:rsidRPr="00651F76" w:rsidRDefault="00DA783E" w:rsidP="00DA783E">
            <w:pPr>
              <w:jc w:val="left"/>
              <w:rPr>
                <w:rFonts w:ascii="Arial Narrow" w:hAnsi="Arial Narrow" w:cs="Calibri"/>
                <w:color w:val="000000"/>
                <w:spacing w:val="0"/>
                <w:sz w:val="16"/>
                <w:szCs w:val="16"/>
                <w:lang w:eastAsia="es-CO"/>
              </w:rPr>
            </w:pPr>
            <w:r w:rsidRPr="00651F76">
              <w:rPr>
                <w:rFonts w:ascii="Arial Narrow" w:hAnsi="Arial Narrow" w:cs="Calibri"/>
                <w:color w:val="000000"/>
                <w:spacing w:val="0"/>
                <w:sz w:val="16"/>
                <w:szCs w:val="16"/>
                <w:lang w:eastAsia="es-CO"/>
              </w:rPr>
              <w:t>ENERGIA</w:t>
            </w:r>
          </w:p>
        </w:tc>
        <w:tc>
          <w:tcPr>
            <w:tcW w:w="1119" w:type="dxa"/>
            <w:shd w:val="clear" w:color="auto" w:fill="auto"/>
            <w:noWrap/>
            <w:vAlign w:val="center"/>
            <w:hideMark/>
          </w:tcPr>
          <w:p w14:paraId="0B642016" w14:textId="0204E571" w:rsidR="00DA783E" w:rsidRPr="00651F76" w:rsidRDefault="00DA783E" w:rsidP="00DA783E">
            <w:pPr>
              <w:jc w:val="right"/>
              <w:rPr>
                <w:rFonts w:ascii="Arial Narrow" w:hAnsi="Arial Narrow" w:cs="Calibri"/>
                <w:color w:val="000000"/>
                <w:spacing w:val="0"/>
                <w:sz w:val="16"/>
                <w:szCs w:val="16"/>
                <w:lang w:eastAsia="es-CO"/>
              </w:rPr>
            </w:pPr>
            <w:r w:rsidRPr="00651F76">
              <w:rPr>
                <w:rFonts w:ascii="Arial Narrow" w:hAnsi="Arial Narrow" w:cs="Calibri"/>
                <w:color w:val="000000"/>
                <w:spacing w:val="0"/>
                <w:sz w:val="16"/>
                <w:szCs w:val="16"/>
                <w:lang w:eastAsia="es-CO"/>
              </w:rPr>
              <w:t xml:space="preserve">408.440.710 </w:t>
            </w:r>
          </w:p>
        </w:tc>
        <w:tc>
          <w:tcPr>
            <w:tcW w:w="1180" w:type="dxa"/>
            <w:shd w:val="clear" w:color="auto" w:fill="auto"/>
            <w:noWrap/>
            <w:vAlign w:val="center"/>
            <w:hideMark/>
          </w:tcPr>
          <w:p w14:paraId="1B2FB31A" w14:textId="30FD97C6" w:rsidR="00DA783E" w:rsidRPr="00651F76" w:rsidRDefault="00DA783E" w:rsidP="00DA783E">
            <w:pPr>
              <w:jc w:val="right"/>
              <w:rPr>
                <w:rFonts w:ascii="Arial Narrow" w:hAnsi="Arial Narrow" w:cs="Calibri"/>
                <w:color w:val="000000"/>
                <w:spacing w:val="0"/>
                <w:sz w:val="16"/>
                <w:szCs w:val="16"/>
                <w:lang w:eastAsia="es-CO"/>
              </w:rPr>
            </w:pPr>
            <w:r w:rsidRPr="00651F76">
              <w:rPr>
                <w:rFonts w:ascii="Arial Narrow" w:hAnsi="Arial Narrow" w:cs="Calibri"/>
                <w:color w:val="000000"/>
                <w:spacing w:val="0"/>
                <w:sz w:val="16"/>
                <w:szCs w:val="16"/>
                <w:lang w:eastAsia="es-CO"/>
              </w:rPr>
              <w:t xml:space="preserve">    393.488.160 </w:t>
            </w:r>
          </w:p>
        </w:tc>
      </w:tr>
      <w:tr w:rsidR="00DA783E" w:rsidRPr="00651F76" w14:paraId="5BCD3A2C" w14:textId="77777777" w:rsidTr="00651F76">
        <w:trPr>
          <w:trHeight w:val="450"/>
        </w:trPr>
        <w:tc>
          <w:tcPr>
            <w:tcW w:w="319" w:type="dxa"/>
            <w:shd w:val="clear" w:color="auto" w:fill="auto"/>
            <w:noWrap/>
            <w:vAlign w:val="center"/>
            <w:hideMark/>
          </w:tcPr>
          <w:p w14:paraId="058CB973" w14:textId="77777777" w:rsidR="00DA783E" w:rsidRPr="00651F76" w:rsidRDefault="00DA783E" w:rsidP="00DA783E">
            <w:pPr>
              <w:jc w:val="center"/>
              <w:rPr>
                <w:rFonts w:ascii="Arial Narrow" w:hAnsi="Arial Narrow" w:cs="Calibri"/>
                <w:color w:val="000000"/>
                <w:spacing w:val="0"/>
                <w:sz w:val="16"/>
                <w:szCs w:val="16"/>
                <w:lang w:eastAsia="es-CO"/>
              </w:rPr>
            </w:pPr>
            <w:r w:rsidRPr="00651F76">
              <w:rPr>
                <w:rFonts w:ascii="Arial Narrow" w:hAnsi="Arial Narrow" w:cs="Calibri"/>
                <w:color w:val="000000"/>
                <w:spacing w:val="0"/>
                <w:sz w:val="16"/>
                <w:szCs w:val="16"/>
                <w:lang w:eastAsia="es-CO"/>
              </w:rPr>
              <w:t>3</w:t>
            </w:r>
          </w:p>
        </w:tc>
        <w:tc>
          <w:tcPr>
            <w:tcW w:w="879" w:type="dxa"/>
            <w:shd w:val="clear" w:color="auto" w:fill="auto"/>
            <w:noWrap/>
            <w:vAlign w:val="center"/>
            <w:hideMark/>
          </w:tcPr>
          <w:p w14:paraId="02B32E13" w14:textId="77777777" w:rsidR="00DA783E" w:rsidRPr="00651F76" w:rsidRDefault="00DA783E" w:rsidP="00DA783E">
            <w:pPr>
              <w:jc w:val="right"/>
              <w:rPr>
                <w:rFonts w:ascii="Arial Narrow" w:hAnsi="Arial Narrow" w:cs="Calibri"/>
                <w:color w:val="000000"/>
                <w:spacing w:val="0"/>
                <w:sz w:val="16"/>
                <w:szCs w:val="16"/>
                <w:lang w:eastAsia="es-CO"/>
              </w:rPr>
            </w:pPr>
            <w:r w:rsidRPr="00651F76">
              <w:rPr>
                <w:rFonts w:ascii="Arial Narrow" w:hAnsi="Arial Narrow" w:cs="Calibri"/>
                <w:color w:val="000000"/>
                <w:spacing w:val="0"/>
                <w:sz w:val="16"/>
                <w:szCs w:val="16"/>
                <w:lang w:eastAsia="es-CO"/>
              </w:rPr>
              <w:t>900129275</w:t>
            </w:r>
          </w:p>
        </w:tc>
        <w:tc>
          <w:tcPr>
            <w:tcW w:w="4877" w:type="dxa"/>
            <w:shd w:val="clear" w:color="auto" w:fill="auto"/>
            <w:vAlign w:val="center"/>
            <w:hideMark/>
          </w:tcPr>
          <w:p w14:paraId="2EFB3258" w14:textId="48E5AC96" w:rsidR="00DA783E" w:rsidRPr="00651F76" w:rsidRDefault="00DA783E" w:rsidP="00DA783E">
            <w:pPr>
              <w:jc w:val="left"/>
              <w:rPr>
                <w:rFonts w:ascii="Arial Narrow" w:hAnsi="Arial Narrow" w:cs="Calibri"/>
                <w:color w:val="000000"/>
                <w:spacing w:val="0"/>
                <w:sz w:val="16"/>
                <w:szCs w:val="16"/>
                <w:lang w:eastAsia="es-CO"/>
              </w:rPr>
            </w:pPr>
            <w:r w:rsidRPr="00651F76">
              <w:rPr>
                <w:rFonts w:ascii="Arial Narrow" w:hAnsi="Arial Narrow" w:cs="Calibri"/>
                <w:color w:val="000000"/>
                <w:spacing w:val="0"/>
                <w:sz w:val="16"/>
                <w:szCs w:val="16"/>
                <w:lang w:eastAsia="es-CO"/>
              </w:rPr>
              <w:t xml:space="preserve">E.A.T. </w:t>
            </w:r>
            <w:r w:rsidR="00C11669" w:rsidRPr="00651F76">
              <w:rPr>
                <w:rFonts w:ascii="Arial Narrow" w:hAnsi="Arial Narrow" w:cs="Calibri"/>
                <w:color w:val="000000"/>
                <w:spacing w:val="0"/>
                <w:sz w:val="16"/>
                <w:szCs w:val="16"/>
                <w:lang w:eastAsia="es-CO"/>
              </w:rPr>
              <w:t>ELECTRIFICADORA DE</w:t>
            </w:r>
            <w:r w:rsidRPr="00651F76">
              <w:rPr>
                <w:rFonts w:ascii="Arial Narrow" w:hAnsi="Arial Narrow" w:cs="Calibri"/>
                <w:color w:val="000000"/>
                <w:spacing w:val="0"/>
                <w:sz w:val="16"/>
                <w:szCs w:val="16"/>
                <w:lang w:eastAsia="es-CO"/>
              </w:rPr>
              <w:t xml:space="preserve"> ENERGIA ELECTRICA DE LA ZONA RURAL DE LOS CONCEJOS COMUNITARIOS DEL MUNICIPIO DE OLAYA HERRERA </w:t>
            </w:r>
          </w:p>
        </w:tc>
        <w:tc>
          <w:tcPr>
            <w:tcW w:w="866" w:type="dxa"/>
            <w:shd w:val="clear" w:color="auto" w:fill="auto"/>
            <w:noWrap/>
            <w:vAlign w:val="center"/>
            <w:hideMark/>
          </w:tcPr>
          <w:p w14:paraId="75C73096" w14:textId="77777777" w:rsidR="00DA783E" w:rsidRPr="00651F76" w:rsidRDefault="00DA783E" w:rsidP="00DA783E">
            <w:pPr>
              <w:jc w:val="left"/>
              <w:rPr>
                <w:rFonts w:ascii="Arial Narrow" w:hAnsi="Arial Narrow" w:cs="Calibri"/>
                <w:color w:val="000000"/>
                <w:spacing w:val="0"/>
                <w:sz w:val="16"/>
                <w:szCs w:val="16"/>
                <w:lang w:eastAsia="es-CO"/>
              </w:rPr>
            </w:pPr>
            <w:r w:rsidRPr="00651F76">
              <w:rPr>
                <w:rFonts w:ascii="Arial Narrow" w:hAnsi="Arial Narrow" w:cs="Calibri"/>
                <w:color w:val="000000"/>
                <w:spacing w:val="0"/>
                <w:sz w:val="16"/>
                <w:szCs w:val="16"/>
                <w:lang w:eastAsia="es-CO"/>
              </w:rPr>
              <w:t>ENERGIA</w:t>
            </w:r>
          </w:p>
        </w:tc>
        <w:tc>
          <w:tcPr>
            <w:tcW w:w="1119" w:type="dxa"/>
            <w:shd w:val="clear" w:color="auto" w:fill="auto"/>
            <w:noWrap/>
            <w:vAlign w:val="center"/>
            <w:hideMark/>
          </w:tcPr>
          <w:p w14:paraId="759FDA6F" w14:textId="6E70218E" w:rsidR="00DA783E" w:rsidRPr="00651F76" w:rsidRDefault="00DA783E" w:rsidP="00DA783E">
            <w:pPr>
              <w:jc w:val="right"/>
              <w:rPr>
                <w:rFonts w:ascii="Arial Narrow" w:hAnsi="Arial Narrow" w:cs="Calibri"/>
                <w:color w:val="000000"/>
                <w:spacing w:val="0"/>
                <w:sz w:val="16"/>
                <w:szCs w:val="16"/>
                <w:lang w:eastAsia="es-CO"/>
              </w:rPr>
            </w:pPr>
            <w:r w:rsidRPr="00651F76">
              <w:rPr>
                <w:rFonts w:ascii="Arial Narrow" w:hAnsi="Arial Narrow" w:cs="Calibri"/>
                <w:color w:val="000000"/>
                <w:spacing w:val="0"/>
                <w:sz w:val="16"/>
                <w:szCs w:val="16"/>
                <w:lang w:eastAsia="es-CO"/>
              </w:rPr>
              <w:t xml:space="preserve">         34.876.800 </w:t>
            </w:r>
          </w:p>
        </w:tc>
        <w:tc>
          <w:tcPr>
            <w:tcW w:w="1180" w:type="dxa"/>
            <w:shd w:val="clear" w:color="auto" w:fill="auto"/>
            <w:noWrap/>
            <w:vAlign w:val="center"/>
            <w:hideMark/>
          </w:tcPr>
          <w:p w14:paraId="108BBC8D" w14:textId="1215E876" w:rsidR="00DA783E" w:rsidRPr="00651F76" w:rsidRDefault="00DA783E" w:rsidP="00DA783E">
            <w:pPr>
              <w:jc w:val="right"/>
              <w:rPr>
                <w:rFonts w:ascii="Arial Narrow" w:hAnsi="Arial Narrow" w:cs="Calibri"/>
                <w:color w:val="000000"/>
                <w:spacing w:val="0"/>
                <w:sz w:val="16"/>
                <w:szCs w:val="16"/>
                <w:lang w:eastAsia="es-CO"/>
              </w:rPr>
            </w:pPr>
            <w:r w:rsidRPr="00651F76">
              <w:rPr>
                <w:rFonts w:ascii="Arial Narrow" w:hAnsi="Arial Narrow" w:cs="Calibri"/>
                <w:color w:val="000000"/>
                <w:spacing w:val="0"/>
                <w:sz w:val="16"/>
                <w:szCs w:val="16"/>
                <w:lang w:eastAsia="es-CO"/>
              </w:rPr>
              <w:t xml:space="preserve">         33.600.000 </w:t>
            </w:r>
          </w:p>
        </w:tc>
      </w:tr>
      <w:tr w:rsidR="00DA783E" w:rsidRPr="00651F76" w14:paraId="6ACD9A50" w14:textId="77777777" w:rsidTr="00651F76">
        <w:trPr>
          <w:trHeight w:val="450"/>
        </w:trPr>
        <w:tc>
          <w:tcPr>
            <w:tcW w:w="319" w:type="dxa"/>
            <w:shd w:val="clear" w:color="auto" w:fill="auto"/>
            <w:noWrap/>
            <w:vAlign w:val="center"/>
            <w:hideMark/>
          </w:tcPr>
          <w:p w14:paraId="6B3D98BA" w14:textId="77777777" w:rsidR="00DA783E" w:rsidRPr="00651F76" w:rsidRDefault="00DA783E" w:rsidP="00DA783E">
            <w:pPr>
              <w:jc w:val="center"/>
              <w:rPr>
                <w:rFonts w:ascii="Arial Narrow" w:hAnsi="Arial Narrow" w:cs="Calibri"/>
                <w:color w:val="000000"/>
                <w:spacing w:val="0"/>
                <w:sz w:val="16"/>
                <w:szCs w:val="16"/>
                <w:lang w:eastAsia="es-CO"/>
              </w:rPr>
            </w:pPr>
            <w:r w:rsidRPr="00651F76">
              <w:rPr>
                <w:rFonts w:ascii="Arial Narrow" w:hAnsi="Arial Narrow" w:cs="Calibri"/>
                <w:color w:val="000000"/>
                <w:spacing w:val="0"/>
                <w:sz w:val="16"/>
                <w:szCs w:val="16"/>
                <w:lang w:eastAsia="es-CO"/>
              </w:rPr>
              <w:t>4</w:t>
            </w:r>
          </w:p>
        </w:tc>
        <w:tc>
          <w:tcPr>
            <w:tcW w:w="879" w:type="dxa"/>
            <w:shd w:val="clear" w:color="auto" w:fill="auto"/>
            <w:noWrap/>
            <w:vAlign w:val="center"/>
            <w:hideMark/>
          </w:tcPr>
          <w:p w14:paraId="3519033E" w14:textId="77777777" w:rsidR="00DA783E" w:rsidRPr="00651F76" w:rsidRDefault="00DA783E" w:rsidP="00DA783E">
            <w:pPr>
              <w:jc w:val="right"/>
              <w:rPr>
                <w:rFonts w:ascii="Arial Narrow" w:hAnsi="Arial Narrow" w:cs="Calibri"/>
                <w:color w:val="000000"/>
                <w:spacing w:val="0"/>
                <w:sz w:val="16"/>
                <w:szCs w:val="16"/>
                <w:lang w:eastAsia="es-CO"/>
              </w:rPr>
            </w:pPr>
            <w:r w:rsidRPr="00651F76">
              <w:rPr>
                <w:rFonts w:ascii="Arial Narrow" w:hAnsi="Arial Narrow" w:cs="Calibri"/>
                <w:color w:val="000000"/>
                <w:spacing w:val="0"/>
                <w:sz w:val="16"/>
                <w:szCs w:val="16"/>
                <w:lang w:eastAsia="es-CO"/>
              </w:rPr>
              <w:t>900800144</w:t>
            </w:r>
          </w:p>
        </w:tc>
        <w:tc>
          <w:tcPr>
            <w:tcW w:w="4877" w:type="dxa"/>
            <w:shd w:val="clear" w:color="auto" w:fill="auto"/>
            <w:vAlign w:val="center"/>
            <w:hideMark/>
          </w:tcPr>
          <w:p w14:paraId="1B9E3C1D" w14:textId="77777777" w:rsidR="00DA783E" w:rsidRPr="00651F76" w:rsidRDefault="00DA783E" w:rsidP="00DA783E">
            <w:pPr>
              <w:jc w:val="left"/>
              <w:rPr>
                <w:rFonts w:ascii="Arial Narrow" w:hAnsi="Arial Narrow" w:cs="Calibri"/>
                <w:color w:val="000000"/>
                <w:spacing w:val="0"/>
                <w:sz w:val="16"/>
                <w:szCs w:val="16"/>
                <w:lang w:eastAsia="es-CO"/>
              </w:rPr>
            </w:pPr>
            <w:r w:rsidRPr="00651F76">
              <w:rPr>
                <w:rFonts w:ascii="Arial Narrow" w:hAnsi="Arial Narrow" w:cs="Calibri"/>
                <w:color w:val="000000"/>
                <w:spacing w:val="0"/>
                <w:sz w:val="16"/>
                <w:szCs w:val="16"/>
                <w:lang w:eastAsia="es-CO"/>
              </w:rPr>
              <w:t>EMPRESA ASOCIATIVA DE TRABAJO COMERCIALIZADORA SAN JOSE E.S.P.</w:t>
            </w:r>
          </w:p>
        </w:tc>
        <w:tc>
          <w:tcPr>
            <w:tcW w:w="866" w:type="dxa"/>
            <w:shd w:val="clear" w:color="auto" w:fill="auto"/>
            <w:noWrap/>
            <w:vAlign w:val="center"/>
            <w:hideMark/>
          </w:tcPr>
          <w:p w14:paraId="2074EF2A" w14:textId="77777777" w:rsidR="00DA783E" w:rsidRPr="00651F76" w:rsidRDefault="00DA783E" w:rsidP="00DA783E">
            <w:pPr>
              <w:jc w:val="left"/>
              <w:rPr>
                <w:rFonts w:ascii="Arial Narrow" w:hAnsi="Arial Narrow" w:cs="Calibri"/>
                <w:color w:val="000000"/>
                <w:spacing w:val="0"/>
                <w:sz w:val="16"/>
                <w:szCs w:val="16"/>
                <w:lang w:eastAsia="es-CO"/>
              </w:rPr>
            </w:pPr>
            <w:r w:rsidRPr="00651F76">
              <w:rPr>
                <w:rFonts w:ascii="Arial Narrow" w:hAnsi="Arial Narrow" w:cs="Calibri"/>
                <w:color w:val="000000"/>
                <w:spacing w:val="0"/>
                <w:sz w:val="16"/>
                <w:szCs w:val="16"/>
                <w:lang w:eastAsia="es-CO"/>
              </w:rPr>
              <w:t>ENERGIA</w:t>
            </w:r>
          </w:p>
        </w:tc>
        <w:tc>
          <w:tcPr>
            <w:tcW w:w="1119" w:type="dxa"/>
            <w:shd w:val="clear" w:color="auto" w:fill="auto"/>
            <w:noWrap/>
            <w:vAlign w:val="center"/>
            <w:hideMark/>
          </w:tcPr>
          <w:p w14:paraId="4107F4CD" w14:textId="76F64050" w:rsidR="00DA783E" w:rsidRPr="00651F76" w:rsidRDefault="00DA783E" w:rsidP="00DA783E">
            <w:pPr>
              <w:jc w:val="right"/>
              <w:rPr>
                <w:rFonts w:ascii="Arial Narrow" w:hAnsi="Arial Narrow" w:cs="Calibri"/>
                <w:color w:val="000000"/>
                <w:spacing w:val="0"/>
                <w:sz w:val="16"/>
                <w:szCs w:val="16"/>
                <w:lang w:eastAsia="es-CO"/>
              </w:rPr>
            </w:pPr>
            <w:r w:rsidRPr="00651F76">
              <w:rPr>
                <w:rFonts w:ascii="Arial Narrow" w:hAnsi="Arial Narrow" w:cs="Calibri"/>
                <w:color w:val="000000"/>
                <w:spacing w:val="0"/>
                <w:sz w:val="16"/>
                <w:szCs w:val="16"/>
                <w:lang w:eastAsia="es-CO"/>
              </w:rPr>
              <w:t xml:space="preserve">         92.570.916 </w:t>
            </w:r>
          </w:p>
        </w:tc>
        <w:tc>
          <w:tcPr>
            <w:tcW w:w="1180" w:type="dxa"/>
            <w:shd w:val="clear" w:color="auto" w:fill="auto"/>
            <w:noWrap/>
            <w:vAlign w:val="center"/>
            <w:hideMark/>
          </w:tcPr>
          <w:p w14:paraId="69472E71" w14:textId="5550835D" w:rsidR="00DA783E" w:rsidRPr="00651F76" w:rsidRDefault="00DA783E" w:rsidP="00DA783E">
            <w:pPr>
              <w:jc w:val="right"/>
              <w:rPr>
                <w:rFonts w:ascii="Arial Narrow" w:hAnsi="Arial Narrow" w:cs="Calibri"/>
                <w:color w:val="000000"/>
                <w:spacing w:val="0"/>
                <w:sz w:val="16"/>
                <w:szCs w:val="16"/>
                <w:lang w:eastAsia="es-CO"/>
              </w:rPr>
            </w:pPr>
            <w:r w:rsidRPr="00651F76">
              <w:rPr>
                <w:rFonts w:ascii="Arial Narrow" w:hAnsi="Arial Narrow" w:cs="Calibri"/>
                <w:color w:val="000000"/>
                <w:spacing w:val="0"/>
                <w:sz w:val="16"/>
                <w:szCs w:val="16"/>
                <w:lang w:eastAsia="es-CO"/>
              </w:rPr>
              <w:t xml:space="preserve">         89.182.000 </w:t>
            </w:r>
          </w:p>
        </w:tc>
      </w:tr>
      <w:tr w:rsidR="00DA783E" w:rsidRPr="00651F76" w14:paraId="308AD71E" w14:textId="77777777" w:rsidTr="00BB6280">
        <w:trPr>
          <w:trHeight w:val="382"/>
        </w:trPr>
        <w:tc>
          <w:tcPr>
            <w:tcW w:w="319" w:type="dxa"/>
            <w:shd w:val="clear" w:color="auto" w:fill="auto"/>
            <w:noWrap/>
            <w:vAlign w:val="center"/>
            <w:hideMark/>
          </w:tcPr>
          <w:p w14:paraId="6CA5D32A" w14:textId="77777777" w:rsidR="00DA783E" w:rsidRPr="00651F76" w:rsidRDefault="00DA783E" w:rsidP="00DA783E">
            <w:pPr>
              <w:jc w:val="center"/>
              <w:rPr>
                <w:rFonts w:ascii="Arial Narrow" w:hAnsi="Arial Narrow" w:cs="Calibri"/>
                <w:color w:val="000000"/>
                <w:spacing w:val="0"/>
                <w:sz w:val="16"/>
                <w:szCs w:val="16"/>
                <w:lang w:eastAsia="es-CO"/>
              </w:rPr>
            </w:pPr>
            <w:r w:rsidRPr="00651F76">
              <w:rPr>
                <w:rFonts w:ascii="Arial Narrow" w:hAnsi="Arial Narrow" w:cs="Calibri"/>
                <w:color w:val="000000"/>
                <w:spacing w:val="0"/>
                <w:sz w:val="16"/>
                <w:szCs w:val="16"/>
                <w:lang w:eastAsia="es-CO"/>
              </w:rPr>
              <w:t>5</w:t>
            </w:r>
          </w:p>
        </w:tc>
        <w:tc>
          <w:tcPr>
            <w:tcW w:w="879" w:type="dxa"/>
            <w:shd w:val="clear" w:color="auto" w:fill="auto"/>
            <w:noWrap/>
            <w:vAlign w:val="center"/>
            <w:hideMark/>
          </w:tcPr>
          <w:p w14:paraId="30A2E5E0" w14:textId="77777777" w:rsidR="00DA783E" w:rsidRPr="00651F76" w:rsidRDefault="00DA783E" w:rsidP="00DA783E">
            <w:pPr>
              <w:jc w:val="right"/>
              <w:rPr>
                <w:rFonts w:ascii="Arial Narrow" w:hAnsi="Arial Narrow" w:cs="Calibri"/>
                <w:color w:val="000000"/>
                <w:spacing w:val="0"/>
                <w:sz w:val="16"/>
                <w:szCs w:val="16"/>
                <w:lang w:eastAsia="es-CO"/>
              </w:rPr>
            </w:pPr>
            <w:r w:rsidRPr="00651F76">
              <w:rPr>
                <w:rFonts w:ascii="Arial Narrow" w:hAnsi="Arial Narrow" w:cs="Calibri"/>
                <w:color w:val="000000"/>
                <w:spacing w:val="0"/>
                <w:sz w:val="16"/>
                <w:szCs w:val="16"/>
                <w:lang w:eastAsia="es-CO"/>
              </w:rPr>
              <w:t>900988019</w:t>
            </w:r>
          </w:p>
        </w:tc>
        <w:tc>
          <w:tcPr>
            <w:tcW w:w="4877" w:type="dxa"/>
            <w:shd w:val="clear" w:color="auto" w:fill="auto"/>
            <w:vAlign w:val="center"/>
            <w:hideMark/>
          </w:tcPr>
          <w:p w14:paraId="74598056" w14:textId="77777777" w:rsidR="00DA783E" w:rsidRPr="00651F76" w:rsidRDefault="00DA783E" w:rsidP="00DA783E">
            <w:pPr>
              <w:jc w:val="left"/>
              <w:rPr>
                <w:rFonts w:ascii="Arial Narrow" w:hAnsi="Arial Narrow" w:cs="Calibri"/>
                <w:color w:val="000000"/>
                <w:spacing w:val="0"/>
                <w:sz w:val="16"/>
                <w:szCs w:val="16"/>
                <w:lang w:eastAsia="es-CO"/>
              </w:rPr>
            </w:pPr>
            <w:r w:rsidRPr="00651F76">
              <w:rPr>
                <w:rFonts w:ascii="Arial Narrow" w:hAnsi="Arial Narrow" w:cs="Calibri"/>
                <w:color w:val="000000"/>
                <w:spacing w:val="0"/>
                <w:sz w:val="16"/>
                <w:szCs w:val="16"/>
                <w:lang w:eastAsia="es-CO"/>
              </w:rPr>
              <w:t>EMPRESA DE SERVICIOS PUCLICOS Y ENERGIA DEL LITORAL DEL SAN JUAN S.A.S. E.S.P.</w:t>
            </w:r>
          </w:p>
        </w:tc>
        <w:tc>
          <w:tcPr>
            <w:tcW w:w="866" w:type="dxa"/>
            <w:shd w:val="clear" w:color="auto" w:fill="auto"/>
            <w:noWrap/>
            <w:vAlign w:val="center"/>
            <w:hideMark/>
          </w:tcPr>
          <w:p w14:paraId="289D6BC3" w14:textId="77777777" w:rsidR="00DA783E" w:rsidRPr="00651F76" w:rsidRDefault="00DA783E" w:rsidP="00DA783E">
            <w:pPr>
              <w:jc w:val="left"/>
              <w:rPr>
                <w:rFonts w:ascii="Arial Narrow" w:hAnsi="Arial Narrow" w:cs="Calibri"/>
                <w:color w:val="000000"/>
                <w:spacing w:val="0"/>
                <w:sz w:val="16"/>
                <w:szCs w:val="16"/>
                <w:lang w:eastAsia="es-CO"/>
              </w:rPr>
            </w:pPr>
            <w:r w:rsidRPr="00651F76">
              <w:rPr>
                <w:rFonts w:ascii="Arial Narrow" w:hAnsi="Arial Narrow" w:cs="Calibri"/>
                <w:color w:val="000000"/>
                <w:spacing w:val="0"/>
                <w:sz w:val="16"/>
                <w:szCs w:val="16"/>
                <w:lang w:eastAsia="es-CO"/>
              </w:rPr>
              <w:t>ENERGIA</w:t>
            </w:r>
          </w:p>
        </w:tc>
        <w:tc>
          <w:tcPr>
            <w:tcW w:w="1119" w:type="dxa"/>
            <w:shd w:val="clear" w:color="auto" w:fill="auto"/>
            <w:noWrap/>
            <w:vAlign w:val="center"/>
            <w:hideMark/>
          </w:tcPr>
          <w:p w14:paraId="3A3BEFE2" w14:textId="3CFDB30F" w:rsidR="00DA783E" w:rsidRPr="00651F76" w:rsidRDefault="00DA783E" w:rsidP="00DA783E">
            <w:pPr>
              <w:jc w:val="right"/>
              <w:rPr>
                <w:rFonts w:ascii="Arial Narrow" w:hAnsi="Arial Narrow" w:cs="Calibri"/>
                <w:color w:val="000000"/>
                <w:spacing w:val="0"/>
                <w:sz w:val="16"/>
                <w:szCs w:val="16"/>
                <w:lang w:eastAsia="es-CO"/>
              </w:rPr>
            </w:pPr>
            <w:r w:rsidRPr="00651F76">
              <w:rPr>
                <w:rFonts w:ascii="Arial Narrow" w:hAnsi="Arial Narrow" w:cs="Calibri"/>
                <w:color w:val="000000"/>
                <w:spacing w:val="0"/>
                <w:sz w:val="16"/>
                <w:szCs w:val="16"/>
                <w:lang w:eastAsia="es-CO"/>
              </w:rPr>
              <w:t xml:space="preserve">         99.141.456 </w:t>
            </w:r>
          </w:p>
        </w:tc>
        <w:tc>
          <w:tcPr>
            <w:tcW w:w="1180" w:type="dxa"/>
            <w:shd w:val="clear" w:color="auto" w:fill="auto"/>
            <w:noWrap/>
            <w:vAlign w:val="center"/>
            <w:hideMark/>
          </w:tcPr>
          <w:p w14:paraId="286E74FD" w14:textId="382AFD7D" w:rsidR="00DA783E" w:rsidRPr="00651F76" w:rsidRDefault="00DA783E" w:rsidP="00DA783E">
            <w:pPr>
              <w:jc w:val="right"/>
              <w:rPr>
                <w:rFonts w:ascii="Arial Narrow" w:hAnsi="Arial Narrow" w:cs="Calibri"/>
                <w:color w:val="000000"/>
                <w:spacing w:val="0"/>
                <w:sz w:val="16"/>
                <w:szCs w:val="16"/>
                <w:lang w:eastAsia="es-CO"/>
              </w:rPr>
            </w:pPr>
            <w:r w:rsidRPr="00651F76">
              <w:rPr>
                <w:rFonts w:ascii="Arial Narrow" w:hAnsi="Arial Narrow" w:cs="Calibri"/>
                <w:color w:val="000000"/>
                <w:spacing w:val="0"/>
                <w:sz w:val="16"/>
                <w:szCs w:val="16"/>
                <w:lang w:eastAsia="es-CO"/>
              </w:rPr>
              <w:t xml:space="preserve">         95.512.000 </w:t>
            </w:r>
          </w:p>
        </w:tc>
      </w:tr>
      <w:tr w:rsidR="00DA783E" w:rsidRPr="00651F76" w14:paraId="2987E51F" w14:textId="77777777" w:rsidTr="00651F76">
        <w:trPr>
          <w:trHeight w:val="450"/>
        </w:trPr>
        <w:tc>
          <w:tcPr>
            <w:tcW w:w="319" w:type="dxa"/>
            <w:shd w:val="clear" w:color="auto" w:fill="auto"/>
            <w:noWrap/>
            <w:vAlign w:val="center"/>
            <w:hideMark/>
          </w:tcPr>
          <w:p w14:paraId="596B5F22" w14:textId="77777777" w:rsidR="00DA783E" w:rsidRPr="00651F76" w:rsidRDefault="00DA783E" w:rsidP="00DA783E">
            <w:pPr>
              <w:jc w:val="center"/>
              <w:rPr>
                <w:rFonts w:ascii="Arial Narrow" w:hAnsi="Arial Narrow" w:cs="Calibri"/>
                <w:color w:val="000000"/>
                <w:spacing w:val="0"/>
                <w:sz w:val="16"/>
                <w:szCs w:val="16"/>
                <w:lang w:eastAsia="es-CO"/>
              </w:rPr>
            </w:pPr>
            <w:r w:rsidRPr="00651F76">
              <w:rPr>
                <w:rFonts w:ascii="Arial Narrow" w:hAnsi="Arial Narrow" w:cs="Calibri"/>
                <w:color w:val="000000"/>
                <w:spacing w:val="0"/>
                <w:sz w:val="16"/>
                <w:szCs w:val="16"/>
                <w:lang w:eastAsia="es-CO"/>
              </w:rPr>
              <w:t>6</w:t>
            </w:r>
          </w:p>
        </w:tc>
        <w:tc>
          <w:tcPr>
            <w:tcW w:w="879" w:type="dxa"/>
            <w:shd w:val="clear" w:color="auto" w:fill="auto"/>
            <w:noWrap/>
            <w:vAlign w:val="center"/>
            <w:hideMark/>
          </w:tcPr>
          <w:p w14:paraId="072D6EE7" w14:textId="77777777" w:rsidR="00DA783E" w:rsidRPr="00651F76" w:rsidRDefault="00DA783E" w:rsidP="00DA783E">
            <w:pPr>
              <w:jc w:val="right"/>
              <w:rPr>
                <w:rFonts w:ascii="Arial Narrow" w:hAnsi="Arial Narrow" w:cs="Calibri"/>
                <w:color w:val="000000"/>
                <w:spacing w:val="0"/>
                <w:sz w:val="16"/>
                <w:szCs w:val="16"/>
                <w:lang w:eastAsia="es-CO"/>
              </w:rPr>
            </w:pPr>
            <w:r w:rsidRPr="00651F76">
              <w:rPr>
                <w:rFonts w:ascii="Arial Narrow" w:hAnsi="Arial Narrow" w:cs="Calibri"/>
                <w:color w:val="000000"/>
                <w:spacing w:val="0"/>
                <w:sz w:val="16"/>
                <w:szCs w:val="16"/>
                <w:lang w:eastAsia="es-CO"/>
              </w:rPr>
              <w:t>901091586</w:t>
            </w:r>
          </w:p>
        </w:tc>
        <w:tc>
          <w:tcPr>
            <w:tcW w:w="4877" w:type="dxa"/>
            <w:shd w:val="clear" w:color="auto" w:fill="auto"/>
            <w:vAlign w:val="center"/>
            <w:hideMark/>
          </w:tcPr>
          <w:p w14:paraId="75043555" w14:textId="77777777" w:rsidR="00DA783E" w:rsidRPr="00651F76" w:rsidRDefault="00DA783E" w:rsidP="00DA783E">
            <w:pPr>
              <w:jc w:val="left"/>
              <w:rPr>
                <w:rFonts w:ascii="Arial Narrow" w:hAnsi="Arial Narrow" w:cs="Calibri"/>
                <w:color w:val="000000"/>
                <w:spacing w:val="0"/>
                <w:sz w:val="16"/>
                <w:szCs w:val="16"/>
                <w:lang w:eastAsia="es-CO"/>
              </w:rPr>
            </w:pPr>
            <w:r w:rsidRPr="00651F76">
              <w:rPr>
                <w:rFonts w:ascii="Arial Narrow" w:hAnsi="Arial Narrow" w:cs="Calibri"/>
                <w:color w:val="000000"/>
                <w:spacing w:val="0"/>
                <w:sz w:val="16"/>
                <w:szCs w:val="16"/>
                <w:lang w:eastAsia="es-CO"/>
              </w:rPr>
              <w:t>EMPRESA ASOCIATIVA DE TRABAJO PARA LA PRESTACIÓN DE SERVICIOS DE ENERGÍA DEL PACIFICO MUNICIPIO DE SANTA BARBARA ISCUANDE</w:t>
            </w:r>
          </w:p>
        </w:tc>
        <w:tc>
          <w:tcPr>
            <w:tcW w:w="866" w:type="dxa"/>
            <w:shd w:val="clear" w:color="auto" w:fill="auto"/>
            <w:noWrap/>
            <w:vAlign w:val="center"/>
            <w:hideMark/>
          </w:tcPr>
          <w:p w14:paraId="3D7EFE88" w14:textId="77777777" w:rsidR="00DA783E" w:rsidRPr="00651F76" w:rsidRDefault="00DA783E" w:rsidP="00DA783E">
            <w:pPr>
              <w:jc w:val="left"/>
              <w:rPr>
                <w:rFonts w:ascii="Arial Narrow" w:hAnsi="Arial Narrow" w:cs="Calibri"/>
                <w:color w:val="000000"/>
                <w:spacing w:val="0"/>
                <w:sz w:val="16"/>
                <w:szCs w:val="16"/>
                <w:lang w:eastAsia="es-CO"/>
              </w:rPr>
            </w:pPr>
            <w:r w:rsidRPr="00651F76">
              <w:rPr>
                <w:rFonts w:ascii="Arial Narrow" w:hAnsi="Arial Narrow" w:cs="Calibri"/>
                <w:color w:val="000000"/>
                <w:spacing w:val="0"/>
                <w:sz w:val="16"/>
                <w:szCs w:val="16"/>
                <w:lang w:eastAsia="es-CO"/>
              </w:rPr>
              <w:t>ENERGIA</w:t>
            </w:r>
          </w:p>
        </w:tc>
        <w:tc>
          <w:tcPr>
            <w:tcW w:w="1119" w:type="dxa"/>
            <w:shd w:val="clear" w:color="auto" w:fill="auto"/>
            <w:noWrap/>
            <w:vAlign w:val="center"/>
            <w:hideMark/>
          </w:tcPr>
          <w:p w14:paraId="4BF77C99" w14:textId="3579394D" w:rsidR="00DA783E" w:rsidRPr="00651F76" w:rsidRDefault="00DA783E" w:rsidP="00DA783E">
            <w:pPr>
              <w:jc w:val="right"/>
              <w:rPr>
                <w:rFonts w:ascii="Arial Narrow" w:hAnsi="Arial Narrow" w:cs="Calibri"/>
                <w:color w:val="000000"/>
                <w:spacing w:val="0"/>
                <w:sz w:val="16"/>
                <w:szCs w:val="16"/>
                <w:lang w:eastAsia="es-CO"/>
              </w:rPr>
            </w:pPr>
            <w:r w:rsidRPr="00651F76">
              <w:rPr>
                <w:rFonts w:ascii="Arial Narrow" w:hAnsi="Arial Narrow" w:cs="Calibri"/>
                <w:color w:val="000000"/>
                <w:spacing w:val="0"/>
                <w:sz w:val="16"/>
                <w:szCs w:val="16"/>
                <w:lang w:eastAsia="es-CO"/>
              </w:rPr>
              <w:t xml:space="preserve">       505.080.420 </w:t>
            </w:r>
          </w:p>
        </w:tc>
        <w:tc>
          <w:tcPr>
            <w:tcW w:w="1180" w:type="dxa"/>
            <w:shd w:val="clear" w:color="auto" w:fill="auto"/>
            <w:noWrap/>
            <w:vAlign w:val="center"/>
            <w:hideMark/>
          </w:tcPr>
          <w:p w14:paraId="7073E793" w14:textId="54F8CCC0" w:rsidR="00DA783E" w:rsidRPr="00651F76" w:rsidRDefault="00DA783E" w:rsidP="00DA783E">
            <w:pPr>
              <w:jc w:val="right"/>
              <w:rPr>
                <w:rFonts w:ascii="Arial Narrow" w:hAnsi="Arial Narrow" w:cs="Calibri"/>
                <w:color w:val="000000"/>
                <w:spacing w:val="0"/>
                <w:sz w:val="16"/>
                <w:szCs w:val="16"/>
                <w:lang w:eastAsia="es-CO"/>
              </w:rPr>
            </w:pPr>
            <w:r w:rsidRPr="00651F76">
              <w:rPr>
                <w:rFonts w:ascii="Arial Narrow" w:hAnsi="Arial Narrow" w:cs="Calibri"/>
                <w:color w:val="000000"/>
                <w:spacing w:val="0"/>
                <w:sz w:val="16"/>
                <w:szCs w:val="16"/>
                <w:lang w:eastAsia="es-CO"/>
              </w:rPr>
              <w:t xml:space="preserve">       486.590.000 </w:t>
            </w:r>
          </w:p>
        </w:tc>
      </w:tr>
      <w:tr w:rsidR="00DA783E" w:rsidRPr="00651F76" w14:paraId="0A84131F" w14:textId="77777777" w:rsidTr="00651F76">
        <w:trPr>
          <w:trHeight w:val="217"/>
        </w:trPr>
        <w:tc>
          <w:tcPr>
            <w:tcW w:w="319" w:type="dxa"/>
            <w:shd w:val="clear" w:color="auto" w:fill="auto"/>
            <w:noWrap/>
            <w:vAlign w:val="center"/>
            <w:hideMark/>
          </w:tcPr>
          <w:p w14:paraId="5D6D8D55" w14:textId="77777777" w:rsidR="00DA783E" w:rsidRPr="00651F76" w:rsidRDefault="00DA783E" w:rsidP="00DA783E">
            <w:pPr>
              <w:jc w:val="center"/>
              <w:rPr>
                <w:rFonts w:ascii="Arial Narrow" w:hAnsi="Arial Narrow" w:cs="Calibri"/>
                <w:color w:val="000000"/>
                <w:spacing w:val="0"/>
                <w:sz w:val="16"/>
                <w:szCs w:val="16"/>
                <w:lang w:eastAsia="es-CO"/>
              </w:rPr>
            </w:pPr>
            <w:r w:rsidRPr="00651F76">
              <w:rPr>
                <w:rFonts w:ascii="Arial Narrow" w:hAnsi="Arial Narrow" w:cs="Calibri"/>
                <w:color w:val="000000"/>
                <w:spacing w:val="0"/>
                <w:sz w:val="16"/>
                <w:szCs w:val="16"/>
                <w:lang w:eastAsia="es-CO"/>
              </w:rPr>
              <w:t>7</w:t>
            </w:r>
          </w:p>
        </w:tc>
        <w:tc>
          <w:tcPr>
            <w:tcW w:w="879" w:type="dxa"/>
            <w:shd w:val="clear" w:color="auto" w:fill="auto"/>
            <w:noWrap/>
            <w:vAlign w:val="center"/>
            <w:hideMark/>
          </w:tcPr>
          <w:p w14:paraId="4ED3E320" w14:textId="77777777" w:rsidR="00DA783E" w:rsidRPr="00651F76" w:rsidRDefault="00DA783E" w:rsidP="00DA783E">
            <w:pPr>
              <w:jc w:val="right"/>
              <w:rPr>
                <w:rFonts w:ascii="Arial Narrow" w:hAnsi="Arial Narrow" w:cs="Calibri"/>
                <w:color w:val="000000"/>
                <w:spacing w:val="0"/>
                <w:sz w:val="16"/>
                <w:szCs w:val="16"/>
                <w:lang w:eastAsia="es-CO"/>
              </w:rPr>
            </w:pPr>
            <w:r w:rsidRPr="00651F76">
              <w:rPr>
                <w:rFonts w:ascii="Arial Narrow" w:hAnsi="Arial Narrow" w:cs="Calibri"/>
                <w:color w:val="000000"/>
                <w:spacing w:val="0"/>
                <w:sz w:val="16"/>
                <w:szCs w:val="16"/>
                <w:lang w:eastAsia="es-CO"/>
              </w:rPr>
              <w:t>900737783</w:t>
            </w:r>
          </w:p>
        </w:tc>
        <w:tc>
          <w:tcPr>
            <w:tcW w:w="4877" w:type="dxa"/>
            <w:shd w:val="clear" w:color="auto" w:fill="auto"/>
            <w:vAlign w:val="center"/>
            <w:hideMark/>
          </w:tcPr>
          <w:p w14:paraId="31BD1605" w14:textId="77777777" w:rsidR="00DA783E" w:rsidRPr="00651F76" w:rsidRDefault="00DA783E" w:rsidP="00DA783E">
            <w:pPr>
              <w:jc w:val="left"/>
              <w:rPr>
                <w:rFonts w:ascii="Arial Narrow" w:hAnsi="Arial Narrow" w:cs="Calibri"/>
                <w:color w:val="000000"/>
                <w:spacing w:val="0"/>
                <w:sz w:val="16"/>
                <w:szCs w:val="16"/>
                <w:lang w:eastAsia="es-CO"/>
              </w:rPr>
            </w:pPr>
            <w:r w:rsidRPr="00651F76">
              <w:rPr>
                <w:rFonts w:ascii="Arial Narrow" w:hAnsi="Arial Narrow" w:cs="Calibri"/>
                <w:color w:val="000000"/>
                <w:spacing w:val="0"/>
                <w:sz w:val="16"/>
                <w:szCs w:val="16"/>
                <w:lang w:eastAsia="es-CO"/>
              </w:rPr>
              <w:t>GRUPO BILATERAL ENERGY SAS ESP</w:t>
            </w:r>
          </w:p>
        </w:tc>
        <w:tc>
          <w:tcPr>
            <w:tcW w:w="866" w:type="dxa"/>
            <w:shd w:val="clear" w:color="auto" w:fill="auto"/>
            <w:noWrap/>
            <w:vAlign w:val="center"/>
            <w:hideMark/>
          </w:tcPr>
          <w:p w14:paraId="3E029E06" w14:textId="77777777" w:rsidR="00DA783E" w:rsidRPr="00651F76" w:rsidRDefault="00DA783E" w:rsidP="00DA783E">
            <w:pPr>
              <w:jc w:val="left"/>
              <w:rPr>
                <w:rFonts w:ascii="Arial Narrow" w:hAnsi="Arial Narrow" w:cs="Calibri"/>
                <w:color w:val="000000"/>
                <w:spacing w:val="0"/>
                <w:sz w:val="16"/>
                <w:szCs w:val="16"/>
                <w:lang w:eastAsia="es-CO"/>
              </w:rPr>
            </w:pPr>
            <w:r w:rsidRPr="00651F76">
              <w:rPr>
                <w:rFonts w:ascii="Arial Narrow" w:hAnsi="Arial Narrow" w:cs="Calibri"/>
                <w:color w:val="000000"/>
                <w:spacing w:val="0"/>
                <w:sz w:val="16"/>
                <w:szCs w:val="16"/>
                <w:lang w:eastAsia="es-CO"/>
              </w:rPr>
              <w:t>ENERGIA</w:t>
            </w:r>
          </w:p>
        </w:tc>
        <w:tc>
          <w:tcPr>
            <w:tcW w:w="1119" w:type="dxa"/>
            <w:shd w:val="clear" w:color="auto" w:fill="auto"/>
            <w:noWrap/>
            <w:vAlign w:val="center"/>
            <w:hideMark/>
          </w:tcPr>
          <w:p w14:paraId="05752EB7" w14:textId="418E0130" w:rsidR="00DA783E" w:rsidRPr="00651F76" w:rsidRDefault="00DA783E" w:rsidP="00DA783E">
            <w:pPr>
              <w:jc w:val="right"/>
              <w:rPr>
                <w:rFonts w:ascii="Arial Narrow" w:hAnsi="Arial Narrow" w:cs="Calibri"/>
                <w:color w:val="000000"/>
                <w:spacing w:val="0"/>
                <w:sz w:val="16"/>
                <w:szCs w:val="16"/>
                <w:lang w:eastAsia="es-CO"/>
              </w:rPr>
            </w:pPr>
            <w:r w:rsidRPr="00651F76">
              <w:rPr>
                <w:rFonts w:ascii="Arial Narrow" w:hAnsi="Arial Narrow" w:cs="Calibri"/>
                <w:color w:val="000000"/>
                <w:spacing w:val="0"/>
                <w:sz w:val="16"/>
                <w:szCs w:val="16"/>
                <w:lang w:eastAsia="es-CO"/>
              </w:rPr>
              <w:t xml:space="preserve">       82.298.965 </w:t>
            </w:r>
          </w:p>
        </w:tc>
        <w:tc>
          <w:tcPr>
            <w:tcW w:w="1180" w:type="dxa"/>
            <w:shd w:val="clear" w:color="auto" w:fill="auto"/>
            <w:noWrap/>
            <w:vAlign w:val="center"/>
            <w:hideMark/>
          </w:tcPr>
          <w:p w14:paraId="7B8DD07C" w14:textId="19F8AB67" w:rsidR="00DA783E" w:rsidRPr="00651F76" w:rsidRDefault="00DA783E" w:rsidP="00DA783E">
            <w:pPr>
              <w:jc w:val="right"/>
              <w:rPr>
                <w:rFonts w:ascii="Arial Narrow" w:hAnsi="Arial Narrow" w:cs="Calibri"/>
                <w:color w:val="000000"/>
                <w:spacing w:val="0"/>
                <w:sz w:val="16"/>
                <w:szCs w:val="16"/>
                <w:lang w:eastAsia="es-CO"/>
              </w:rPr>
            </w:pPr>
            <w:r w:rsidRPr="00651F76">
              <w:rPr>
                <w:rFonts w:ascii="Arial Narrow" w:hAnsi="Arial Narrow" w:cs="Calibri"/>
                <w:color w:val="000000"/>
                <w:spacing w:val="0"/>
                <w:sz w:val="16"/>
                <w:szCs w:val="16"/>
                <w:lang w:eastAsia="es-CO"/>
              </w:rPr>
              <w:t xml:space="preserve">79.286.093 </w:t>
            </w:r>
          </w:p>
        </w:tc>
      </w:tr>
      <w:tr w:rsidR="00651F76" w:rsidRPr="00651F76" w14:paraId="1E89DDCE" w14:textId="77777777" w:rsidTr="00651F76">
        <w:trPr>
          <w:trHeight w:val="278"/>
        </w:trPr>
        <w:tc>
          <w:tcPr>
            <w:tcW w:w="319" w:type="dxa"/>
            <w:shd w:val="clear" w:color="auto" w:fill="auto"/>
            <w:noWrap/>
            <w:vAlign w:val="center"/>
          </w:tcPr>
          <w:p w14:paraId="6C5AB4C7" w14:textId="77777777" w:rsidR="00651F76" w:rsidRPr="00651F76" w:rsidRDefault="00651F76" w:rsidP="006D1864">
            <w:pPr>
              <w:jc w:val="center"/>
              <w:rPr>
                <w:rFonts w:ascii="Arial Narrow" w:hAnsi="Arial Narrow" w:cs="Calibri"/>
                <w:color w:val="000000"/>
                <w:spacing w:val="0"/>
                <w:sz w:val="16"/>
                <w:szCs w:val="16"/>
                <w:lang w:eastAsia="es-CO"/>
              </w:rPr>
            </w:pPr>
            <w:r w:rsidRPr="00651F76">
              <w:rPr>
                <w:rFonts w:ascii="Arial Narrow" w:hAnsi="Arial Narrow" w:cs="Calibri"/>
                <w:color w:val="000000"/>
                <w:spacing w:val="0"/>
                <w:sz w:val="16"/>
                <w:szCs w:val="16"/>
                <w:lang w:eastAsia="es-CO"/>
              </w:rPr>
              <w:t>8</w:t>
            </w:r>
          </w:p>
        </w:tc>
        <w:tc>
          <w:tcPr>
            <w:tcW w:w="879" w:type="dxa"/>
            <w:shd w:val="clear" w:color="auto" w:fill="auto"/>
            <w:noWrap/>
            <w:vAlign w:val="center"/>
          </w:tcPr>
          <w:p w14:paraId="6ED61F0A" w14:textId="77777777" w:rsidR="00651F76" w:rsidRPr="00651F76" w:rsidRDefault="00651F76" w:rsidP="006D1864">
            <w:pPr>
              <w:jc w:val="center"/>
              <w:rPr>
                <w:rFonts w:ascii="Arial Narrow" w:hAnsi="Arial Narrow" w:cs="Calibri"/>
                <w:color w:val="000000"/>
                <w:spacing w:val="0"/>
                <w:sz w:val="16"/>
                <w:szCs w:val="16"/>
                <w:lang w:eastAsia="es-CO"/>
              </w:rPr>
            </w:pPr>
            <w:r w:rsidRPr="00651F76">
              <w:rPr>
                <w:rFonts w:ascii="Arial Narrow" w:hAnsi="Arial Narrow" w:cs="Calibri"/>
                <w:color w:val="000000"/>
                <w:spacing w:val="0"/>
                <w:sz w:val="16"/>
                <w:szCs w:val="16"/>
                <w:lang w:eastAsia="es-CO"/>
              </w:rPr>
              <w:t>830021307</w:t>
            </w:r>
          </w:p>
        </w:tc>
        <w:tc>
          <w:tcPr>
            <w:tcW w:w="4877" w:type="dxa"/>
            <w:shd w:val="clear" w:color="auto" w:fill="auto"/>
            <w:vAlign w:val="center"/>
          </w:tcPr>
          <w:p w14:paraId="2771C070" w14:textId="77777777" w:rsidR="00651F76" w:rsidRPr="00D26825" w:rsidRDefault="00651F76" w:rsidP="00651F76">
            <w:pPr>
              <w:rPr>
                <w:rFonts w:ascii="Arial Narrow" w:hAnsi="Arial Narrow" w:cs="Calibri"/>
                <w:color w:val="000000"/>
                <w:spacing w:val="0"/>
                <w:sz w:val="16"/>
                <w:szCs w:val="16"/>
                <w:lang w:val="en-US" w:eastAsia="es-CO"/>
              </w:rPr>
            </w:pPr>
            <w:r w:rsidRPr="00D26825">
              <w:rPr>
                <w:rFonts w:ascii="Arial Narrow" w:hAnsi="Arial Narrow" w:cs="Calibri"/>
                <w:color w:val="000000"/>
                <w:spacing w:val="0"/>
                <w:sz w:val="16"/>
                <w:szCs w:val="16"/>
                <w:lang w:val="en-US" w:eastAsia="es-CO"/>
              </w:rPr>
              <w:t>GAS GOMBEL S.A. E.S.P.</w:t>
            </w:r>
          </w:p>
        </w:tc>
        <w:tc>
          <w:tcPr>
            <w:tcW w:w="866" w:type="dxa"/>
            <w:shd w:val="clear" w:color="auto" w:fill="auto"/>
            <w:noWrap/>
            <w:vAlign w:val="center"/>
          </w:tcPr>
          <w:p w14:paraId="51F061A0" w14:textId="77777777" w:rsidR="00651F76" w:rsidRPr="00651F76" w:rsidRDefault="00651F76" w:rsidP="006D1864">
            <w:pPr>
              <w:jc w:val="center"/>
              <w:rPr>
                <w:rFonts w:ascii="Arial Narrow" w:hAnsi="Arial Narrow" w:cs="Calibri"/>
                <w:color w:val="000000"/>
                <w:spacing w:val="0"/>
                <w:sz w:val="16"/>
                <w:szCs w:val="16"/>
                <w:lang w:eastAsia="es-CO"/>
              </w:rPr>
            </w:pPr>
            <w:r w:rsidRPr="00651F76">
              <w:rPr>
                <w:rFonts w:ascii="Arial Narrow" w:hAnsi="Arial Narrow" w:cs="Calibri"/>
                <w:color w:val="000000"/>
                <w:spacing w:val="0"/>
                <w:sz w:val="16"/>
                <w:szCs w:val="16"/>
                <w:lang w:eastAsia="es-CO"/>
              </w:rPr>
              <w:t>GAS</w:t>
            </w:r>
          </w:p>
        </w:tc>
        <w:tc>
          <w:tcPr>
            <w:tcW w:w="1119" w:type="dxa"/>
            <w:shd w:val="clear" w:color="auto" w:fill="auto"/>
            <w:noWrap/>
            <w:vAlign w:val="center"/>
          </w:tcPr>
          <w:p w14:paraId="0DDE2845" w14:textId="77777777" w:rsidR="00651F76" w:rsidRPr="00651F76" w:rsidRDefault="00651F76" w:rsidP="00651F76">
            <w:pPr>
              <w:jc w:val="right"/>
              <w:rPr>
                <w:rFonts w:ascii="Arial Narrow" w:hAnsi="Arial Narrow" w:cs="Calibri"/>
                <w:color w:val="000000"/>
                <w:spacing w:val="0"/>
                <w:sz w:val="16"/>
                <w:szCs w:val="16"/>
                <w:lang w:eastAsia="es-CO"/>
              </w:rPr>
            </w:pPr>
            <w:r w:rsidRPr="00651F76">
              <w:rPr>
                <w:rFonts w:ascii="Arial Narrow" w:hAnsi="Arial Narrow" w:cs="Calibri"/>
                <w:color w:val="000000"/>
                <w:spacing w:val="0"/>
                <w:sz w:val="16"/>
                <w:szCs w:val="16"/>
                <w:lang w:eastAsia="es-CO"/>
              </w:rPr>
              <w:t>2.362.555</w:t>
            </w:r>
          </w:p>
        </w:tc>
        <w:tc>
          <w:tcPr>
            <w:tcW w:w="1180" w:type="dxa"/>
            <w:shd w:val="clear" w:color="auto" w:fill="auto"/>
            <w:noWrap/>
            <w:vAlign w:val="center"/>
          </w:tcPr>
          <w:p w14:paraId="1EBB9D2F" w14:textId="77777777" w:rsidR="00651F76" w:rsidRPr="00651F76" w:rsidRDefault="00651F76" w:rsidP="00651F76">
            <w:pPr>
              <w:jc w:val="right"/>
              <w:rPr>
                <w:rFonts w:ascii="Arial Narrow" w:hAnsi="Arial Narrow" w:cs="Calibri"/>
                <w:color w:val="000000"/>
                <w:spacing w:val="0"/>
                <w:sz w:val="16"/>
                <w:szCs w:val="16"/>
                <w:lang w:eastAsia="es-CO"/>
              </w:rPr>
            </w:pPr>
            <w:r w:rsidRPr="00651F76">
              <w:rPr>
                <w:rFonts w:ascii="Arial Narrow" w:hAnsi="Arial Narrow" w:cs="Calibri"/>
                <w:color w:val="000000"/>
                <w:spacing w:val="0"/>
                <w:sz w:val="16"/>
                <w:szCs w:val="16"/>
                <w:lang w:eastAsia="es-CO"/>
              </w:rPr>
              <w:t>2.276.065</w:t>
            </w:r>
          </w:p>
        </w:tc>
      </w:tr>
      <w:tr w:rsidR="005A4F34" w:rsidRPr="00651F76" w14:paraId="2DAAFE13" w14:textId="77777777" w:rsidTr="00651F76">
        <w:trPr>
          <w:trHeight w:val="278"/>
        </w:trPr>
        <w:tc>
          <w:tcPr>
            <w:tcW w:w="319" w:type="dxa"/>
            <w:shd w:val="clear" w:color="auto" w:fill="auto"/>
            <w:noWrap/>
            <w:vAlign w:val="center"/>
          </w:tcPr>
          <w:p w14:paraId="66913C45" w14:textId="1ED3D068" w:rsidR="005A4F34" w:rsidRPr="00651F76" w:rsidRDefault="00651F76" w:rsidP="005A4F34">
            <w:pPr>
              <w:jc w:val="center"/>
              <w:rPr>
                <w:rFonts w:ascii="Arial Narrow" w:hAnsi="Arial Narrow" w:cs="Calibri"/>
                <w:color w:val="000000"/>
                <w:spacing w:val="0"/>
                <w:sz w:val="16"/>
                <w:szCs w:val="16"/>
                <w:lang w:eastAsia="es-CO"/>
              </w:rPr>
            </w:pPr>
            <w:r w:rsidRPr="00651F76">
              <w:rPr>
                <w:rFonts w:ascii="Arial Narrow" w:hAnsi="Arial Narrow" w:cs="Calibri"/>
                <w:color w:val="000000"/>
                <w:spacing w:val="0"/>
                <w:sz w:val="16"/>
                <w:szCs w:val="16"/>
                <w:lang w:eastAsia="es-CO"/>
              </w:rPr>
              <w:t>9</w:t>
            </w:r>
          </w:p>
        </w:tc>
        <w:tc>
          <w:tcPr>
            <w:tcW w:w="879" w:type="dxa"/>
            <w:shd w:val="clear" w:color="auto" w:fill="auto"/>
            <w:noWrap/>
            <w:vAlign w:val="center"/>
          </w:tcPr>
          <w:p w14:paraId="6CC214BB" w14:textId="3DB2A1CF" w:rsidR="005A4F34" w:rsidRPr="00651F76" w:rsidRDefault="00651F76" w:rsidP="00651F76">
            <w:pPr>
              <w:jc w:val="right"/>
              <w:rPr>
                <w:rFonts w:ascii="Arial Narrow" w:hAnsi="Arial Narrow" w:cs="Calibri"/>
                <w:color w:val="000000"/>
                <w:spacing w:val="0"/>
                <w:sz w:val="16"/>
                <w:szCs w:val="16"/>
                <w:lang w:eastAsia="es-CO"/>
              </w:rPr>
            </w:pPr>
            <w:r>
              <w:rPr>
                <w:rFonts w:ascii="Arial Narrow" w:hAnsi="Arial Narrow" w:cs="Calibri"/>
                <w:color w:val="000000"/>
                <w:spacing w:val="0"/>
                <w:sz w:val="16"/>
                <w:szCs w:val="16"/>
                <w:lang w:eastAsia="es-CO"/>
              </w:rPr>
              <w:t>900921102</w:t>
            </w:r>
          </w:p>
        </w:tc>
        <w:tc>
          <w:tcPr>
            <w:tcW w:w="4877" w:type="dxa"/>
            <w:shd w:val="clear" w:color="auto" w:fill="auto"/>
            <w:vAlign w:val="center"/>
          </w:tcPr>
          <w:p w14:paraId="6CA238D3" w14:textId="540CA0ED" w:rsidR="005A4F34" w:rsidRPr="00651F76" w:rsidRDefault="00651F76" w:rsidP="00651F76">
            <w:pPr>
              <w:rPr>
                <w:rFonts w:ascii="Arial Narrow" w:hAnsi="Arial Narrow" w:cs="Calibri"/>
                <w:color w:val="000000"/>
                <w:spacing w:val="0"/>
                <w:sz w:val="16"/>
                <w:szCs w:val="16"/>
                <w:lang w:eastAsia="es-CO"/>
              </w:rPr>
            </w:pPr>
            <w:r w:rsidRPr="00651F76">
              <w:rPr>
                <w:rFonts w:ascii="Arial Narrow" w:hAnsi="Arial Narrow" w:cs="Calibri"/>
                <w:color w:val="000000"/>
                <w:spacing w:val="0"/>
                <w:sz w:val="16"/>
                <w:szCs w:val="16"/>
                <w:lang w:eastAsia="es-CO"/>
              </w:rPr>
              <w:t>ASOCIACION DE USUARIOS DEL SERVICIO DE ENERGIA DE LA ZONA RURAL DEL CONSEJO COMUNITARIO ODEMAP MOSQUERA NORTE DEL MUNICIPIO DE MOSQUERA NARIÑO</w:t>
            </w:r>
          </w:p>
        </w:tc>
        <w:tc>
          <w:tcPr>
            <w:tcW w:w="866" w:type="dxa"/>
            <w:shd w:val="clear" w:color="auto" w:fill="auto"/>
            <w:noWrap/>
            <w:vAlign w:val="center"/>
          </w:tcPr>
          <w:p w14:paraId="266AF043" w14:textId="539E83B1" w:rsidR="005A4F34" w:rsidRPr="00651F76" w:rsidRDefault="00651F76" w:rsidP="005A4F34">
            <w:pPr>
              <w:jc w:val="center"/>
              <w:rPr>
                <w:rFonts w:ascii="Arial Narrow" w:hAnsi="Arial Narrow" w:cs="Calibri"/>
                <w:color w:val="000000"/>
                <w:spacing w:val="0"/>
                <w:sz w:val="16"/>
                <w:szCs w:val="16"/>
                <w:lang w:eastAsia="es-CO"/>
              </w:rPr>
            </w:pPr>
            <w:r>
              <w:rPr>
                <w:rFonts w:ascii="Arial Narrow" w:hAnsi="Arial Narrow" w:cs="Calibri"/>
                <w:color w:val="000000"/>
                <w:spacing w:val="0"/>
                <w:sz w:val="16"/>
                <w:szCs w:val="16"/>
                <w:lang w:eastAsia="es-CO"/>
              </w:rPr>
              <w:t>ENERGIA</w:t>
            </w:r>
          </w:p>
        </w:tc>
        <w:tc>
          <w:tcPr>
            <w:tcW w:w="1119" w:type="dxa"/>
            <w:shd w:val="clear" w:color="auto" w:fill="auto"/>
            <w:noWrap/>
            <w:vAlign w:val="center"/>
          </w:tcPr>
          <w:p w14:paraId="6F900CAF" w14:textId="032EF63F" w:rsidR="005A4F34" w:rsidRPr="00651F76" w:rsidRDefault="00651F76" w:rsidP="00651F76">
            <w:pPr>
              <w:jc w:val="right"/>
              <w:rPr>
                <w:rFonts w:ascii="Arial Narrow" w:hAnsi="Arial Narrow" w:cs="Calibri"/>
                <w:color w:val="000000"/>
                <w:spacing w:val="0"/>
                <w:sz w:val="16"/>
                <w:szCs w:val="16"/>
                <w:lang w:eastAsia="es-CO"/>
              </w:rPr>
            </w:pPr>
            <w:r>
              <w:rPr>
                <w:rFonts w:ascii="Arial Narrow" w:hAnsi="Arial Narrow" w:cs="Calibri"/>
                <w:color w:val="000000"/>
                <w:spacing w:val="0"/>
                <w:sz w:val="16"/>
                <w:szCs w:val="16"/>
                <w:lang w:eastAsia="es-CO"/>
              </w:rPr>
              <w:t>0</w:t>
            </w:r>
          </w:p>
        </w:tc>
        <w:tc>
          <w:tcPr>
            <w:tcW w:w="1180" w:type="dxa"/>
            <w:shd w:val="clear" w:color="auto" w:fill="auto"/>
            <w:noWrap/>
            <w:vAlign w:val="center"/>
          </w:tcPr>
          <w:p w14:paraId="04438752" w14:textId="3BA9734D" w:rsidR="005A4F34" w:rsidRPr="00651F76" w:rsidRDefault="00651F76" w:rsidP="00651F76">
            <w:pPr>
              <w:jc w:val="right"/>
              <w:rPr>
                <w:rFonts w:ascii="Arial Narrow" w:hAnsi="Arial Narrow" w:cs="Calibri"/>
                <w:color w:val="000000"/>
                <w:spacing w:val="0"/>
                <w:sz w:val="16"/>
                <w:szCs w:val="16"/>
                <w:lang w:eastAsia="es-CO"/>
              </w:rPr>
            </w:pPr>
            <w:r>
              <w:rPr>
                <w:rFonts w:ascii="Arial Narrow" w:hAnsi="Arial Narrow" w:cs="Calibri"/>
                <w:color w:val="000000"/>
                <w:spacing w:val="0"/>
                <w:sz w:val="16"/>
                <w:szCs w:val="16"/>
                <w:lang w:eastAsia="es-CO"/>
              </w:rPr>
              <w:t>0</w:t>
            </w:r>
          </w:p>
        </w:tc>
      </w:tr>
    </w:tbl>
    <w:p w14:paraId="1C3F6BD7" w14:textId="120463AC" w:rsidR="00DA783E" w:rsidRDefault="00DA783E" w:rsidP="00DA4C9A">
      <w:pPr>
        <w:jc w:val="left"/>
        <w:rPr>
          <w:rFonts w:cs="Arial"/>
          <w:sz w:val="22"/>
          <w:szCs w:val="22"/>
        </w:rPr>
      </w:pPr>
    </w:p>
    <w:p w14:paraId="0B523A64" w14:textId="074F04FC" w:rsidR="00086236" w:rsidRDefault="00086236" w:rsidP="00086236">
      <w:pPr>
        <w:pStyle w:val="Subttulo"/>
        <w:numPr>
          <w:ilvl w:val="1"/>
          <w:numId w:val="37"/>
        </w:numPr>
        <w:spacing w:after="0"/>
        <w:ind w:left="357" w:hanging="357"/>
        <w:jc w:val="left"/>
        <w:rPr>
          <w:b/>
          <w:bCs/>
          <w:sz w:val="22"/>
          <w:szCs w:val="22"/>
        </w:rPr>
      </w:pPr>
      <w:bookmarkStart w:id="49" w:name="_Toc88126853"/>
      <w:r w:rsidRPr="0085721C">
        <w:rPr>
          <w:b/>
          <w:bCs/>
          <w:sz w:val="22"/>
          <w:szCs w:val="22"/>
        </w:rPr>
        <w:lastRenderedPageBreak/>
        <w:t xml:space="preserve">EMPRESAS </w:t>
      </w:r>
      <w:r>
        <w:rPr>
          <w:b/>
          <w:bCs/>
          <w:sz w:val="22"/>
          <w:szCs w:val="22"/>
        </w:rPr>
        <w:t>CUYO VALOR DE CONTRIBUCIÓN ES INFERIOR A LA CUANTÍA MÍNIMA.</w:t>
      </w:r>
      <w:bookmarkEnd w:id="49"/>
    </w:p>
    <w:p w14:paraId="7D7EEF11" w14:textId="09A64FDF" w:rsidR="00086236" w:rsidRDefault="00086236" w:rsidP="00086236">
      <w:pPr>
        <w:pStyle w:val="Subttulo"/>
        <w:spacing w:after="0"/>
        <w:jc w:val="left"/>
        <w:rPr>
          <w:b/>
          <w:bCs/>
          <w:sz w:val="22"/>
          <w:szCs w:val="22"/>
        </w:rPr>
      </w:pPr>
    </w:p>
    <w:p w14:paraId="77424C41" w14:textId="45715875" w:rsidR="007661AE" w:rsidRPr="00A35A48" w:rsidRDefault="00AF306A" w:rsidP="00A35A48">
      <w:pPr>
        <w:rPr>
          <w:rFonts w:cs="Arial"/>
          <w:sz w:val="22"/>
          <w:szCs w:val="22"/>
          <w:lang w:val="es-MX"/>
        </w:rPr>
      </w:pPr>
      <w:r w:rsidRPr="00A35A48">
        <w:rPr>
          <w:rFonts w:cs="Arial"/>
          <w:sz w:val="22"/>
          <w:szCs w:val="22"/>
          <w:lang w:val="es-MX"/>
        </w:rPr>
        <w:t xml:space="preserve">Teniendo en cuenta la cuantía mínima óptima </w:t>
      </w:r>
      <w:r w:rsidR="007661AE" w:rsidRPr="00A35A48">
        <w:rPr>
          <w:rFonts w:cs="Arial"/>
          <w:sz w:val="22"/>
          <w:szCs w:val="22"/>
          <w:lang w:val="es-MX"/>
        </w:rPr>
        <w:t>de DOSCIENTOS NOVENTA Y SIETE MIL QUINIENTOS CUARENTA Y OCHO PESOS M/CTE ($297</w:t>
      </w:r>
      <w:r w:rsidR="000B26E9" w:rsidRPr="00A35A48">
        <w:rPr>
          <w:rFonts w:cs="Arial"/>
          <w:sz w:val="22"/>
          <w:szCs w:val="22"/>
          <w:lang w:val="es-MX"/>
        </w:rPr>
        <w:t>.</w:t>
      </w:r>
      <w:r w:rsidR="007661AE" w:rsidRPr="00A35A48">
        <w:rPr>
          <w:rFonts w:cs="Arial"/>
          <w:sz w:val="22"/>
          <w:szCs w:val="22"/>
          <w:lang w:val="es-MX"/>
        </w:rPr>
        <w:t xml:space="preserve">548), </w:t>
      </w:r>
      <w:r w:rsidR="00271B60">
        <w:rPr>
          <w:rFonts w:cs="Arial"/>
          <w:sz w:val="22"/>
          <w:szCs w:val="22"/>
          <w:lang w:val="es-MX"/>
        </w:rPr>
        <w:t>tratada</w:t>
      </w:r>
      <w:r w:rsidRPr="00A35A48">
        <w:rPr>
          <w:rFonts w:cs="Arial"/>
          <w:sz w:val="22"/>
          <w:szCs w:val="22"/>
          <w:lang w:val="es-MX"/>
        </w:rPr>
        <w:t xml:space="preserve"> en el punto 3.2 del presente documento, </w:t>
      </w:r>
      <w:r w:rsidR="007661AE" w:rsidRPr="00A35A48">
        <w:rPr>
          <w:rFonts w:cs="Arial"/>
          <w:sz w:val="22"/>
          <w:szCs w:val="22"/>
          <w:lang w:val="es-MX"/>
        </w:rPr>
        <w:t>por debajo de la cual no resulta eficiente</w:t>
      </w:r>
      <w:r w:rsidR="005105DF" w:rsidRPr="00A35A48">
        <w:rPr>
          <w:rFonts w:cs="Arial"/>
          <w:sz w:val="22"/>
          <w:szCs w:val="22"/>
          <w:lang w:val="es-MX"/>
        </w:rPr>
        <w:t>,</w:t>
      </w:r>
      <w:r w:rsidR="007661AE" w:rsidRPr="00A35A48">
        <w:rPr>
          <w:rFonts w:cs="Arial"/>
          <w:sz w:val="22"/>
          <w:szCs w:val="22"/>
          <w:lang w:val="es-MX"/>
        </w:rPr>
        <w:t xml:space="preserve"> ni rentable</w:t>
      </w:r>
      <w:r w:rsidRPr="00A35A48">
        <w:rPr>
          <w:rFonts w:cs="Arial"/>
          <w:sz w:val="22"/>
          <w:szCs w:val="22"/>
          <w:lang w:val="es-MX"/>
        </w:rPr>
        <w:t xml:space="preserve"> </w:t>
      </w:r>
      <w:r w:rsidR="007661AE" w:rsidRPr="00A35A48">
        <w:rPr>
          <w:rFonts w:cs="Arial"/>
          <w:sz w:val="22"/>
          <w:szCs w:val="22"/>
          <w:lang w:val="es-MX"/>
        </w:rPr>
        <w:t>liquidar la contribución especial</w:t>
      </w:r>
      <w:r w:rsidR="005105DF" w:rsidRPr="00A35A48">
        <w:rPr>
          <w:rFonts w:cs="Arial"/>
          <w:sz w:val="22"/>
          <w:szCs w:val="22"/>
          <w:lang w:val="es-MX"/>
        </w:rPr>
        <w:t xml:space="preserve">, no serán objeto de liquidación </w:t>
      </w:r>
      <w:r w:rsidR="007661AE" w:rsidRPr="00A35A48">
        <w:rPr>
          <w:rFonts w:cs="Arial"/>
          <w:sz w:val="22"/>
          <w:szCs w:val="22"/>
          <w:lang w:val="es-MX"/>
        </w:rPr>
        <w:t xml:space="preserve">los </w:t>
      </w:r>
      <w:r w:rsidRPr="00A35A48">
        <w:rPr>
          <w:rFonts w:cs="Arial"/>
          <w:sz w:val="22"/>
          <w:szCs w:val="22"/>
          <w:lang w:val="es-MX"/>
        </w:rPr>
        <w:t xml:space="preserve">siguientes </w:t>
      </w:r>
      <w:r w:rsidR="005105DF" w:rsidRPr="00A35A48">
        <w:rPr>
          <w:rFonts w:cs="Arial"/>
          <w:sz w:val="22"/>
          <w:szCs w:val="22"/>
          <w:lang w:val="es-MX"/>
        </w:rPr>
        <w:t>23 regulados:</w:t>
      </w:r>
    </w:p>
    <w:p w14:paraId="4DECAA68" w14:textId="36CDD25C" w:rsidR="00086236" w:rsidRDefault="00086236" w:rsidP="00DA4C9A">
      <w:pPr>
        <w:jc w:val="left"/>
        <w:rPr>
          <w:rFonts w:cs="Arial"/>
          <w:sz w:val="22"/>
          <w:szCs w:val="22"/>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9"/>
        <w:gridCol w:w="834"/>
        <w:gridCol w:w="5221"/>
        <w:gridCol w:w="980"/>
        <w:gridCol w:w="1288"/>
      </w:tblGrid>
      <w:tr w:rsidR="000B26E9" w:rsidRPr="00AF306A" w14:paraId="657A6FB2" w14:textId="77777777" w:rsidTr="00897878">
        <w:trPr>
          <w:trHeight w:val="290"/>
          <w:tblHeader/>
        </w:trPr>
        <w:tc>
          <w:tcPr>
            <w:tcW w:w="319" w:type="dxa"/>
            <w:shd w:val="clear" w:color="000000" w:fill="F2F2F2"/>
            <w:noWrap/>
            <w:vAlign w:val="center"/>
            <w:hideMark/>
          </w:tcPr>
          <w:p w14:paraId="38CE6C6F" w14:textId="77777777" w:rsidR="000B26E9" w:rsidRPr="00AF306A" w:rsidRDefault="000B26E9" w:rsidP="000B26E9">
            <w:pPr>
              <w:jc w:val="center"/>
              <w:rPr>
                <w:rFonts w:ascii="Arial Narrow" w:hAnsi="Arial Narrow" w:cs="Calibri"/>
                <w:b/>
                <w:bCs/>
                <w:color w:val="000000"/>
                <w:spacing w:val="0"/>
                <w:sz w:val="18"/>
                <w:szCs w:val="18"/>
                <w:lang w:eastAsia="es-CO"/>
              </w:rPr>
            </w:pPr>
            <w:r w:rsidRPr="00AF306A">
              <w:rPr>
                <w:rFonts w:ascii="Arial Narrow" w:hAnsi="Arial Narrow" w:cs="Calibri"/>
                <w:b/>
                <w:bCs/>
                <w:color w:val="000000"/>
                <w:spacing w:val="0"/>
                <w:sz w:val="18"/>
                <w:szCs w:val="18"/>
                <w:lang w:eastAsia="es-CO"/>
              </w:rPr>
              <w:t>N°</w:t>
            </w:r>
          </w:p>
        </w:tc>
        <w:tc>
          <w:tcPr>
            <w:tcW w:w="834" w:type="dxa"/>
            <w:shd w:val="clear" w:color="000000" w:fill="F2F2F2"/>
            <w:noWrap/>
            <w:vAlign w:val="center"/>
            <w:hideMark/>
          </w:tcPr>
          <w:p w14:paraId="62229EB0" w14:textId="77777777" w:rsidR="000B26E9" w:rsidRPr="00AF306A" w:rsidRDefault="000B26E9" w:rsidP="000B26E9">
            <w:pPr>
              <w:jc w:val="center"/>
              <w:rPr>
                <w:rFonts w:ascii="Arial Narrow" w:hAnsi="Arial Narrow" w:cs="Calibri"/>
                <w:b/>
                <w:bCs/>
                <w:color w:val="000000"/>
                <w:spacing w:val="0"/>
                <w:sz w:val="18"/>
                <w:szCs w:val="18"/>
                <w:lang w:eastAsia="es-CO"/>
              </w:rPr>
            </w:pPr>
            <w:r w:rsidRPr="00AF306A">
              <w:rPr>
                <w:rFonts w:ascii="Arial Narrow" w:hAnsi="Arial Narrow" w:cs="Calibri"/>
                <w:b/>
                <w:bCs/>
                <w:color w:val="000000"/>
                <w:spacing w:val="0"/>
                <w:sz w:val="18"/>
                <w:szCs w:val="18"/>
                <w:lang w:eastAsia="es-CO"/>
              </w:rPr>
              <w:t>NIT</w:t>
            </w:r>
          </w:p>
        </w:tc>
        <w:tc>
          <w:tcPr>
            <w:tcW w:w="5221" w:type="dxa"/>
            <w:shd w:val="clear" w:color="000000" w:fill="F2F2F2"/>
            <w:vAlign w:val="center"/>
            <w:hideMark/>
          </w:tcPr>
          <w:p w14:paraId="652EA0E6" w14:textId="77777777" w:rsidR="000B26E9" w:rsidRPr="00AF306A" w:rsidRDefault="000B26E9" w:rsidP="000B26E9">
            <w:pPr>
              <w:jc w:val="center"/>
              <w:rPr>
                <w:rFonts w:ascii="Arial Narrow" w:hAnsi="Arial Narrow" w:cs="Calibri"/>
                <w:b/>
                <w:bCs/>
                <w:color w:val="000000"/>
                <w:spacing w:val="0"/>
                <w:sz w:val="18"/>
                <w:szCs w:val="18"/>
                <w:lang w:eastAsia="es-CO"/>
              </w:rPr>
            </w:pPr>
            <w:r w:rsidRPr="00AF306A">
              <w:rPr>
                <w:rFonts w:ascii="Arial Narrow" w:hAnsi="Arial Narrow" w:cs="Calibri"/>
                <w:b/>
                <w:bCs/>
                <w:color w:val="000000"/>
                <w:spacing w:val="0"/>
                <w:sz w:val="18"/>
                <w:szCs w:val="18"/>
                <w:lang w:eastAsia="es-CO"/>
              </w:rPr>
              <w:t>RAZÓN SOCIAL</w:t>
            </w:r>
          </w:p>
        </w:tc>
        <w:tc>
          <w:tcPr>
            <w:tcW w:w="980" w:type="dxa"/>
            <w:shd w:val="clear" w:color="000000" w:fill="F2F2F2"/>
            <w:noWrap/>
            <w:vAlign w:val="center"/>
            <w:hideMark/>
          </w:tcPr>
          <w:p w14:paraId="41FF1F7B" w14:textId="379B03DB" w:rsidR="000B26E9" w:rsidRPr="00AF306A" w:rsidRDefault="000B26E9" w:rsidP="000B26E9">
            <w:pPr>
              <w:jc w:val="center"/>
              <w:rPr>
                <w:rFonts w:ascii="Arial Narrow" w:hAnsi="Arial Narrow" w:cs="Calibri"/>
                <w:b/>
                <w:bCs/>
                <w:color w:val="000000"/>
                <w:spacing w:val="0"/>
                <w:sz w:val="18"/>
                <w:szCs w:val="18"/>
                <w:lang w:eastAsia="es-CO"/>
              </w:rPr>
            </w:pPr>
            <w:r>
              <w:rPr>
                <w:rFonts w:ascii="Arial Narrow" w:hAnsi="Arial Narrow" w:cs="Calibri"/>
                <w:b/>
                <w:bCs/>
                <w:color w:val="000000"/>
                <w:spacing w:val="0"/>
                <w:sz w:val="18"/>
                <w:szCs w:val="18"/>
                <w:lang w:eastAsia="es-CO"/>
              </w:rPr>
              <w:t>BASE GRAVABLE</w:t>
            </w:r>
            <w:r w:rsidR="00731E92">
              <w:rPr>
                <w:rFonts w:ascii="Arial Narrow" w:hAnsi="Arial Narrow" w:cs="Calibri"/>
                <w:b/>
                <w:bCs/>
                <w:color w:val="000000"/>
                <w:spacing w:val="0"/>
                <w:sz w:val="18"/>
                <w:szCs w:val="18"/>
                <w:lang w:eastAsia="es-CO"/>
              </w:rPr>
              <w:t xml:space="preserve"> </w:t>
            </w:r>
          </w:p>
        </w:tc>
        <w:tc>
          <w:tcPr>
            <w:tcW w:w="1288" w:type="dxa"/>
            <w:shd w:val="clear" w:color="000000" w:fill="F2F2F2"/>
            <w:noWrap/>
            <w:vAlign w:val="center"/>
            <w:hideMark/>
          </w:tcPr>
          <w:p w14:paraId="73678587" w14:textId="1CEA746E" w:rsidR="000B26E9" w:rsidRPr="00AF306A" w:rsidRDefault="000B26E9" w:rsidP="000B26E9">
            <w:pPr>
              <w:jc w:val="center"/>
              <w:rPr>
                <w:rFonts w:ascii="Arial Narrow" w:hAnsi="Arial Narrow" w:cs="Calibri"/>
                <w:b/>
                <w:bCs/>
                <w:color w:val="000000"/>
                <w:spacing w:val="0"/>
                <w:sz w:val="18"/>
                <w:szCs w:val="18"/>
                <w:lang w:eastAsia="es-CO"/>
              </w:rPr>
            </w:pPr>
            <w:r>
              <w:rPr>
                <w:rFonts w:ascii="Arial Narrow" w:hAnsi="Arial Narrow" w:cs="Calibri"/>
                <w:b/>
                <w:bCs/>
                <w:color w:val="000000"/>
                <w:spacing w:val="0"/>
                <w:sz w:val="18"/>
                <w:szCs w:val="18"/>
                <w:lang w:eastAsia="es-CO"/>
              </w:rPr>
              <w:t>CONTRIBUCIÓN ESPECIAL 2021</w:t>
            </w:r>
          </w:p>
        </w:tc>
      </w:tr>
      <w:tr w:rsidR="000B26E9" w:rsidRPr="00AF306A" w14:paraId="749A5290" w14:textId="77777777" w:rsidTr="00897878">
        <w:trPr>
          <w:trHeight w:val="460"/>
        </w:trPr>
        <w:tc>
          <w:tcPr>
            <w:tcW w:w="319" w:type="dxa"/>
            <w:shd w:val="clear" w:color="auto" w:fill="auto"/>
            <w:noWrap/>
            <w:vAlign w:val="center"/>
            <w:hideMark/>
          </w:tcPr>
          <w:p w14:paraId="251BEFFC" w14:textId="77777777" w:rsidR="000B26E9" w:rsidRPr="00AF306A" w:rsidRDefault="000B26E9" w:rsidP="00AF306A">
            <w:pPr>
              <w:jc w:val="center"/>
              <w:rPr>
                <w:rFonts w:ascii="Arial Narrow" w:hAnsi="Arial Narrow" w:cs="Calibri"/>
                <w:color w:val="000000"/>
                <w:spacing w:val="0"/>
                <w:sz w:val="18"/>
                <w:szCs w:val="18"/>
                <w:lang w:eastAsia="es-CO"/>
              </w:rPr>
            </w:pPr>
            <w:r w:rsidRPr="00AF306A">
              <w:rPr>
                <w:rFonts w:ascii="Arial Narrow" w:hAnsi="Arial Narrow" w:cs="Calibri"/>
                <w:color w:val="000000"/>
                <w:spacing w:val="0"/>
                <w:sz w:val="18"/>
                <w:szCs w:val="18"/>
                <w:lang w:eastAsia="es-CO"/>
              </w:rPr>
              <w:t>1</w:t>
            </w:r>
          </w:p>
        </w:tc>
        <w:tc>
          <w:tcPr>
            <w:tcW w:w="834" w:type="dxa"/>
            <w:shd w:val="clear" w:color="auto" w:fill="auto"/>
            <w:noWrap/>
            <w:vAlign w:val="center"/>
          </w:tcPr>
          <w:p w14:paraId="3BD254BD" w14:textId="69F34201" w:rsidR="000B26E9" w:rsidRPr="00AF306A" w:rsidRDefault="000B26E9" w:rsidP="00AF306A">
            <w:pPr>
              <w:jc w:val="right"/>
              <w:rPr>
                <w:rFonts w:ascii="Arial Narrow" w:hAnsi="Arial Narrow" w:cs="Calibri"/>
                <w:color w:val="000000"/>
                <w:spacing w:val="0"/>
                <w:sz w:val="18"/>
                <w:szCs w:val="18"/>
                <w:lang w:eastAsia="es-CO"/>
              </w:rPr>
            </w:pPr>
            <w:r w:rsidRPr="00AF306A">
              <w:rPr>
                <w:rFonts w:ascii="Arial Narrow" w:hAnsi="Arial Narrow"/>
                <w:sz w:val="18"/>
                <w:szCs w:val="18"/>
              </w:rPr>
              <w:t>835000804</w:t>
            </w:r>
          </w:p>
        </w:tc>
        <w:tc>
          <w:tcPr>
            <w:tcW w:w="5221" w:type="dxa"/>
            <w:shd w:val="clear" w:color="auto" w:fill="auto"/>
            <w:vAlign w:val="center"/>
          </w:tcPr>
          <w:p w14:paraId="0F09A75C" w14:textId="364B65E9" w:rsidR="000B26E9" w:rsidRPr="00AF306A" w:rsidRDefault="000B26E9" w:rsidP="00AF306A">
            <w:pPr>
              <w:jc w:val="left"/>
              <w:rPr>
                <w:rFonts w:ascii="Arial Narrow" w:hAnsi="Arial Narrow" w:cs="Calibri"/>
                <w:color w:val="000000"/>
                <w:spacing w:val="0"/>
                <w:sz w:val="18"/>
                <w:szCs w:val="18"/>
                <w:lang w:eastAsia="es-CO"/>
              </w:rPr>
            </w:pPr>
            <w:r w:rsidRPr="00AF306A">
              <w:rPr>
                <w:rFonts w:ascii="Arial Narrow" w:hAnsi="Arial Narrow"/>
                <w:sz w:val="18"/>
                <w:szCs w:val="18"/>
              </w:rPr>
              <w:t>ASOCIACION DE USUARIOS DEL SERVICIO DE ENERGIA ELECTRICA DE PUERTO MERIZALDE</w:t>
            </w:r>
          </w:p>
        </w:tc>
        <w:tc>
          <w:tcPr>
            <w:tcW w:w="980" w:type="dxa"/>
            <w:shd w:val="clear" w:color="auto" w:fill="auto"/>
            <w:noWrap/>
            <w:vAlign w:val="center"/>
            <w:hideMark/>
          </w:tcPr>
          <w:p w14:paraId="6DB02AB6" w14:textId="24534560" w:rsidR="000B26E9" w:rsidRPr="00AF306A" w:rsidRDefault="000B26E9" w:rsidP="000B26E9">
            <w:pPr>
              <w:jc w:val="right"/>
              <w:rPr>
                <w:rFonts w:ascii="Arial Narrow" w:hAnsi="Arial Narrow" w:cs="Calibri"/>
                <w:color w:val="000000"/>
                <w:spacing w:val="0"/>
                <w:sz w:val="18"/>
                <w:szCs w:val="18"/>
                <w:lang w:eastAsia="es-CO"/>
              </w:rPr>
            </w:pPr>
            <w:r w:rsidRPr="00AF306A">
              <w:rPr>
                <w:rFonts w:ascii="Arial Narrow" w:hAnsi="Arial Narrow"/>
                <w:sz w:val="18"/>
                <w:szCs w:val="18"/>
              </w:rPr>
              <w:t>25</w:t>
            </w:r>
            <w:r>
              <w:rPr>
                <w:rFonts w:ascii="Arial Narrow" w:hAnsi="Arial Narrow"/>
                <w:sz w:val="18"/>
                <w:szCs w:val="18"/>
              </w:rPr>
              <w:t>.</w:t>
            </w:r>
            <w:r w:rsidRPr="00AF306A">
              <w:rPr>
                <w:rFonts w:ascii="Arial Narrow" w:hAnsi="Arial Narrow"/>
                <w:sz w:val="18"/>
                <w:szCs w:val="18"/>
              </w:rPr>
              <w:t>029</w:t>
            </w:r>
            <w:r>
              <w:rPr>
                <w:rFonts w:ascii="Arial Narrow" w:hAnsi="Arial Narrow"/>
                <w:sz w:val="18"/>
                <w:szCs w:val="18"/>
              </w:rPr>
              <w:t>.</w:t>
            </w:r>
            <w:r w:rsidRPr="00AF306A">
              <w:rPr>
                <w:rFonts w:ascii="Arial Narrow" w:hAnsi="Arial Narrow"/>
                <w:sz w:val="18"/>
                <w:szCs w:val="18"/>
              </w:rPr>
              <w:t>987</w:t>
            </w:r>
          </w:p>
        </w:tc>
        <w:tc>
          <w:tcPr>
            <w:tcW w:w="1288" w:type="dxa"/>
            <w:shd w:val="clear" w:color="auto" w:fill="auto"/>
            <w:noWrap/>
            <w:vAlign w:val="center"/>
            <w:hideMark/>
          </w:tcPr>
          <w:p w14:paraId="1A63755E" w14:textId="70A51D0E" w:rsidR="000B26E9" w:rsidRPr="00AF306A" w:rsidRDefault="000B26E9" w:rsidP="000B26E9">
            <w:pPr>
              <w:jc w:val="right"/>
              <w:rPr>
                <w:rFonts w:ascii="Arial Narrow" w:hAnsi="Arial Narrow" w:cs="Calibri"/>
                <w:color w:val="000000"/>
                <w:spacing w:val="0"/>
                <w:sz w:val="18"/>
                <w:szCs w:val="18"/>
                <w:lang w:eastAsia="es-CO"/>
              </w:rPr>
            </w:pPr>
            <w:r w:rsidRPr="00AF306A">
              <w:rPr>
                <w:rFonts w:ascii="Arial Narrow" w:hAnsi="Arial Narrow"/>
                <w:sz w:val="18"/>
                <w:szCs w:val="18"/>
              </w:rPr>
              <w:t>250</w:t>
            </w:r>
            <w:r>
              <w:rPr>
                <w:rFonts w:ascii="Arial Narrow" w:hAnsi="Arial Narrow"/>
                <w:sz w:val="18"/>
                <w:szCs w:val="18"/>
              </w:rPr>
              <w:t>.</w:t>
            </w:r>
            <w:r w:rsidRPr="00AF306A">
              <w:rPr>
                <w:rFonts w:ascii="Arial Narrow" w:hAnsi="Arial Narrow"/>
                <w:sz w:val="18"/>
                <w:szCs w:val="18"/>
              </w:rPr>
              <w:t>300</w:t>
            </w:r>
          </w:p>
        </w:tc>
      </w:tr>
      <w:tr w:rsidR="000B26E9" w:rsidRPr="00AF306A" w14:paraId="0C1D4675" w14:textId="77777777" w:rsidTr="00897878">
        <w:trPr>
          <w:trHeight w:val="290"/>
        </w:trPr>
        <w:tc>
          <w:tcPr>
            <w:tcW w:w="319" w:type="dxa"/>
            <w:shd w:val="clear" w:color="auto" w:fill="auto"/>
            <w:noWrap/>
            <w:vAlign w:val="center"/>
            <w:hideMark/>
          </w:tcPr>
          <w:p w14:paraId="5F5E6016" w14:textId="77777777" w:rsidR="000B26E9" w:rsidRPr="00AF306A" w:rsidRDefault="000B26E9" w:rsidP="00AF306A">
            <w:pPr>
              <w:jc w:val="center"/>
              <w:rPr>
                <w:rFonts w:ascii="Arial Narrow" w:hAnsi="Arial Narrow" w:cs="Calibri"/>
                <w:color w:val="000000"/>
                <w:spacing w:val="0"/>
                <w:sz w:val="18"/>
                <w:szCs w:val="18"/>
                <w:lang w:eastAsia="es-CO"/>
              </w:rPr>
            </w:pPr>
            <w:r w:rsidRPr="00AF306A">
              <w:rPr>
                <w:rFonts w:ascii="Arial Narrow" w:hAnsi="Arial Narrow" w:cs="Calibri"/>
                <w:color w:val="000000"/>
                <w:spacing w:val="0"/>
                <w:sz w:val="18"/>
                <w:szCs w:val="18"/>
                <w:lang w:eastAsia="es-CO"/>
              </w:rPr>
              <w:t>2</w:t>
            </w:r>
          </w:p>
        </w:tc>
        <w:tc>
          <w:tcPr>
            <w:tcW w:w="834" w:type="dxa"/>
            <w:shd w:val="clear" w:color="auto" w:fill="auto"/>
            <w:noWrap/>
            <w:vAlign w:val="center"/>
          </w:tcPr>
          <w:p w14:paraId="42991CE9" w14:textId="3438067E" w:rsidR="000B26E9" w:rsidRPr="00AF306A" w:rsidRDefault="000B26E9" w:rsidP="00AF306A">
            <w:pPr>
              <w:jc w:val="right"/>
              <w:rPr>
                <w:rFonts w:ascii="Arial Narrow" w:hAnsi="Arial Narrow" w:cs="Calibri"/>
                <w:color w:val="000000"/>
                <w:spacing w:val="0"/>
                <w:sz w:val="18"/>
                <w:szCs w:val="18"/>
                <w:lang w:eastAsia="es-CO"/>
              </w:rPr>
            </w:pPr>
            <w:r w:rsidRPr="00AF306A">
              <w:rPr>
                <w:rFonts w:ascii="Arial Narrow" w:hAnsi="Arial Narrow"/>
                <w:sz w:val="18"/>
                <w:szCs w:val="18"/>
              </w:rPr>
              <w:t>901024864</w:t>
            </w:r>
          </w:p>
        </w:tc>
        <w:tc>
          <w:tcPr>
            <w:tcW w:w="5221" w:type="dxa"/>
            <w:shd w:val="clear" w:color="auto" w:fill="auto"/>
            <w:vAlign w:val="center"/>
          </w:tcPr>
          <w:p w14:paraId="06F6E639" w14:textId="05915BA3" w:rsidR="000B26E9" w:rsidRPr="00AF306A" w:rsidRDefault="000B26E9" w:rsidP="00AF306A">
            <w:pPr>
              <w:jc w:val="left"/>
              <w:rPr>
                <w:rFonts w:ascii="Arial Narrow" w:hAnsi="Arial Narrow" w:cs="Calibri"/>
                <w:color w:val="000000"/>
                <w:spacing w:val="0"/>
                <w:sz w:val="18"/>
                <w:szCs w:val="18"/>
                <w:lang w:eastAsia="es-CO"/>
              </w:rPr>
            </w:pPr>
            <w:r w:rsidRPr="00AF306A">
              <w:rPr>
                <w:rFonts w:ascii="Arial Narrow" w:hAnsi="Arial Narrow"/>
                <w:sz w:val="18"/>
                <w:szCs w:val="18"/>
              </w:rPr>
              <w:t>ENTREGAMOS G.L.P. E.S.P. S.A.S.</w:t>
            </w:r>
          </w:p>
        </w:tc>
        <w:tc>
          <w:tcPr>
            <w:tcW w:w="980" w:type="dxa"/>
            <w:shd w:val="clear" w:color="auto" w:fill="auto"/>
            <w:noWrap/>
            <w:vAlign w:val="center"/>
            <w:hideMark/>
          </w:tcPr>
          <w:p w14:paraId="72183F36" w14:textId="25FA32E6" w:rsidR="000B26E9" w:rsidRPr="00AF306A" w:rsidRDefault="000B26E9" w:rsidP="000B26E9">
            <w:pPr>
              <w:jc w:val="right"/>
              <w:rPr>
                <w:rFonts w:ascii="Arial Narrow" w:hAnsi="Arial Narrow" w:cs="Calibri"/>
                <w:color w:val="000000"/>
                <w:spacing w:val="0"/>
                <w:sz w:val="18"/>
                <w:szCs w:val="18"/>
                <w:lang w:eastAsia="es-CO"/>
              </w:rPr>
            </w:pPr>
            <w:r w:rsidRPr="00AF306A">
              <w:rPr>
                <w:rFonts w:ascii="Arial Narrow" w:hAnsi="Arial Narrow"/>
                <w:sz w:val="18"/>
                <w:szCs w:val="18"/>
              </w:rPr>
              <w:t>23</w:t>
            </w:r>
            <w:r>
              <w:rPr>
                <w:rFonts w:ascii="Arial Narrow" w:hAnsi="Arial Narrow"/>
                <w:sz w:val="18"/>
                <w:szCs w:val="18"/>
              </w:rPr>
              <w:t>.</w:t>
            </w:r>
            <w:r w:rsidRPr="00AF306A">
              <w:rPr>
                <w:rFonts w:ascii="Arial Narrow" w:hAnsi="Arial Narrow"/>
                <w:sz w:val="18"/>
                <w:szCs w:val="18"/>
              </w:rPr>
              <w:t>986</w:t>
            </w:r>
            <w:r>
              <w:rPr>
                <w:rFonts w:ascii="Arial Narrow" w:hAnsi="Arial Narrow"/>
                <w:sz w:val="18"/>
                <w:szCs w:val="18"/>
              </w:rPr>
              <w:t>.</w:t>
            </w:r>
            <w:r w:rsidRPr="00AF306A">
              <w:rPr>
                <w:rFonts w:ascii="Arial Narrow" w:hAnsi="Arial Narrow"/>
                <w:sz w:val="18"/>
                <w:szCs w:val="18"/>
              </w:rPr>
              <w:t>057</w:t>
            </w:r>
          </w:p>
        </w:tc>
        <w:tc>
          <w:tcPr>
            <w:tcW w:w="1288" w:type="dxa"/>
            <w:shd w:val="clear" w:color="auto" w:fill="auto"/>
            <w:noWrap/>
            <w:vAlign w:val="center"/>
            <w:hideMark/>
          </w:tcPr>
          <w:p w14:paraId="273DE23F" w14:textId="561E1557" w:rsidR="000B26E9" w:rsidRPr="00AF306A" w:rsidRDefault="000B26E9" w:rsidP="000B26E9">
            <w:pPr>
              <w:jc w:val="right"/>
              <w:rPr>
                <w:rFonts w:ascii="Arial Narrow" w:hAnsi="Arial Narrow" w:cs="Calibri"/>
                <w:color w:val="000000"/>
                <w:spacing w:val="0"/>
                <w:sz w:val="18"/>
                <w:szCs w:val="18"/>
                <w:lang w:eastAsia="es-CO"/>
              </w:rPr>
            </w:pPr>
            <w:r w:rsidRPr="00AF306A">
              <w:rPr>
                <w:rFonts w:ascii="Arial Narrow" w:hAnsi="Arial Narrow"/>
                <w:sz w:val="18"/>
                <w:szCs w:val="18"/>
              </w:rPr>
              <w:t>239</w:t>
            </w:r>
            <w:r>
              <w:rPr>
                <w:rFonts w:ascii="Arial Narrow" w:hAnsi="Arial Narrow"/>
                <w:sz w:val="18"/>
                <w:szCs w:val="18"/>
              </w:rPr>
              <w:t>.</w:t>
            </w:r>
            <w:r w:rsidRPr="00AF306A">
              <w:rPr>
                <w:rFonts w:ascii="Arial Narrow" w:hAnsi="Arial Narrow"/>
                <w:sz w:val="18"/>
                <w:szCs w:val="18"/>
              </w:rPr>
              <w:t>861</w:t>
            </w:r>
          </w:p>
        </w:tc>
      </w:tr>
      <w:tr w:rsidR="000B26E9" w:rsidRPr="00AF306A" w14:paraId="1CB1F1BB" w14:textId="77777777" w:rsidTr="00897878">
        <w:trPr>
          <w:trHeight w:val="290"/>
        </w:trPr>
        <w:tc>
          <w:tcPr>
            <w:tcW w:w="319" w:type="dxa"/>
            <w:shd w:val="clear" w:color="auto" w:fill="auto"/>
            <w:noWrap/>
            <w:vAlign w:val="center"/>
            <w:hideMark/>
          </w:tcPr>
          <w:p w14:paraId="5A24B97D" w14:textId="77777777" w:rsidR="000B26E9" w:rsidRPr="00AF306A" w:rsidRDefault="000B26E9" w:rsidP="00AF306A">
            <w:pPr>
              <w:jc w:val="center"/>
              <w:rPr>
                <w:rFonts w:ascii="Arial Narrow" w:hAnsi="Arial Narrow" w:cs="Calibri"/>
                <w:color w:val="000000"/>
                <w:spacing w:val="0"/>
                <w:sz w:val="18"/>
                <w:szCs w:val="18"/>
                <w:lang w:eastAsia="es-CO"/>
              </w:rPr>
            </w:pPr>
            <w:r w:rsidRPr="00AF306A">
              <w:rPr>
                <w:rFonts w:ascii="Arial Narrow" w:hAnsi="Arial Narrow" w:cs="Calibri"/>
                <w:color w:val="000000"/>
                <w:spacing w:val="0"/>
                <w:sz w:val="18"/>
                <w:szCs w:val="18"/>
                <w:lang w:eastAsia="es-CO"/>
              </w:rPr>
              <w:t>3</w:t>
            </w:r>
          </w:p>
        </w:tc>
        <w:tc>
          <w:tcPr>
            <w:tcW w:w="834" w:type="dxa"/>
            <w:shd w:val="clear" w:color="auto" w:fill="auto"/>
            <w:noWrap/>
            <w:vAlign w:val="center"/>
          </w:tcPr>
          <w:p w14:paraId="4DECD916" w14:textId="645DD95A" w:rsidR="000B26E9" w:rsidRPr="00AF306A" w:rsidRDefault="000B26E9" w:rsidP="00AF306A">
            <w:pPr>
              <w:jc w:val="right"/>
              <w:rPr>
                <w:rFonts w:ascii="Arial Narrow" w:hAnsi="Arial Narrow" w:cs="Calibri"/>
                <w:color w:val="000000"/>
                <w:spacing w:val="0"/>
                <w:sz w:val="18"/>
                <w:szCs w:val="18"/>
                <w:lang w:eastAsia="es-CO"/>
              </w:rPr>
            </w:pPr>
            <w:r w:rsidRPr="00AF306A">
              <w:rPr>
                <w:rFonts w:ascii="Arial Narrow" w:hAnsi="Arial Narrow"/>
                <w:sz w:val="18"/>
                <w:szCs w:val="18"/>
              </w:rPr>
              <w:t>900787764</w:t>
            </w:r>
          </w:p>
        </w:tc>
        <w:tc>
          <w:tcPr>
            <w:tcW w:w="5221" w:type="dxa"/>
            <w:shd w:val="clear" w:color="auto" w:fill="auto"/>
            <w:vAlign w:val="center"/>
          </w:tcPr>
          <w:p w14:paraId="1250F152" w14:textId="34753456" w:rsidR="000B26E9" w:rsidRPr="00AF306A" w:rsidRDefault="000B26E9" w:rsidP="00AF306A">
            <w:pPr>
              <w:jc w:val="left"/>
              <w:rPr>
                <w:rFonts w:ascii="Arial Narrow" w:hAnsi="Arial Narrow" w:cs="Calibri"/>
                <w:color w:val="000000"/>
                <w:spacing w:val="0"/>
                <w:sz w:val="18"/>
                <w:szCs w:val="18"/>
                <w:lang w:eastAsia="es-CO"/>
              </w:rPr>
            </w:pPr>
            <w:r w:rsidRPr="00AF306A">
              <w:rPr>
                <w:rFonts w:ascii="Arial Narrow" w:hAnsi="Arial Narrow"/>
                <w:sz w:val="18"/>
                <w:szCs w:val="18"/>
              </w:rPr>
              <w:t xml:space="preserve">EMPRESA DE SERVICIOS PUBLICOS DE ENERGIA ELECTRICA DEL CAUCA </w:t>
            </w:r>
          </w:p>
        </w:tc>
        <w:tc>
          <w:tcPr>
            <w:tcW w:w="980" w:type="dxa"/>
            <w:shd w:val="clear" w:color="auto" w:fill="auto"/>
            <w:noWrap/>
            <w:vAlign w:val="center"/>
            <w:hideMark/>
          </w:tcPr>
          <w:p w14:paraId="19953700" w14:textId="681F0983" w:rsidR="000B26E9" w:rsidRPr="00AF306A" w:rsidRDefault="000B26E9" w:rsidP="000B26E9">
            <w:pPr>
              <w:jc w:val="right"/>
              <w:rPr>
                <w:rFonts w:ascii="Arial Narrow" w:hAnsi="Arial Narrow" w:cs="Calibri"/>
                <w:color w:val="000000"/>
                <w:spacing w:val="0"/>
                <w:sz w:val="18"/>
                <w:szCs w:val="18"/>
                <w:lang w:eastAsia="es-CO"/>
              </w:rPr>
            </w:pPr>
            <w:r w:rsidRPr="00AF306A">
              <w:rPr>
                <w:rFonts w:ascii="Arial Narrow" w:hAnsi="Arial Narrow"/>
                <w:sz w:val="18"/>
                <w:szCs w:val="18"/>
              </w:rPr>
              <w:t>21</w:t>
            </w:r>
            <w:r>
              <w:rPr>
                <w:rFonts w:ascii="Arial Narrow" w:hAnsi="Arial Narrow"/>
                <w:sz w:val="18"/>
                <w:szCs w:val="18"/>
              </w:rPr>
              <w:t>.</w:t>
            </w:r>
            <w:r w:rsidRPr="00AF306A">
              <w:rPr>
                <w:rFonts w:ascii="Arial Narrow" w:hAnsi="Arial Narrow"/>
                <w:sz w:val="18"/>
                <w:szCs w:val="18"/>
              </w:rPr>
              <w:t>401</w:t>
            </w:r>
            <w:r>
              <w:rPr>
                <w:rFonts w:ascii="Arial Narrow" w:hAnsi="Arial Narrow"/>
                <w:sz w:val="18"/>
                <w:szCs w:val="18"/>
              </w:rPr>
              <w:t>.</w:t>
            </w:r>
            <w:r w:rsidRPr="00AF306A">
              <w:rPr>
                <w:rFonts w:ascii="Arial Narrow" w:hAnsi="Arial Narrow"/>
                <w:sz w:val="18"/>
                <w:szCs w:val="18"/>
              </w:rPr>
              <w:t>507</w:t>
            </w:r>
          </w:p>
        </w:tc>
        <w:tc>
          <w:tcPr>
            <w:tcW w:w="1288" w:type="dxa"/>
            <w:shd w:val="clear" w:color="auto" w:fill="auto"/>
            <w:noWrap/>
            <w:vAlign w:val="center"/>
            <w:hideMark/>
          </w:tcPr>
          <w:p w14:paraId="0C6BC003" w14:textId="2B797340" w:rsidR="000B26E9" w:rsidRPr="00AF306A" w:rsidRDefault="000B26E9" w:rsidP="000B26E9">
            <w:pPr>
              <w:jc w:val="right"/>
              <w:rPr>
                <w:rFonts w:ascii="Arial Narrow" w:hAnsi="Arial Narrow" w:cs="Calibri"/>
                <w:color w:val="000000"/>
                <w:spacing w:val="0"/>
                <w:sz w:val="18"/>
                <w:szCs w:val="18"/>
                <w:lang w:eastAsia="es-CO"/>
              </w:rPr>
            </w:pPr>
            <w:r w:rsidRPr="00AF306A">
              <w:rPr>
                <w:rFonts w:ascii="Arial Narrow" w:hAnsi="Arial Narrow"/>
                <w:sz w:val="18"/>
                <w:szCs w:val="18"/>
              </w:rPr>
              <w:t>214</w:t>
            </w:r>
            <w:r>
              <w:rPr>
                <w:rFonts w:ascii="Arial Narrow" w:hAnsi="Arial Narrow"/>
                <w:sz w:val="18"/>
                <w:szCs w:val="18"/>
              </w:rPr>
              <w:t>.</w:t>
            </w:r>
            <w:r w:rsidRPr="00AF306A">
              <w:rPr>
                <w:rFonts w:ascii="Arial Narrow" w:hAnsi="Arial Narrow"/>
                <w:sz w:val="18"/>
                <w:szCs w:val="18"/>
              </w:rPr>
              <w:t>015</w:t>
            </w:r>
          </w:p>
        </w:tc>
      </w:tr>
      <w:tr w:rsidR="000B26E9" w:rsidRPr="00AF306A" w14:paraId="59902A94" w14:textId="77777777" w:rsidTr="00897878">
        <w:trPr>
          <w:trHeight w:val="290"/>
        </w:trPr>
        <w:tc>
          <w:tcPr>
            <w:tcW w:w="319" w:type="dxa"/>
            <w:shd w:val="clear" w:color="auto" w:fill="auto"/>
            <w:noWrap/>
            <w:vAlign w:val="center"/>
            <w:hideMark/>
          </w:tcPr>
          <w:p w14:paraId="71936713" w14:textId="77777777" w:rsidR="000B26E9" w:rsidRPr="00AF306A" w:rsidRDefault="000B26E9" w:rsidP="00AF306A">
            <w:pPr>
              <w:jc w:val="center"/>
              <w:rPr>
                <w:rFonts w:ascii="Arial Narrow" w:hAnsi="Arial Narrow" w:cs="Calibri"/>
                <w:color w:val="000000"/>
                <w:spacing w:val="0"/>
                <w:sz w:val="18"/>
                <w:szCs w:val="18"/>
                <w:lang w:eastAsia="es-CO"/>
              </w:rPr>
            </w:pPr>
            <w:r w:rsidRPr="00AF306A">
              <w:rPr>
                <w:rFonts w:ascii="Arial Narrow" w:hAnsi="Arial Narrow" w:cs="Calibri"/>
                <w:color w:val="000000"/>
                <w:spacing w:val="0"/>
                <w:sz w:val="18"/>
                <w:szCs w:val="18"/>
                <w:lang w:eastAsia="es-CO"/>
              </w:rPr>
              <w:t>4</w:t>
            </w:r>
          </w:p>
        </w:tc>
        <w:tc>
          <w:tcPr>
            <w:tcW w:w="834" w:type="dxa"/>
            <w:shd w:val="clear" w:color="auto" w:fill="auto"/>
            <w:noWrap/>
            <w:vAlign w:val="center"/>
          </w:tcPr>
          <w:p w14:paraId="3EE6436E" w14:textId="7F6839C4" w:rsidR="000B26E9" w:rsidRPr="00AF306A" w:rsidRDefault="000B26E9" w:rsidP="00AF306A">
            <w:pPr>
              <w:jc w:val="right"/>
              <w:rPr>
                <w:rFonts w:ascii="Arial Narrow" w:hAnsi="Arial Narrow" w:cs="Calibri"/>
                <w:color w:val="000000"/>
                <w:spacing w:val="0"/>
                <w:sz w:val="18"/>
                <w:szCs w:val="18"/>
                <w:lang w:eastAsia="es-CO"/>
              </w:rPr>
            </w:pPr>
            <w:r w:rsidRPr="00AF306A">
              <w:rPr>
                <w:rFonts w:ascii="Arial Narrow" w:hAnsi="Arial Narrow"/>
                <w:sz w:val="18"/>
                <w:szCs w:val="18"/>
              </w:rPr>
              <w:t>900499975</w:t>
            </w:r>
          </w:p>
        </w:tc>
        <w:tc>
          <w:tcPr>
            <w:tcW w:w="5221" w:type="dxa"/>
            <w:shd w:val="clear" w:color="auto" w:fill="auto"/>
            <w:vAlign w:val="center"/>
          </w:tcPr>
          <w:p w14:paraId="22B5B2CC" w14:textId="0F65A2F5" w:rsidR="000B26E9" w:rsidRPr="00AF306A" w:rsidRDefault="000B26E9" w:rsidP="00AF306A">
            <w:pPr>
              <w:jc w:val="left"/>
              <w:rPr>
                <w:rFonts w:ascii="Arial Narrow" w:hAnsi="Arial Narrow" w:cs="Calibri"/>
                <w:color w:val="000000"/>
                <w:spacing w:val="0"/>
                <w:sz w:val="18"/>
                <w:szCs w:val="18"/>
                <w:lang w:eastAsia="es-CO"/>
              </w:rPr>
            </w:pPr>
            <w:r w:rsidRPr="00AF306A">
              <w:rPr>
                <w:rFonts w:ascii="Arial Narrow" w:hAnsi="Arial Narrow"/>
                <w:sz w:val="18"/>
                <w:szCs w:val="18"/>
              </w:rPr>
              <w:t>EMPRESA ASOCIATIVA DE TRABAJO DE PRESTACION DE SERVICIOS PUBLICOS DE BOCAS DE CURAY E.S.P.</w:t>
            </w:r>
          </w:p>
        </w:tc>
        <w:tc>
          <w:tcPr>
            <w:tcW w:w="980" w:type="dxa"/>
            <w:shd w:val="clear" w:color="auto" w:fill="auto"/>
            <w:noWrap/>
            <w:vAlign w:val="center"/>
            <w:hideMark/>
          </w:tcPr>
          <w:p w14:paraId="1B00AA16" w14:textId="68AC33C1" w:rsidR="000B26E9" w:rsidRPr="00AF306A" w:rsidRDefault="000B26E9" w:rsidP="000B26E9">
            <w:pPr>
              <w:jc w:val="right"/>
              <w:rPr>
                <w:rFonts w:ascii="Arial Narrow" w:hAnsi="Arial Narrow" w:cs="Calibri"/>
                <w:color w:val="000000"/>
                <w:spacing w:val="0"/>
                <w:sz w:val="18"/>
                <w:szCs w:val="18"/>
                <w:lang w:eastAsia="es-CO"/>
              </w:rPr>
            </w:pPr>
            <w:r w:rsidRPr="00AF306A">
              <w:rPr>
                <w:rFonts w:ascii="Arial Narrow" w:hAnsi="Arial Narrow"/>
                <w:sz w:val="18"/>
                <w:szCs w:val="18"/>
              </w:rPr>
              <w:t>19</w:t>
            </w:r>
            <w:r>
              <w:rPr>
                <w:rFonts w:ascii="Arial Narrow" w:hAnsi="Arial Narrow"/>
                <w:sz w:val="18"/>
                <w:szCs w:val="18"/>
              </w:rPr>
              <w:t>.</w:t>
            </w:r>
            <w:r w:rsidRPr="00AF306A">
              <w:rPr>
                <w:rFonts w:ascii="Arial Narrow" w:hAnsi="Arial Narrow"/>
                <w:sz w:val="18"/>
                <w:szCs w:val="18"/>
              </w:rPr>
              <w:t>634</w:t>
            </w:r>
            <w:r>
              <w:rPr>
                <w:rFonts w:ascii="Arial Narrow" w:hAnsi="Arial Narrow"/>
                <w:sz w:val="18"/>
                <w:szCs w:val="18"/>
              </w:rPr>
              <w:t>.</w:t>
            </w:r>
            <w:r w:rsidRPr="00AF306A">
              <w:rPr>
                <w:rFonts w:ascii="Arial Narrow" w:hAnsi="Arial Narrow"/>
                <w:sz w:val="18"/>
                <w:szCs w:val="18"/>
              </w:rPr>
              <w:t>364</w:t>
            </w:r>
          </w:p>
        </w:tc>
        <w:tc>
          <w:tcPr>
            <w:tcW w:w="1288" w:type="dxa"/>
            <w:shd w:val="clear" w:color="auto" w:fill="auto"/>
            <w:noWrap/>
            <w:vAlign w:val="center"/>
            <w:hideMark/>
          </w:tcPr>
          <w:p w14:paraId="0389D3D4" w14:textId="0B4BB4BF" w:rsidR="000B26E9" w:rsidRPr="00AF306A" w:rsidRDefault="000B26E9" w:rsidP="000B26E9">
            <w:pPr>
              <w:jc w:val="right"/>
              <w:rPr>
                <w:rFonts w:ascii="Arial Narrow" w:hAnsi="Arial Narrow" w:cs="Calibri"/>
                <w:color w:val="000000"/>
                <w:spacing w:val="0"/>
                <w:sz w:val="18"/>
                <w:szCs w:val="18"/>
                <w:lang w:eastAsia="es-CO"/>
              </w:rPr>
            </w:pPr>
            <w:r w:rsidRPr="00AF306A">
              <w:rPr>
                <w:rFonts w:ascii="Arial Narrow" w:hAnsi="Arial Narrow"/>
                <w:sz w:val="18"/>
                <w:szCs w:val="18"/>
              </w:rPr>
              <w:t>196</w:t>
            </w:r>
            <w:r>
              <w:rPr>
                <w:rFonts w:ascii="Arial Narrow" w:hAnsi="Arial Narrow"/>
                <w:sz w:val="18"/>
                <w:szCs w:val="18"/>
              </w:rPr>
              <w:t>.</w:t>
            </w:r>
            <w:r w:rsidRPr="00AF306A">
              <w:rPr>
                <w:rFonts w:ascii="Arial Narrow" w:hAnsi="Arial Narrow"/>
                <w:sz w:val="18"/>
                <w:szCs w:val="18"/>
              </w:rPr>
              <w:t>344</w:t>
            </w:r>
          </w:p>
        </w:tc>
      </w:tr>
      <w:tr w:rsidR="000B26E9" w:rsidRPr="00AF306A" w14:paraId="6CD10740" w14:textId="77777777" w:rsidTr="00897878">
        <w:trPr>
          <w:trHeight w:val="290"/>
        </w:trPr>
        <w:tc>
          <w:tcPr>
            <w:tcW w:w="319" w:type="dxa"/>
            <w:shd w:val="clear" w:color="auto" w:fill="auto"/>
            <w:noWrap/>
            <w:vAlign w:val="center"/>
            <w:hideMark/>
          </w:tcPr>
          <w:p w14:paraId="0ABE634F" w14:textId="77777777" w:rsidR="000B26E9" w:rsidRPr="00AF306A" w:rsidRDefault="000B26E9" w:rsidP="00AF306A">
            <w:pPr>
              <w:jc w:val="center"/>
              <w:rPr>
                <w:rFonts w:ascii="Arial Narrow" w:hAnsi="Arial Narrow" w:cs="Calibri"/>
                <w:color w:val="000000"/>
                <w:spacing w:val="0"/>
                <w:sz w:val="18"/>
                <w:szCs w:val="18"/>
                <w:lang w:eastAsia="es-CO"/>
              </w:rPr>
            </w:pPr>
            <w:r w:rsidRPr="00AF306A">
              <w:rPr>
                <w:rFonts w:ascii="Arial Narrow" w:hAnsi="Arial Narrow" w:cs="Calibri"/>
                <w:color w:val="000000"/>
                <w:spacing w:val="0"/>
                <w:sz w:val="18"/>
                <w:szCs w:val="18"/>
                <w:lang w:eastAsia="es-CO"/>
              </w:rPr>
              <w:t>5</w:t>
            </w:r>
          </w:p>
        </w:tc>
        <w:tc>
          <w:tcPr>
            <w:tcW w:w="834" w:type="dxa"/>
            <w:shd w:val="clear" w:color="auto" w:fill="auto"/>
            <w:noWrap/>
            <w:vAlign w:val="center"/>
          </w:tcPr>
          <w:p w14:paraId="44F4849F" w14:textId="5C7D1FDE" w:rsidR="000B26E9" w:rsidRPr="00AF306A" w:rsidRDefault="000B26E9" w:rsidP="00AF306A">
            <w:pPr>
              <w:jc w:val="right"/>
              <w:rPr>
                <w:rFonts w:ascii="Arial Narrow" w:hAnsi="Arial Narrow" w:cs="Calibri"/>
                <w:color w:val="000000"/>
                <w:spacing w:val="0"/>
                <w:sz w:val="18"/>
                <w:szCs w:val="18"/>
                <w:lang w:eastAsia="es-CO"/>
              </w:rPr>
            </w:pPr>
            <w:r w:rsidRPr="00AF306A">
              <w:rPr>
                <w:rFonts w:ascii="Arial Narrow" w:hAnsi="Arial Narrow"/>
                <w:sz w:val="18"/>
                <w:szCs w:val="18"/>
              </w:rPr>
              <w:t>840000071</w:t>
            </w:r>
          </w:p>
        </w:tc>
        <w:tc>
          <w:tcPr>
            <w:tcW w:w="5221" w:type="dxa"/>
            <w:shd w:val="clear" w:color="auto" w:fill="auto"/>
            <w:vAlign w:val="center"/>
          </w:tcPr>
          <w:p w14:paraId="7390A711" w14:textId="358B0860" w:rsidR="000B26E9" w:rsidRPr="00AF306A" w:rsidRDefault="000B26E9" w:rsidP="00AF306A">
            <w:pPr>
              <w:jc w:val="left"/>
              <w:rPr>
                <w:rFonts w:ascii="Arial Narrow" w:hAnsi="Arial Narrow" w:cs="Calibri"/>
                <w:color w:val="000000"/>
                <w:spacing w:val="0"/>
                <w:sz w:val="18"/>
                <w:szCs w:val="18"/>
                <w:lang w:eastAsia="es-CO"/>
              </w:rPr>
            </w:pPr>
            <w:r w:rsidRPr="00AF306A">
              <w:rPr>
                <w:rFonts w:ascii="Arial Narrow" w:hAnsi="Arial Narrow"/>
                <w:sz w:val="18"/>
                <w:szCs w:val="18"/>
              </w:rPr>
              <w:t>E.A.T. DE PRESTACION DE SERVCIOS PUBLICOS DEL MUNICIPIO DE MOSQUERA EL PORVENIR E.S.P.</w:t>
            </w:r>
          </w:p>
        </w:tc>
        <w:tc>
          <w:tcPr>
            <w:tcW w:w="980" w:type="dxa"/>
            <w:shd w:val="clear" w:color="auto" w:fill="auto"/>
            <w:noWrap/>
            <w:vAlign w:val="center"/>
            <w:hideMark/>
          </w:tcPr>
          <w:p w14:paraId="5FAC52E1" w14:textId="3F1579B7" w:rsidR="000B26E9" w:rsidRPr="00AF306A" w:rsidRDefault="000B26E9" w:rsidP="000B26E9">
            <w:pPr>
              <w:jc w:val="right"/>
              <w:rPr>
                <w:rFonts w:ascii="Arial Narrow" w:hAnsi="Arial Narrow" w:cs="Calibri"/>
                <w:color w:val="000000"/>
                <w:spacing w:val="0"/>
                <w:sz w:val="18"/>
                <w:szCs w:val="18"/>
                <w:lang w:eastAsia="es-CO"/>
              </w:rPr>
            </w:pPr>
            <w:r w:rsidRPr="00AF306A">
              <w:rPr>
                <w:rFonts w:ascii="Arial Narrow" w:hAnsi="Arial Narrow"/>
                <w:sz w:val="18"/>
                <w:szCs w:val="18"/>
              </w:rPr>
              <w:t>17</w:t>
            </w:r>
            <w:r>
              <w:rPr>
                <w:rFonts w:ascii="Arial Narrow" w:hAnsi="Arial Narrow"/>
                <w:sz w:val="18"/>
                <w:szCs w:val="18"/>
              </w:rPr>
              <w:t>.</w:t>
            </w:r>
            <w:r w:rsidRPr="00AF306A">
              <w:rPr>
                <w:rFonts w:ascii="Arial Narrow" w:hAnsi="Arial Narrow"/>
                <w:sz w:val="18"/>
                <w:szCs w:val="18"/>
              </w:rPr>
              <w:t>787</w:t>
            </w:r>
            <w:r>
              <w:rPr>
                <w:rFonts w:ascii="Arial Narrow" w:hAnsi="Arial Narrow"/>
                <w:sz w:val="18"/>
                <w:szCs w:val="18"/>
              </w:rPr>
              <w:t>.</w:t>
            </w:r>
            <w:r w:rsidRPr="00AF306A">
              <w:rPr>
                <w:rFonts w:ascii="Arial Narrow" w:hAnsi="Arial Narrow"/>
                <w:sz w:val="18"/>
                <w:szCs w:val="18"/>
              </w:rPr>
              <w:t>000</w:t>
            </w:r>
          </w:p>
        </w:tc>
        <w:tc>
          <w:tcPr>
            <w:tcW w:w="1288" w:type="dxa"/>
            <w:shd w:val="clear" w:color="auto" w:fill="auto"/>
            <w:noWrap/>
            <w:vAlign w:val="center"/>
            <w:hideMark/>
          </w:tcPr>
          <w:p w14:paraId="70F47247" w14:textId="19E86624" w:rsidR="000B26E9" w:rsidRPr="00AF306A" w:rsidRDefault="000B26E9" w:rsidP="000B26E9">
            <w:pPr>
              <w:jc w:val="right"/>
              <w:rPr>
                <w:rFonts w:ascii="Arial Narrow" w:hAnsi="Arial Narrow" w:cs="Calibri"/>
                <w:color w:val="000000"/>
                <w:spacing w:val="0"/>
                <w:sz w:val="18"/>
                <w:szCs w:val="18"/>
                <w:lang w:eastAsia="es-CO"/>
              </w:rPr>
            </w:pPr>
            <w:r w:rsidRPr="00AF306A">
              <w:rPr>
                <w:rFonts w:ascii="Arial Narrow" w:hAnsi="Arial Narrow"/>
                <w:sz w:val="18"/>
                <w:szCs w:val="18"/>
              </w:rPr>
              <w:t>177</w:t>
            </w:r>
            <w:r>
              <w:rPr>
                <w:rFonts w:ascii="Arial Narrow" w:hAnsi="Arial Narrow"/>
                <w:sz w:val="18"/>
                <w:szCs w:val="18"/>
              </w:rPr>
              <w:t>.</w:t>
            </w:r>
            <w:r w:rsidRPr="00AF306A">
              <w:rPr>
                <w:rFonts w:ascii="Arial Narrow" w:hAnsi="Arial Narrow"/>
                <w:sz w:val="18"/>
                <w:szCs w:val="18"/>
              </w:rPr>
              <w:t>870</w:t>
            </w:r>
          </w:p>
        </w:tc>
      </w:tr>
      <w:tr w:rsidR="000B26E9" w:rsidRPr="00AF306A" w14:paraId="00E03C62" w14:textId="77777777" w:rsidTr="00897878">
        <w:trPr>
          <w:trHeight w:val="290"/>
        </w:trPr>
        <w:tc>
          <w:tcPr>
            <w:tcW w:w="319" w:type="dxa"/>
            <w:shd w:val="clear" w:color="auto" w:fill="auto"/>
            <w:noWrap/>
            <w:vAlign w:val="center"/>
            <w:hideMark/>
          </w:tcPr>
          <w:p w14:paraId="2A100D06" w14:textId="77777777" w:rsidR="000B26E9" w:rsidRPr="00AF306A" w:rsidRDefault="000B26E9" w:rsidP="00AF306A">
            <w:pPr>
              <w:jc w:val="center"/>
              <w:rPr>
                <w:rFonts w:ascii="Arial Narrow" w:hAnsi="Arial Narrow" w:cs="Calibri"/>
                <w:color w:val="000000"/>
                <w:spacing w:val="0"/>
                <w:sz w:val="18"/>
                <w:szCs w:val="18"/>
                <w:lang w:eastAsia="es-CO"/>
              </w:rPr>
            </w:pPr>
            <w:r w:rsidRPr="00AF306A">
              <w:rPr>
                <w:rFonts w:ascii="Arial Narrow" w:hAnsi="Arial Narrow" w:cs="Calibri"/>
                <w:color w:val="000000"/>
                <w:spacing w:val="0"/>
                <w:sz w:val="18"/>
                <w:szCs w:val="18"/>
                <w:lang w:eastAsia="es-CO"/>
              </w:rPr>
              <w:t>6</w:t>
            </w:r>
          </w:p>
        </w:tc>
        <w:tc>
          <w:tcPr>
            <w:tcW w:w="834" w:type="dxa"/>
            <w:shd w:val="clear" w:color="auto" w:fill="auto"/>
            <w:noWrap/>
            <w:vAlign w:val="center"/>
          </w:tcPr>
          <w:p w14:paraId="44D072E0" w14:textId="473C77AB" w:rsidR="000B26E9" w:rsidRPr="00AF306A" w:rsidRDefault="000B26E9" w:rsidP="00AF306A">
            <w:pPr>
              <w:jc w:val="right"/>
              <w:rPr>
                <w:rFonts w:ascii="Arial Narrow" w:hAnsi="Arial Narrow" w:cs="Calibri"/>
                <w:color w:val="000000"/>
                <w:spacing w:val="0"/>
                <w:sz w:val="18"/>
                <w:szCs w:val="18"/>
                <w:lang w:eastAsia="es-CO"/>
              </w:rPr>
            </w:pPr>
            <w:r w:rsidRPr="00AF306A">
              <w:rPr>
                <w:rFonts w:ascii="Arial Narrow" w:hAnsi="Arial Narrow"/>
                <w:sz w:val="18"/>
                <w:szCs w:val="18"/>
              </w:rPr>
              <w:t>901217206</w:t>
            </w:r>
          </w:p>
        </w:tc>
        <w:tc>
          <w:tcPr>
            <w:tcW w:w="5221" w:type="dxa"/>
            <w:shd w:val="clear" w:color="auto" w:fill="auto"/>
            <w:vAlign w:val="center"/>
          </w:tcPr>
          <w:p w14:paraId="0BD3D119" w14:textId="5117DEA1" w:rsidR="000B26E9" w:rsidRPr="00AF306A" w:rsidRDefault="000B26E9" w:rsidP="00AF306A">
            <w:pPr>
              <w:jc w:val="left"/>
              <w:rPr>
                <w:rFonts w:ascii="Arial Narrow" w:hAnsi="Arial Narrow" w:cs="Calibri"/>
                <w:color w:val="000000"/>
                <w:spacing w:val="0"/>
                <w:sz w:val="18"/>
                <w:szCs w:val="18"/>
                <w:lang w:eastAsia="es-CO"/>
              </w:rPr>
            </w:pPr>
            <w:r w:rsidRPr="00AF306A">
              <w:rPr>
                <w:rFonts w:ascii="Arial Narrow" w:hAnsi="Arial Narrow"/>
                <w:sz w:val="18"/>
                <w:szCs w:val="18"/>
              </w:rPr>
              <w:t>ATINKANA S.A.S. E.S.P.</w:t>
            </w:r>
          </w:p>
        </w:tc>
        <w:tc>
          <w:tcPr>
            <w:tcW w:w="980" w:type="dxa"/>
            <w:shd w:val="clear" w:color="auto" w:fill="auto"/>
            <w:noWrap/>
            <w:vAlign w:val="center"/>
            <w:hideMark/>
          </w:tcPr>
          <w:p w14:paraId="7978D011" w14:textId="25F229F1" w:rsidR="000B26E9" w:rsidRPr="00AF306A" w:rsidRDefault="000B26E9" w:rsidP="000B26E9">
            <w:pPr>
              <w:jc w:val="right"/>
              <w:rPr>
                <w:rFonts w:ascii="Arial Narrow" w:hAnsi="Arial Narrow" w:cs="Calibri"/>
                <w:color w:val="000000"/>
                <w:spacing w:val="0"/>
                <w:sz w:val="18"/>
                <w:szCs w:val="18"/>
                <w:lang w:eastAsia="es-CO"/>
              </w:rPr>
            </w:pPr>
            <w:r w:rsidRPr="00AF306A">
              <w:rPr>
                <w:rFonts w:ascii="Arial Narrow" w:hAnsi="Arial Narrow"/>
                <w:sz w:val="18"/>
                <w:szCs w:val="18"/>
              </w:rPr>
              <w:t>17</w:t>
            </w:r>
            <w:r>
              <w:rPr>
                <w:rFonts w:ascii="Arial Narrow" w:hAnsi="Arial Narrow"/>
                <w:sz w:val="18"/>
                <w:szCs w:val="18"/>
              </w:rPr>
              <w:t>.</w:t>
            </w:r>
            <w:r w:rsidRPr="00AF306A">
              <w:rPr>
                <w:rFonts w:ascii="Arial Narrow" w:hAnsi="Arial Narrow"/>
                <w:sz w:val="18"/>
                <w:szCs w:val="18"/>
              </w:rPr>
              <w:t>742</w:t>
            </w:r>
            <w:r>
              <w:rPr>
                <w:rFonts w:ascii="Arial Narrow" w:hAnsi="Arial Narrow"/>
                <w:sz w:val="18"/>
                <w:szCs w:val="18"/>
              </w:rPr>
              <w:t>.</w:t>
            </w:r>
            <w:r w:rsidRPr="00AF306A">
              <w:rPr>
                <w:rFonts w:ascii="Arial Narrow" w:hAnsi="Arial Narrow"/>
                <w:sz w:val="18"/>
                <w:szCs w:val="18"/>
              </w:rPr>
              <w:t>945</w:t>
            </w:r>
          </w:p>
        </w:tc>
        <w:tc>
          <w:tcPr>
            <w:tcW w:w="1288" w:type="dxa"/>
            <w:shd w:val="clear" w:color="auto" w:fill="auto"/>
            <w:noWrap/>
            <w:vAlign w:val="center"/>
            <w:hideMark/>
          </w:tcPr>
          <w:p w14:paraId="2AD32286" w14:textId="696FE297" w:rsidR="000B26E9" w:rsidRPr="00AF306A" w:rsidRDefault="000B26E9" w:rsidP="000B26E9">
            <w:pPr>
              <w:jc w:val="right"/>
              <w:rPr>
                <w:rFonts w:ascii="Arial Narrow" w:hAnsi="Arial Narrow" w:cs="Calibri"/>
                <w:color w:val="000000"/>
                <w:spacing w:val="0"/>
                <w:sz w:val="18"/>
                <w:szCs w:val="18"/>
                <w:lang w:eastAsia="es-CO"/>
              </w:rPr>
            </w:pPr>
            <w:r w:rsidRPr="00AF306A">
              <w:rPr>
                <w:rFonts w:ascii="Arial Narrow" w:hAnsi="Arial Narrow"/>
                <w:sz w:val="18"/>
                <w:szCs w:val="18"/>
              </w:rPr>
              <w:t>177</w:t>
            </w:r>
            <w:r>
              <w:rPr>
                <w:rFonts w:ascii="Arial Narrow" w:hAnsi="Arial Narrow"/>
                <w:sz w:val="18"/>
                <w:szCs w:val="18"/>
              </w:rPr>
              <w:t>.</w:t>
            </w:r>
            <w:r w:rsidRPr="00AF306A">
              <w:rPr>
                <w:rFonts w:ascii="Arial Narrow" w:hAnsi="Arial Narrow"/>
                <w:sz w:val="18"/>
                <w:szCs w:val="18"/>
              </w:rPr>
              <w:t>429</w:t>
            </w:r>
          </w:p>
        </w:tc>
      </w:tr>
      <w:tr w:rsidR="000B26E9" w:rsidRPr="00AF306A" w14:paraId="04F94904" w14:textId="77777777" w:rsidTr="00897878">
        <w:trPr>
          <w:trHeight w:val="290"/>
        </w:trPr>
        <w:tc>
          <w:tcPr>
            <w:tcW w:w="319" w:type="dxa"/>
            <w:shd w:val="clear" w:color="auto" w:fill="auto"/>
            <w:noWrap/>
            <w:vAlign w:val="center"/>
            <w:hideMark/>
          </w:tcPr>
          <w:p w14:paraId="35793CF1" w14:textId="77777777" w:rsidR="000B26E9" w:rsidRPr="00AF306A" w:rsidRDefault="000B26E9" w:rsidP="00AF306A">
            <w:pPr>
              <w:jc w:val="center"/>
              <w:rPr>
                <w:rFonts w:ascii="Arial Narrow" w:hAnsi="Arial Narrow" w:cs="Calibri"/>
                <w:color w:val="000000"/>
                <w:spacing w:val="0"/>
                <w:sz w:val="18"/>
                <w:szCs w:val="18"/>
                <w:lang w:eastAsia="es-CO"/>
              </w:rPr>
            </w:pPr>
            <w:r w:rsidRPr="00AF306A">
              <w:rPr>
                <w:rFonts w:ascii="Arial Narrow" w:hAnsi="Arial Narrow" w:cs="Calibri"/>
                <w:color w:val="000000"/>
                <w:spacing w:val="0"/>
                <w:sz w:val="18"/>
                <w:szCs w:val="18"/>
                <w:lang w:eastAsia="es-CO"/>
              </w:rPr>
              <w:t>7</w:t>
            </w:r>
          </w:p>
        </w:tc>
        <w:tc>
          <w:tcPr>
            <w:tcW w:w="834" w:type="dxa"/>
            <w:shd w:val="clear" w:color="auto" w:fill="auto"/>
            <w:noWrap/>
            <w:vAlign w:val="center"/>
          </w:tcPr>
          <w:p w14:paraId="0723AC04" w14:textId="75C7A3CC" w:rsidR="000B26E9" w:rsidRPr="00AF306A" w:rsidRDefault="000B26E9" w:rsidP="00AF306A">
            <w:pPr>
              <w:jc w:val="right"/>
              <w:rPr>
                <w:rFonts w:ascii="Arial Narrow" w:hAnsi="Arial Narrow" w:cs="Calibri"/>
                <w:color w:val="000000"/>
                <w:spacing w:val="0"/>
                <w:sz w:val="18"/>
                <w:szCs w:val="18"/>
                <w:lang w:eastAsia="es-CO"/>
              </w:rPr>
            </w:pPr>
            <w:r w:rsidRPr="00AF306A">
              <w:rPr>
                <w:rFonts w:ascii="Arial Narrow" w:hAnsi="Arial Narrow"/>
                <w:sz w:val="18"/>
                <w:szCs w:val="18"/>
              </w:rPr>
              <w:t>832000219</w:t>
            </w:r>
          </w:p>
        </w:tc>
        <w:tc>
          <w:tcPr>
            <w:tcW w:w="5221" w:type="dxa"/>
            <w:shd w:val="clear" w:color="auto" w:fill="auto"/>
            <w:vAlign w:val="center"/>
          </w:tcPr>
          <w:p w14:paraId="7E8AD8CF" w14:textId="1BC49E15" w:rsidR="000B26E9" w:rsidRPr="00AF306A" w:rsidRDefault="000B26E9" w:rsidP="00AF306A">
            <w:pPr>
              <w:jc w:val="left"/>
              <w:rPr>
                <w:rFonts w:ascii="Arial Narrow" w:hAnsi="Arial Narrow" w:cs="Calibri"/>
                <w:color w:val="000000"/>
                <w:spacing w:val="0"/>
                <w:sz w:val="18"/>
                <w:szCs w:val="18"/>
                <w:lang w:eastAsia="es-CO"/>
              </w:rPr>
            </w:pPr>
            <w:r w:rsidRPr="00AF306A">
              <w:rPr>
                <w:rFonts w:ascii="Arial Narrow" w:hAnsi="Arial Narrow"/>
                <w:sz w:val="18"/>
                <w:szCs w:val="18"/>
              </w:rPr>
              <w:t>MUNICIPIO DE TARAIRA</w:t>
            </w:r>
          </w:p>
        </w:tc>
        <w:tc>
          <w:tcPr>
            <w:tcW w:w="980" w:type="dxa"/>
            <w:shd w:val="clear" w:color="auto" w:fill="auto"/>
            <w:noWrap/>
            <w:vAlign w:val="center"/>
            <w:hideMark/>
          </w:tcPr>
          <w:p w14:paraId="0905B6B7" w14:textId="48DB2897" w:rsidR="000B26E9" w:rsidRPr="00AF306A" w:rsidRDefault="000B26E9" w:rsidP="000B26E9">
            <w:pPr>
              <w:jc w:val="right"/>
              <w:rPr>
                <w:rFonts w:ascii="Arial Narrow" w:hAnsi="Arial Narrow" w:cs="Calibri"/>
                <w:color w:val="000000"/>
                <w:spacing w:val="0"/>
                <w:sz w:val="18"/>
                <w:szCs w:val="18"/>
                <w:lang w:eastAsia="es-CO"/>
              </w:rPr>
            </w:pPr>
            <w:r w:rsidRPr="00AF306A">
              <w:rPr>
                <w:rFonts w:ascii="Arial Narrow" w:hAnsi="Arial Narrow"/>
                <w:sz w:val="18"/>
                <w:szCs w:val="18"/>
              </w:rPr>
              <w:t>10</w:t>
            </w:r>
            <w:r>
              <w:rPr>
                <w:rFonts w:ascii="Arial Narrow" w:hAnsi="Arial Narrow"/>
                <w:sz w:val="18"/>
                <w:szCs w:val="18"/>
              </w:rPr>
              <w:t>.</w:t>
            </w:r>
            <w:r w:rsidRPr="00AF306A">
              <w:rPr>
                <w:rFonts w:ascii="Arial Narrow" w:hAnsi="Arial Narrow"/>
                <w:sz w:val="18"/>
                <w:szCs w:val="18"/>
              </w:rPr>
              <w:t>339</w:t>
            </w:r>
            <w:r>
              <w:rPr>
                <w:rFonts w:ascii="Arial Narrow" w:hAnsi="Arial Narrow"/>
                <w:sz w:val="18"/>
                <w:szCs w:val="18"/>
              </w:rPr>
              <w:t>.</w:t>
            </w:r>
            <w:r w:rsidRPr="00AF306A">
              <w:rPr>
                <w:rFonts w:ascii="Arial Narrow" w:hAnsi="Arial Narrow"/>
                <w:sz w:val="18"/>
                <w:szCs w:val="18"/>
              </w:rPr>
              <w:t>878</w:t>
            </w:r>
          </w:p>
        </w:tc>
        <w:tc>
          <w:tcPr>
            <w:tcW w:w="1288" w:type="dxa"/>
            <w:shd w:val="clear" w:color="auto" w:fill="auto"/>
            <w:noWrap/>
            <w:vAlign w:val="center"/>
            <w:hideMark/>
          </w:tcPr>
          <w:p w14:paraId="3B3F42FA" w14:textId="11BEAF7D" w:rsidR="000B26E9" w:rsidRPr="00AF306A" w:rsidRDefault="000B26E9" w:rsidP="000B26E9">
            <w:pPr>
              <w:jc w:val="right"/>
              <w:rPr>
                <w:rFonts w:ascii="Arial Narrow" w:hAnsi="Arial Narrow" w:cs="Calibri"/>
                <w:color w:val="000000"/>
                <w:spacing w:val="0"/>
                <w:sz w:val="18"/>
                <w:szCs w:val="18"/>
                <w:lang w:eastAsia="es-CO"/>
              </w:rPr>
            </w:pPr>
            <w:r w:rsidRPr="00AF306A">
              <w:rPr>
                <w:rFonts w:ascii="Arial Narrow" w:hAnsi="Arial Narrow"/>
                <w:sz w:val="18"/>
                <w:szCs w:val="18"/>
              </w:rPr>
              <w:t>103</w:t>
            </w:r>
            <w:r>
              <w:rPr>
                <w:rFonts w:ascii="Arial Narrow" w:hAnsi="Arial Narrow"/>
                <w:sz w:val="18"/>
                <w:szCs w:val="18"/>
              </w:rPr>
              <w:t>.</w:t>
            </w:r>
            <w:r w:rsidRPr="00AF306A">
              <w:rPr>
                <w:rFonts w:ascii="Arial Narrow" w:hAnsi="Arial Narrow"/>
                <w:sz w:val="18"/>
                <w:szCs w:val="18"/>
              </w:rPr>
              <w:t>399</w:t>
            </w:r>
          </w:p>
        </w:tc>
      </w:tr>
      <w:tr w:rsidR="000B26E9" w:rsidRPr="00AF306A" w14:paraId="2294980A" w14:textId="77777777" w:rsidTr="00897878">
        <w:trPr>
          <w:trHeight w:val="290"/>
        </w:trPr>
        <w:tc>
          <w:tcPr>
            <w:tcW w:w="319" w:type="dxa"/>
            <w:shd w:val="clear" w:color="auto" w:fill="auto"/>
            <w:noWrap/>
            <w:vAlign w:val="center"/>
            <w:hideMark/>
          </w:tcPr>
          <w:p w14:paraId="6A72C9E9" w14:textId="77777777" w:rsidR="000B26E9" w:rsidRPr="00AF306A" w:rsidRDefault="000B26E9" w:rsidP="00AF306A">
            <w:pPr>
              <w:jc w:val="center"/>
              <w:rPr>
                <w:rFonts w:ascii="Arial Narrow" w:hAnsi="Arial Narrow" w:cs="Calibri"/>
                <w:color w:val="000000"/>
                <w:spacing w:val="0"/>
                <w:sz w:val="18"/>
                <w:szCs w:val="18"/>
                <w:lang w:eastAsia="es-CO"/>
              </w:rPr>
            </w:pPr>
            <w:r w:rsidRPr="00AF306A">
              <w:rPr>
                <w:rFonts w:ascii="Arial Narrow" w:hAnsi="Arial Narrow" w:cs="Calibri"/>
                <w:color w:val="000000"/>
                <w:spacing w:val="0"/>
                <w:sz w:val="18"/>
                <w:szCs w:val="18"/>
                <w:lang w:eastAsia="es-CO"/>
              </w:rPr>
              <w:t>8</w:t>
            </w:r>
          </w:p>
        </w:tc>
        <w:tc>
          <w:tcPr>
            <w:tcW w:w="834" w:type="dxa"/>
            <w:shd w:val="clear" w:color="auto" w:fill="auto"/>
            <w:noWrap/>
            <w:vAlign w:val="center"/>
          </w:tcPr>
          <w:p w14:paraId="50B8D6F8" w14:textId="06E3D0A9" w:rsidR="000B26E9" w:rsidRPr="00AF306A" w:rsidRDefault="000B26E9" w:rsidP="00AF306A">
            <w:pPr>
              <w:jc w:val="right"/>
              <w:rPr>
                <w:rFonts w:ascii="Arial Narrow" w:hAnsi="Arial Narrow" w:cs="Calibri"/>
                <w:color w:val="000000"/>
                <w:spacing w:val="0"/>
                <w:sz w:val="18"/>
                <w:szCs w:val="18"/>
                <w:lang w:eastAsia="es-CO"/>
              </w:rPr>
            </w:pPr>
            <w:r w:rsidRPr="00AF306A">
              <w:rPr>
                <w:rFonts w:ascii="Arial Narrow" w:hAnsi="Arial Narrow"/>
                <w:sz w:val="18"/>
                <w:szCs w:val="18"/>
              </w:rPr>
              <w:t>900880581</w:t>
            </w:r>
          </w:p>
        </w:tc>
        <w:tc>
          <w:tcPr>
            <w:tcW w:w="5221" w:type="dxa"/>
            <w:shd w:val="clear" w:color="auto" w:fill="auto"/>
            <w:vAlign w:val="center"/>
          </w:tcPr>
          <w:p w14:paraId="5E1BD470" w14:textId="60F14C11" w:rsidR="000B26E9" w:rsidRPr="00AF306A" w:rsidRDefault="000B26E9" w:rsidP="00AF306A">
            <w:pPr>
              <w:jc w:val="left"/>
              <w:rPr>
                <w:rFonts w:ascii="Arial Narrow" w:hAnsi="Arial Narrow" w:cs="Calibri"/>
                <w:color w:val="000000"/>
                <w:spacing w:val="0"/>
                <w:sz w:val="18"/>
                <w:szCs w:val="18"/>
                <w:lang w:eastAsia="es-CO"/>
              </w:rPr>
            </w:pPr>
            <w:r w:rsidRPr="00AF306A">
              <w:rPr>
                <w:rFonts w:ascii="Arial Narrow" w:hAnsi="Arial Narrow"/>
                <w:sz w:val="18"/>
                <w:szCs w:val="18"/>
              </w:rPr>
              <w:t>EMPRESA ASOCIATIVA DE TRABAJO PARA LA PRESTACION DE SERVICIOS PUBLICOS DE ENERGIA ACUEDUCTO ALCANTARILLADO Y ASEO DEL MUNICIPIO DE SANTA BARBARA ISCUA</w:t>
            </w:r>
          </w:p>
        </w:tc>
        <w:tc>
          <w:tcPr>
            <w:tcW w:w="980" w:type="dxa"/>
            <w:shd w:val="clear" w:color="auto" w:fill="auto"/>
            <w:noWrap/>
            <w:vAlign w:val="center"/>
            <w:hideMark/>
          </w:tcPr>
          <w:p w14:paraId="7A0E6F84" w14:textId="78B1638A" w:rsidR="000B26E9" w:rsidRPr="00AF306A" w:rsidRDefault="000B26E9" w:rsidP="000B26E9">
            <w:pPr>
              <w:jc w:val="right"/>
              <w:rPr>
                <w:rFonts w:ascii="Arial Narrow" w:hAnsi="Arial Narrow" w:cs="Calibri"/>
                <w:color w:val="000000"/>
                <w:spacing w:val="0"/>
                <w:sz w:val="18"/>
                <w:szCs w:val="18"/>
                <w:lang w:eastAsia="es-CO"/>
              </w:rPr>
            </w:pPr>
            <w:r w:rsidRPr="00AF306A">
              <w:rPr>
                <w:rFonts w:ascii="Arial Narrow" w:hAnsi="Arial Narrow"/>
                <w:sz w:val="18"/>
                <w:szCs w:val="18"/>
              </w:rPr>
              <w:t>6</w:t>
            </w:r>
            <w:r>
              <w:rPr>
                <w:rFonts w:ascii="Arial Narrow" w:hAnsi="Arial Narrow"/>
                <w:sz w:val="18"/>
                <w:szCs w:val="18"/>
              </w:rPr>
              <w:t>.</w:t>
            </w:r>
            <w:r w:rsidRPr="00AF306A">
              <w:rPr>
                <w:rFonts w:ascii="Arial Narrow" w:hAnsi="Arial Narrow"/>
                <w:sz w:val="18"/>
                <w:szCs w:val="18"/>
              </w:rPr>
              <w:t>350</w:t>
            </w:r>
            <w:r>
              <w:rPr>
                <w:rFonts w:ascii="Arial Narrow" w:hAnsi="Arial Narrow"/>
                <w:sz w:val="18"/>
                <w:szCs w:val="18"/>
              </w:rPr>
              <w:t>.</w:t>
            </w:r>
            <w:r w:rsidRPr="00AF306A">
              <w:rPr>
                <w:rFonts w:ascii="Arial Narrow" w:hAnsi="Arial Narrow"/>
                <w:sz w:val="18"/>
                <w:szCs w:val="18"/>
              </w:rPr>
              <w:t>884</w:t>
            </w:r>
          </w:p>
        </w:tc>
        <w:tc>
          <w:tcPr>
            <w:tcW w:w="1288" w:type="dxa"/>
            <w:shd w:val="clear" w:color="auto" w:fill="auto"/>
            <w:noWrap/>
            <w:vAlign w:val="center"/>
            <w:hideMark/>
          </w:tcPr>
          <w:p w14:paraId="16D91F5B" w14:textId="09546AED" w:rsidR="000B26E9" w:rsidRPr="00AF306A" w:rsidRDefault="000B26E9" w:rsidP="000B26E9">
            <w:pPr>
              <w:jc w:val="right"/>
              <w:rPr>
                <w:rFonts w:ascii="Arial Narrow" w:hAnsi="Arial Narrow" w:cs="Calibri"/>
                <w:color w:val="000000"/>
                <w:spacing w:val="0"/>
                <w:sz w:val="18"/>
                <w:szCs w:val="18"/>
                <w:lang w:eastAsia="es-CO"/>
              </w:rPr>
            </w:pPr>
            <w:r w:rsidRPr="00AF306A">
              <w:rPr>
                <w:rFonts w:ascii="Arial Narrow" w:hAnsi="Arial Narrow"/>
                <w:sz w:val="18"/>
                <w:szCs w:val="18"/>
              </w:rPr>
              <w:t>63</w:t>
            </w:r>
            <w:r>
              <w:rPr>
                <w:rFonts w:ascii="Arial Narrow" w:hAnsi="Arial Narrow"/>
                <w:sz w:val="18"/>
                <w:szCs w:val="18"/>
              </w:rPr>
              <w:t>.</w:t>
            </w:r>
            <w:r w:rsidRPr="00AF306A">
              <w:rPr>
                <w:rFonts w:ascii="Arial Narrow" w:hAnsi="Arial Narrow"/>
                <w:sz w:val="18"/>
                <w:szCs w:val="18"/>
              </w:rPr>
              <w:t>509</w:t>
            </w:r>
          </w:p>
        </w:tc>
      </w:tr>
      <w:tr w:rsidR="000B26E9" w:rsidRPr="00AF306A" w14:paraId="63CE49FF" w14:textId="77777777" w:rsidTr="00897878">
        <w:trPr>
          <w:trHeight w:val="115"/>
        </w:trPr>
        <w:tc>
          <w:tcPr>
            <w:tcW w:w="319" w:type="dxa"/>
            <w:shd w:val="clear" w:color="auto" w:fill="auto"/>
            <w:noWrap/>
            <w:vAlign w:val="center"/>
            <w:hideMark/>
          </w:tcPr>
          <w:p w14:paraId="39997107" w14:textId="77777777" w:rsidR="000B26E9" w:rsidRPr="00AF306A" w:rsidRDefault="000B26E9" w:rsidP="00AF306A">
            <w:pPr>
              <w:jc w:val="center"/>
              <w:rPr>
                <w:rFonts w:ascii="Arial Narrow" w:hAnsi="Arial Narrow" w:cs="Calibri"/>
                <w:color w:val="000000"/>
                <w:spacing w:val="0"/>
                <w:sz w:val="18"/>
                <w:szCs w:val="18"/>
                <w:lang w:eastAsia="es-CO"/>
              </w:rPr>
            </w:pPr>
            <w:r w:rsidRPr="00AF306A">
              <w:rPr>
                <w:rFonts w:ascii="Arial Narrow" w:hAnsi="Arial Narrow" w:cs="Calibri"/>
                <w:color w:val="000000"/>
                <w:spacing w:val="0"/>
                <w:sz w:val="18"/>
                <w:szCs w:val="18"/>
                <w:lang w:eastAsia="es-CO"/>
              </w:rPr>
              <w:t>9</w:t>
            </w:r>
          </w:p>
        </w:tc>
        <w:tc>
          <w:tcPr>
            <w:tcW w:w="834" w:type="dxa"/>
            <w:shd w:val="clear" w:color="auto" w:fill="auto"/>
            <w:noWrap/>
            <w:vAlign w:val="center"/>
          </w:tcPr>
          <w:p w14:paraId="4E91F8A0" w14:textId="6CC88722" w:rsidR="000B26E9" w:rsidRPr="00AF306A" w:rsidRDefault="000B26E9" w:rsidP="00AF306A">
            <w:pPr>
              <w:jc w:val="right"/>
              <w:rPr>
                <w:rFonts w:ascii="Arial Narrow" w:hAnsi="Arial Narrow" w:cs="Calibri"/>
                <w:color w:val="000000"/>
                <w:spacing w:val="0"/>
                <w:sz w:val="18"/>
                <w:szCs w:val="18"/>
                <w:lang w:eastAsia="es-CO"/>
              </w:rPr>
            </w:pPr>
            <w:r w:rsidRPr="00AF306A">
              <w:rPr>
                <w:rFonts w:ascii="Arial Narrow" w:hAnsi="Arial Narrow"/>
                <w:sz w:val="18"/>
                <w:szCs w:val="18"/>
              </w:rPr>
              <w:t>901278277</w:t>
            </w:r>
          </w:p>
        </w:tc>
        <w:tc>
          <w:tcPr>
            <w:tcW w:w="5221" w:type="dxa"/>
            <w:shd w:val="clear" w:color="auto" w:fill="auto"/>
            <w:vAlign w:val="center"/>
          </w:tcPr>
          <w:p w14:paraId="50FBFF38" w14:textId="24000A1C" w:rsidR="000B26E9" w:rsidRPr="00AF306A" w:rsidRDefault="000B26E9" w:rsidP="00AF306A">
            <w:pPr>
              <w:jc w:val="left"/>
              <w:rPr>
                <w:rFonts w:ascii="Arial Narrow" w:hAnsi="Arial Narrow" w:cs="Calibri"/>
                <w:color w:val="000000"/>
                <w:spacing w:val="0"/>
                <w:sz w:val="18"/>
                <w:szCs w:val="18"/>
                <w:lang w:eastAsia="es-CO"/>
              </w:rPr>
            </w:pPr>
            <w:r w:rsidRPr="00AF306A">
              <w:rPr>
                <w:rFonts w:ascii="Arial Narrow" w:hAnsi="Arial Narrow"/>
                <w:sz w:val="18"/>
                <w:szCs w:val="18"/>
              </w:rPr>
              <w:t>SVC E.S.P. S.A.S. ZOMAC</w:t>
            </w:r>
          </w:p>
        </w:tc>
        <w:tc>
          <w:tcPr>
            <w:tcW w:w="980" w:type="dxa"/>
            <w:shd w:val="clear" w:color="auto" w:fill="auto"/>
            <w:noWrap/>
            <w:vAlign w:val="center"/>
            <w:hideMark/>
          </w:tcPr>
          <w:p w14:paraId="7DCF7AB4" w14:textId="58316006" w:rsidR="000B26E9" w:rsidRPr="00AF306A" w:rsidRDefault="000B26E9" w:rsidP="000B26E9">
            <w:pPr>
              <w:jc w:val="right"/>
              <w:rPr>
                <w:rFonts w:ascii="Arial Narrow" w:hAnsi="Arial Narrow" w:cs="Calibri"/>
                <w:color w:val="000000"/>
                <w:spacing w:val="0"/>
                <w:sz w:val="18"/>
                <w:szCs w:val="18"/>
                <w:lang w:eastAsia="es-CO"/>
              </w:rPr>
            </w:pPr>
            <w:r w:rsidRPr="00AF306A">
              <w:rPr>
                <w:rFonts w:ascii="Arial Narrow" w:hAnsi="Arial Narrow"/>
                <w:sz w:val="18"/>
                <w:szCs w:val="18"/>
              </w:rPr>
              <w:t>4</w:t>
            </w:r>
            <w:r>
              <w:rPr>
                <w:rFonts w:ascii="Arial Narrow" w:hAnsi="Arial Narrow"/>
                <w:sz w:val="18"/>
                <w:szCs w:val="18"/>
              </w:rPr>
              <w:t>.</w:t>
            </w:r>
            <w:r w:rsidRPr="00AF306A">
              <w:rPr>
                <w:rFonts w:ascii="Arial Narrow" w:hAnsi="Arial Narrow"/>
                <w:sz w:val="18"/>
                <w:szCs w:val="18"/>
              </w:rPr>
              <w:t>775</w:t>
            </w:r>
            <w:r>
              <w:rPr>
                <w:rFonts w:ascii="Arial Narrow" w:hAnsi="Arial Narrow"/>
                <w:sz w:val="18"/>
                <w:szCs w:val="18"/>
              </w:rPr>
              <w:t>.</w:t>
            </w:r>
            <w:r w:rsidRPr="00AF306A">
              <w:rPr>
                <w:rFonts w:ascii="Arial Narrow" w:hAnsi="Arial Narrow"/>
                <w:sz w:val="18"/>
                <w:szCs w:val="18"/>
              </w:rPr>
              <w:t>962</w:t>
            </w:r>
          </w:p>
        </w:tc>
        <w:tc>
          <w:tcPr>
            <w:tcW w:w="1288" w:type="dxa"/>
            <w:shd w:val="clear" w:color="auto" w:fill="auto"/>
            <w:noWrap/>
            <w:vAlign w:val="center"/>
            <w:hideMark/>
          </w:tcPr>
          <w:p w14:paraId="1BA353B0" w14:textId="4D4D44AF" w:rsidR="000B26E9" w:rsidRPr="00AF306A" w:rsidRDefault="000B26E9" w:rsidP="000B26E9">
            <w:pPr>
              <w:jc w:val="right"/>
              <w:rPr>
                <w:rFonts w:ascii="Arial Narrow" w:hAnsi="Arial Narrow" w:cs="Calibri"/>
                <w:color w:val="000000"/>
                <w:spacing w:val="0"/>
                <w:sz w:val="18"/>
                <w:szCs w:val="18"/>
                <w:lang w:eastAsia="es-CO"/>
              </w:rPr>
            </w:pPr>
            <w:r w:rsidRPr="00AF306A">
              <w:rPr>
                <w:rFonts w:ascii="Arial Narrow" w:hAnsi="Arial Narrow"/>
                <w:sz w:val="18"/>
                <w:szCs w:val="18"/>
              </w:rPr>
              <w:t>47</w:t>
            </w:r>
            <w:r>
              <w:rPr>
                <w:rFonts w:ascii="Arial Narrow" w:hAnsi="Arial Narrow"/>
                <w:sz w:val="18"/>
                <w:szCs w:val="18"/>
              </w:rPr>
              <w:t>.</w:t>
            </w:r>
            <w:r w:rsidRPr="00AF306A">
              <w:rPr>
                <w:rFonts w:ascii="Arial Narrow" w:hAnsi="Arial Narrow"/>
                <w:sz w:val="18"/>
                <w:szCs w:val="18"/>
              </w:rPr>
              <w:t>760</w:t>
            </w:r>
          </w:p>
        </w:tc>
      </w:tr>
      <w:tr w:rsidR="000B26E9" w:rsidRPr="00AF306A" w14:paraId="603F0579" w14:textId="77777777" w:rsidTr="00897878">
        <w:trPr>
          <w:trHeight w:val="290"/>
        </w:trPr>
        <w:tc>
          <w:tcPr>
            <w:tcW w:w="319" w:type="dxa"/>
            <w:shd w:val="clear" w:color="auto" w:fill="auto"/>
            <w:noWrap/>
            <w:vAlign w:val="center"/>
            <w:hideMark/>
          </w:tcPr>
          <w:p w14:paraId="7BF9AB47" w14:textId="77777777" w:rsidR="000B26E9" w:rsidRPr="00AF306A" w:rsidRDefault="000B26E9" w:rsidP="00AF306A">
            <w:pPr>
              <w:jc w:val="center"/>
              <w:rPr>
                <w:rFonts w:ascii="Arial Narrow" w:hAnsi="Arial Narrow" w:cs="Calibri"/>
                <w:color w:val="000000"/>
                <w:spacing w:val="0"/>
                <w:sz w:val="18"/>
                <w:szCs w:val="18"/>
                <w:lang w:eastAsia="es-CO"/>
              </w:rPr>
            </w:pPr>
            <w:r w:rsidRPr="00AF306A">
              <w:rPr>
                <w:rFonts w:ascii="Arial Narrow" w:hAnsi="Arial Narrow" w:cs="Calibri"/>
                <w:color w:val="000000"/>
                <w:spacing w:val="0"/>
                <w:sz w:val="18"/>
                <w:szCs w:val="18"/>
                <w:lang w:eastAsia="es-CO"/>
              </w:rPr>
              <w:t>10</w:t>
            </w:r>
          </w:p>
        </w:tc>
        <w:tc>
          <w:tcPr>
            <w:tcW w:w="834" w:type="dxa"/>
            <w:shd w:val="clear" w:color="auto" w:fill="auto"/>
            <w:noWrap/>
            <w:vAlign w:val="center"/>
          </w:tcPr>
          <w:p w14:paraId="342CB55C" w14:textId="63F515D7" w:rsidR="000B26E9" w:rsidRPr="00AF306A" w:rsidRDefault="000B26E9" w:rsidP="00AF306A">
            <w:pPr>
              <w:jc w:val="right"/>
              <w:rPr>
                <w:rFonts w:ascii="Arial Narrow" w:hAnsi="Arial Narrow" w:cs="Calibri"/>
                <w:color w:val="000000"/>
                <w:spacing w:val="0"/>
                <w:sz w:val="18"/>
                <w:szCs w:val="18"/>
                <w:lang w:eastAsia="es-CO"/>
              </w:rPr>
            </w:pPr>
            <w:r w:rsidRPr="00AF306A">
              <w:rPr>
                <w:rFonts w:ascii="Arial Narrow" w:hAnsi="Arial Narrow"/>
                <w:sz w:val="18"/>
                <w:szCs w:val="18"/>
              </w:rPr>
              <w:t>901122935</w:t>
            </w:r>
          </w:p>
        </w:tc>
        <w:tc>
          <w:tcPr>
            <w:tcW w:w="5221" w:type="dxa"/>
            <w:shd w:val="clear" w:color="auto" w:fill="auto"/>
            <w:vAlign w:val="center"/>
          </w:tcPr>
          <w:p w14:paraId="323659EC" w14:textId="30909729" w:rsidR="000B26E9" w:rsidRPr="00AF306A" w:rsidRDefault="000B26E9" w:rsidP="00AF306A">
            <w:pPr>
              <w:jc w:val="left"/>
              <w:rPr>
                <w:rFonts w:ascii="Arial Narrow" w:hAnsi="Arial Narrow" w:cs="Calibri"/>
                <w:color w:val="000000"/>
                <w:spacing w:val="0"/>
                <w:sz w:val="18"/>
                <w:szCs w:val="18"/>
                <w:lang w:eastAsia="es-CO"/>
              </w:rPr>
            </w:pPr>
            <w:r w:rsidRPr="00AF306A">
              <w:rPr>
                <w:rFonts w:ascii="Arial Narrow" w:hAnsi="Arial Narrow"/>
                <w:sz w:val="18"/>
                <w:szCs w:val="18"/>
              </w:rPr>
              <w:t>LOGIGAS COLOMBIA SA ESP</w:t>
            </w:r>
          </w:p>
        </w:tc>
        <w:tc>
          <w:tcPr>
            <w:tcW w:w="980" w:type="dxa"/>
            <w:shd w:val="clear" w:color="auto" w:fill="auto"/>
            <w:noWrap/>
            <w:vAlign w:val="center"/>
            <w:hideMark/>
          </w:tcPr>
          <w:p w14:paraId="1596A792" w14:textId="682AF592" w:rsidR="000B26E9" w:rsidRPr="00AF306A" w:rsidRDefault="000B26E9" w:rsidP="000B26E9">
            <w:pPr>
              <w:jc w:val="right"/>
              <w:rPr>
                <w:rFonts w:ascii="Arial Narrow" w:hAnsi="Arial Narrow" w:cs="Calibri"/>
                <w:color w:val="000000"/>
                <w:spacing w:val="0"/>
                <w:sz w:val="18"/>
                <w:szCs w:val="18"/>
                <w:lang w:eastAsia="es-CO"/>
              </w:rPr>
            </w:pPr>
            <w:r w:rsidRPr="00AF306A">
              <w:rPr>
                <w:rFonts w:ascii="Arial Narrow" w:hAnsi="Arial Narrow"/>
                <w:sz w:val="18"/>
                <w:szCs w:val="18"/>
              </w:rPr>
              <w:t>3</w:t>
            </w:r>
            <w:r>
              <w:rPr>
                <w:rFonts w:ascii="Arial Narrow" w:hAnsi="Arial Narrow"/>
                <w:sz w:val="18"/>
                <w:szCs w:val="18"/>
              </w:rPr>
              <w:t>.</w:t>
            </w:r>
            <w:r w:rsidRPr="00AF306A">
              <w:rPr>
                <w:rFonts w:ascii="Arial Narrow" w:hAnsi="Arial Narrow"/>
                <w:sz w:val="18"/>
                <w:szCs w:val="18"/>
              </w:rPr>
              <w:t>682</w:t>
            </w:r>
            <w:r>
              <w:rPr>
                <w:rFonts w:ascii="Arial Narrow" w:hAnsi="Arial Narrow"/>
                <w:sz w:val="18"/>
                <w:szCs w:val="18"/>
              </w:rPr>
              <w:t>.</w:t>
            </w:r>
            <w:r w:rsidRPr="00AF306A">
              <w:rPr>
                <w:rFonts w:ascii="Arial Narrow" w:hAnsi="Arial Narrow"/>
                <w:sz w:val="18"/>
                <w:szCs w:val="18"/>
              </w:rPr>
              <w:t>923</w:t>
            </w:r>
          </w:p>
        </w:tc>
        <w:tc>
          <w:tcPr>
            <w:tcW w:w="1288" w:type="dxa"/>
            <w:shd w:val="clear" w:color="auto" w:fill="auto"/>
            <w:noWrap/>
            <w:vAlign w:val="center"/>
            <w:hideMark/>
          </w:tcPr>
          <w:p w14:paraId="4FA74CED" w14:textId="6F55FB1B" w:rsidR="000B26E9" w:rsidRPr="00AF306A" w:rsidRDefault="000B26E9" w:rsidP="000B26E9">
            <w:pPr>
              <w:jc w:val="right"/>
              <w:rPr>
                <w:rFonts w:ascii="Arial Narrow" w:hAnsi="Arial Narrow" w:cs="Calibri"/>
                <w:color w:val="000000"/>
                <w:spacing w:val="0"/>
                <w:sz w:val="18"/>
                <w:szCs w:val="18"/>
                <w:lang w:eastAsia="es-CO"/>
              </w:rPr>
            </w:pPr>
            <w:r w:rsidRPr="00AF306A">
              <w:rPr>
                <w:rFonts w:ascii="Arial Narrow" w:hAnsi="Arial Narrow"/>
                <w:sz w:val="18"/>
                <w:szCs w:val="18"/>
              </w:rPr>
              <w:t>36</w:t>
            </w:r>
            <w:r>
              <w:rPr>
                <w:rFonts w:ascii="Arial Narrow" w:hAnsi="Arial Narrow"/>
                <w:sz w:val="18"/>
                <w:szCs w:val="18"/>
              </w:rPr>
              <w:t>.</w:t>
            </w:r>
            <w:r w:rsidRPr="00AF306A">
              <w:rPr>
                <w:rFonts w:ascii="Arial Narrow" w:hAnsi="Arial Narrow"/>
                <w:sz w:val="18"/>
                <w:szCs w:val="18"/>
              </w:rPr>
              <w:t>829</w:t>
            </w:r>
          </w:p>
        </w:tc>
      </w:tr>
      <w:tr w:rsidR="000B26E9" w:rsidRPr="00AF306A" w14:paraId="444A9B9F" w14:textId="77777777" w:rsidTr="00897878">
        <w:trPr>
          <w:trHeight w:val="290"/>
        </w:trPr>
        <w:tc>
          <w:tcPr>
            <w:tcW w:w="319" w:type="dxa"/>
            <w:shd w:val="clear" w:color="auto" w:fill="auto"/>
            <w:noWrap/>
            <w:vAlign w:val="center"/>
            <w:hideMark/>
          </w:tcPr>
          <w:p w14:paraId="6CC1E9F1" w14:textId="77777777" w:rsidR="000B26E9" w:rsidRPr="00AF306A" w:rsidRDefault="000B26E9" w:rsidP="00AF306A">
            <w:pPr>
              <w:jc w:val="center"/>
              <w:rPr>
                <w:rFonts w:ascii="Arial Narrow" w:hAnsi="Arial Narrow" w:cs="Calibri"/>
                <w:color w:val="000000"/>
                <w:spacing w:val="0"/>
                <w:sz w:val="18"/>
                <w:szCs w:val="18"/>
                <w:lang w:eastAsia="es-CO"/>
              </w:rPr>
            </w:pPr>
            <w:r w:rsidRPr="00AF306A">
              <w:rPr>
                <w:rFonts w:ascii="Arial Narrow" w:hAnsi="Arial Narrow" w:cs="Calibri"/>
                <w:color w:val="000000"/>
                <w:spacing w:val="0"/>
                <w:sz w:val="18"/>
                <w:szCs w:val="18"/>
                <w:lang w:eastAsia="es-CO"/>
              </w:rPr>
              <w:t>11</w:t>
            </w:r>
          </w:p>
        </w:tc>
        <w:tc>
          <w:tcPr>
            <w:tcW w:w="834" w:type="dxa"/>
            <w:shd w:val="clear" w:color="auto" w:fill="auto"/>
            <w:noWrap/>
            <w:vAlign w:val="center"/>
          </w:tcPr>
          <w:p w14:paraId="6638AD79" w14:textId="4C53C7ED" w:rsidR="000B26E9" w:rsidRPr="00AF306A" w:rsidRDefault="000B26E9" w:rsidP="00AF306A">
            <w:pPr>
              <w:jc w:val="right"/>
              <w:rPr>
                <w:rFonts w:ascii="Arial Narrow" w:hAnsi="Arial Narrow" w:cs="Calibri"/>
                <w:color w:val="000000"/>
                <w:spacing w:val="0"/>
                <w:sz w:val="18"/>
                <w:szCs w:val="18"/>
                <w:lang w:eastAsia="es-CO"/>
              </w:rPr>
            </w:pPr>
            <w:r w:rsidRPr="00AF306A">
              <w:rPr>
                <w:rFonts w:ascii="Arial Narrow" w:hAnsi="Arial Narrow"/>
                <w:sz w:val="18"/>
                <w:szCs w:val="18"/>
              </w:rPr>
              <w:t>840000203</w:t>
            </w:r>
          </w:p>
        </w:tc>
        <w:tc>
          <w:tcPr>
            <w:tcW w:w="5221" w:type="dxa"/>
            <w:shd w:val="clear" w:color="auto" w:fill="auto"/>
            <w:vAlign w:val="center"/>
          </w:tcPr>
          <w:p w14:paraId="2763DC97" w14:textId="3603C235" w:rsidR="000B26E9" w:rsidRPr="00AF306A" w:rsidRDefault="000B26E9" w:rsidP="00AF306A">
            <w:pPr>
              <w:jc w:val="left"/>
              <w:rPr>
                <w:rFonts w:ascii="Arial Narrow" w:hAnsi="Arial Narrow" w:cs="Calibri"/>
                <w:color w:val="000000"/>
                <w:spacing w:val="0"/>
                <w:sz w:val="18"/>
                <w:szCs w:val="18"/>
                <w:lang w:eastAsia="es-CO"/>
              </w:rPr>
            </w:pPr>
            <w:r w:rsidRPr="00AF306A">
              <w:rPr>
                <w:rFonts w:ascii="Arial Narrow" w:hAnsi="Arial Narrow"/>
                <w:sz w:val="18"/>
                <w:szCs w:val="18"/>
              </w:rPr>
              <w:t>EMPRESA DE ENERGIA DE SALAHONDA S.A. E.S.P.</w:t>
            </w:r>
          </w:p>
        </w:tc>
        <w:tc>
          <w:tcPr>
            <w:tcW w:w="980" w:type="dxa"/>
            <w:shd w:val="clear" w:color="auto" w:fill="auto"/>
            <w:noWrap/>
            <w:vAlign w:val="center"/>
            <w:hideMark/>
          </w:tcPr>
          <w:p w14:paraId="042041AE" w14:textId="7B8E6BD8" w:rsidR="000B26E9" w:rsidRPr="00AF306A" w:rsidRDefault="000B26E9" w:rsidP="000B26E9">
            <w:pPr>
              <w:jc w:val="right"/>
              <w:rPr>
                <w:rFonts w:ascii="Arial Narrow" w:hAnsi="Arial Narrow" w:cs="Calibri"/>
                <w:color w:val="000000"/>
                <w:spacing w:val="0"/>
                <w:sz w:val="18"/>
                <w:szCs w:val="18"/>
                <w:lang w:eastAsia="es-CO"/>
              </w:rPr>
            </w:pPr>
            <w:r w:rsidRPr="00AF306A">
              <w:rPr>
                <w:rFonts w:ascii="Arial Narrow" w:hAnsi="Arial Narrow"/>
                <w:sz w:val="18"/>
                <w:szCs w:val="18"/>
              </w:rPr>
              <w:t>3</w:t>
            </w:r>
            <w:r>
              <w:rPr>
                <w:rFonts w:ascii="Arial Narrow" w:hAnsi="Arial Narrow"/>
                <w:sz w:val="18"/>
                <w:szCs w:val="18"/>
              </w:rPr>
              <w:t>.</w:t>
            </w:r>
            <w:r w:rsidRPr="00AF306A">
              <w:rPr>
                <w:rFonts w:ascii="Arial Narrow" w:hAnsi="Arial Narrow"/>
                <w:sz w:val="18"/>
                <w:szCs w:val="18"/>
              </w:rPr>
              <w:t>474</w:t>
            </w:r>
            <w:r>
              <w:rPr>
                <w:rFonts w:ascii="Arial Narrow" w:hAnsi="Arial Narrow"/>
                <w:sz w:val="18"/>
                <w:szCs w:val="18"/>
              </w:rPr>
              <w:t>.</w:t>
            </w:r>
            <w:r w:rsidRPr="00AF306A">
              <w:rPr>
                <w:rFonts w:ascii="Arial Narrow" w:hAnsi="Arial Narrow"/>
                <w:sz w:val="18"/>
                <w:szCs w:val="18"/>
              </w:rPr>
              <w:t>497</w:t>
            </w:r>
          </w:p>
        </w:tc>
        <w:tc>
          <w:tcPr>
            <w:tcW w:w="1288" w:type="dxa"/>
            <w:shd w:val="clear" w:color="auto" w:fill="auto"/>
            <w:noWrap/>
            <w:vAlign w:val="center"/>
            <w:hideMark/>
          </w:tcPr>
          <w:p w14:paraId="648458AC" w14:textId="355AEABB" w:rsidR="000B26E9" w:rsidRPr="00AF306A" w:rsidRDefault="000B26E9" w:rsidP="000B26E9">
            <w:pPr>
              <w:jc w:val="right"/>
              <w:rPr>
                <w:rFonts w:ascii="Arial Narrow" w:hAnsi="Arial Narrow" w:cs="Calibri"/>
                <w:color w:val="000000"/>
                <w:spacing w:val="0"/>
                <w:sz w:val="18"/>
                <w:szCs w:val="18"/>
                <w:lang w:eastAsia="es-CO"/>
              </w:rPr>
            </w:pPr>
            <w:r w:rsidRPr="00AF306A">
              <w:rPr>
                <w:rFonts w:ascii="Arial Narrow" w:hAnsi="Arial Narrow"/>
                <w:sz w:val="18"/>
                <w:szCs w:val="18"/>
              </w:rPr>
              <w:t>34</w:t>
            </w:r>
            <w:r>
              <w:rPr>
                <w:rFonts w:ascii="Arial Narrow" w:hAnsi="Arial Narrow"/>
                <w:sz w:val="18"/>
                <w:szCs w:val="18"/>
              </w:rPr>
              <w:t>.</w:t>
            </w:r>
            <w:r w:rsidRPr="00AF306A">
              <w:rPr>
                <w:rFonts w:ascii="Arial Narrow" w:hAnsi="Arial Narrow"/>
                <w:sz w:val="18"/>
                <w:szCs w:val="18"/>
              </w:rPr>
              <w:t>745</w:t>
            </w:r>
          </w:p>
        </w:tc>
      </w:tr>
      <w:tr w:rsidR="000B26E9" w:rsidRPr="00AF306A" w14:paraId="5AE2D933" w14:textId="77777777" w:rsidTr="00897878">
        <w:trPr>
          <w:trHeight w:val="198"/>
        </w:trPr>
        <w:tc>
          <w:tcPr>
            <w:tcW w:w="319" w:type="dxa"/>
            <w:shd w:val="clear" w:color="auto" w:fill="auto"/>
            <w:noWrap/>
            <w:vAlign w:val="center"/>
            <w:hideMark/>
          </w:tcPr>
          <w:p w14:paraId="7D40F421" w14:textId="77777777" w:rsidR="000B26E9" w:rsidRPr="00AF306A" w:rsidRDefault="000B26E9" w:rsidP="00AF306A">
            <w:pPr>
              <w:jc w:val="center"/>
              <w:rPr>
                <w:rFonts w:ascii="Arial Narrow" w:hAnsi="Arial Narrow" w:cs="Calibri"/>
                <w:color w:val="000000"/>
                <w:spacing w:val="0"/>
                <w:sz w:val="18"/>
                <w:szCs w:val="18"/>
                <w:lang w:eastAsia="es-CO"/>
              </w:rPr>
            </w:pPr>
            <w:r w:rsidRPr="00AF306A">
              <w:rPr>
                <w:rFonts w:ascii="Arial Narrow" w:hAnsi="Arial Narrow" w:cs="Calibri"/>
                <w:color w:val="000000"/>
                <w:spacing w:val="0"/>
                <w:sz w:val="18"/>
                <w:szCs w:val="18"/>
                <w:lang w:eastAsia="es-CO"/>
              </w:rPr>
              <w:t>12</w:t>
            </w:r>
          </w:p>
        </w:tc>
        <w:tc>
          <w:tcPr>
            <w:tcW w:w="834" w:type="dxa"/>
            <w:shd w:val="clear" w:color="auto" w:fill="auto"/>
            <w:noWrap/>
            <w:vAlign w:val="center"/>
          </w:tcPr>
          <w:p w14:paraId="3FE2A03B" w14:textId="45299B60" w:rsidR="000B26E9" w:rsidRPr="00AF306A" w:rsidRDefault="000B26E9" w:rsidP="00AF306A">
            <w:pPr>
              <w:jc w:val="right"/>
              <w:rPr>
                <w:rFonts w:ascii="Arial Narrow" w:hAnsi="Arial Narrow" w:cs="Calibri"/>
                <w:color w:val="000000"/>
                <w:spacing w:val="0"/>
                <w:sz w:val="18"/>
                <w:szCs w:val="18"/>
                <w:lang w:eastAsia="es-CO"/>
              </w:rPr>
            </w:pPr>
            <w:r w:rsidRPr="00AF306A">
              <w:rPr>
                <w:rFonts w:ascii="Arial Narrow" w:hAnsi="Arial Narrow"/>
                <w:sz w:val="18"/>
                <w:szCs w:val="18"/>
              </w:rPr>
              <w:t>811001850</w:t>
            </w:r>
          </w:p>
        </w:tc>
        <w:tc>
          <w:tcPr>
            <w:tcW w:w="5221" w:type="dxa"/>
            <w:shd w:val="clear" w:color="auto" w:fill="auto"/>
            <w:vAlign w:val="center"/>
          </w:tcPr>
          <w:p w14:paraId="7429D637" w14:textId="493E3B94" w:rsidR="000B26E9" w:rsidRPr="00AF306A" w:rsidRDefault="000B26E9" w:rsidP="00AF306A">
            <w:pPr>
              <w:jc w:val="left"/>
              <w:rPr>
                <w:rFonts w:ascii="Arial Narrow" w:hAnsi="Arial Narrow" w:cs="Calibri"/>
                <w:color w:val="000000"/>
                <w:spacing w:val="0"/>
                <w:sz w:val="18"/>
                <w:szCs w:val="18"/>
                <w:lang w:eastAsia="es-CO"/>
              </w:rPr>
            </w:pPr>
            <w:r w:rsidRPr="00AF306A">
              <w:rPr>
                <w:rFonts w:ascii="Arial Narrow" w:hAnsi="Arial Narrow"/>
                <w:sz w:val="18"/>
                <w:szCs w:val="18"/>
              </w:rPr>
              <w:t>IC Asesorías y Proyectos SAS ESP</w:t>
            </w:r>
          </w:p>
        </w:tc>
        <w:tc>
          <w:tcPr>
            <w:tcW w:w="980" w:type="dxa"/>
            <w:shd w:val="clear" w:color="auto" w:fill="auto"/>
            <w:noWrap/>
            <w:vAlign w:val="center"/>
            <w:hideMark/>
          </w:tcPr>
          <w:p w14:paraId="598BD79E" w14:textId="77C88E32" w:rsidR="000B26E9" w:rsidRPr="00AF306A" w:rsidRDefault="000B26E9" w:rsidP="000B26E9">
            <w:pPr>
              <w:jc w:val="right"/>
              <w:rPr>
                <w:rFonts w:ascii="Arial Narrow" w:hAnsi="Arial Narrow" w:cs="Calibri"/>
                <w:color w:val="000000"/>
                <w:spacing w:val="0"/>
                <w:sz w:val="18"/>
                <w:szCs w:val="18"/>
                <w:lang w:eastAsia="es-CO"/>
              </w:rPr>
            </w:pPr>
            <w:r w:rsidRPr="00AF306A">
              <w:rPr>
                <w:rFonts w:ascii="Arial Narrow" w:hAnsi="Arial Narrow"/>
                <w:sz w:val="18"/>
                <w:szCs w:val="18"/>
              </w:rPr>
              <w:t>3</w:t>
            </w:r>
            <w:r>
              <w:rPr>
                <w:rFonts w:ascii="Arial Narrow" w:hAnsi="Arial Narrow"/>
                <w:sz w:val="18"/>
                <w:szCs w:val="18"/>
              </w:rPr>
              <w:t>.</w:t>
            </w:r>
            <w:r w:rsidRPr="00AF306A">
              <w:rPr>
                <w:rFonts w:ascii="Arial Narrow" w:hAnsi="Arial Narrow"/>
                <w:sz w:val="18"/>
                <w:szCs w:val="18"/>
              </w:rPr>
              <w:t>390</w:t>
            </w:r>
            <w:r>
              <w:rPr>
                <w:rFonts w:ascii="Arial Narrow" w:hAnsi="Arial Narrow"/>
                <w:sz w:val="18"/>
                <w:szCs w:val="18"/>
              </w:rPr>
              <w:t>.</w:t>
            </w:r>
            <w:r w:rsidRPr="00AF306A">
              <w:rPr>
                <w:rFonts w:ascii="Arial Narrow" w:hAnsi="Arial Narrow"/>
                <w:sz w:val="18"/>
                <w:szCs w:val="18"/>
              </w:rPr>
              <w:t>645</w:t>
            </w:r>
          </w:p>
        </w:tc>
        <w:tc>
          <w:tcPr>
            <w:tcW w:w="1288" w:type="dxa"/>
            <w:shd w:val="clear" w:color="auto" w:fill="auto"/>
            <w:noWrap/>
            <w:vAlign w:val="center"/>
            <w:hideMark/>
          </w:tcPr>
          <w:p w14:paraId="64DBAF59" w14:textId="0BC1E992" w:rsidR="000B26E9" w:rsidRPr="00AF306A" w:rsidRDefault="000B26E9" w:rsidP="000B26E9">
            <w:pPr>
              <w:jc w:val="right"/>
              <w:rPr>
                <w:rFonts w:ascii="Arial Narrow" w:hAnsi="Arial Narrow" w:cs="Calibri"/>
                <w:color w:val="000000"/>
                <w:spacing w:val="0"/>
                <w:sz w:val="18"/>
                <w:szCs w:val="18"/>
                <w:lang w:eastAsia="es-CO"/>
              </w:rPr>
            </w:pPr>
            <w:r w:rsidRPr="00AF306A">
              <w:rPr>
                <w:rFonts w:ascii="Arial Narrow" w:hAnsi="Arial Narrow"/>
                <w:sz w:val="18"/>
                <w:szCs w:val="18"/>
              </w:rPr>
              <w:t>33</w:t>
            </w:r>
            <w:r>
              <w:rPr>
                <w:rFonts w:ascii="Arial Narrow" w:hAnsi="Arial Narrow"/>
                <w:sz w:val="18"/>
                <w:szCs w:val="18"/>
              </w:rPr>
              <w:t>.</w:t>
            </w:r>
            <w:r w:rsidRPr="00AF306A">
              <w:rPr>
                <w:rFonts w:ascii="Arial Narrow" w:hAnsi="Arial Narrow"/>
                <w:sz w:val="18"/>
                <w:szCs w:val="18"/>
              </w:rPr>
              <w:t>906</w:t>
            </w:r>
          </w:p>
        </w:tc>
      </w:tr>
      <w:tr w:rsidR="000B26E9" w:rsidRPr="00AF306A" w14:paraId="0D0BC54E" w14:textId="77777777" w:rsidTr="00897878">
        <w:trPr>
          <w:trHeight w:val="290"/>
        </w:trPr>
        <w:tc>
          <w:tcPr>
            <w:tcW w:w="319" w:type="dxa"/>
            <w:shd w:val="clear" w:color="auto" w:fill="auto"/>
            <w:noWrap/>
            <w:vAlign w:val="center"/>
            <w:hideMark/>
          </w:tcPr>
          <w:p w14:paraId="4BB35AA2" w14:textId="77777777" w:rsidR="000B26E9" w:rsidRPr="00AF306A" w:rsidRDefault="000B26E9" w:rsidP="00AF306A">
            <w:pPr>
              <w:jc w:val="center"/>
              <w:rPr>
                <w:rFonts w:ascii="Arial Narrow" w:hAnsi="Arial Narrow" w:cs="Calibri"/>
                <w:color w:val="000000"/>
                <w:spacing w:val="0"/>
                <w:sz w:val="18"/>
                <w:szCs w:val="18"/>
                <w:lang w:eastAsia="es-CO"/>
              </w:rPr>
            </w:pPr>
            <w:r w:rsidRPr="00AF306A">
              <w:rPr>
                <w:rFonts w:ascii="Arial Narrow" w:hAnsi="Arial Narrow" w:cs="Calibri"/>
                <w:color w:val="000000"/>
                <w:spacing w:val="0"/>
                <w:sz w:val="18"/>
                <w:szCs w:val="18"/>
                <w:lang w:eastAsia="es-CO"/>
              </w:rPr>
              <w:t>13</w:t>
            </w:r>
          </w:p>
        </w:tc>
        <w:tc>
          <w:tcPr>
            <w:tcW w:w="834" w:type="dxa"/>
            <w:shd w:val="clear" w:color="auto" w:fill="auto"/>
            <w:noWrap/>
            <w:vAlign w:val="center"/>
          </w:tcPr>
          <w:p w14:paraId="3AA8E247" w14:textId="683A8844" w:rsidR="000B26E9" w:rsidRPr="00AF306A" w:rsidRDefault="000B26E9" w:rsidP="00AF306A">
            <w:pPr>
              <w:jc w:val="right"/>
              <w:rPr>
                <w:rFonts w:ascii="Arial Narrow" w:hAnsi="Arial Narrow" w:cs="Calibri"/>
                <w:color w:val="000000"/>
                <w:spacing w:val="0"/>
                <w:sz w:val="18"/>
                <w:szCs w:val="18"/>
                <w:lang w:eastAsia="es-CO"/>
              </w:rPr>
            </w:pPr>
            <w:r w:rsidRPr="00AF306A">
              <w:rPr>
                <w:rFonts w:ascii="Arial Narrow" w:hAnsi="Arial Narrow"/>
                <w:sz w:val="18"/>
                <w:szCs w:val="18"/>
              </w:rPr>
              <w:t>900643723</w:t>
            </w:r>
          </w:p>
        </w:tc>
        <w:tc>
          <w:tcPr>
            <w:tcW w:w="5221" w:type="dxa"/>
            <w:shd w:val="clear" w:color="auto" w:fill="auto"/>
            <w:vAlign w:val="center"/>
          </w:tcPr>
          <w:p w14:paraId="7BFD8712" w14:textId="06B85524" w:rsidR="000B26E9" w:rsidRPr="00AF306A" w:rsidRDefault="000B26E9" w:rsidP="00AF306A">
            <w:pPr>
              <w:jc w:val="left"/>
              <w:rPr>
                <w:rFonts w:ascii="Arial Narrow" w:hAnsi="Arial Narrow" w:cs="Calibri"/>
                <w:color w:val="000000"/>
                <w:spacing w:val="0"/>
                <w:sz w:val="18"/>
                <w:szCs w:val="18"/>
                <w:lang w:eastAsia="es-CO"/>
              </w:rPr>
            </w:pPr>
            <w:r w:rsidRPr="00AF306A">
              <w:rPr>
                <w:rFonts w:ascii="Arial Narrow" w:hAnsi="Arial Narrow"/>
                <w:sz w:val="18"/>
                <w:szCs w:val="18"/>
              </w:rPr>
              <w:t>COMERCIALIZADORA G.L.P</w:t>
            </w:r>
            <w:r>
              <w:rPr>
                <w:rFonts w:ascii="Arial Narrow" w:hAnsi="Arial Narrow"/>
                <w:sz w:val="18"/>
                <w:szCs w:val="18"/>
              </w:rPr>
              <w:t>.</w:t>
            </w:r>
            <w:r w:rsidRPr="00AF306A">
              <w:rPr>
                <w:rFonts w:ascii="Arial Narrow" w:hAnsi="Arial Narrow"/>
                <w:sz w:val="18"/>
                <w:szCs w:val="18"/>
              </w:rPr>
              <w:t xml:space="preserve"> DEL ORIENTE SAS   ESP</w:t>
            </w:r>
          </w:p>
        </w:tc>
        <w:tc>
          <w:tcPr>
            <w:tcW w:w="980" w:type="dxa"/>
            <w:shd w:val="clear" w:color="auto" w:fill="auto"/>
            <w:noWrap/>
            <w:vAlign w:val="center"/>
            <w:hideMark/>
          </w:tcPr>
          <w:p w14:paraId="01F7CB50" w14:textId="47CD63B6" w:rsidR="000B26E9" w:rsidRPr="00AF306A" w:rsidRDefault="000B26E9" w:rsidP="000B26E9">
            <w:pPr>
              <w:jc w:val="right"/>
              <w:rPr>
                <w:rFonts w:ascii="Arial Narrow" w:hAnsi="Arial Narrow" w:cs="Calibri"/>
                <w:color w:val="000000"/>
                <w:spacing w:val="0"/>
                <w:sz w:val="18"/>
                <w:szCs w:val="18"/>
                <w:lang w:eastAsia="es-CO"/>
              </w:rPr>
            </w:pPr>
            <w:r w:rsidRPr="00AF306A">
              <w:rPr>
                <w:rFonts w:ascii="Arial Narrow" w:hAnsi="Arial Narrow"/>
                <w:sz w:val="18"/>
                <w:szCs w:val="18"/>
              </w:rPr>
              <w:t>3</w:t>
            </w:r>
            <w:r>
              <w:rPr>
                <w:rFonts w:ascii="Arial Narrow" w:hAnsi="Arial Narrow"/>
                <w:sz w:val="18"/>
                <w:szCs w:val="18"/>
              </w:rPr>
              <w:t>.</w:t>
            </w:r>
            <w:r w:rsidRPr="00AF306A">
              <w:rPr>
                <w:rFonts w:ascii="Arial Narrow" w:hAnsi="Arial Narrow"/>
                <w:sz w:val="18"/>
                <w:szCs w:val="18"/>
              </w:rPr>
              <w:t>000</w:t>
            </w:r>
            <w:r>
              <w:rPr>
                <w:rFonts w:ascii="Arial Narrow" w:hAnsi="Arial Narrow"/>
                <w:sz w:val="18"/>
                <w:szCs w:val="18"/>
              </w:rPr>
              <w:t>.</w:t>
            </w:r>
            <w:r w:rsidRPr="00AF306A">
              <w:rPr>
                <w:rFonts w:ascii="Arial Narrow" w:hAnsi="Arial Narrow"/>
                <w:sz w:val="18"/>
                <w:szCs w:val="18"/>
              </w:rPr>
              <w:t>000</w:t>
            </w:r>
          </w:p>
        </w:tc>
        <w:tc>
          <w:tcPr>
            <w:tcW w:w="1288" w:type="dxa"/>
            <w:shd w:val="clear" w:color="auto" w:fill="auto"/>
            <w:noWrap/>
            <w:vAlign w:val="center"/>
            <w:hideMark/>
          </w:tcPr>
          <w:p w14:paraId="1A3F64D3" w14:textId="4FC0A3C2" w:rsidR="000B26E9" w:rsidRPr="00AF306A" w:rsidRDefault="000B26E9" w:rsidP="000B26E9">
            <w:pPr>
              <w:jc w:val="right"/>
              <w:rPr>
                <w:rFonts w:ascii="Arial Narrow" w:hAnsi="Arial Narrow" w:cs="Calibri"/>
                <w:color w:val="000000"/>
                <w:spacing w:val="0"/>
                <w:sz w:val="18"/>
                <w:szCs w:val="18"/>
                <w:lang w:eastAsia="es-CO"/>
              </w:rPr>
            </w:pPr>
            <w:r w:rsidRPr="00AF306A">
              <w:rPr>
                <w:rFonts w:ascii="Arial Narrow" w:hAnsi="Arial Narrow"/>
                <w:sz w:val="18"/>
                <w:szCs w:val="18"/>
              </w:rPr>
              <w:t>30</w:t>
            </w:r>
            <w:r>
              <w:rPr>
                <w:rFonts w:ascii="Arial Narrow" w:hAnsi="Arial Narrow"/>
                <w:sz w:val="18"/>
                <w:szCs w:val="18"/>
              </w:rPr>
              <w:t>.</w:t>
            </w:r>
            <w:r w:rsidRPr="00AF306A">
              <w:rPr>
                <w:rFonts w:ascii="Arial Narrow" w:hAnsi="Arial Narrow"/>
                <w:sz w:val="18"/>
                <w:szCs w:val="18"/>
              </w:rPr>
              <w:t>000</w:t>
            </w:r>
          </w:p>
        </w:tc>
      </w:tr>
      <w:tr w:rsidR="000B26E9" w:rsidRPr="00AF306A" w14:paraId="7450BCBE" w14:textId="77777777" w:rsidTr="00897878">
        <w:trPr>
          <w:trHeight w:val="280"/>
        </w:trPr>
        <w:tc>
          <w:tcPr>
            <w:tcW w:w="319" w:type="dxa"/>
            <w:shd w:val="clear" w:color="auto" w:fill="auto"/>
            <w:noWrap/>
            <w:vAlign w:val="center"/>
            <w:hideMark/>
          </w:tcPr>
          <w:p w14:paraId="179CF2DE" w14:textId="77777777" w:rsidR="000B26E9" w:rsidRPr="00AF306A" w:rsidRDefault="000B26E9" w:rsidP="00AF306A">
            <w:pPr>
              <w:jc w:val="center"/>
              <w:rPr>
                <w:rFonts w:ascii="Arial Narrow" w:hAnsi="Arial Narrow" w:cs="Calibri"/>
                <w:color w:val="000000"/>
                <w:spacing w:val="0"/>
                <w:sz w:val="18"/>
                <w:szCs w:val="18"/>
                <w:lang w:eastAsia="es-CO"/>
              </w:rPr>
            </w:pPr>
            <w:r w:rsidRPr="00AF306A">
              <w:rPr>
                <w:rFonts w:ascii="Arial Narrow" w:hAnsi="Arial Narrow" w:cs="Calibri"/>
                <w:color w:val="000000"/>
                <w:spacing w:val="0"/>
                <w:sz w:val="18"/>
                <w:szCs w:val="18"/>
                <w:lang w:eastAsia="es-CO"/>
              </w:rPr>
              <w:t>14</w:t>
            </w:r>
          </w:p>
        </w:tc>
        <w:tc>
          <w:tcPr>
            <w:tcW w:w="834" w:type="dxa"/>
            <w:shd w:val="clear" w:color="auto" w:fill="auto"/>
            <w:noWrap/>
            <w:vAlign w:val="center"/>
          </w:tcPr>
          <w:p w14:paraId="7B1DE498" w14:textId="288A831A" w:rsidR="000B26E9" w:rsidRPr="00AF306A" w:rsidRDefault="000B26E9" w:rsidP="00AF306A">
            <w:pPr>
              <w:jc w:val="right"/>
              <w:rPr>
                <w:rFonts w:ascii="Arial Narrow" w:hAnsi="Arial Narrow" w:cs="Calibri"/>
                <w:color w:val="000000"/>
                <w:spacing w:val="0"/>
                <w:sz w:val="18"/>
                <w:szCs w:val="18"/>
                <w:lang w:eastAsia="es-CO"/>
              </w:rPr>
            </w:pPr>
            <w:r w:rsidRPr="00AF306A">
              <w:rPr>
                <w:rFonts w:ascii="Arial Narrow" w:hAnsi="Arial Narrow"/>
                <w:sz w:val="18"/>
                <w:szCs w:val="18"/>
              </w:rPr>
              <w:t>830080672</w:t>
            </w:r>
          </w:p>
        </w:tc>
        <w:tc>
          <w:tcPr>
            <w:tcW w:w="5221" w:type="dxa"/>
            <w:shd w:val="clear" w:color="auto" w:fill="auto"/>
            <w:vAlign w:val="center"/>
          </w:tcPr>
          <w:p w14:paraId="44D79307" w14:textId="20B4FC9B" w:rsidR="000B26E9" w:rsidRPr="00AF306A" w:rsidRDefault="000B26E9" w:rsidP="00AF306A">
            <w:pPr>
              <w:jc w:val="left"/>
              <w:rPr>
                <w:rFonts w:ascii="Arial Narrow" w:hAnsi="Arial Narrow" w:cs="Calibri"/>
                <w:color w:val="000000"/>
                <w:spacing w:val="0"/>
                <w:sz w:val="18"/>
                <w:szCs w:val="18"/>
                <w:lang w:eastAsia="es-CO"/>
              </w:rPr>
            </w:pPr>
            <w:r w:rsidRPr="00AF306A">
              <w:rPr>
                <w:rFonts w:ascii="Arial Narrow" w:hAnsi="Arial Narrow"/>
                <w:sz w:val="18"/>
                <w:szCs w:val="18"/>
              </w:rPr>
              <w:t>CEPSA COLOMBIA SA</w:t>
            </w:r>
          </w:p>
        </w:tc>
        <w:tc>
          <w:tcPr>
            <w:tcW w:w="980" w:type="dxa"/>
            <w:shd w:val="clear" w:color="auto" w:fill="auto"/>
            <w:noWrap/>
            <w:vAlign w:val="center"/>
            <w:hideMark/>
          </w:tcPr>
          <w:p w14:paraId="63A4DCC9" w14:textId="14D8B290" w:rsidR="000B26E9" w:rsidRPr="00AF306A" w:rsidRDefault="000B26E9" w:rsidP="000B26E9">
            <w:pPr>
              <w:jc w:val="right"/>
              <w:rPr>
                <w:rFonts w:ascii="Arial Narrow" w:hAnsi="Arial Narrow" w:cs="Calibri"/>
                <w:color w:val="000000"/>
                <w:spacing w:val="0"/>
                <w:sz w:val="18"/>
                <w:szCs w:val="18"/>
                <w:lang w:eastAsia="es-CO"/>
              </w:rPr>
            </w:pPr>
            <w:r w:rsidRPr="00AF306A">
              <w:rPr>
                <w:rFonts w:ascii="Arial Narrow" w:hAnsi="Arial Narrow"/>
                <w:sz w:val="18"/>
                <w:szCs w:val="18"/>
              </w:rPr>
              <w:t>2</w:t>
            </w:r>
            <w:r>
              <w:rPr>
                <w:rFonts w:ascii="Arial Narrow" w:hAnsi="Arial Narrow"/>
                <w:sz w:val="18"/>
                <w:szCs w:val="18"/>
              </w:rPr>
              <w:t>.</w:t>
            </w:r>
            <w:r w:rsidRPr="00AF306A">
              <w:rPr>
                <w:rFonts w:ascii="Arial Narrow" w:hAnsi="Arial Narrow"/>
                <w:sz w:val="18"/>
                <w:szCs w:val="18"/>
              </w:rPr>
              <w:t>484</w:t>
            </w:r>
            <w:r>
              <w:rPr>
                <w:rFonts w:ascii="Arial Narrow" w:hAnsi="Arial Narrow"/>
                <w:sz w:val="18"/>
                <w:szCs w:val="18"/>
              </w:rPr>
              <w:t>.</w:t>
            </w:r>
            <w:r w:rsidRPr="00AF306A">
              <w:rPr>
                <w:rFonts w:ascii="Arial Narrow" w:hAnsi="Arial Narrow"/>
                <w:sz w:val="18"/>
                <w:szCs w:val="18"/>
              </w:rPr>
              <w:t>478</w:t>
            </w:r>
          </w:p>
        </w:tc>
        <w:tc>
          <w:tcPr>
            <w:tcW w:w="1288" w:type="dxa"/>
            <w:shd w:val="clear" w:color="auto" w:fill="auto"/>
            <w:noWrap/>
            <w:vAlign w:val="center"/>
            <w:hideMark/>
          </w:tcPr>
          <w:p w14:paraId="46B6F7E4" w14:textId="36D30BBE" w:rsidR="000B26E9" w:rsidRPr="00AF306A" w:rsidRDefault="000B26E9" w:rsidP="000B26E9">
            <w:pPr>
              <w:jc w:val="right"/>
              <w:rPr>
                <w:rFonts w:ascii="Arial Narrow" w:hAnsi="Arial Narrow" w:cs="Calibri"/>
                <w:color w:val="000000"/>
                <w:spacing w:val="0"/>
                <w:sz w:val="18"/>
                <w:szCs w:val="18"/>
                <w:lang w:eastAsia="es-CO"/>
              </w:rPr>
            </w:pPr>
            <w:r w:rsidRPr="00AF306A">
              <w:rPr>
                <w:rFonts w:ascii="Arial Narrow" w:hAnsi="Arial Narrow"/>
                <w:sz w:val="18"/>
                <w:szCs w:val="18"/>
              </w:rPr>
              <w:t>24</w:t>
            </w:r>
            <w:r>
              <w:rPr>
                <w:rFonts w:ascii="Arial Narrow" w:hAnsi="Arial Narrow"/>
                <w:sz w:val="18"/>
                <w:szCs w:val="18"/>
              </w:rPr>
              <w:t>.</w:t>
            </w:r>
            <w:r w:rsidRPr="00AF306A">
              <w:rPr>
                <w:rFonts w:ascii="Arial Narrow" w:hAnsi="Arial Narrow"/>
                <w:sz w:val="18"/>
                <w:szCs w:val="18"/>
              </w:rPr>
              <w:t>845</w:t>
            </w:r>
          </w:p>
        </w:tc>
      </w:tr>
      <w:tr w:rsidR="000B26E9" w:rsidRPr="00AF306A" w14:paraId="61389656" w14:textId="77777777" w:rsidTr="00897878">
        <w:trPr>
          <w:trHeight w:val="290"/>
        </w:trPr>
        <w:tc>
          <w:tcPr>
            <w:tcW w:w="319" w:type="dxa"/>
            <w:shd w:val="clear" w:color="auto" w:fill="auto"/>
            <w:noWrap/>
            <w:vAlign w:val="center"/>
            <w:hideMark/>
          </w:tcPr>
          <w:p w14:paraId="5865B9D6" w14:textId="77777777" w:rsidR="000B26E9" w:rsidRPr="00AF306A" w:rsidRDefault="000B26E9" w:rsidP="00AF306A">
            <w:pPr>
              <w:jc w:val="center"/>
              <w:rPr>
                <w:rFonts w:ascii="Arial Narrow" w:hAnsi="Arial Narrow" w:cs="Calibri"/>
                <w:color w:val="000000"/>
                <w:spacing w:val="0"/>
                <w:sz w:val="18"/>
                <w:szCs w:val="18"/>
                <w:lang w:eastAsia="es-CO"/>
              </w:rPr>
            </w:pPr>
            <w:r w:rsidRPr="00AF306A">
              <w:rPr>
                <w:rFonts w:ascii="Arial Narrow" w:hAnsi="Arial Narrow" w:cs="Calibri"/>
                <w:color w:val="000000"/>
                <w:spacing w:val="0"/>
                <w:sz w:val="18"/>
                <w:szCs w:val="18"/>
                <w:lang w:eastAsia="es-CO"/>
              </w:rPr>
              <w:t>15</w:t>
            </w:r>
          </w:p>
        </w:tc>
        <w:tc>
          <w:tcPr>
            <w:tcW w:w="834" w:type="dxa"/>
            <w:shd w:val="clear" w:color="auto" w:fill="auto"/>
            <w:noWrap/>
            <w:vAlign w:val="center"/>
          </w:tcPr>
          <w:p w14:paraId="51972779" w14:textId="64D45396" w:rsidR="000B26E9" w:rsidRPr="00AF306A" w:rsidRDefault="000B26E9" w:rsidP="00AF306A">
            <w:pPr>
              <w:jc w:val="right"/>
              <w:rPr>
                <w:rFonts w:ascii="Arial Narrow" w:hAnsi="Arial Narrow" w:cs="Calibri"/>
                <w:color w:val="000000"/>
                <w:spacing w:val="0"/>
                <w:sz w:val="18"/>
                <w:szCs w:val="18"/>
                <w:lang w:eastAsia="es-CO"/>
              </w:rPr>
            </w:pPr>
            <w:r w:rsidRPr="00AF306A">
              <w:rPr>
                <w:rFonts w:ascii="Arial Narrow" w:hAnsi="Arial Narrow"/>
                <w:sz w:val="18"/>
                <w:szCs w:val="18"/>
              </w:rPr>
              <w:t>830021307</w:t>
            </w:r>
          </w:p>
        </w:tc>
        <w:tc>
          <w:tcPr>
            <w:tcW w:w="5221" w:type="dxa"/>
            <w:shd w:val="clear" w:color="auto" w:fill="auto"/>
            <w:vAlign w:val="center"/>
          </w:tcPr>
          <w:p w14:paraId="2ED239E7" w14:textId="5A4B8B77" w:rsidR="000B26E9" w:rsidRPr="00D26825" w:rsidRDefault="000B26E9" w:rsidP="00AF306A">
            <w:pPr>
              <w:jc w:val="left"/>
              <w:rPr>
                <w:rFonts w:ascii="Arial Narrow" w:hAnsi="Arial Narrow" w:cs="Calibri"/>
                <w:color w:val="000000"/>
                <w:spacing w:val="0"/>
                <w:sz w:val="18"/>
                <w:szCs w:val="18"/>
                <w:lang w:val="en-US" w:eastAsia="es-CO"/>
              </w:rPr>
            </w:pPr>
            <w:r w:rsidRPr="00D26825">
              <w:rPr>
                <w:rFonts w:ascii="Arial Narrow" w:hAnsi="Arial Narrow"/>
                <w:sz w:val="18"/>
                <w:szCs w:val="18"/>
                <w:lang w:val="en-US"/>
              </w:rPr>
              <w:t>GAS GOMBEL S.A. E.S.P.</w:t>
            </w:r>
          </w:p>
        </w:tc>
        <w:tc>
          <w:tcPr>
            <w:tcW w:w="980" w:type="dxa"/>
            <w:shd w:val="clear" w:color="auto" w:fill="auto"/>
            <w:noWrap/>
            <w:vAlign w:val="center"/>
            <w:hideMark/>
          </w:tcPr>
          <w:p w14:paraId="05D1192B" w14:textId="7CFF476B" w:rsidR="000B26E9" w:rsidRPr="00AF306A" w:rsidRDefault="000B26E9" w:rsidP="000B26E9">
            <w:pPr>
              <w:jc w:val="right"/>
              <w:rPr>
                <w:rFonts w:ascii="Arial Narrow" w:hAnsi="Arial Narrow" w:cs="Calibri"/>
                <w:color w:val="000000"/>
                <w:spacing w:val="0"/>
                <w:sz w:val="18"/>
                <w:szCs w:val="18"/>
                <w:lang w:eastAsia="es-CO"/>
              </w:rPr>
            </w:pPr>
            <w:r w:rsidRPr="00AF306A">
              <w:rPr>
                <w:rFonts w:ascii="Arial Narrow" w:hAnsi="Arial Narrow"/>
                <w:sz w:val="18"/>
                <w:szCs w:val="18"/>
              </w:rPr>
              <w:t>2</w:t>
            </w:r>
            <w:r>
              <w:rPr>
                <w:rFonts w:ascii="Arial Narrow" w:hAnsi="Arial Narrow"/>
                <w:sz w:val="18"/>
                <w:szCs w:val="18"/>
              </w:rPr>
              <w:t>.</w:t>
            </w:r>
            <w:r w:rsidRPr="00AF306A">
              <w:rPr>
                <w:rFonts w:ascii="Arial Narrow" w:hAnsi="Arial Narrow"/>
                <w:sz w:val="18"/>
                <w:szCs w:val="18"/>
              </w:rPr>
              <w:t>362</w:t>
            </w:r>
            <w:r>
              <w:rPr>
                <w:rFonts w:ascii="Arial Narrow" w:hAnsi="Arial Narrow"/>
                <w:sz w:val="18"/>
                <w:szCs w:val="18"/>
              </w:rPr>
              <w:t>.</w:t>
            </w:r>
            <w:r w:rsidRPr="00AF306A">
              <w:rPr>
                <w:rFonts w:ascii="Arial Narrow" w:hAnsi="Arial Narrow"/>
                <w:sz w:val="18"/>
                <w:szCs w:val="18"/>
              </w:rPr>
              <w:t>555</w:t>
            </w:r>
          </w:p>
        </w:tc>
        <w:tc>
          <w:tcPr>
            <w:tcW w:w="1288" w:type="dxa"/>
            <w:shd w:val="clear" w:color="auto" w:fill="auto"/>
            <w:noWrap/>
            <w:vAlign w:val="center"/>
            <w:hideMark/>
          </w:tcPr>
          <w:p w14:paraId="41BF414A" w14:textId="5AE25698" w:rsidR="000B26E9" w:rsidRPr="00AF306A" w:rsidRDefault="000B26E9" w:rsidP="000B26E9">
            <w:pPr>
              <w:jc w:val="right"/>
              <w:rPr>
                <w:rFonts w:ascii="Arial Narrow" w:hAnsi="Arial Narrow" w:cs="Calibri"/>
                <w:color w:val="000000"/>
                <w:spacing w:val="0"/>
                <w:sz w:val="18"/>
                <w:szCs w:val="18"/>
                <w:lang w:eastAsia="es-CO"/>
              </w:rPr>
            </w:pPr>
            <w:r w:rsidRPr="00AF306A">
              <w:rPr>
                <w:rFonts w:ascii="Arial Narrow" w:hAnsi="Arial Narrow"/>
                <w:sz w:val="18"/>
                <w:szCs w:val="18"/>
              </w:rPr>
              <w:t>23</w:t>
            </w:r>
            <w:r>
              <w:rPr>
                <w:rFonts w:ascii="Arial Narrow" w:hAnsi="Arial Narrow"/>
                <w:sz w:val="18"/>
                <w:szCs w:val="18"/>
              </w:rPr>
              <w:t>.</w:t>
            </w:r>
            <w:r w:rsidRPr="00AF306A">
              <w:rPr>
                <w:rFonts w:ascii="Arial Narrow" w:hAnsi="Arial Narrow"/>
                <w:sz w:val="18"/>
                <w:szCs w:val="18"/>
              </w:rPr>
              <w:t>626</w:t>
            </w:r>
          </w:p>
        </w:tc>
      </w:tr>
      <w:tr w:rsidR="000B26E9" w:rsidRPr="00AF306A" w14:paraId="7CDA92BC" w14:textId="77777777" w:rsidTr="00897878">
        <w:trPr>
          <w:trHeight w:val="219"/>
        </w:trPr>
        <w:tc>
          <w:tcPr>
            <w:tcW w:w="319" w:type="dxa"/>
            <w:shd w:val="clear" w:color="auto" w:fill="auto"/>
            <w:noWrap/>
            <w:vAlign w:val="center"/>
            <w:hideMark/>
          </w:tcPr>
          <w:p w14:paraId="52EC5501" w14:textId="77777777" w:rsidR="000B26E9" w:rsidRPr="00AF306A" w:rsidRDefault="000B26E9" w:rsidP="00AF306A">
            <w:pPr>
              <w:jc w:val="center"/>
              <w:rPr>
                <w:rFonts w:ascii="Arial Narrow" w:hAnsi="Arial Narrow" w:cs="Calibri"/>
                <w:color w:val="000000"/>
                <w:spacing w:val="0"/>
                <w:sz w:val="18"/>
                <w:szCs w:val="18"/>
                <w:lang w:eastAsia="es-CO"/>
              </w:rPr>
            </w:pPr>
            <w:r w:rsidRPr="00AF306A">
              <w:rPr>
                <w:rFonts w:ascii="Arial Narrow" w:hAnsi="Arial Narrow" w:cs="Calibri"/>
                <w:color w:val="000000"/>
                <w:spacing w:val="0"/>
                <w:sz w:val="18"/>
                <w:szCs w:val="18"/>
                <w:lang w:eastAsia="es-CO"/>
              </w:rPr>
              <w:t>16</w:t>
            </w:r>
          </w:p>
        </w:tc>
        <w:tc>
          <w:tcPr>
            <w:tcW w:w="834" w:type="dxa"/>
            <w:shd w:val="clear" w:color="auto" w:fill="auto"/>
            <w:noWrap/>
            <w:vAlign w:val="center"/>
          </w:tcPr>
          <w:p w14:paraId="4F85F98E" w14:textId="409784D9" w:rsidR="000B26E9" w:rsidRPr="00AF306A" w:rsidRDefault="000B26E9" w:rsidP="00AF306A">
            <w:pPr>
              <w:jc w:val="right"/>
              <w:rPr>
                <w:rFonts w:ascii="Arial Narrow" w:hAnsi="Arial Narrow" w:cs="Calibri"/>
                <w:color w:val="000000"/>
                <w:spacing w:val="0"/>
                <w:sz w:val="18"/>
                <w:szCs w:val="18"/>
                <w:lang w:eastAsia="es-CO"/>
              </w:rPr>
            </w:pPr>
            <w:r w:rsidRPr="00AF306A">
              <w:rPr>
                <w:rFonts w:ascii="Arial Narrow" w:hAnsi="Arial Narrow"/>
                <w:sz w:val="18"/>
                <w:szCs w:val="18"/>
              </w:rPr>
              <w:t>901157308</w:t>
            </w:r>
          </w:p>
        </w:tc>
        <w:tc>
          <w:tcPr>
            <w:tcW w:w="5221" w:type="dxa"/>
            <w:shd w:val="clear" w:color="auto" w:fill="auto"/>
            <w:vAlign w:val="center"/>
          </w:tcPr>
          <w:p w14:paraId="61C38F88" w14:textId="1F32472C" w:rsidR="000B26E9" w:rsidRPr="00AF306A" w:rsidRDefault="000B26E9" w:rsidP="00AF306A">
            <w:pPr>
              <w:jc w:val="left"/>
              <w:rPr>
                <w:rFonts w:ascii="Arial Narrow" w:hAnsi="Arial Narrow" w:cs="Calibri"/>
                <w:color w:val="000000"/>
                <w:spacing w:val="0"/>
                <w:sz w:val="18"/>
                <w:szCs w:val="18"/>
                <w:lang w:eastAsia="es-CO"/>
              </w:rPr>
            </w:pPr>
            <w:r w:rsidRPr="00AF306A">
              <w:rPr>
                <w:rFonts w:ascii="Arial Narrow" w:hAnsi="Arial Narrow"/>
                <w:sz w:val="18"/>
                <w:szCs w:val="18"/>
              </w:rPr>
              <w:t>BTU ENERGY S.A.S. E.S.P.</w:t>
            </w:r>
          </w:p>
        </w:tc>
        <w:tc>
          <w:tcPr>
            <w:tcW w:w="980" w:type="dxa"/>
            <w:shd w:val="clear" w:color="auto" w:fill="auto"/>
            <w:noWrap/>
            <w:vAlign w:val="center"/>
            <w:hideMark/>
          </w:tcPr>
          <w:p w14:paraId="39791384" w14:textId="6A5CB28F" w:rsidR="000B26E9" w:rsidRPr="00AF306A" w:rsidRDefault="000B26E9" w:rsidP="000B26E9">
            <w:pPr>
              <w:jc w:val="right"/>
              <w:rPr>
                <w:rFonts w:ascii="Arial Narrow" w:hAnsi="Arial Narrow" w:cs="Calibri"/>
                <w:color w:val="000000"/>
                <w:spacing w:val="0"/>
                <w:sz w:val="18"/>
                <w:szCs w:val="18"/>
                <w:lang w:eastAsia="es-CO"/>
              </w:rPr>
            </w:pPr>
            <w:r w:rsidRPr="00AF306A">
              <w:rPr>
                <w:rFonts w:ascii="Arial Narrow" w:hAnsi="Arial Narrow"/>
                <w:sz w:val="18"/>
                <w:szCs w:val="18"/>
              </w:rPr>
              <w:t>2</w:t>
            </w:r>
            <w:r>
              <w:rPr>
                <w:rFonts w:ascii="Arial Narrow" w:hAnsi="Arial Narrow"/>
                <w:sz w:val="18"/>
                <w:szCs w:val="18"/>
              </w:rPr>
              <w:t>.</w:t>
            </w:r>
            <w:r w:rsidRPr="00AF306A">
              <w:rPr>
                <w:rFonts w:ascii="Arial Narrow" w:hAnsi="Arial Narrow"/>
                <w:sz w:val="18"/>
                <w:szCs w:val="18"/>
              </w:rPr>
              <w:t>325</w:t>
            </w:r>
            <w:r>
              <w:rPr>
                <w:rFonts w:ascii="Arial Narrow" w:hAnsi="Arial Narrow"/>
                <w:sz w:val="18"/>
                <w:szCs w:val="18"/>
              </w:rPr>
              <w:t>.</w:t>
            </w:r>
            <w:r w:rsidRPr="00AF306A">
              <w:rPr>
                <w:rFonts w:ascii="Arial Narrow" w:hAnsi="Arial Narrow"/>
                <w:sz w:val="18"/>
                <w:szCs w:val="18"/>
              </w:rPr>
              <w:t>332</w:t>
            </w:r>
          </w:p>
        </w:tc>
        <w:tc>
          <w:tcPr>
            <w:tcW w:w="1288" w:type="dxa"/>
            <w:shd w:val="clear" w:color="auto" w:fill="auto"/>
            <w:noWrap/>
            <w:vAlign w:val="center"/>
            <w:hideMark/>
          </w:tcPr>
          <w:p w14:paraId="74EE8112" w14:textId="518AD3D1" w:rsidR="000B26E9" w:rsidRPr="00AF306A" w:rsidRDefault="000B26E9" w:rsidP="000B26E9">
            <w:pPr>
              <w:jc w:val="right"/>
              <w:rPr>
                <w:rFonts w:ascii="Arial Narrow" w:hAnsi="Arial Narrow" w:cs="Calibri"/>
                <w:color w:val="000000"/>
                <w:spacing w:val="0"/>
                <w:sz w:val="18"/>
                <w:szCs w:val="18"/>
                <w:lang w:eastAsia="es-CO"/>
              </w:rPr>
            </w:pPr>
            <w:r w:rsidRPr="00AF306A">
              <w:rPr>
                <w:rFonts w:ascii="Arial Narrow" w:hAnsi="Arial Narrow"/>
                <w:sz w:val="18"/>
                <w:szCs w:val="18"/>
              </w:rPr>
              <w:t>23</w:t>
            </w:r>
            <w:r>
              <w:rPr>
                <w:rFonts w:ascii="Arial Narrow" w:hAnsi="Arial Narrow"/>
                <w:sz w:val="18"/>
                <w:szCs w:val="18"/>
              </w:rPr>
              <w:t>.</w:t>
            </w:r>
            <w:r w:rsidRPr="00AF306A">
              <w:rPr>
                <w:rFonts w:ascii="Arial Narrow" w:hAnsi="Arial Narrow"/>
                <w:sz w:val="18"/>
                <w:szCs w:val="18"/>
              </w:rPr>
              <w:t>253</w:t>
            </w:r>
          </w:p>
        </w:tc>
      </w:tr>
      <w:tr w:rsidR="000B26E9" w:rsidRPr="00AF306A" w14:paraId="5527A1FA" w14:textId="77777777" w:rsidTr="00897878">
        <w:trPr>
          <w:trHeight w:val="325"/>
        </w:trPr>
        <w:tc>
          <w:tcPr>
            <w:tcW w:w="319" w:type="dxa"/>
            <w:shd w:val="clear" w:color="auto" w:fill="auto"/>
            <w:noWrap/>
            <w:vAlign w:val="center"/>
            <w:hideMark/>
          </w:tcPr>
          <w:p w14:paraId="683C3898" w14:textId="77777777" w:rsidR="000B26E9" w:rsidRPr="00AF306A" w:rsidRDefault="000B26E9" w:rsidP="00AF306A">
            <w:pPr>
              <w:jc w:val="center"/>
              <w:rPr>
                <w:rFonts w:ascii="Arial Narrow" w:hAnsi="Arial Narrow" w:cs="Calibri"/>
                <w:color w:val="000000"/>
                <w:spacing w:val="0"/>
                <w:sz w:val="18"/>
                <w:szCs w:val="18"/>
                <w:lang w:eastAsia="es-CO"/>
              </w:rPr>
            </w:pPr>
            <w:r w:rsidRPr="00AF306A">
              <w:rPr>
                <w:rFonts w:ascii="Arial Narrow" w:hAnsi="Arial Narrow" w:cs="Calibri"/>
                <w:color w:val="000000"/>
                <w:spacing w:val="0"/>
                <w:sz w:val="18"/>
                <w:szCs w:val="18"/>
                <w:lang w:eastAsia="es-CO"/>
              </w:rPr>
              <w:t>17</w:t>
            </w:r>
          </w:p>
        </w:tc>
        <w:tc>
          <w:tcPr>
            <w:tcW w:w="834" w:type="dxa"/>
            <w:shd w:val="clear" w:color="auto" w:fill="auto"/>
            <w:noWrap/>
            <w:vAlign w:val="center"/>
          </w:tcPr>
          <w:p w14:paraId="69541AA0" w14:textId="0FD04D21" w:rsidR="000B26E9" w:rsidRPr="00AF306A" w:rsidRDefault="000B26E9" w:rsidP="00AF306A">
            <w:pPr>
              <w:jc w:val="right"/>
              <w:rPr>
                <w:rFonts w:ascii="Arial Narrow" w:hAnsi="Arial Narrow" w:cs="Calibri"/>
                <w:color w:val="000000"/>
                <w:spacing w:val="0"/>
                <w:sz w:val="18"/>
                <w:szCs w:val="18"/>
                <w:lang w:eastAsia="es-CO"/>
              </w:rPr>
            </w:pPr>
            <w:r w:rsidRPr="00AF306A">
              <w:rPr>
                <w:rFonts w:ascii="Arial Narrow" w:hAnsi="Arial Narrow"/>
                <w:sz w:val="18"/>
                <w:szCs w:val="18"/>
              </w:rPr>
              <w:t>901192478</w:t>
            </w:r>
          </w:p>
        </w:tc>
        <w:tc>
          <w:tcPr>
            <w:tcW w:w="5221" w:type="dxa"/>
            <w:shd w:val="clear" w:color="auto" w:fill="auto"/>
            <w:vAlign w:val="center"/>
          </w:tcPr>
          <w:p w14:paraId="5A8E4C2F" w14:textId="66E12EE2" w:rsidR="000B26E9" w:rsidRPr="00AF306A" w:rsidRDefault="000B26E9" w:rsidP="00AF306A">
            <w:pPr>
              <w:jc w:val="left"/>
              <w:rPr>
                <w:rFonts w:ascii="Arial Narrow" w:hAnsi="Arial Narrow" w:cs="Calibri"/>
                <w:color w:val="000000"/>
                <w:spacing w:val="0"/>
                <w:sz w:val="18"/>
                <w:szCs w:val="18"/>
                <w:lang w:eastAsia="es-CO"/>
              </w:rPr>
            </w:pPr>
            <w:r w:rsidRPr="00AF306A">
              <w:rPr>
                <w:rFonts w:ascii="Arial Narrow" w:hAnsi="Arial Narrow"/>
                <w:sz w:val="18"/>
                <w:szCs w:val="18"/>
              </w:rPr>
              <w:t>COLOMBINA ENERGIA SAS ESP</w:t>
            </w:r>
          </w:p>
        </w:tc>
        <w:tc>
          <w:tcPr>
            <w:tcW w:w="980" w:type="dxa"/>
            <w:shd w:val="clear" w:color="auto" w:fill="auto"/>
            <w:noWrap/>
            <w:vAlign w:val="center"/>
            <w:hideMark/>
          </w:tcPr>
          <w:p w14:paraId="404E2BBC" w14:textId="50DEEA76" w:rsidR="000B26E9" w:rsidRPr="00AF306A" w:rsidRDefault="000B26E9" w:rsidP="000B26E9">
            <w:pPr>
              <w:jc w:val="right"/>
              <w:rPr>
                <w:rFonts w:ascii="Arial Narrow" w:hAnsi="Arial Narrow" w:cs="Calibri"/>
                <w:color w:val="000000"/>
                <w:spacing w:val="0"/>
                <w:sz w:val="18"/>
                <w:szCs w:val="18"/>
                <w:lang w:eastAsia="es-CO"/>
              </w:rPr>
            </w:pPr>
            <w:r w:rsidRPr="00AF306A">
              <w:rPr>
                <w:rFonts w:ascii="Arial Narrow" w:hAnsi="Arial Narrow"/>
                <w:sz w:val="18"/>
                <w:szCs w:val="18"/>
              </w:rPr>
              <w:t>1</w:t>
            </w:r>
            <w:r>
              <w:rPr>
                <w:rFonts w:ascii="Arial Narrow" w:hAnsi="Arial Narrow"/>
                <w:sz w:val="18"/>
                <w:szCs w:val="18"/>
              </w:rPr>
              <w:t>.</w:t>
            </w:r>
            <w:r w:rsidRPr="00AF306A">
              <w:rPr>
                <w:rFonts w:ascii="Arial Narrow" w:hAnsi="Arial Narrow"/>
                <w:sz w:val="18"/>
                <w:szCs w:val="18"/>
              </w:rPr>
              <w:t>851</w:t>
            </w:r>
            <w:r>
              <w:rPr>
                <w:rFonts w:ascii="Arial Narrow" w:hAnsi="Arial Narrow"/>
                <w:sz w:val="18"/>
                <w:szCs w:val="18"/>
              </w:rPr>
              <w:t>.</w:t>
            </w:r>
            <w:r w:rsidRPr="00AF306A">
              <w:rPr>
                <w:rFonts w:ascii="Arial Narrow" w:hAnsi="Arial Narrow"/>
                <w:sz w:val="18"/>
                <w:szCs w:val="18"/>
              </w:rPr>
              <w:t>003</w:t>
            </w:r>
          </w:p>
        </w:tc>
        <w:tc>
          <w:tcPr>
            <w:tcW w:w="1288" w:type="dxa"/>
            <w:shd w:val="clear" w:color="auto" w:fill="auto"/>
            <w:noWrap/>
            <w:vAlign w:val="center"/>
            <w:hideMark/>
          </w:tcPr>
          <w:p w14:paraId="11F09242" w14:textId="25A16EA5" w:rsidR="000B26E9" w:rsidRPr="00AF306A" w:rsidRDefault="000B26E9" w:rsidP="000B26E9">
            <w:pPr>
              <w:jc w:val="right"/>
              <w:rPr>
                <w:rFonts w:ascii="Arial Narrow" w:hAnsi="Arial Narrow" w:cs="Calibri"/>
                <w:color w:val="000000"/>
                <w:spacing w:val="0"/>
                <w:sz w:val="18"/>
                <w:szCs w:val="18"/>
                <w:lang w:eastAsia="es-CO"/>
              </w:rPr>
            </w:pPr>
            <w:r w:rsidRPr="00AF306A">
              <w:rPr>
                <w:rFonts w:ascii="Arial Narrow" w:hAnsi="Arial Narrow"/>
                <w:sz w:val="18"/>
                <w:szCs w:val="18"/>
              </w:rPr>
              <w:t>18</w:t>
            </w:r>
            <w:r>
              <w:rPr>
                <w:rFonts w:ascii="Arial Narrow" w:hAnsi="Arial Narrow"/>
                <w:sz w:val="18"/>
                <w:szCs w:val="18"/>
              </w:rPr>
              <w:t>.</w:t>
            </w:r>
            <w:r w:rsidRPr="00AF306A">
              <w:rPr>
                <w:rFonts w:ascii="Arial Narrow" w:hAnsi="Arial Narrow"/>
                <w:sz w:val="18"/>
                <w:szCs w:val="18"/>
              </w:rPr>
              <w:t>510</w:t>
            </w:r>
          </w:p>
        </w:tc>
      </w:tr>
      <w:tr w:rsidR="000B26E9" w:rsidRPr="00AF306A" w14:paraId="6C70F261" w14:textId="77777777" w:rsidTr="00897878">
        <w:trPr>
          <w:trHeight w:val="290"/>
        </w:trPr>
        <w:tc>
          <w:tcPr>
            <w:tcW w:w="319" w:type="dxa"/>
            <w:shd w:val="clear" w:color="auto" w:fill="auto"/>
            <w:noWrap/>
            <w:vAlign w:val="center"/>
            <w:hideMark/>
          </w:tcPr>
          <w:p w14:paraId="6C7DCFE8" w14:textId="77777777" w:rsidR="000B26E9" w:rsidRPr="00AF306A" w:rsidRDefault="000B26E9" w:rsidP="00AF306A">
            <w:pPr>
              <w:jc w:val="center"/>
              <w:rPr>
                <w:rFonts w:ascii="Arial Narrow" w:hAnsi="Arial Narrow" w:cs="Calibri"/>
                <w:color w:val="000000"/>
                <w:spacing w:val="0"/>
                <w:sz w:val="18"/>
                <w:szCs w:val="18"/>
                <w:lang w:eastAsia="es-CO"/>
              </w:rPr>
            </w:pPr>
            <w:r w:rsidRPr="00AF306A">
              <w:rPr>
                <w:rFonts w:ascii="Arial Narrow" w:hAnsi="Arial Narrow" w:cs="Calibri"/>
                <w:color w:val="000000"/>
                <w:spacing w:val="0"/>
                <w:sz w:val="18"/>
                <w:szCs w:val="18"/>
                <w:lang w:eastAsia="es-CO"/>
              </w:rPr>
              <w:t>18</w:t>
            </w:r>
          </w:p>
        </w:tc>
        <w:tc>
          <w:tcPr>
            <w:tcW w:w="834" w:type="dxa"/>
            <w:shd w:val="clear" w:color="auto" w:fill="auto"/>
            <w:noWrap/>
            <w:vAlign w:val="center"/>
          </w:tcPr>
          <w:p w14:paraId="319DDA30" w14:textId="452BABBA" w:rsidR="000B26E9" w:rsidRPr="00AF306A" w:rsidRDefault="000B26E9" w:rsidP="00AF306A">
            <w:pPr>
              <w:jc w:val="right"/>
              <w:rPr>
                <w:rFonts w:ascii="Arial Narrow" w:hAnsi="Arial Narrow" w:cs="Calibri"/>
                <w:color w:val="000000"/>
                <w:spacing w:val="0"/>
                <w:sz w:val="18"/>
                <w:szCs w:val="18"/>
                <w:lang w:eastAsia="es-CO"/>
              </w:rPr>
            </w:pPr>
            <w:r w:rsidRPr="00AF306A">
              <w:rPr>
                <w:rFonts w:ascii="Arial Narrow" w:hAnsi="Arial Narrow"/>
                <w:sz w:val="18"/>
                <w:szCs w:val="18"/>
              </w:rPr>
              <w:t>809012699</w:t>
            </w:r>
          </w:p>
        </w:tc>
        <w:tc>
          <w:tcPr>
            <w:tcW w:w="5221" w:type="dxa"/>
            <w:shd w:val="clear" w:color="auto" w:fill="auto"/>
            <w:vAlign w:val="center"/>
          </w:tcPr>
          <w:p w14:paraId="0FC8344A" w14:textId="67D09460" w:rsidR="000B26E9" w:rsidRPr="00AF306A" w:rsidRDefault="000B26E9" w:rsidP="00AF306A">
            <w:pPr>
              <w:jc w:val="left"/>
              <w:rPr>
                <w:rFonts w:ascii="Arial Narrow" w:hAnsi="Arial Narrow" w:cs="Calibri"/>
                <w:color w:val="000000"/>
                <w:spacing w:val="0"/>
                <w:sz w:val="18"/>
                <w:szCs w:val="18"/>
                <w:lang w:eastAsia="es-CO"/>
              </w:rPr>
            </w:pPr>
            <w:r w:rsidRPr="00AF306A">
              <w:rPr>
                <w:rFonts w:ascii="Arial Narrow" w:hAnsi="Arial Narrow"/>
                <w:sz w:val="18"/>
                <w:szCs w:val="18"/>
              </w:rPr>
              <w:t>SERVICIOS PUBLICOS INGENIERIA Y GAS</w:t>
            </w:r>
          </w:p>
        </w:tc>
        <w:tc>
          <w:tcPr>
            <w:tcW w:w="980" w:type="dxa"/>
            <w:shd w:val="clear" w:color="auto" w:fill="auto"/>
            <w:noWrap/>
            <w:vAlign w:val="center"/>
            <w:hideMark/>
          </w:tcPr>
          <w:p w14:paraId="794171BD" w14:textId="51ECF0A3" w:rsidR="000B26E9" w:rsidRPr="00AF306A" w:rsidRDefault="000B26E9" w:rsidP="000B26E9">
            <w:pPr>
              <w:jc w:val="right"/>
              <w:rPr>
                <w:rFonts w:ascii="Arial Narrow" w:hAnsi="Arial Narrow" w:cs="Calibri"/>
                <w:color w:val="000000"/>
                <w:spacing w:val="0"/>
                <w:sz w:val="18"/>
                <w:szCs w:val="18"/>
                <w:lang w:eastAsia="es-CO"/>
              </w:rPr>
            </w:pPr>
            <w:r w:rsidRPr="00AF306A">
              <w:rPr>
                <w:rFonts w:ascii="Arial Narrow" w:hAnsi="Arial Narrow"/>
                <w:sz w:val="18"/>
                <w:szCs w:val="18"/>
              </w:rPr>
              <w:t>753</w:t>
            </w:r>
            <w:r>
              <w:rPr>
                <w:rFonts w:ascii="Arial Narrow" w:hAnsi="Arial Narrow"/>
                <w:sz w:val="18"/>
                <w:szCs w:val="18"/>
              </w:rPr>
              <w:t>.</w:t>
            </w:r>
            <w:r w:rsidRPr="00AF306A">
              <w:rPr>
                <w:rFonts w:ascii="Arial Narrow" w:hAnsi="Arial Narrow"/>
                <w:sz w:val="18"/>
                <w:szCs w:val="18"/>
              </w:rPr>
              <w:t>614</w:t>
            </w:r>
          </w:p>
        </w:tc>
        <w:tc>
          <w:tcPr>
            <w:tcW w:w="1288" w:type="dxa"/>
            <w:shd w:val="clear" w:color="auto" w:fill="auto"/>
            <w:noWrap/>
            <w:vAlign w:val="center"/>
            <w:hideMark/>
          </w:tcPr>
          <w:p w14:paraId="5EB54DA7" w14:textId="51B7F61C" w:rsidR="000B26E9" w:rsidRPr="00AF306A" w:rsidRDefault="000B26E9" w:rsidP="000B26E9">
            <w:pPr>
              <w:jc w:val="right"/>
              <w:rPr>
                <w:rFonts w:ascii="Arial Narrow" w:hAnsi="Arial Narrow" w:cs="Calibri"/>
                <w:color w:val="000000"/>
                <w:spacing w:val="0"/>
                <w:sz w:val="18"/>
                <w:szCs w:val="18"/>
                <w:lang w:eastAsia="es-CO"/>
              </w:rPr>
            </w:pPr>
            <w:r w:rsidRPr="00AF306A">
              <w:rPr>
                <w:rFonts w:ascii="Arial Narrow" w:hAnsi="Arial Narrow"/>
                <w:sz w:val="18"/>
                <w:szCs w:val="18"/>
              </w:rPr>
              <w:t>7</w:t>
            </w:r>
            <w:r>
              <w:rPr>
                <w:rFonts w:ascii="Arial Narrow" w:hAnsi="Arial Narrow"/>
                <w:sz w:val="18"/>
                <w:szCs w:val="18"/>
              </w:rPr>
              <w:t>.</w:t>
            </w:r>
            <w:r w:rsidRPr="00AF306A">
              <w:rPr>
                <w:rFonts w:ascii="Arial Narrow" w:hAnsi="Arial Narrow"/>
                <w:sz w:val="18"/>
                <w:szCs w:val="18"/>
              </w:rPr>
              <w:t>536</w:t>
            </w:r>
          </w:p>
        </w:tc>
      </w:tr>
      <w:tr w:rsidR="000B26E9" w:rsidRPr="00AF306A" w14:paraId="0E71EB5B" w14:textId="77777777" w:rsidTr="00897878">
        <w:trPr>
          <w:trHeight w:val="252"/>
        </w:trPr>
        <w:tc>
          <w:tcPr>
            <w:tcW w:w="319" w:type="dxa"/>
            <w:shd w:val="clear" w:color="auto" w:fill="auto"/>
            <w:noWrap/>
            <w:vAlign w:val="center"/>
            <w:hideMark/>
          </w:tcPr>
          <w:p w14:paraId="440F76F6" w14:textId="77777777" w:rsidR="000B26E9" w:rsidRPr="00AF306A" w:rsidRDefault="000B26E9" w:rsidP="00AF306A">
            <w:pPr>
              <w:jc w:val="center"/>
              <w:rPr>
                <w:rFonts w:ascii="Arial Narrow" w:hAnsi="Arial Narrow" w:cs="Calibri"/>
                <w:color w:val="000000"/>
                <w:spacing w:val="0"/>
                <w:sz w:val="18"/>
                <w:szCs w:val="18"/>
                <w:lang w:eastAsia="es-CO"/>
              </w:rPr>
            </w:pPr>
            <w:r w:rsidRPr="00AF306A">
              <w:rPr>
                <w:rFonts w:ascii="Arial Narrow" w:hAnsi="Arial Narrow" w:cs="Calibri"/>
                <w:color w:val="000000"/>
                <w:spacing w:val="0"/>
                <w:sz w:val="18"/>
                <w:szCs w:val="18"/>
                <w:lang w:eastAsia="es-CO"/>
              </w:rPr>
              <w:t>19</w:t>
            </w:r>
          </w:p>
        </w:tc>
        <w:tc>
          <w:tcPr>
            <w:tcW w:w="834" w:type="dxa"/>
            <w:shd w:val="clear" w:color="auto" w:fill="auto"/>
            <w:noWrap/>
            <w:vAlign w:val="center"/>
          </w:tcPr>
          <w:p w14:paraId="2053A1CC" w14:textId="3767D603" w:rsidR="000B26E9" w:rsidRPr="00AF306A" w:rsidRDefault="000B26E9" w:rsidP="00AF306A">
            <w:pPr>
              <w:jc w:val="right"/>
              <w:rPr>
                <w:rFonts w:ascii="Arial Narrow" w:hAnsi="Arial Narrow" w:cs="Calibri"/>
                <w:color w:val="000000"/>
                <w:spacing w:val="0"/>
                <w:sz w:val="18"/>
                <w:szCs w:val="18"/>
                <w:lang w:eastAsia="es-CO"/>
              </w:rPr>
            </w:pPr>
            <w:r w:rsidRPr="00AF306A">
              <w:rPr>
                <w:rFonts w:ascii="Arial Narrow" w:hAnsi="Arial Narrow"/>
                <w:sz w:val="18"/>
                <w:szCs w:val="18"/>
              </w:rPr>
              <w:t>900039007</w:t>
            </w:r>
          </w:p>
        </w:tc>
        <w:tc>
          <w:tcPr>
            <w:tcW w:w="5221" w:type="dxa"/>
            <w:shd w:val="clear" w:color="auto" w:fill="auto"/>
            <w:vAlign w:val="center"/>
          </w:tcPr>
          <w:p w14:paraId="4372CE33" w14:textId="47D925E1" w:rsidR="000B26E9" w:rsidRPr="00AF306A" w:rsidRDefault="000B26E9" w:rsidP="00AF306A">
            <w:pPr>
              <w:jc w:val="left"/>
              <w:rPr>
                <w:rFonts w:ascii="Arial Narrow" w:hAnsi="Arial Narrow" w:cs="Calibri"/>
                <w:color w:val="000000"/>
                <w:spacing w:val="0"/>
                <w:sz w:val="18"/>
                <w:szCs w:val="18"/>
                <w:lang w:eastAsia="es-CO"/>
              </w:rPr>
            </w:pPr>
            <w:r w:rsidRPr="00AF306A">
              <w:rPr>
                <w:rFonts w:ascii="Arial Narrow" w:hAnsi="Arial Narrow"/>
                <w:sz w:val="18"/>
                <w:szCs w:val="18"/>
              </w:rPr>
              <w:t>ELECTRIFICADORA DEL PACIFICO S.A. E.S.P.</w:t>
            </w:r>
          </w:p>
        </w:tc>
        <w:tc>
          <w:tcPr>
            <w:tcW w:w="980" w:type="dxa"/>
            <w:shd w:val="clear" w:color="auto" w:fill="auto"/>
            <w:noWrap/>
            <w:vAlign w:val="center"/>
            <w:hideMark/>
          </w:tcPr>
          <w:p w14:paraId="65242FB3" w14:textId="7C066768" w:rsidR="000B26E9" w:rsidRPr="00AF306A" w:rsidRDefault="000B26E9" w:rsidP="000B26E9">
            <w:pPr>
              <w:jc w:val="right"/>
              <w:rPr>
                <w:rFonts w:ascii="Arial Narrow" w:hAnsi="Arial Narrow" w:cs="Calibri"/>
                <w:color w:val="000000"/>
                <w:spacing w:val="0"/>
                <w:sz w:val="18"/>
                <w:szCs w:val="18"/>
                <w:lang w:eastAsia="es-CO"/>
              </w:rPr>
            </w:pPr>
            <w:r w:rsidRPr="00AF306A">
              <w:rPr>
                <w:rFonts w:ascii="Arial Narrow" w:hAnsi="Arial Narrow"/>
                <w:sz w:val="18"/>
                <w:szCs w:val="18"/>
              </w:rPr>
              <w:t>741</w:t>
            </w:r>
            <w:r>
              <w:rPr>
                <w:rFonts w:ascii="Arial Narrow" w:hAnsi="Arial Narrow"/>
                <w:sz w:val="18"/>
                <w:szCs w:val="18"/>
              </w:rPr>
              <w:t>.</w:t>
            </w:r>
            <w:r w:rsidRPr="00AF306A">
              <w:rPr>
                <w:rFonts w:ascii="Arial Narrow" w:hAnsi="Arial Narrow"/>
                <w:sz w:val="18"/>
                <w:szCs w:val="18"/>
              </w:rPr>
              <w:t>232</w:t>
            </w:r>
          </w:p>
        </w:tc>
        <w:tc>
          <w:tcPr>
            <w:tcW w:w="1288" w:type="dxa"/>
            <w:shd w:val="clear" w:color="auto" w:fill="auto"/>
            <w:noWrap/>
            <w:vAlign w:val="center"/>
            <w:hideMark/>
          </w:tcPr>
          <w:p w14:paraId="3846C7F6" w14:textId="240A14A6" w:rsidR="000B26E9" w:rsidRPr="00AF306A" w:rsidRDefault="000B26E9" w:rsidP="000B26E9">
            <w:pPr>
              <w:jc w:val="right"/>
              <w:rPr>
                <w:rFonts w:ascii="Arial Narrow" w:hAnsi="Arial Narrow" w:cs="Calibri"/>
                <w:color w:val="000000"/>
                <w:spacing w:val="0"/>
                <w:sz w:val="18"/>
                <w:szCs w:val="18"/>
                <w:lang w:eastAsia="es-CO"/>
              </w:rPr>
            </w:pPr>
            <w:r w:rsidRPr="00AF306A">
              <w:rPr>
                <w:rFonts w:ascii="Arial Narrow" w:hAnsi="Arial Narrow"/>
                <w:sz w:val="18"/>
                <w:szCs w:val="18"/>
              </w:rPr>
              <w:t>7</w:t>
            </w:r>
            <w:r>
              <w:rPr>
                <w:rFonts w:ascii="Arial Narrow" w:hAnsi="Arial Narrow"/>
                <w:sz w:val="18"/>
                <w:szCs w:val="18"/>
              </w:rPr>
              <w:t>.</w:t>
            </w:r>
            <w:r w:rsidRPr="00AF306A">
              <w:rPr>
                <w:rFonts w:ascii="Arial Narrow" w:hAnsi="Arial Narrow"/>
                <w:sz w:val="18"/>
                <w:szCs w:val="18"/>
              </w:rPr>
              <w:t>412</w:t>
            </w:r>
          </w:p>
        </w:tc>
      </w:tr>
      <w:tr w:rsidR="000B26E9" w:rsidRPr="00AF306A" w14:paraId="61CBB135" w14:textId="77777777" w:rsidTr="00897878">
        <w:trPr>
          <w:trHeight w:val="215"/>
        </w:trPr>
        <w:tc>
          <w:tcPr>
            <w:tcW w:w="319" w:type="dxa"/>
            <w:shd w:val="clear" w:color="auto" w:fill="auto"/>
            <w:noWrap/>
            <w:vAlign w:val="center"/>
            <w:hideMark/>
          </w:tcPr>
          <w:p w14:paraId="435EC45F" w14:textId="77777777" w:rsidR="000B26E9" w:rsidRPr="00AF306A" w:rsidRDefault="000B26E9" w:rsidP="00AF306A">
            <w:pPr>
              <w:jc w:val="center"/>
              <w:rPr>
                <w:rFonts w:ascii="Arial Narrow" w:hAnsi="Arial Narrow" w:cs="Calibri"/>
                <w:color w:val="000000"/>
                <w:spacing w:val="0"/>
                <w:sz w:val="18"/>
                <w:szCs w:val="18"/>
                <w:lang w:eastAsia="es-CO"/>
              </w:rPr>
            </w:pPr>
            <w:r w:rsidRPr="00AF306A">
              <w:rPr>
                <w:rFonts w:ascii="Arial Narrow" w:hAnsi="Arial Narrow" w:cs="Calibri"/>
                <w:color w:val="000000"/>
                <w:spacing w:val="0"/>
                <w:sz w:val="18"/>
                <w:szCs w:val="18"/>
                <w:lang w:eastAsia="es-CO"/>
              </w:rPr>
              <w:t>20</w:t>
            </w:r>
          </w:p>
        </w:tc>
        <w:tc>
          <w:tcPr>
            <w:tcW w:w="834" w:type="dxa"/>
            <w:shd w:val="clear" w:color="auto" w:fill="auto"/>
            <w:noWrap/>
            <w:vAlign w:val="center"/>
          </w:tcPr>
          <w:p w14:paraId="25A040D6" w14:textId="258A09F5" w:rsidR="000B26E9" w:rsidRPr="00AF306A" w:rsidRDefault="000B26E9" w:rsidP="00AF306A">
            <w:pPr>
              <w:jc w:val="right"/>
              <w:rPr>
                <w:rFonts w:ascii="Arial Narrow" w:hAnsi="Arial Narrow" w:cs="Calibri"/>
                <w:color w:val="000000"/>
                <w:spacing w:val="0"/>
                <w:sz w:val="18"/>
                <w:szCs w:val="18"/>
                <w:lang w:eastAsia="es-CO"/>
              </w:rPr>
            </w:pPr>
            <w:r w:rsidRPr="00AF306A">
              <w:rPr>
                <w:rFonts w:ascii="Arial Narrow" w:hAnsi="Arial Narrow"/>
                <w:sz w:val="18"/>
                <w:szCs w:val="18"/>
              </w:rPr>
              <w:t>804011155</w:t>
            </w:r>
          </w:p>
        </w:tc>
        <w:tc>
          <w:tcPr>
            <w:tcW w:w="5221" w:type="dxa"/>
            <w:shd w:val="clear" w:color="auto" w:fill="auto"/>
            <w:vAlign w:val="center"/>
          </w:tcPr>
          <w:p w14:paraId="0FE420CB" w14:textId="708EFE01" w:rsidR="000B26E9" w:rsidRPr="00AF306A" w:rsidRDefault="000B26E9" w:rsidP="00AF306A">
            <w:pPr>
              <w:jc w:val="left"/>
              <w:rPr>
                <w:rFonts w:ascii="Arial Narrow" w:hAnsi="Arial Narrow" w:cs="Calibri"/>
                <w:color w:val="000000"/>
                <w:spacing w:val="0"/>
                <w:sz w:val="18"/>
                <w:szCs w:val="18"/>
                <w:lang w:eastAsia="es-CO"/>
              </w:rPr>
            </w:pPr>
            <w:r w:rsidRPr="00AF306A">
              <w:rPr>
                <w:rFonts w:ascii="Arial Narrow" w:hAnsi="Arial Narrow"/>
                <w:sz w:val="18"/>
                <w:szCs w:val="18"/>
              </w:rPr>
              <w:t>CIAZ SAS ESP</w:t>
            </w:r>
          </w:p>
        </w:tc>
        <w:tc>
          <w:tcPr>
            <w:tcW w:w="980" w:type="dxa"/>
            <w:shd w:val="clear" w:color="auto" w:fill="auto"/>
            <w:noWrap/>
            <w:vAlign w:val="center"/>
            <w:hideMark/>
          </w:tcPr>
          <w:p w14:paraId="29B7359C" w14:textId="34D7FF40" w:rsidR="000B26E9" w:rsidRPr="00AF306A" w:rsidRDefault="000B26E9" w:rsidP="000B26E9">
            <w:pPr>
              <w:jc w:val="right"/>
              <w:rPr>
                <w:rFonts w:ascii="Arial Narrow" w:hAnsi="Arial Narrow" w:cs="Calibri"/>
                <w:color w:val="000000"/>
                <w:spacing w:val="0"/>
                <w:sz w:val="18"/>
                <w:szCs w:val="18"/>
                <w:lang w:eastAsia="es-CO"/>
              </w:rPr>
            </w:pPr>
            <w:r w:rsidRPr="00AF306A">
              <w:rPr>
                <w:rFonts w:ascii="Arial Narrow" w:hAnsi="Arial Narrow"/>
                <w:sz w:val="18"/>
                <w:szCs w:val="18"/>
              </w:rPr>
              <w:t>601</w:t>
            </w:r>
            <w:r>
              <w:rPr>
                <w:rFonts w:ascii="Arial Narrow" w:hAnsi="Arial Narrow"/>
                <w:sz w:val="18"/>
                <w:szCs w:val="18"/>
              </w:rPr>
              <w:t>.</w:t>
            </w:r>
            <w:r w:rsidRPr="00AF306A">
              <w:rPr>
                <w:rFonts w:ascii="Arial Narrow" w:hAnsi="Arial Narrow"/>
                <w:sz w:val="18"/>
                <w:szCs w:val="18"/>
              </w:rPr>
              <w:t>136</w:t>
            </w:r>
          </w:p>
        </w:tc>
        <w:tc>
          <w:tcPr>
            <w:tcW w:w="1288" w:type="dxa"/>
            <w:shd w:val="clear" w:color="auto" w:fill="auto"/>
            <w:noWrap/>
            <w:vAlign w:val="center"/>
            <w:hideMark/>
          </w:tcPr>
          <w:p w14:paraId="7490604F" w14:textId="7C7E6C08" w:rsidR="000B26E9" w:rsidRPr="00AF306A" w:rsidRDefault="000B26E9" w:rsidP="000B26E9">
            <w:pPr>
              <w:jc w:val="right"/>
              <w:rPr>
                <w:rFonts w:ascii="Arial Narrow" w:hAnsi="Arial Narrow" w:cs="Calibri"/>
                <w:color w:val="000000"/>
                <w:spacing w:val="0"/>
                <w:sz w:val="18"/>
                <w:szCs w:val="18"/>
                <w:lang w:eastAsia="es-CO"/>
              </w:rPr>
            </w:pPr>
            <w:r w:rsidRPr="00AF306A">
              <w:rPr>
                <w:rFonts w:ascii="Arial Narrow" w:hAnsi="Arial Narrow"/>
                <w:sz w:val="18"/>
                <w:szCs w:val="18"/>
              </w:rPr>
              <w:t>6</w:t>
            </w:r>
            <w:r>
              <w:rPr>
                <w:rFonts w:ascii="Arial Narrow" w:hAnsi="Arial Narrow"/>
                <w:sz w:val="18"/>
                <w:szCs w:val="18"/>
              </w:rPr>
              <w:t>.</w:t>
            </w:r>
            <w:r w:rsidRPr="00AF306A">
              <w:rPr>
                <w:rFonts w:ascii="Arial Narrow" w:hAnsi="Arial Narrow"/>
                <w:sz w:val="18"/>
                <w:szCs w:val="18"/>
              </w:rPr>
              <w:t>011</w:t>
            </w:r>
          </w:p>
        </w:tc>
      </w:tr>
      <w:tr w:rsidR="000B26E9" w:rsidRPr="00AF306A" w14:paraId="6207C139" w14:textId="77777777" w:rsidTr="00897878">
        <w:trPr>
          <w:trHeight w:val="165"/>
        </w:trPr>
        <w:tc>
          <w:tcPr>
            <w:tcW w:w="319" w:type="dxa"/>
            <w:shd w:val="clear" w:color="auto" w:fill="auto"/>
            <w:noWrap/>
            <w:vAlign w:val="center"/>
            <w:hideMark/>
          </w:tcPr>
          <w:p w14:paraId="5E5A177E" w14:textId="77777777" w:rsidR="000B26E9" w:rsidRPr="00AF306A" w:rsidRDefault="000B26E9" w:rsidP="00AF306A">
            <w:pPr>
              <w:jc w:val="center"/>
              <w:rPr>
                <w:rFonts w:ascii="Arial Narrow" w:hAnsi="Arial Narrow" w:cs="Calibri"/>
                <w:color w:val="000000"/>
                <w:spacing w:val="0"/>
                <w:sz w:val="18"/>
                <w:szCs w:val="18"/>
                <w:lang w:eastAsia="es-CO"/>
              </w:rPr>
            </w:pPr>
            <w:r w:rsidRPr="00AF306A">
              <w:rPr>
                <w:rFonts w:ascii="Arial Narrow" w:hAnsi="Arial Narrow" w:cs="Calibri"/>
                <w:color w:val="000000"/>
                <w:spacing w:val="0"/>
                <w:sz w:val="18"/>
                <w:szCs w:val="18"/>
                <w:lang w:eastAsia="es-CO"/>
              </w:rPr>
              <w:t>21</w:t>
            </w:r>
          </w:p>
        </w:tc>
        <w:tc>
          <w:tcPr>
            <w:tcW w:w="834" w:type="dxa"/>
            <w:shd w:val="clear" w:color="auto" w:fill="auto"/>
            <w:noWrap/>
            <w:vAlign w:val="center"/>
          </w:tcPr>
          <w:p w14:paraId="4144236D" w14:textId="3BACBFD1" w:rsidR="000B26E9" w:rsidRPr="00AF306A" w:rsidRDefault="000B26E9" w:rsidP="00AF306A">
            <w:pPr>
              <w:jc w:val="right"/>
              <w:rPr>
                <w:rFonts w:ascii="Arial Narrow" w:hAnsi="Arial Narrow" w:cs="Calibri"/>
                <w:color w:val="000000"/>
                <w:spacing w:val="0"/>
                <w:sz w:val="18"/>
                <w:szCs w:val="18"/>
                <w:lang w:eastAsia="es-CO"/>
              </w:rPr>
            </w:pPr>
            <w:r w:rsidRPr="00AF306A">
              <w:rPr>
                <w:rFonts w:ascii="Arial Narrow" w:hAnsi="Arial Narrow"/>
                <w:sz w:val="18"/>
                <w:szCs w:val="18"/>
              </w:rPr>
              <w:t>822004727</w:t>
            </w:r>
          </w:p>
        </w:tc>
        <w:tc>
          <w:tcPr>
            <w:tcW w:w="5221" w:type="dxa"/>
            <w:shd w:val="clear" w:color="auto" w:fill="auto"/>
            <w:vAlign w:val="center"/>
          </w:tcPr>
          <w:p w14:paraId="6E0FE097" w14:textId="38B36154" w:rsidR="000B26E9" w:rsidRPr="00AF306A" w:rsidRDefault="000B26E9" w:rsidP="00AF306A">
            <w:pPr>
              <w:jc w:val="left"/>
              <w:rPr>
                <w:rFonts w:ascii="Arial Narrow" w:hAnsi="Arial Narrow" w:cs="Calibri"/>
                <w:color w:val="000000"/>
                <w:spacing w:val="0"/>
                <w:sz w:val="18"/>
                <w:szCs w:val="18"/>
                <w:lang w:eastAsia="es-CO"/>
              </w:rPr>
            </w:pPr>
            <w:r w:rsidRPr="00AF306A">
              <w:rPr>
                <w:rFonts w:ascii="Arial Narrow" w:hAnsi="Arial Narrow"/>
                <w:sz w:val="18"/>
                <w:szCs w:val="18"/>
              </w:rPr>
              <w:t>LA LLAMA OLÍMPICA S.A, E.S.P.</w:t>
            </w:r>
          </w:p>
        </w:tc>
        <w:tc>
          <w:tcPr>
            <w:tcW w:w="980" w:type="dxa"/>
            <w:shd w:val="clear" w:color="auto" w:fill="auto"/>
            <w:noWrap/>
            <w:vAlign w:val="center"/>
            <w:hideMark/>
          </w:tcPr>
          <w:p w14:paraId="018CE758" w14:textId="359EE1EA" w:rsidR="000B26E9" w:rsidRPr="00AF306A" w:rsidRDefault="000B26E9" w:rsidP="000B26E9">
            <w:pPr>
              <w:jc w:val="right"/>
              <w:rPr>
                <w:rFonts w:ascii="Arial Narrow" w:hAnsi="Arial Narrow" w:cs="Calibri"/>
                <w:color w:val="000000"/>
                <w:spacing w:val="0"/>
                <w:sz w:val="18"/>
                <w:szCs w:val="18"/>
                <w:lang w:eastAsia="es-CO"/>
              </w:rPr>
            </w:pPr>
            <w:r w:rsidRPr="00AF306A">
              <w:rPr>
                <w:rFonts w:ascii="Arial Narrow" w:hAnsi="Arial Narrow"/>
                <w:sz w:val="18"/>
                <w:szCs w:val="18"/>
              </w:rPr>
              <w:t>580</w:t>
            </w:r>
            <w:r>
              <w:rPr>
                <w:rFonts w:ascii="Arial Narrow" w:hAnsi="Arial Narrow"/>
                <w:sz w:val="18"/>
                <w:szCs w:val="18"/>
              </w:rPr>
              <w:t>.</w:t>
            </w:r>
            <w:r w:rsidRPr="00AF306A">
              <w:rPr>
                <w:rFonts w:ascii="Arial Narrow" w:hAnsi="Arial Narrow"/>
                <w:sz w:val="18"/>
                <w:szCs w:val="18"/>
              </w:rPr>
              <w:t>226</w:t>
            </w:r>
          </w:p>
        </w:tc>
        <w:tc>
          <w:tcPr>
            <w:tcW w:w="1288" w:type="dxa"/>
            <w:shd w:val="clear" w:color="auto" w:fill="auto"/>
            <w:noWrap/>
            <w:vAlign w:val="center"/>
            <w:hideMark/>
          </w:tcPr>
          <w:p w14:paraId="1593CC0D" w14:textId="5C442BFA" w:rsidR="000B26E9" w:rsidRPr="00AF306A" w:rsidRDefault="000B26E9" w:rsidP="000B26E9">
            <w:pPr>
              <w:jc w:val="right"/>
              <w:rPr>
                <w:rFonts w:ascii="Arial Narrow" w:hAnsi="Arial Narrow" w:cs="Calibri"/>
                <w:color w:val="000000"/>
                <w:spacing w:val="0"/>
                <w:sz w:val="18"/>
                <w:szCs w:val="18"/>
                <w:lang w:eastAsia="es-CO"/>
              </w:rPr>
            </w:pPr>
            <w:r w:rsidRPr="00AF306A">
              <w:rPr>
                <w:rFonts w:ascii="Arial Narrow" w:hAnsi="Arial Narrow"/>
                <w:sz w:val="18"/>
                <w:szCs w:val="18"/>
              </w:rPr>
              <w:t>5</w:t>
            </w:r>
            <w:r>
              <w:rPr>
                <w:rFonts w:ascii="Arial Narrow" w:hAnsi="Arial Narrow"/>
                <w:sz w:val="18"/>
                <w:szCs w:val="18"/>
              </w:rPr>
              <w:t>.</w:t>
            </w:r>
            <w:r w:rsidRPr="00AF306A">
              <w:rPr>
                <w:rFonts w:ascii="Arial Narrow" w:hAnsi="Arial Narrow"/>
                <w:sz w:val="18"/>
                <w:szCs w:val="18"/>
              </w:rPr>
              <w:t>802</w:t>
            </w:r>
          </w:p>
        </w:tc>
      </w:tr>
      <w:tr w:rsidR="000B26E9" w:rsidRPr="00AF306A" w14:paraId="2F5969C1" w14:textId="77777777" w:rsidTr="00897878">
        <w:trPr>
          <w:trHeight w:val="272"/>
        </w:trPr>
        <w:tc>
          <w:tcPr>
            <w:tcW w:w="319" w:type="dxa"/>
            <w:shd w:val="clear" w:color="auto" w:fill="auto"/>
            <w:noWrap/>
            <w:vAlign w:val="center"/>
            <w:hideMark/>
          </w:tcPr>
          <w:p w14:paraId="5E8C9D61" w14:textId="77777777" w:rsidR="000B26E9" w:rsidRPr="00AF306A" w:rsidRDefault="000B26E9" w:rsidP="00AF306A">
            <w:pPr>
              <w:jc w:val="center"/>
              <w:rPr>
                <w:rFonts w:ascii="Arial Narrow" w:hAnsi="Arial Narrow" w:cs="Calibri"/>
                <w:color w:val="000000"/>
                <w:spacing w:val="0"/>
                <w:sz w:val="18"/>
                <w:szCs w:val="18"/>
                <w:lang w:eastAsia="es-CO"/>
              </w:rPr>
            </w:pPr>
            <w:r w:rsidRPr="00AF306A">
              <w:rPr>
                <w:rFonts w:ascii="Arial Narrow" w:hAnsi="Arial Narrow" w:cs="Calibri"/>
                <w:color w:val="000000"/>
                <w:spacing w:val="0"/>
                <w:sz w:val="18"/>
                <w:szCs w:val="18"/>
                <w:lang w:eastAsia="es-CO"/>
              </w:rPr>
              <w:t>22</w:t>
            </w:r>
          </w:p>
        </w:tc>
        <w:tc>
          <w:tcPr>
            <w:tcW w:w="834" w:type="dxa"/>
            <w:shd w:val="clear" w:color="auto" w:fill="auto"/>
            <w:noWrap/>
            <w:vAlign w:val="center"/>
          </w:tcPr>
          <w:p w14:paraId="537E8986" w14:textId="6D477729" w:rsidR="000B26E9" w:rsidRPr="00AF306A" w:rsidRDefault="000B26E9" w:rsidP="00AF306A">
            <w:pPr>
              <w:jc w:val="right"/>
              <w:rPr>
                <w:rFonts w:ascii="Arial Narrow" w:hAnsi="Arial Narrow" w:cs="Calibri"/>
                <w:color w:val="000000"/>
                <w:spacing w:val="0"/>
                <w:sz w:val="18"/>
                <w:szCs w:val="18"/>
                <w:lang w:eastAsia="es-CO"/>
              </w:rPr>
            </w:pPr>
            <w:r w:rsidRPr="00AF306A">
              <w:rPr>
                <w:rFonts w:ascii="Arial Narrow" w:hAnsi="Arial Narrow"/>
                <w:sz w:val="18"/>
                <w:szCs w:val="18"/>
              </w:rPr>
              <w:t>900586170</w:t>
            </w:r>
          </w:p>
        </w:tc>
        <w:tc>
          <w:tcPr>
            <w:tcW w:w="5221" w:type="dxa"/>
            <w:shd w:val="clear" w:color="auto" w:fill="auto"/>
            <w:vAlign w:val="center"/>
          </w:tcPr>
          <w:p w14:paraId="386EBA1D" w14:textId="54A99BD2" w:rsidR="000B26E9" w:rsidRPr="00AF306A" w:rsidRDefault="000B26E9" w:rsidP="00AF306A">
            <w:pPr>
              <w:jc w:val="left"/>
              <w:rPr>
                <w:rFonts w:ascii="Arial Narrow" w:hAnsi="Arial Narrow" w:cs="Calibri"/>
                <w:color w:val="000000"/>
                <w:spacing w:val="0"/>
                <w:sz w:val="18"/>
                <w:szCs w:val="18"/>
                <w:lang w:eastAsia="es-CO"/>
              </w:rPr>
            </w:pPr>
            <w:r w:rsidRPr="00AF306A">
              <w:rPr>
                <w:rFonts w:ascii="Arial Narrow" w:hAnsi="Arial Narrow"/>
                <w:sz w:val="18"/>
                <w:szCs w:val="18"/>
              </w:rPr>
              <w:t>GAS UNION DE COLOMBIA S.A.S. E.S.P.</w:t>
            </w:r>
          </w:p>
        </w:tc>
        <w:tc>
          <w:tcPr>
            <w:tcW w:w="980" w:type="dxa"/>
            <w:shd w:val="clear" w:color="auto" w:fill="auto"/>
            <w:noWrap/>
            <w:vAlign w:val="center"/>
            <w:hideMark/>
          </w:tcPr>
          <w:p w14:paraId="50B817AD" w14:textId="5288AA6A" w:rsidR="000B26E9" w:rsidRPr="00AF306A" w:rsidRDefault="000B26E9" w:rsidP="000B26E9">
            <w:pPr>
              <w:jc w:val="right"/>
              <w:rPr>
                <w:rFonts w:ascii="Arial Narrow" w:hAnsi="Arial Narrow" w:cs="Calibri"/>
                <w:color w:val="000000"/>
                <w:spacing w:val="0"/>
                <w:sz w:val="18"/>
                <w:szCs w:val="18"/>
                <w:lang w:eastAsia="es-CO"/>
              </w:rPr>
            </w:pPr>
            <w:r w:rsidRPr="00AF306A">
              <w:rPr>
                <w:rFonts w:ascii="Arial Narrow" w:hAnsi="Arial Narrow"/>
                <w:sz w:val="18"/>
                <w:szCs w:val="18"/>
              </w:rPr>
              <w:t>215</w:t>
            </w:r>
            <w:r>
              <w:rPr>
                <w:rFonts w:ascii="Arial Narrow" w:hAnsi="Arial Narrow"/>
                <w:sz w:val="18"/>
                <w:szCs w:val="18"/>
              </w:rPr>
              <w:t>.</w:t>
            </w:r>
            <w:r w:rsidRPr="00AF306A">
              <w:rPr>
                <w:rFonts w:ascii="Arial Narrow" w:hAnsi="Arial Narrow"/>
                <w:sz w:val="18"/>
                <w:szCs w:val="18"/>
              </w:rPr>
              <w:t>123</w:t>
            </w:r>
          </w:p>
        </w:tc>
        <w:tc>
          <w:tcPr>
            <w:tcW w:w="1288" w:type="dxa"/>
            <w:shd w:val="clear" w:color="auto" w:fill="auto"/>
            <w:noWrap/>
            <w:vAlign w:val="center"/>
            <w:hideMark/>
          </w:tcPr>
          <w:p w14:paraId="4171370B" w14:textId="41A6897A" w:rsidR="000B26E9" w:rsidRPr="00AF306A" w:rsidRDefault="000B26E9" w:rsidP="000B26E9">
            <w:pPr>
              <w:jc w:val="right"/>
              <w:rPr>
                <w:rFonts w:ascii="Arial Narrow" w:hAnsi="Arial Narrow" w:cs="Calibri"/>
                <w:color w:val="000000"/>
                <w:spacing w:val="0"/>
                <w:sz w:val="18"/>
                <w:szCs w:val="18"/>
                <w:lang w:eastAsia="es-CO"/>
              </w:rPr>
            </w:pPr>
            <w:r w:rsidRPr="00AF306A">
              <w:rPr>
                <w:rFonts w:ascii="Arial Narrow" w:hAnsi="Arial Narrow"/>
                <w:sz w:val="18"/>
                <w:szCs w:val="18"/>
              </w:rPr>
              <w:t>2</w:t>
            </w:r>
            <w:r>
              <w:rPr>
                <w:rFonts w:ascii="Arial Narrow" w:hAnsi="Arial Narrow"/>
                <w:sz w:val="18"/>
                <w:szCs w:val="18"/>
              </w:rPr>
              <w:t>.</w:t>
            </w:r>
            <w:r w:rsidRPr="00AF306A">
              <w:rPr>
                <w:rFonts w:ascii="Arial Narrow" w:hAnsi="Arial Narrow"/>
                <w:sz w:val="18"/>
                <w:szCs w:val="18"/>
              </w:rPr>
              <w:t>151</w:t>
            </w:r>
          </w:p>
        </w:tc>
      </w:tr>
      <w:tr w:rsidR="000B26E9" w:rsidRPr="00AF306A" w14:paraId="31F114B5" w14:textId="77777777" w:rsidTr="00897878">
        <w:trPr>
          <w:trHeight w:val="290"/>
        </w:trPr>
        <w:tc>
          <w:tcPr>
            <w:tcW w:w="319" w:type="dxa"/>
            <w:shd w:val="clear" w:color="auto" w:fill="auto"/>
            <w:noWrap/>
            <w:vAlign w:val="center"/>
            <w:hideMark/>
          </w:tcPr>
          <w:p w14:paraId="143AD2E7" w14:textId="77777777" w:rsidR="000B26E9" w:rsidRPr="00AF306A" w:rsidRDefault="000B26E9" w:rsidP="00AF306A">
            <w:pPr>
              <w:jc w:val="center"/>
              <w:rPr>
                <w:rFonts w:ascii="Arial Narrow" w:hAnsi="Arial Narrow" w:cs="Calibri"/>
                <w:color w:val="000000"/>
                <w:spacing w:val="0"/>
                <w:sz w:val="18"/>
                <w:szCs w:val="18"/>
                <w:lang w:eastAsia="es-CO"/>
              </w:rPr>
            </w:pPr>
            <w:r w:rsidRPr="00AF306A">
              <w:rPr>
                <w:rFonts w:ascii="Arial Narrow" w:hAnsi="Arial Narrow" w:cs="Calibri"/>
                <w:color w:val="000000"/>
                <w:spacing w:val="0"/>
                <w:sz w:val="18"/>
                <w:szCs w:val="18"/>
                <w:lang w:eastAsia="es-CO"/>
              </w:rPr>
              <w:t>23</w:t>
            </w:r>
          </w:p>
        </w:tc>
        <w:tc>
          <w:tcPr>
            <w:tcW w:w="834" w:type="dxa"/>
            <w:shd w:val="clear" w:color="auto" w:fill="auto"/>
            <w:noWrap/>
            <w:vAlign w:val="center"/>
          </w:tcPr>
          <w:p w14:paraId="2FB9ADD4" w14:textId="69B34F9C" w:rsidR="000B26E9" w:rsidRPr="00AF306A" w:rsidRDefault="000B26E9" w:rsidP="00AF306A">
            <w:pPr>
              <w:jc w:val="right"/>
              <w:rPr>
                <w:rFonts w:ascii="Arial Narrow" w:hAnsi="Arial Narrow" w:cs="Calibri"/>
                <w:color w:val="000000"/>
                <w:spacing w:val="0"/>
                <w:sz w:val="18"/>
                <w:szCs w:val="18"/>
                <w:lang w:eastAsia="es-CO"/>
              </w:rPr>
            </w:pPr>
            <w:r w:rsidRPr="00AF306A">
              <w:rPr>
                <w:rFonts w:ascii="Arial Narrow" w:hAnsi="Arial Narrow"/>
                <w:sz w:val="18"/>
                <w:szCs w:val="18"/>
              </w:rPr>
              <w:t>840000776</w:t>
            </w:r>
          </w:p>
        </w:tc>
        <w:tc>
          <w:tcPr>
            <w:tcW w:w="5221" w:type="dxa"/>
            <w:shd w:val="clear" w:color="auto" w:fill="auto"/>
            <w:vAlign w:val="center"/>
          </w:tcPr>
          <w:p w14:paraId="014E638E" w14:textId="09CBABFF" w:rsidR="000B26E9" w:rsidRPr="00AF306A" w:rsidRDefault="000B26E9" w:rsidP="00AF306A">
            <w:pPr>
              <w:jc w:val="left"/>
              <w:rPr>
                <w:rFonts w:ascii="Arial Narrow" w:hAnsi="Arial Narrow" w:cs="Calibri"/>
                <w:color w:val="000000"/>
                <w:spacing w:val="0"/>
                <w:sz w:val="18"/>
                <w:szCs w:val="18"/>
                <w:lang w:eastAsia="es-CO"/>
              </w:rPr>
            </w:pPr>
            <w:r w:rsidRPr="00AF306A">
              <w:rPr>
                <w:rFonts w:ascii="Arial Narrow" w:hAnsi="Arial Narrow"/>
                <w:sz w:val="18"/>
                <w:szCs w:val="18"/>
              </w:rPr>
              <w:t>E.A.T. DE PRESTACION DE SERVICIOS PUBLICOS DE LA LOCALIDAD DEL CHAJAL MUNINIPIO DE TUMACO</w:t>
            </w:r>
          </w:p>
        </w:tc>
        <w:tc>
          <w:tcPr>
            <w:tcW w:w="980" w:type="dxa"/>
            <w:shd w:val="clear" w:color="auto" w:fill="auto"/>
            <w:noWrap/>
            <w:vAlign w:val="center"/>
            <w:hideMark/>
          </w:tcPr>
          <w:p w14:paraId="41C83E74" w14:textId="4BA5326F" w:rsidR="000B26E9" w:rsidRPr="00AF306A" w:rsidRDefault="000B26E9" w:rsidP="000B26E9">
            <w:pPr>
              <w:jc w:val="right"/>
              <w:rPr>
                <w:rFonts w:ascii="Arial Narrow" w:hAnsi="Arial Narrow" w:cs="Calibri"/>
                <w:color w:val="000000"/>
                <w:spacing w:val="0"/>
                <w:sz w:val="18"/>
                <w:szCs w:val="18"/>
                <w:lang w:eastAsia="es-CO"/>
              </w:rPr>
            </w:pPr>
            <w:r w:rsidRPr="00AF306A">
              <w:rPr>
                <w:rFonts w:ascii="Arial Narrow" w:hAnsi="Arial Narrow"/>
                <w:sz w:val="18"/>
                <w:szCs w:val="18"/>
              </w:rPr>
              <w:t>89</w:t>
            </w:r>
            <w:r>
              <w:rPr>
                <w:rFonts w:ascii="Arial Narrow" w:hAnsi="Arial Narrow"/>
                <w:sz w:val="18"/>
                <w:szCs w:val="18"/>
              </w:rPr>
              <w:t>.</w:t>
            </w:r>
            <w:r w:rsidRPr="00AF306A">
              <w:rPr>
                <w:rFonts w:ascii="Arial Narrow" w:hAnsi="Arial Narrow"/>
                <w:sz w:val="18"/>
                <w:szCs w:val="18"/>
              </w:rPr>
              <w:t>123</w:t>
            </w:r>
          </w:p>
        </w:tc>
        <w:tc>
          <w:tcPr>
            <w:tcW w:w="1288" w:type="dxa"/>
            <w:shd w:val="clear" w:color="auto" w:fill="auto"/>
            <w:noWrap/>
            <w:vAlign w:val="center"/>
            <w:hideMark/>
          </w:tcPr>
          <w:p w14:paraId="3A10CF64" w14:textId="12395195" w:rsidR="000B26E9" w:rsidRPr="00AF306A" w:rsidRDefault="000B26E9" w:rsidP="000B26E9">
            <w:pPr>
              <w:jc w:val="right"/>
              <w:rPr>
                <w:rFonts w:ascii="Arial Narrow" w:hAnsi="Arial Narrow" w:cs="Calibri"/>
                <w:color w:val="000000"/>
                <w:spacing w:val="0"/>
                <w:sz w:val="18"/>
                <w:szCs w:val="18"/>
                <w:lang w:eastAsia="es-CO"/>
              </w:rPr>
            </w:pPr>
            <w:r w:rsidRPr="00AF306A">
              <w:rPr>
                <w:rFonts w:ascii="Arial Narrow" w:hAnsi="Arial Narrow"/>
                <w:sz w:val="18"/>
                <w:szCs w:val="18"/>
              </w:rPr>
              <w:t>891</w:t>
            </w:r>
          </w:p>
        </w:tc>
      </w:tr>
      <w:tr w:rsidR="000B26E9" w:rsidRPr="000B26E9" w14:paraId="5927EDD7" w14:textId="77777777" w:rsidTr="00897878">
        <w:trPr>
          <w:trHeight w:val="290"/>
        </w:trPr>
        <w:tc>
          <w:tcPr>
            <w:tcW w:w="7354" w:type="dxa"/>
            <w:gridSpan w:val="4"/>
            <w:shd w:val="clear" w:color="auto" w:fill="D0CECE" w:themeFill="background2" w:themeFillShade="E6"/>
            <w:noWrap/>
            <w:vAlign w:val="center"/>
          </w:tcPr>
          <w:p w14:paraId="4144C00B" w14:textId="792F76EE" w:rsidR="000B26E9" w:rsidRPr="000B26E9" w:rsidRDefault="000B26E9" w:rsidP="000B26E9">
            <w:pPr>
              <w:jc w:val="right"/>
              <w:rPr>
                <w:rFonts w:ascii="Arial Narrow" w:hAnsi="Arial Narrow"/>
                <w:b/>
                <w:bCs/>
                <w:sz w:val="18"/>
                <w:szCs w:val="18"/>
              </w:rPr>
            </w:pPr>
            <w:r w:rsidRPr="000B26E9">
              <w:rPr>
                <w:rFonts w:ascii="Arial Narrow" w:hAnsi="Arial Narrow"/>
                <w:b/>
                <w:bCs/>
                <w:sz w:val="18"/>
                <w:szCs w:val="18"/>
              </w:rPr>
              <w:t>TOTAL</w:t>
            </w:r>
          </w:p>
        </w:tc>
        <w:tc>
          <w:tcPr>
            <w:tcW w:w="1288" w:type="dxa"/>
            <w:shd w:val="clear" w:color="auto" w:fill="D0CECE" w:themeFill="background2" w:themeFillShade="E6"/>
            <w:noWrap/>
            <w:vAlign w:val="center"/>
          </w:tcPr>
          <w:p w14:paraId="05884E13" w14:textId="6A24B6CF" w:rsidR="000B26E9" w:rsidRPr="000B26E9" w:rsidRDefault="000B26E9" w:rsidP="000B26E9">
            <w:pPr>
              <w:jc w:val="right"/>
              <w:rPr>
                <w:rFonts w:ascii="Arial Narrow" w:hAnsi="Arial Narrow"/>
                <w:b/>
                <w:bCs/>
                <w:sz w:val="18"/>
                <w:szCs w:val="18"/>
              </w:rPr>
            </w:pPr>
            <w:r w:rsidRPr="000B26E9">
              <w:rPr>
                <w:rFonts w:ascii="Arial Narrow" w:hAnsi="Arial Narrow"/>
                <w:b/>
                <w:bCs/>
                <w:sz w:val="18"/>
                <w:szCs w:val="18"/>
              </w:rPr>
              <w:t>1.726.005</w:t>
            </w:r>
          </w:p>
        </w:tc>
      </w:tr>
    </w:tbl>
    <w:p w14:paraId="110BE878" w14:textId="72D35A5C" w:rsidR="007661AE" w:rsidRDefault="007661AE" w:rsidP="00DA4C9A">
      <w:pPr>
        <w:jc w:val="left"/>
        <w:rPr>
          <w:rFonts w:cs="Arial"/>
          <w:sz w:val="22"/>
          <w:szCs w:val="22"/>
        </w:rPr>
      </w:pPr>
    </w:p>
    <w:p w14:paraId="313E79E7" w14:textId="0CA05A48" w:rsidR="005105DF" w:rsidRDefault="005105DF" w:rsidP="00A35A48">
      <w:pPr>
        <w:rPr>
          <w:rFonts w:cs="Arial"/>
          <w:sz w:val="22"/>
          <w:szCs w:val="22"/>
          <w:lang w:val="es-MX"/>
        </w:rPr>
      </w:pPr>
      <w:r w:rsidRPr="00A35A48">
        <w:rPr>
          <w:rFonts w:cs="Arial"/>
          <w:sz w:val="22"/>
          <w:szCs w:val="22"/>
          <w:lang w:val="es-MX"/>
        </w:rPr>
        <w:t xml:space="preserve">El $1.726.005 será </w:t>
      </w:r>
      <w:r w:rsidR="00897878">
        <w:rPr>
          <w:rFonts w:cs="Arial"/>
          <w:sz w:val="22"/>
          <w:szCs w:val="22"/>
          <w:lang w:val="es-MX"/>
        </w:rPr>
        <w:t>re</w:t>
      </w:r>
      <w:r w:rsidRPr="00A35A48">
        <w:rPr>
          <w:rFonts w:cs="Arial"/>
          <w:sz w:val="22"/>
          <w:szCs w:val="22"/>
          <w:lang w:val="es-MX"/>
        </w:rPr>
        <w:t xml:space="preserve">distribuido proporcionalmente entre los restantes regulados cuya contribución sea superior a la cuantía mínima, </w:t>
      </w:r>
      <w:r w:rsidR="00E65688">
        <w:rPr>
          <w:rFonts w:cs="Arial"/>
          <w:sz w:val="22"/>
          <w:szCs w:val="22"/>
          <w:lang w:val="es-MX"/>
        </w:rPr>
        <w:t xml:space="preserve">proporcionalmente con su </w:t>
      </w:r>
      <w:r w:rsidR="00897878">
        <w:rPr>
          <w:rFonts w:cs="Arial"/>
          <w:sz w:val="22"/>
          <w:szCs w:val="22"/>
          <w:lang w:val="es-MX"/>
        </w:rPr>
        <w:t xml:space="preserve">participación dentro del presupuesto a recaudar con la </w:t>
      </w:r>
      <w:r w:rsidRPr="00A35A48">
        <w:rPr>
          <w:rFonts w:cs="Arial"/>
          <w:sz w:val="22"/>
          <w:szCs w:val="22"/>
          <w:lang w:val="es-MX"/>
        </w:rPr>
        <w:t xml:space="preserve">contribución especial </w:t>
      </w:r>
      <w:r w:rsidR="00E65688">
        <w:rPr>
          <w:rFonts w:cs="Arial"/>
          <w:sz w:val="22"/>
          <w:szCs w:val="22"/>
          <w:lang w:val="es-MX"/>
        </w:rPr>
        <w:t>2021</w:t>
      </w:r>
      <w:r w:rsidRPr="00A35A48">
        <w:rPr>
          <w:rFonts w:cs="Arial"/>
          <w:sz w:val="22"/>
          <w:szCs w:val="22"/>
          <w:lang w:val="es-MX"/>
        </w:rPr>
        <w:t>.</w:t>
      </w:r>
    </w:p>
    <w:p w14:paraId="504CF12D" w14:textId="1D227404" w:rsidR="00542B77" w:rsidRPr="0085721C" w:rsidRDefault="006B0990" w:rsidP="0085721C">
      <w:pPr>
        <w:pStyle w:val="Subttulo"/>
        <w:numPr>
          <w:ilvl w:val="1"/>
          <w:numId w:val="37"/>
        </w:numPr>
        <w:spacing w:after="0"/>
        <w:ind w:left="357" w:hanging="357"/>
        <w:jc w:val="left"/>
        <w:rPr>
          <w:b/>
          <w:bCs/>
          <w:sz w:val="22"/>
          <w:szCs w:val="22"/>
        </w:rPr>
      </w:pPr>
      <w:bookmarkStart w:id="50" w:name="_Toc88126854"/>
      <w:r w:rsidRPr="0085721C">
        <w:rPr>
          <w:b/>
          <w:bCs/>
          <w:sz w:val="22"/>
          <w:szCs w:val="22"/>
        </w:rPr>
        <w:lastRenderedPageBreak/>
        <w:t>EMPRESAS QUE REPORTARON EN EL SISTEMA SUI INFORMACIÓN AL CIERRE DE DICIEMBRE DE  20</w:t>
      </w:r>
      <w:r w:rsidR="00E36931">
        <w:rPr>
          <w:b/>
          <w:bCs/>
          <w:sz w:val="22"/>
          <w:szCs w:val="22"/>
        </w:rPr>
        <w:t>20</w:t>
      </w:r>
      <w:r w:rsidRPr="0085721C">
        <w:rPr>
          <w:b/>
          <w:bCs/>
          <w:sz w:val="22"/>
          <w:szCs w:val="22"/>
        </w:rPr>
        <w:t xml:space="preserve"> Y NO REPORTARON AL CIERRE DE DICIEMBRE 31 DE  201</w:t>
      </w:r>
      <w:r w:rsidR="00E36931">
        <w:rPr>
          <w:b/>
          <w:bCs/>
          <w:sz w:val="22"/>
          <w:szCs w:val="22"/>
        </w:rPr>
        <w:t>9</w:t>
      </w:r>
      <w:r w:rsidRPr="0085721C">
        <w:rPr>
          <w:b/>
          <w:bCs/>
          <w:sz w:val="22"/>
          <w:szCs w:val="22"/>
        </w:rPr>
        <w:t>:</w:t>
      </w:r>
      <w:bookmarkEnd w:id="50"/>
    </w:p>
    <w:p w14:paraId="32CD1AD9" w14:textId="77777777" w:rsidR="000901DD" w:rsidRPr="0085721C" w:rsidRDefault="000901DD" w:rsidP="008141A0">
      <w:pPr>
        <w:rPr>
          <w:rFonts w:cs="Arial"/>
          <w:color w:val="FF0000"/>
          <w:sz w:val="22"/>
          <w:szCs w:val="22"/>
          <w:lang w:val="es-MX"/>
        </w:rPr>
      </w:pPr>
    </w:p>
    <w:tbl>
      <w:tblPr>
        <w:tblW w:w="9067" w:type="dxa"/>
        <w:tblCellMar>
          <w:left w:w="70" w:type="dxa"/>
          <w:right w:w="70" w:type="dxa"/>
        </w:tblCellMar>
        <w:tblLook w:val="04A0" w:firstRow="1" w:lastRow="0" w:firstColumn="1" w:lastColumn="0" w:noHBand="0" w:noVBand="1"/>
      </w:tblPr>
      <w:tblGrid>
        <w:gridCol w:w="319"/>
        <w:gridCol w:w="879"/>
        <w:gridCol w:w="5034"/>
        <w:gridCol w:w="1418"/>
        <w:gridCol w:w="1417"/>
      </w:tblGrid>
      <w:tr w:rsidR="00E36931" w:rsidRPr="00E36931" w14:paraId="7056C5C9" w14:textId="77777777" w:rsidTr="00E36931">
        <w:trPr>
          <w:trHeight w:val="290"/>
          <w:tblHeader/>
        </w:trPr>
        <w:tc>
          <w:tcPr>
            <w:tcW w:w="31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D9F2275" w14:textId="77777777" w:rsidR="00E36931" w:rsidRPr="00E36931" w:rsidRDefault="00E36931" w:rsidP="00E36931">
            <w:pPr>
              <w:jc w:val="center"/>
              <w:rPr>
                <w:rFonts w:ascii="Arial Narrow" w:hAnsi="Arial Narrow" w:cs="Calibri"/>
                <w:b/>
                <w:bCs/>
                <w:color w:val="000000"/>
                <w:spacing w:val="0"/>
                <w:sz w:val="18"/>
                <w:szCs w:val="18"/>
                <w:lang w:eastAsia="es-CO"/>
              </w:rPr>
            </w:pPr>
            <w:r w:rsidRPr="00E36931">
              <w:rPr>
                <w:rFonts w:ascii="Arial Narrow" w:hAnsi="Arial Narrow" w:cs="Calibri"/>
                <w:b/>
                <w:bCs/>
                <w:color w:val="000000"/>
                <w:spacing w:val="0"/>
                <w:sz w:val="18"/>
                <w:szCs w:val="18"/>
                <w:lang w:eastAsia="es-CO"/>
              </w:rPr>
              <w:t>N°</w:t>
            </w:r>
          </w:p>
        </w:tc>
        <w:tc>
          <w:tcPr>
            <w:tcW w:w="879" w:type="dxa"/>
            <w:tcBorders>
              <w:top w:val="single" w:sz="4" w:space="0" w:color="auto"/>
              <w:left w:val="nil"/>
              <w:bottom w:val="single" w:sz="4" w:space="0" w:color="auto"/>
              <w:right w:val="single" w:sz="4" w:space="0" w:color="auto"/>
            </w:tcBorders>
            <w:shd w:val="clear" w:color="000000" w:fill="D9D9D9"/>
            <w:noWrap/>
            <w:vAlign w:val="center"/>
            <w:hideMark/>
          </w:tcPr>
          <w:p w14:paraId="5CF9EA7F" w14:textId="77777777" w:rsidR="00E36931" w:rsidRPr="00E36931" w:rsidRDefault="00E36931" w:rsidP="00E36931">
            <w:pPr>
              <w:jc w:val="center"/>
              <w:rPr>
                <w:rFonts w:ascii="Arial Narrow" w:hAnsi="Arial Narrow" w:cs="Calibri"/>
                <w:b/>
                <w:bCs/>
                <w:color w:val="000000"/>
                <w:spacing w:val="0"/>
                <w:sz w:val="18"/>
                <w:szCs w:val="18"/>
                <w:lang w:eastAsia="es-CO"/>
              </w:rPr>
            </w:pPr>
            <w:r w:rsidRPr="00E36931">
              <w:rPr>
                <w:rFonts w:ascii="Arial Narrow" w:hAnsi="Arial Narrow" w:cs="Calibri"/>
                <w:b/>
                <w:bCs/>
                <w:color w:val="000000"/>
                <w:spacing w:val="0"/>
                <w:sz w:val="18"/>
                <w:szCs w:val="18"/>
                <w:lang w:eastAsia="es-CO"/>
              </w:rPr>
              <w:t>NIT</w:t>
            </w:r>
          </w:p>
        </w:tc>
        <w:tc>
          <w:tcPr>
            <w:tcW w:w="5034" w:type="dxa"/>
            <w:tcBorders>
              <w:top w:val="single" w:sz="4" w:space="0" w:color="auto"/>
              <w:left w:val="nil"/>
              <w:bottom w:val="single" w:sz="4" w:space="0" w:color="auto"/>
              <w:right w:val="single" w:sz="4" w:space="0" w:color="auto"/>
            </w:tcBorders>
            <w:shd w:val="clear" w:color="000000" w:fill="D9D9D9"/>
            <w:vAlign w:val="center"/>
            <w:hideMark/>
          </w:tcPr>
          <w:p w14:paraId="7AA5FE0C" w14:textId="77777777" w:rsidR="00E36931" w:rsidRPr="00E36931" w:rsidRDefault="00E36931" w:rsidP="00E36931">
            <w:pPr>
              <w:jc w:val="center"/>
              <w:rPr>
                <w:rFonts w:ascii="Arial Narrow" w:hAnsi="Arial Narrow" w:cs="Calibri"/>
                <w:b/>
                <w:bCs/>
                <w:color w:val="000000"/>
                <w:spacing w:val="0"/>
                <w:sz w:val="18"/>
                <w:szCs w:val="18"/>
                <w:lang w:eastAsia="es-CO"/>
              </w:rPr>
            </w:pPr>
            <w:r w:rsidRPr="00E36931">
              <w:rPr>
                <w:rFonts w:ascii="Arial Narrow" w:hAnsi="Arial Narrow" w:cs="Calibri"/>
                <w:b/>
                <w:bCs/>
                <w:color w:val="000000"/>
                <w:spacing w:val="0"/>
                <w:sz w:val="18"/>
                <w:szCs w:val="18"/>
                <w:lang w:eastAsia="es-CO"/>
              </w:rPr>
              <w:t>RAZÓN SOCIAL</w:t>
            </w:r>
          </w:p>
        </w:tc>
        <w:tc>
          <w:tcPr>
            <w:tcW w:w="1418" w:type="dxa"/>
            <w:tcBorders>
              <w:top w:val="single" w:sz="4" w:space="0" w:color="auto"/>
              <w:left w:val="nil"/>
              <w:bottom w:val="single" w:sz="4" w:space="0" w:color="auto"/>
              <w:right w:val="single" w:sz="4" w:space="0" w:color="auto"/>
            </w:tcBorders>
            <w:shd w:val="clear" w:color="000000" w:fill="D9D9D9"/>
            <w:vAlign w:val="center"/>
            <w:hideMark/>
          </w:tcPr>
          <w:p w14:paraId="4D10127C" w14:textId="77777777" w:rsidR="00E36931" w:rsidRPr="00E36931" w:rsidRDefault="00E36931" w:rsidP="00E36931">
            <w:pPr>
              <w:jc w:val="center"/>
              <w:rPr>
                <w:rFonts w:ascii="Arial Narrow" w:hAnsi="Arial Narrow" w:cs="Calibri"/>
                <w:b/>
                <w:bCs/>
                <w:color w:val="000000"/>
                <w:spacing w:val="0"/>
                <w:sz w:val="18"/>
                <w:szCs w:val="18"/>
                <w:lang w:eastAsia="es-CO"/>
              </w:rPr>
            </w:pPr>
            <w:r w:rsidRPr="00E36931">
              <w:rPr>
                <w:rFonts w:ascii="Arial Narrow" w:hAnsi="Arial Narrow" w:cs="Calibri"/>
                <w:b/>
                <w:bCs/>
                <w:color w:val="000000"/>
                <w:spacing w:val="0"/>
                <w:sz w:val="18"/>
                <w:szCs w:val="18"/>
                <w:lang w:eastAsia="es-CO"/>
              </w:rPr>
              <w:t>BASE EF 2020</w:t>
            </w:r>
          </w:p>
        </w:tc>
        <w:tc>
          <w:tcPr>
            <w:tcW w:w="1417" w:type="dxa"/>
            <w:tcBorders>
              <w:top w:val="single" w:sz="4" w:space="0" w:color="auto"/>
              <w:left w:val="nil"/>
              <w:bottom w:val="single" w:sz="4" w:space="0" w:color="auto"/>
              <w:right w:val="single" w:sz="4" w:space="0" w:color="auto"/>
            </w:tcBorders>
            <w:shd w:val="clear" w:color="000000" w:fill="D9D9D9"/>
            <w:vAlign w:val="center"/>
            <w:hideMark/>
          </w:tcPr>
          <w:p w14:paraId="7CA21043" w14:textId="77777777" w:rsidR="00E36931" w:rsidRPr="00E36931" w:rsidRDefault="00E36931" w:rsidP="00E36931">
            <w:pPr>
              <w:jc w:val="center"/>
              <w:rPr>
                <w:rFonts w:ascii="Arial Narrow" w:hAnsi="Arial Narrow" w:cs="Calibri"/>
                <w:b/>
                <w:bCs/>
                <w:color w:val="000000"/>
                <w:spacing w:val="0"/>
                <w:sz w:val="18"/>
                <w:szCs w:val="18"/>
                <w:lang w:eastAsia="es-CO"/>
              </w:rPr>
            </w:pPr>
            <w:r w:rsidRPr="00E36931">
              <w:rPr>
                <w:rFonts w:ascii="Arial Narrow" w:hAnsi="Arial Narrow" w:cs="Calibri"/>
                <w:b/>
                <w:bCs/>
                <w:color w:val="000000"/>
                <w:spacing w:val="0"/>
                <w:sz w:val="18"/>
                <w:szCs w:val="18"/>
                <w:lang w:eastAsia="es-CO"/>
              </w:rPr>
              <w:t>BASE EF 2019</w:t>
            </w:r>
          </w:p>
        </w:tc>
      </w:tr>
      <w:tr w:rsidR="00E36931" w:rsidRPr="00E36931" w14:paraId="6E0FC237" w14:textId="77777777" w:rsidTr="00E36931">
        <w:trPr>
          <w:trHeight w:val="290"/>
        </w:trPr>
        <w:tc>
          <w:tcPr>
            <w:tcW w:w="319" w:type="dxa"/>
            <w:tcBorders>
              <w:top w:val="nil"/>
              <w:left w:val="single" w:sz="4" w:space="0" w:color="auto"/>
              <w:bottom w:val="single" w:sz="4" w:space="0" w:color="auto"/>
              <w:right w:val="single" w:sz="4" w:space="0" w:color="auto"/>
            </w:tcBorders>
            <w:shd w:val="clear" w:color="auto" w:fill="auto"/>
            <w:noWrap/>
            <w:vAlign w:val="center"/>
            <w:hideMark/>
          </w:tcPr>
          <w:p w14:paraId="4BEE9C24" w14:textId="77777777" w:rsidR="00E36931" w:rsidRPr="00E36931" w:rsidRDefault="00E36931" w:rsidP="00E36931">
            <w:pPr>
              <w:jc w:val="center"/>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1</w:t>
            </w:r>
          </w:p>
        </w:tc>
        <w:tc>
          <w:tcPr>
            <w:tcW w:w="879" w:type="dxa"/>
            <w:tcBorders>
              <w:top w:val="nil"/>
              <w:left w:val="nil"/>
              <w:bottom w:val="single" w:sz="4" w:space="0" w:color="auto"/>
              <w:right w:val="single" w:sz="4" w:space="0" w:color="auto"/>
            </w:tcBorders>
            <w:shd w:val="clear" w:color="auto" w:fill="auto"/>
            <w:noWrap/>
            <w:vAlign w:val="center"/>
            <w:hideMark/>
          </w:tcPr>
          <w:p w14:paraId="1BE8EF1E" w14:textId="77777777" w:rsidR="00E36931" w:rsidRPr="00E36931" w:rsidRDefault="00E36931" w:rsidP="00E36931">
            <w:pPr>
              <w:jc w:val="righ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800152294</w:t>
            </w:r>
          </w:p>
        </w:tc>
        <w:tc>
          <w:tcPr>
            <w:tcW w:w="5034" w:type="dxa"/>
            <w:tcBorders>
              <w:top w:val="nil"/>
              <w:left w:val="nil"/>
              <w:bottom w:val="single" w:sz="4" w:space="0" w:color="auto"/>
              <w:right w:val="single" w:sz="4" w:space="0" w:color="auto"/>
            </w:tcBorders>
            <w:shd w:val="clear" w:color="auto" w:fill="auto"/>
            <w:vAlign w:val="center"/>
            <w:hideMark/>
          </w:tcPr>
          <w:p w14:paraId="522A03CD" w14:textId="7A47CD3B" w:rsidR="00E36931" w:rsidRPr="00E36931" w:rsidRDefault="00E36931" w:rsidP="00E36931">
            <w:pPr>
              <w:jc w:val="lef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EMPRESAS PÚBLICAS DE URRAO E.S.P.</w:t>
            </w:r>
          </w:p>
        </w:tc>
        <w:tc>
          <w:tcPr>
            <w:tcW w:w="1418" w:type="dxa"/>
            <w:tcBorders>
              <w:top w:val="nil"/>
              <w:left w:val="nil"/>
              <w:bottom w:val="single" w:sz="4" w:space="0" w:color="auto"/>
              <w:right w:val="single" w:sz="4" w:space="0" w:color="auto"/>
            </w:tcBorders>
            <w:shd w:val="clear" w:color="auto" w:fill="auto"/>
            <w:noWrap/>
            <w:vAlign w:val="center"/>
            <w:hideMark/>
          </w:tcPr>
          <w:p w14:paraId="30E0A844" w14:textId="60D119C8" w:rsidR="00E36931" w:rsidRPr="00E36931" w:rsidRDefault="00E36931" w:rsidP="00E36931">
            <w:pPr>
              <w:jc w:val="righ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 xml:space="preserve">       242</w:t>
            </w:r>
            <w:r w:rsidR="00EA0452">
              <w:rPr>
                <w:rFonts w:ascii="Arial Narrow" w:hAnsi="Arial Narrow" w:cs="Calibri"/>
                <w:color w:val="000000"/>
                <w:spacing w:val="0"/>
                <w:sz w:val="18"/>
                <w:szCs w:val="18"/>
                <w:lang w:eastAsia="es-CO"/>
              </w:rPr>
              <w:t>.</w:t>
            </w:r>
            <w:r w:rsidRPr="00E36931">
              <w:rPr>
                <w:rFonts w:ascii="Arial Narrow" w:hAnsi="Arial Narrow" w:cs="Calibri"/>
                <w:color w:val="000000"/>
                <w:spacing w:val="0"/>
                <w:sz w:val="18"/>
                <w:szCs w:val="18"/>
                <w:lang w:eastAsia="es-CO"/>
              </w:rPr>
              <w:t>750</w:t>
            </w:r>
            <w:r w:rsidR="00EA0452">
              <w:rPr>
                <w:rFonts w:ascii="Arial Narrow" w:hAnsi="Arial Narrow" w:cs="Calibri"/>
                <w:color w:val="000000"/>
                <w:spacing w:val="0"/>
                <w:sz w:val="18"/>
                <w:szCs w:val="18"/>
                <w:lang w:eastAsia="es-CO"/>
              </w:rPr>
              <w:t>.</w:t>
            </w:r>
            <w:r w:rsidRPr="00E36931">
              <w:rPr>
                <w:rFonts w:ascii="Arial Narrow" w:hAnsi="Arial Narrow" w:cs="Calibri"/>
                <w:color w:val="000000"/>
                <w:spacing w:val="0"/>
                <w:sz w:val="18"/>
                <w:szCs w:val="18"/>
                <w:lang w:eastAsia="es-CO"/>
              </w:rPr>
              <w:t xml:space="preserve">160 </w:t>
            </w:r>
          </w:p>
        </w:tc>
        <w:tc>
          <w:tcPr>
            <w:tcW w:w="1417" w:type="dxa"/>
            <w:tcBorders>
              <w:top w:val="nil"/>
              <w:left w:val="nil"/>
              <w:bottom w:val="single" w:sz="4" w:space="0" w:color="auto"/>
              <w:right w:val="single" w:sz="4" w:space="0" w:color="auto"/>
            </w:tcBorders>
            <w:shd w:val="clear" w:color="auto" w:fill="auto"/>
            <w:noWrap/>
            <w:vAlign w:val="center"/>
            <w:hideMark/>
          </w:tcPr>
          <w:p w14:paraId="35A3F58C" w14:textId="77777777" w:rsidR="00E36931" w:rsidRPr="00E36931" w:rsidRDefault="00E36931" w:rsidP="00E36931">
            <w:pPr>
              <w:jc w:val="righ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 xml:space="preserve">                        - </w:t>
            </w:r>
          </w:p>
        </w:tc>
      </w:tr>
      <w:tr w:rsidR="00E36931" w:rsidRPr="00E36931" w14:paraId="027A2D83" w14:textId="77777777" w:rsidTr="00E36931">
        <w:trPr>
          <w:trHeight w:val="341"/>
        </w:trPr>
        <w:tc>
          <w:tcPr>
            <w:tcW w:w="319" w:type="dxa"/>
            <w:tcBorders>
              <w:top w:val="nil"/>
              <w:left w:val="single" w:sz="4" w:space="0" w:color="auto"/>
              <w:bottom w:val="single" w:sz="4" w:space="0" w:color="auto"/>
              <w:right w:val="single" w:sz="4" w:space="0" w:color="auto"/>
            </w:tcBorders>
            <w:shd w:val="clear" w:color="auto" w:fill="auto"/>
            <w:noWrap/>
            <w:vAlign w:val="center"/>
            <w:hideMark/>
          </w:tcPr>
          <w:p w14:paraId="6D9AA752" w14:textId="77777777" w:rsidR="00E36931" w:rsidRPr="00E36931" w:rsidRDefault="00E36931" w:rsidP="00E36931">
            <w:pPr>
              <w:jc w:val="center"/>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2</w:t>
            </w:r>
          </w:p>
        </w:tc>
        <w:tc>
          <w:tcPr>
            <w:tcW w:w="879" w:type="dxa"/>
            <w:tcBorders>
              <w:top w:val="nil"/>
              <w:left w:val="nil"/>
              <w:bottom w:val="single" w:sz="4" w:space="0" w:color="auto"/>
              <w:right w:val="single" w:sz="4" w:space="0" w:color="auto"/>
            </w:tcBorders>
            <w:shd w:val="clear" w:color="auto" w:fill="auto"/>
            <w:noWrap/>
            <w:vAlign w:val="center"/>
            <w:hideMark/>
          </w:tcPr>
          <w:p w14:paraId="6111F1FE" w14:textId="77777777" w:rsidR="00E36931" w:rsidRPr="00E36931" w:rsidRDefault="00E36931" w:rsidP="00E36931">
            <w:pPr>
              <w:jc w:val="righ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811003083</w:t>
            </w:r>
          </w:p>
        </w:tc>
        <w:tc>
          <w:tcPr>
            <w:tcW w:w="5034" w:type="dxa"/>
            <w:tcBorders>
              <w:top w:val="nil"/>
              <w:left w:val="nil"/>
              <w:bottom w:val="single" w:sz="4" w:space="0" w:color="auto"/>
              <w:right w:val="single" w:sz="4" w:space="0" w:color="auto"/>
            </w:tcBorders>
            <w:shd w:val="clear" w:color="auto" w:fill="auto"/>
            <w:vAlign w:val="center"/>
            <w:hideMark/>
          </w:tcPr>
          <w:p w14:paraId="087D8B32" w14:textId="77777777" w:rsidR="00E36931" w:rsidRPr="00E36931" w:rsidRDefault="00E36931" w:rsidP="00E36931">
            <w:pPr>
              <w:jc w:val="lef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GENERADORA COLOMBIANA DE ELECTRICIDAD SA ESP</w:t>
            </w:r>
          </w:p>
        </w:tc>
        <w:tc>
          <w:tcPr>
            <w:tcW w:w="1418" w:type="dxa"/>
            <w:tcBorders>
              <w:top w:val="nil"/>
              <w:left w:val="nil"/>
              <w:bottom w:val="single" w:sz="4" w:space="0" w:color="auto"/>
              <w:right w:val="single" w:sz="4" w:space="0" w:color="auto"/>
            </w:tcBorders>
            <w:shd w:val="clear" w:color="auto" w:fill="auto"/>
            <w:noWrap/>
            <w:vAlign w:val="center"/>
            <w:hideMark/>
          </w:tcPr>
          <w:p w14:paraId="5351C28C" w14:textId="60FA139B" w:rsidR="00E36931" w:rsidRPr="00E36931" w:rsidRDefault="00E36931" w:rsidP="00E36931">
            <w:pPr>
              <w:jc w:val="righ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 xml:space="preserve">       101</w:t>
            </w:r>
            <w:r w:rsidR="00EA0452">
              <w:rPr>
                <w:rFonts w:ascii="Arial Narrow" w:hAnsi="Arial Narrow" w:cs="Calibri"/>
                <w:color w:val="000000"/>
                <w:spacing w:val="0"/>
                <w:sz w:val="18"/>
                <w:szCs w:val="18"/>
                <w:lang w:eastAsia="es-CO"/>
              </w:rPr>
              <w:t>.</w:t>
            </w:r>
            <w:r w:rsidRPr="00E36931">
              <w:rPr>
                <w:rFonts w:ascii="Arial Narrow" w:hAnsi="Arial Narrow" w:cs="Calibri"/>
                <w:color w:val="000000"/>
                <w:spacing w:val="0"/>
                <w:sz w:val="18"/>
                <w:szCs w:val="18"/>
                <w:lang w:eastAsia="es-CO"/>
              </w:rPr>
              <w:t>995</w:t>
            </w:r>
            <w:r w:rsidR="00EA0452">
              <w:rPr>
                <w:rFonts w:ascii="Arial Narrow" w:hAnsi="Arial Narrow" w:cs="Calibri"/>
                <w:color w:val="000000"/>
                <w:spacing w:val="0"/>
                <w:sz w:val="18"/>
                <w:szCs w:val="18"/>
                <w:lang w:eastAsia="es-CO"/>
              </w:rPr>
              <w:t>.</w:t>
            </w:r>
            <w:r w:rsidRPr="00E36931">
              <w:rPr>
                <w:rFonts w:ascii="Arial Narrow" w:hAnsi="Arial Narrow" w:cs="Calibri"/>
                <w:color w:val="000000"/>
                <w:spacing w:val="0"/>
                <w:sz w:val="18"/>
                <w:szCs w:val="18"/>
                <w:lang w:eastAsia="es-CO"/>
              </w:rPr>
              <w:t xml:space="preserve">204 </w:t>
            </w:r>
          </w:p>
        </w:tc>
        <w:tc>
          <w:tcPr>
            <w:tcW w:w="1417" w:type="dxa"/>
            <w:tcBorders>
              <w:top w:val="nil"/>
              <w:left w:val="nil"/>
              <w:bottom w:val="single" w:sz="4" w:space="0" w:color="auto"/>
              <w:right w:val="single" w:sz="4" w:space="0" w:color="auto"/>
            </w:tcBorders>
            <w:shd w:val="clear" w:color="auto" w:fill="auto"/>
            <w:noWrap/>
            <w:vAlign w:val="center"/>
            <w:hideMark/>
          </w:tcPr>
          <w:p w14:paraId="02A15658" w14:textId="77777777" w:rsidR="00E36931" w:rsidRPr="00E36931" w:rsidRDefault="00E36931" w:rsidP="00E36931">
            <w:pPr>
              <w:jc w:val="righ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 xml:space="preserve">                        - </w:t>
            </w:r>
          </w:p>
        </w:tc>
      </w:tr>
      <w:tr w:rsidR="00E36931" w:rsidRPr="00E36931" w14:paraId="2B9A82D0" w14:textId="77777777" w:rsidTr="00E36931">
        <w:trPr>
          <w:trHeight w:val="276"/>
        </w:trPr>
        <w:tc>
          <w:tcPr>
            <w:tcW w:w="319" w:type="dxa"/>
            <w:tcBorders>
              <w:top w:val="nil"/>
              <w:left w:val="single" w:sz="4" w:space="0" w:color="auto"/>
              <w:bottom w:val="single" w:sz="4" w:space="0" w:color="auto"/>
              <w:right w:val="single" w:sz="4" w:space="0" w:color="auto"/>
            </w:tcBorders>
            <w:shd w:val="clear" w:color="auto" w:fill="auto"/>
            <w:noWrap/>
            <w:vAlign w:val="center"/>
            <w:hideMark/>
          </w:tcPr>
          <w:p w14:paraId="2430AF45" w14:textId="77777777" w:rsidR="00E36931" w:rsidRPr="00E36931" w:rsidRDefault="00E36931" w:rsidP="00E36931">
            <w:pPr>
              <w:jc w:val="center"/>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3</w:t>
            </w:r>
          </w:p>
        </w:tc>
        <w:tc>
          <w:tcPr>
            <w:tcW w:w="879" w:type="dxa"/>
            <w:tcBorders>
              <w:top w:val="nil"/>
              <w:left w:val="nil"/>
              <w:bottom w:val="single" w:sz="4" w:space="0" w:color="auto"/>
              <w:right w:val="single" w:sz="4" w:space="0" w:color="auto"/>
            </w:tcBorders>
            <w:shd w:val="clear" w:color="auto" w:fill="auto"/>
            <w:noWrap/>
            <w:vAlign w:val="center"/>
            <w:hideMark/>
          </w:tcPr>
          <w:p w14:paraId="7AC0A8C6" w14:textId="77777777" w:rsidR="00E36931" w:rsidRPr="00E36931" w:rsidRDefault="00E36931" w:rsidP="00E36931">
            <w:pPr>
              <w:jc w:val="righ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846000021</w:t>
            </w:r>
          </w:p>
        </w:tc>
        <w:tc>
          <w:tcPr>
            <w:tcW w:w="5034" w:type="dxa"/>
            <w:tcBorders>
              <w:top w:val="nil"/>
              <w:left w:val="nil"/>
              <w:bottom w:val="single" w:sz="4" w:space="0" w:color="auto"/>
              <w:right w:val="single" w:sz="4" w:space="0" w:color="auto"/>
            </w:tcBorders>
            <w:shd w:val="clear" w:color="auto" w:fill="auto"/>
            <w:vAlign w:val="center"/>
            <w:hideMark/>
          </w:tcPr>
          <w:p w14:paraId="4C17ADC3" w14:textId="6F048FC2" w:rsidR="00E36931" w:rsidRPr="00E36931" w:rsidRDefault="00E36931" w:rsidP="00E36931">
            <w:pPr>
              <w:jc w:val="lef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EMPRESA DE SERVICIOS PUBLICOS DE LEGUIZAMO</w:t>
            </w:r>
          </w:p>
        </w:tc>
        <w:tc>
          <w:tcPr>
            <w:tcW w:w="1418" w:type="dxa"/>
            <w:tcBorders>
              <w:top w:val="nil"/>
              <w:left w:val="nil"/>
              <w:bottom w:val="single" w:sz="4" w:space="0" w:color="auto"/>
              <w:right w:val="single" w:sz="4" w:space="0" w:color="auto"/>
            </w:tcBorders>
            <w:shd w:val="clear" w:color="auto" w:fill="auto"/>
            <w:noWrap/>
            <w:vAlign w:val="center"/>
            <w:hideMark/>
          </w:tcPr>
          <w:p w14:paraId="4371F92B" w14:textId="478DA40C" w:rsidR="00E36931" w:rsidRPr="00E36931" w:rsidRDefault="00E36931" w:rsidP="00E36931">
            <w:pPr>
              <w:jc w:val="righ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 xml:space="preserve">       266</w:t>
            </w:r>
            <w:r w:rsidR="00EA0452">
              <w:rPr>
                <w:rFonts w:ascii="Arial Narrow" w:hAnsi="Arial Narrow" w:cs="Calibri"/>
                <w:color w:val="000000"/>
                <w:spacing w:val="0"/>
                <w:sz w:val="18"/>
                <w:szCs w:val="18"/>
                <w:lang w:eastAsia="es-CO"/>
              </w:rPr>
              <w:t>.</w:t>
            </w:r>
            <w:r w:rsidRPr="00E36931">
              <w:rPr>
                <w:rFonts w:ascii="Arial Narrow" w:hAnsi="Arial Narrow" w:cs="Calibri"/>
                <w:color w:val="000000"/>
                <w:spacing w:val="0"/>
                <w:sz w:val="18"/>
                <w:szCs w:val="18"/>
                <w:lang w:eastAsia="es-CO"/>
              </w:rPr>
              <w:t>761</w:t>
            </w:r>
            <w:r w:rsidR="00EA0452">
              <w:rPr>
                <w:rFonts w:ascii="Arial Narrow" w:hAnsi="Arial Narrow" w:cs="Calibri"/>
                <w:color w:val="000000"/>
                <w:spacing w:val="0"/>
                <w:sz w:val="18"/>
                <w:szCs w:val="18"/>
                <w:lang w:eastAsia="es-CO"/>
              </w:rPr>
              <w:t>.</w:t>
            </w:r>
            <w:r w:rsidRPr="00E36931">
              <w:rPr>
                <w:rFonts w:ascii="Arial Narrow" w:hAnsi="Arial Narrow" w:cs="Calibri"/>
                <w:color w:val="000000"/>
                <w:spacing w:val="0"/>
                <w:sz w:val="18"/>
                <w:szCs w:val="18"/>
                <w:lang w:eastAsia="es-CO"/>
              </w:rPr>
              <w:t xml:space="preserve">206 </w:t>
            </w:r>
          </w:p>
        </w:tc>
        <w:tc>
          <w:tcPr>
            <w:tcW w:w="1417" w:type="dxa"/>
            <w:tcBorders>
              <w:top w:val="nil"/>
              <w:left w:val="nil"/>
              <w:bottom w:val="single" w:sz="4" w:space="0" w:color="auto"/>
              <w:right w:val="single" w:sz="4" w:space="0" w:color="auto"/>
            </w:tcBorders>
            <w:shd w:val="clear" w:color="auto" w:fill="auto"/>
            <w:noWrap/>
            <w:vAlign w:val="center"/>
            <w:hideMark/>
          </w:tcPr>
          <w:p w14:paraId="0670AC9C" w14:textId="77777777" w:rsidR="00E36931" w:rsidRPr="00E36931" w:rsidRDefault="00E36931" w:rsidP="00E36931">
            <w:pPr>
              <w:jc w:val="righ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 xml:space="preserve">                        - </w:t>
            </w:r>
          </w:p>
        </w:tc>
      </w:tr>
      <w:tr w:rsidR="00E36931" w:rsidRPr="00E36931" w14:paraId="1A5A6077" w14:textId="77777777" w:rsidTr="00E36931">
        <w:trPr>
          <w:trHeight w:val="460"/>
        </w:trPr>
        <w:tc>
          <w:tcPr>
            <w:tcW w:w="319" w:type="dxa"/>
            <w:tcBorders>
              <w:top w:val="nil"/>
              <w:left w:val="single" w:sz="4" w:space="0" w:color="auto"/>
              <w:bottom w:val="single" w:sz="4" w:space="0" w:color="auto"/>
              <w:right w:val="single" w:sz="4" w:space="0" w:color="auto"/>
            </w:tcBorders>
            <w:shd w:val="clear" w:color="auto" w:fill="auto"/>
            <w:noWrap/>
            <w:vAlign w:val="center"/>
            <w:hideMark/>
          </w:tcPr>
          <w:p w14:paraId="61992A7F" w14:textId="77777777" w:rsidR="00E36931" w:rsidRPr="00E36931" w:rsidRDefault="00E36931" w:rsidP="00E36931">
            <w:pPr>
              <w:jc w:val="center"/>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4</w:t>
            </w:r>
          </w:p>
        </w:tc>
        <w:tc>
          <w:tcPr>
            <w:tcW w:w="879" w:type="dxa"/>
            <w:tcBorders>
              <w:top w:val="nil"/>
              <w:left w:val="nil"/>
              <w:bottom w:val="single" w:sz="4" w:space="0" w:color="auto"/>
              <w:right w:val="single" w:sz="4" w:space="0" w:color="auto"/>
            </w:tcBorders>
            <w:shd w:val="clear" w:color="auto" w:fill="auto"/>
            <w:noWrap/>
            <w:vAlign w:val="center"/>
            <w:hideMark/>
          </w:tcPr>
          <w:p w14:paraId="4C00282C" w14:textId="77777777" w:rsidR="00E36931" w:rsidRPr="00E36931" w:rsidRDefault="00E36931" w:rsidP="00E36931">
            <w:pPr>
              <w:jc w:val="righ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818000276</w:t>
            </w:r>
          </w:p>
        </w:tc>
        <w:tc>
          <w:tcPr>
            <w:tcW w:w="5034" w:type="dxa"/>
            <w:tcBorders>
              <w:top w:val="nil"/>
              <w:left w:val="nil"/>
              <w:bottom w:val="single" w:sz="4" w:space="0" w:color="auto"/>
              <w:right w:val="single" w:sz="4" w:space="0" w:color="auto"/>
            </w:tcBorders>
            <w:shd w:val="clear" w:color="auto" w:fill="auto"/>
            <w:vAlign w:val="center"/>
            <w:hideMark/>
          </w:tcPr>
          <w:p w14:paraId="3D11F840" w14:textId="1223C3EE" w:rsidR="00E36931" w:rsidRPr="00E36931" w:rsidRDefault="00E36931" w:rsidP="00E36931">
            <w:pPr>
              <w:jc w:val="lef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JUNTA ADMINISTRADORA DE SERVICIOS PÚBLICOS DE CAPURGANA</w:t>
            </w:r>
          </w:p>
        </w:tc>
        <w:tc>
          <w:tcPr>
            <w:tcW w:w="1418" w:type="dxa"/>
            <w:tcBorders>
              <w:top w:val="nil"/>
              <w:left w:val="nil"/>
              <w:bottom w:val="single" w:sz="4" w:space="0" w:color="auto"/>
              <w:right w:val="single" w:sz="4" w:space="0" w:color="auto"/>
            </w:tcBorders>
            <w:shd w:val="clear" w:color="auto" w:fill="auto"/>
            <w:noWrap/>
            <w:vAlign w:val="center"/>
            <w:hideMark/>
          </w:tcPr>
          <w:p w14:paraId="756D8809" w14:textId="3AC72C02" w:rsidR="00E36931" w:rsidRPr="00E36931" w:rsidRDefault="00E36931" w:rsidP="00E36931">
            <w:pPr>
              <w:jc w:val="righ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 xml:space="preserve">       280</w:t>
            </w:r>
            <w:r w:rsidR="00EA0452">
              <w:rPr>
                <w:rFonts w:ascii="Arial Narrow" w:hAnsi="Arial Narrow" w:cs="Calibri"/>
                <w:color w:val="000000"/>
                <w:spacing w:val="0"/>
                <w:sz w:val="18"/>
                <w:szCs w:val="18"/>
                <w:lang w:eastAsia="es-CO"/>
              </w:rPr>
              <w:t>.</w:t>
            </w:r>
            <w:r w:rsidRPr="00E36931">
              <w:rPr>
                <w:rFonts w:ascii="Arial Narrow" w:hAnsi="Arial Narrow" w:cs="Calibri"/>
                <w:color w:val="000000"/>
                <w:spacing w:val="0"/>
                <w:sz w:val="18"/>
                <w:szCs w:val="18"/>
                <w:lang w:eastAsia="es-CO"/>
              </w:rPr>
              <w:t>610</w:t>
            </w:r>
            <w:r w:rsidR="00EA0452">
              <w:rPr>
                <w:rFonts w:ascii="Arial Narrow" w:hAnsi="Arial Narrow" w:cs="Calibri"/>
                <w:color w:val="000000"/>
                <w:spacing w:val="0"/>
                <w:sz w:val="18"/>
                <w:szCs w:val="18"/>
                <w:lang w:eastAsia="es-CO"/>
              </w:rPr>
              <w:t>.</w:t>
            </w:r>
            <w:r w:rsidRPr="00E36931">
              <w:rPr>
                <w:rFonts w:ascii="Arial Narrow" w:hAnsi="Arial Narrow" w:cs="Calibri"/>
                <w:color w:val="000000"/>
                <w:spacing w:val="0"/>
                <w:sz w:val="18"/>
                <w:szCs w:val="18"/>
                <w:lang w:eastAsia="es-CO"/>
              </w:rPr>
              <w:t xml:space="preserve">935 </w:t>
            </w:r>
          </w:p>
        </w:tc>
        <w:tc>
          <w:tcPr>
            <w:tcW w:w="1417" w:type="dxa"/>
            <w:tcBorders>
              <w:top w:val="nil"/>
              <w:left w:val="nil"/>
              <w:bottom w:val="single" w:sz="4" w:space="0" w:color="auto"/>
              <w:right w:val="single" w:sz="4" w:space="0" w:color="auto"/>
            </w:tcBorders>
            <w:shd w:val="clear" w:color="auto" w:fill="auto"/>
            <w:noWrap/>
            <w:vAlign w:val="center"/>
            <w:hideMark/>
          </w:tcPr>
          <w:p w14:paraId="0608CAD7" w14:textId="77777777" w:rsidR="00E36931" w:rsidRPr="00E36931" w:rsidRDefault="00E36931" w:rsidP="00E36931">
            <w:pPr>
              <w:jc w:val="righ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 xml:space="preserve">                        - </w:t>
            </w:r>
          </w:p>
        </w:tc>
      </w:tr>
      <w:tr w:rsidR="00E36931" w:rsidRPr="00E36931" w14:paraId="5083D2DE" w14:textId="77777777" w:rsidTr="00E36931">
        <w:trPr>
          <w:trHeight w:val="513"/>
        </w:trPr>
        <w:tc>
          <w:tcPr>
            <w:tcW w:w="319" w:type="dxa"/>
            <w:tcBorders>
              <w:top w:val="nil"/>
              <w:left w:val="single" w:sz="4" w:space="0" w:color="auto"/>
              <w:bottom w:val="single" w:sz="4" w:space="0" w:color="auto"/>
              <w:right w:val="single" w:sz="4" w:space="0" w:color="auto"/>
            </w:tcBorders>
            <w:shd w:val="clear" w:color="auto" w:fill="auto"/>
            <w:noWrap/>
            <w:vAlign w:val="center"/>
            <w:hideMark/>
          </w:tcPr>
          <w:p w14:paraId="18337E37" w14:textId="77777777" w:rsidR="00E36931" w:rsidRPr="00E36931" w:rsidRDefault="00E36931" w:rsidP="00E36931">
            <w:pPr>
              <w:jc w:val="center"/>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5</w:t>
            </w:r>
          </w:p>
        </w:tc>
        <w:tc>
          <w:tcPr>
            <w:tcW w:w="879" w:type="dxa"/>
            <w:tcBorders>
              <w:top w:val="nil"/>
              <w:left w:val="nil"/>
              <w:bottom w:val="single" w:sz="4" w:space="0" w:color="auto"/>
              <w:right w:val="single" w:sz="4" w:space="0" w:color="auto"/>
            </w:tcBorders>
            <w:shd w:val="clear" w:color="auto" w:fill="auto"/>
            <w:noWrap/>
            <w:vAlign w:val="center"/>
            <w:hideMark/>
          </w:tcPr>
          <w:p w14:paraId="0A7DB450" w14:textId="77777777" w:rsidR="00E36931" w:rsidRPr="00E36931" w:rsidRDefault="00E36931" w:rsidP="00E36931">
            <w:pPr>
              <w:jc w:val="righ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840000620</w:t>
            </w:r>
          </w:p>
        </w:tc>
        <w:tc>
          <w:tcPr>
            <w:tcW w:w="5034" w:type="dxa"/>
            <w:tcBorders>
              <w:top w:val="nil"/>
              <w:left w:val="nil"/>
              <w:bottom w:val="single" w:sz="4" w:space="0" w:color="auto"/>
              <w:right w:val="single" w:sz="4" w:space="0" w:color="auto"/>
            </w:tcBorders>
            <w:shd w:val="clear" w:color="auto" w:fill="auto"/>
            <w:vAlign w:val="center"/>
            <w:hideMark/>
          </w:tcPr>
          <w:p w14:paraId="137B1A9C" w14:textId="54EBD9C8" w:rsidR="00E36931" w:rsidRPr="00E36931" w:rsidRDefault="00E36931" w:rsidP="00E36931">
            <w:pPr>
              <w:jc w:val="lef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 xml:space="preserve">EMPRESA ASOCIATIVA DE TRABAJO ELECTRIFICADORA DE SAN JUAN DE LA COSTA E.S.P. </w:t>
            </w:r>
          </w:p>
        </w:tc>
        <w:tc>
          <w:tcPr>
            <w:tcW w:w="1418" w:type="dxa"/>
            <w:tcBorders>
              <w:top w:val="nil"/>
              <w:left w:val="nil"/>
              <w:bottom w:val="single" w:sz="4" w:space="0" w:color="auto"/>
              <w:right w:val="single" w:sz="4" w:space="0" w:color="auto"/>
            </w:tcBorders>
            <w:shd w:val="clear" w:color="auto" w:fill="auto"/>
            <w:noWrap/>
            <w:vAlign w:val="center"/>
            <w:hideMark/>
          </w:tcPr>
          <w:p w14:paraId="74B89954" w14:textId="65F282CC" w:rsidR="00E36931" w:rsidRPr="00E36931" w:rsidRDefault="00E36931" w:rsidP="00E36931">
            <w:pPr>
              <w:jc w:val="righ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 xml:space="preserve">         37</w:t>
            </w:r>
            <w:r w:rsidR="00EA0452">
              <w:rPr>
                <w:rFonts w:ascii="Arial Narrow" w:hAnsi="Arial Narrow" w:cs="Calibri"/>
                <w:color w:val="000000"/>
                <w:spacing w:val="0"/>
                <w:sz w:val="18"/>
                <w:szCs w:val="18"/>
                <w:lang w:eastAsia="es-CO"/>
              </w:rPr>
              <w:t>.</w:t>
            </w:r>
            <w:r w:rsidRPr="00E36931">
              <w:rPr>
                <w:rFonts w:ascii="Arial Narrow" w:hAnsi="Arial Narrow" w:cs="Calibri"/>
                <w:color w:val="000000"/>
                <w:spacing w:val="0"/>
                <w:sz w:val="18"/>
                <w:szCs w:val="18"/>
                <w:lang w:eastAsia="es-CO"/>
              </w:rPr>
              <w:t>411</w:t>
            </w:r>
            <w:r w:rsidR="00EA0452">
              <w:rPr>
                <w:rFonts w:ascii="Arial Narrow" w:hAnsi="Arial Narrow" w:cs="Calibri"/>
                <w:color w:val="000000"/>
                <w:spacing w:val="0"/>
                <w:sz w:val="18"/>
                <w:szCs w:val="18"/>
                <w:lang w:eastAsia="es-CO"/>
              </w:rPr>
              <w:t>.</w:t>
            </w:r>
            <w:r w:rsidRPr="00E36931">
              <w:rPr>
                <w:rFonts w:ascii="Arial Narrow" w:hAnsi="Arial Narrow" w:cs="Calibri"/>
                <w:color w:val="000000"/>
                <w:spacing w:val="0"/>
                <w:sz w:val="18"/>
                <w:szCs w:val="18"/>
                <w:lang w:eastAsia="es-CO"/>
              </w:rPr>
              <w:t xml:space="preserve">125 </w:t>
            </w:r>
          </w:p>
        </w:tc>
        <w:tc>
          <w:tcPr>
            <w:tcW w:w="1417" w:type="dxa"/>
            <w:tcBorders>
              <w:top w:val="nil"/>
              <w:left w:val="nil"/>
              <w:bottom w:val="single" w:sz="4" w:space="0" w:color="auto"/>
              <w:right w:val="single" w:sz="4" w:space="0" w:color="auto"/>
            </w:tcBorders>
            <w:shd w:val="clear" w:color="auto" w:fill="auto"/>
            <w:noWrap/>
            <w:vAlign w:val="center"/>
            <w:hideMark/>
          </w:tcPr>
          <w:p w14:paraId="68DF105E" w14:textId="77777777" w:rsidR="00E36931" w:rsidRPr="00E36931" w:rsidRDefault="00E36931" w:rsidP="00E36931">
            <w:pPr>
              <w:jc w:val="righ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 xml:space="preserve">                        - </w:t>
            </w:r>
          </w:p>
        </w:tc>
      </w:tr>
      <w:tr w:rsidR="00E36931" w:rsidRPr="00E36931" w14:paraId="1AD8CF15" w14:textId="77777777" w:rsidTr="00E36931">
        <w:trPr>
          <w:trHeight w:val="407"/>
        </w:trPr>
        <w:tc>
          <w:tcPr>
            <w:tcW w:w="319" w:type="dxa"/>
            <w:tcBorders>
              <w:top w:val="nil"/>
              <w:left w:val="single" w:sz="4" w:space="0" w:color="auto"/>
              <w:bottom w:val="single" w:sz="4" w:space="0" w:color="auto"/>
              <w:right w:val="single" w:sz="4" w:space="0" w:color="auto"/>
            </w:tcBorders>
            <w:shd w:val="clear" w:color="auto" w:fill="auto"/>
            <w:noWrap/>
            <w:vAlign w:val="center"/>
            <w:hideMark/>
          </w:tcPr>
          <w:p w14:paraId="6C3D7DFD" w14:textId="77777777" w:rsidR="00E36931" w:rsidRPr="00E36931" w:rsidRDefault="00E36931" w:rsidP="00E36931">
            <w:pPr>
              <w:jc w:val="center"/>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6</w:t>
            </w:r>
          </w:p>
        </w:tc>
        <w:tc>
          <w:tcPr>
            <w:tcW w:w="879" w:type="dxa"/>
            <w:tcBorders>
              <w:top w:val="nil"/>
              <w:left w:val="nil"/>
              <w:bottom w:val="single" w:sz="4" w:space="0" w:color="auto"/>
              <w:right w:val="single" w:sz="4" w:space="0" w:color="auto"/>
            </w:tcBorders>
            <w:shd w:val="clear" w:color="auto" w:fill="auto"/>
            <w:noWrap/>
            <w:vAlign w:val="center"/>
            <w:hideMark/>
          </w:tcPr>
          <w:p w14:paraId="0E174FF8" w14:textId="77777777" w:rsidR="00E36931" w:rsidRPr="00E36931" w:rsidRDefault="00E36931" w:rsidP="00E36931">
            <w:pPr>
              <w:jc w:val="righ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830092965</w:t>
            </w:r>
          </w:p>
        </w:tc>
        <w:tc>
          <w:tcPr>
            <w:tcW w:w="5034" w:type="dxa"/>
            <w:tcBorders>
              <w:top w:val="nil"/>
              <w:left w:val="nil"/>
              <w:bottom w:val="single" w:sz="4" w:space="0" w:color="auto"/>
              <w:right w:val="single" w:sz="4" w:space="0" w:color="auto"/>
            </w:tcBorders>
            <w:shd w:val="clear" w:color="auto" w:fill="auto"/>
            <w:vAlign w:val="center"/>
            <w:hideMark/>
          </w:tcPr>
          <w:p w14:paraId="2F6396B7" w14:textId="77777777" w:rsidR="00E36931" w:rsidRPr="00E36931" w:rsidRDefault="00E36931" w:rsidP="00E36931">
            <w:pPr>
              <w:jc w:val="lef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ENERGETICOS S.A.S.  E.S.P. DISTRIBUIDORA Y COMERCIALIZADORA DE ENERGIA GAS E HIDROCARBUROS</w:t>
            </w:r>
          </w:p>
        </w:tc>
        <w:tc>
          <w:tcPr>
            <w:tcW w:w="1418" w:type="dxa"/>
            <w:tcBorders>
              <w:top w:val="nil"/>
              <w:left w:val="nil"/>
              <w:bottom w:val="single" w:sz="4" w:space="0" w:color="auto"/>
              <w:right w:val="single" w:sz="4" w:space="0" w:color="auto"/>
            </w:tcBorders>
            <w:shd w:val="clear" w:color="auto" w:fill="auto"/>
            <w:noWrap/>
            <w:vAlign w:val="center"/>
            <w:hideMark/>
          </w:tcPr>
          <w:p w14:paraId="1A99B81C" w14:textId="17AFC8E7" w:rsidR="00E36931" w:rsidRPr="00E36931" w:rsidRDefault="00E36931" w:rsidP="00E36931">
            <w:pPr>
              <w:jc w:val="righ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 xml:space="preserve">    2</w:t>
            </w:r>
            <w:r w:rsidR="00EA0452">
              <w:rPr>
                <w:rFonts w:ascii="Arial Narrow" w:hAnsi="Arial Narrow" w:cs="Calibri"/>
                <w:color w:val="000000"/>
                <w:spacing w:val="0"/>
                <w:sz w:val="18"/>
                <w:szCs w:val="18"/>
                <w:lang w:eastAsia="es-CO"/>
              </w:rPr>
              <w:t>.</w:t>
            </w:r>
            <w:r w:rsidRPr="00E36931">
              <w:rPr>
                <w:rFonts w:ascii="Arial Narrow" w:hAnsi="Arial Narrow" w:cs="Calibri"/>
                <w:color w:val="000000"/>
                <w:spacing w:val="0"/>
                <w:sz w:val="18"/>
                <w:szCs w:val="18"/>
                <w:lang w:eastAsia="es-CO"/>
              </w:rPr>
              <w:t>679</w:t>
            </w:r>
            <w:r w:rsidR="00EA0452">
              <w:rPr>
                <w:rFonts w:ascii="Arial Narrow" w:hAnsi="Arial Narrow" w:cs="Calibri"/>
                <w:color w:val="000000"/>
                <w:spacing w:val="0"/>
                <w:sz w:val="18"/>
                <w:szCs w:val="18"/>
                <w:lang w:eastAsia="es-CO"/>
              </w:rPr>
              <w:t>.</w:t>
            </w:r>
            <w:r w:rsidRPr="00E36931">
              <w:rPr>
                <w:rFonts w:ascii="Arial Narrow" w:hAnsi="Arial Narrow" w:cs="Calibri"/>
                <w:color w:val="000000"/>
                <w:spacing w:val="0"/>
                <w:sz w:val="18"/>
                <w:szCs w:val="18"/>
                <w:lang w:eastAsia="es-CO"/>
              </w:rPr>
              <w:t>479</w:t>
            </w:r>
            <w:r w:rsidR="00EA0452">
              <w:rPr>
                <w:rFonts w:ascii="Arial Narrow" w:hAnsi="Arial Narrow" w:cs="Calibri"/>
                <w:color w:val="000000"/>
                <w:spacing w:val="0"/>
                <w:sz w:val="18"/>
                <w:szCs w:val="18"/>
                <w:lang w:eastAsia="es-CO"/>
              </w:rPr>
              <w:t>.</w:t>
            </w:r>
            <w:r w:rsidRPr="00E36931">
              <w:rPr>
                <w:rFonts w:ascii="Arial Narrow" w:hAnsi="Arial Narrow" w:cs="Calibri"/>
                <w:color w:val="000000"/>
                <w:spacing w:val="0"/>
                <w:sz w:val="18"/>
                <w:szCs w:val="18"/>
                <w:lang w:eastAsia="es-CO"/>
              </w:rPr>
              <w:t xml:space="preserve">990 </w:t>
            </w:r>
          </w:p>
        </w:tc>
        <w:tc>
          <w:tcPr>
            <w:tcW w:w="1417" w:type="dxa"/>
            <w:tcBorders>
              <w:top w:val="nil"/>
              <w:left w:val="nil"/>
              <w:bottom w:val="single" w:sz="4" w:space="0" w:color="auto"/>
              <w:right w:val="single" w:sz="4" w:space="0" w:color="auto"/>
            </w:tcBorders>
            <w:shd w:val="clear" w:color="auto" w:fill="auto"/>
            <w:noWrap/>
            <w:vAlign w:val="center"/>
            <w:hideMark/>
          </w:tcPr>
          <w:p w14:paraId="1638C48B" w14:textId="77777777" w:rsidR="00E36931" w:rsidRPr="00E36931" w:rsidRDefault="00E36931" w:rsidP="00E36931">
            <w:pPr>
              <w:jc w:val="righ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 xml:space="preserve">                        - </w:t>
            </w:r>
          </w:p>
        </w:tc>
      </w:tr>
      <w:tr w:rsidR="00E36931" w:rsidRPr="00E36931" w14:paraId="11C01AF4" w14:textId="77777777" w:rsidTr="00E36931">
        <w:trPr>
          <w:trHeight w:val="290"/>
        </w:trPr>
        <w:tc>
          <w:tcPr>
            <w:tcW w:w="319" w:type="dxa"/>
            <w:tcBorders>
              <w:top w:val="nil"/>
              <w:left w:val="single" w:sz="4" w:space="0" w:color="auto"/>
              <w:bottom w:val="single" w:sz="4" w:space="0" w:color="auto"/>
              <w:right w:val="single" w:sz="4" w:space="0" w:color="auto"/>
            </w:tcBorders>
            <w:shd w:val="clear" w:color="auto" w:fill="auto"/>
            <w:noWrap/>
            <w:vAlign w:val="center"/>
            <w:hideMark/>
          </w:tcPr>
          <w:p w14:paraId="0A8D1028" w14:textId="77777777" w:rsidR="00E36931" w:rsidRPr="00E36931" w:rsidRDefault="00E36931" w:rsidP="00E36931">
            <w:pPr>
              <w:jc w:val="center"/>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7</w:t>
            </w:r>
          </w:p>
        </w:tc>
        <w:tc>
          <w:tcPr>
            <w:tcW w:w="879" w:type="dxa"/>
            <w:tcBorders>
              <w:top w:val="nil"/>
              <w:left w:val="nil"/>
              <w:bottom w:val="single" w:sz="4" w:space="0" w:color="auto"/>
              <w:right w:val="single" w:sz="4" w:space="0" w:color="auto"/>
            </w:tcBorders>
            <w:shd w:val="clear" w:color="auto" w:fill="auto"/>
            <w:noWrap/>
            <w:vAlign w:val="center"/>
            <w:hideMark/>
          </w:tcPr>
          <w:p w14:paraId="60B1727F" w14:textId="77777777" w:rsidR="00E36931" w:rsidRPr="00E36931" w:rsidRDefault="00E36931" w:rsidP="00E36931">
            <w:pPr>
              <w:jc w:val="righ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804014818</w:t>
            </w:r>
          </w:p>
        </w:tc>
        <w:tc>
          <w:tcPr>
            <w:tcW w:w="5034" w:type="dxa"/>
            <w:tcBorders>
              <w:top w:val="nil"/>
              <w:left w:val="nil"/>
              <w:bottom w:val="single" w:sz="4" w:space="0" w:color="auto"/>
              <w:right w:val="single" w:sz="4" w:space="0" w:color="auto"/>
            </w:tcBorders>
            <w:shd w:val="clear" w:color="auto" w:fill="auto"/>
            <w:vAlign w:val="center"/>
            <w:hideMark/>
          </w:tcPr>
          <w:p w14:paraId="1282532C" w14:textId="77777777" w:rsidR="00E36931" w:rsidRPr="00E36931" w:rsidRDefault="00E36931" w:rsidP="00E36931">
            <w:pPr>
              <w:jc w:val="lef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PROMESA S.A. ESP</w:t>
            </w:r>
          </w:p>
        </w:tc>
        <w:tc>
          <w:tcPr>
            <w:tcW w:w="1418" w:type="dxa"/>
            <w:tcBorders>
              <w:top w:val="nil"/>
              <w:left w:val="nil"/>
              <w:bottom w:val="single" w:sz="4" w:space="0" w:color="auto"/>
              <w:right w:val="single" w:sz="4" w:space="0" w:color="auto"/>
            </w:tcBorders>
            <w:shd w:val="clear" w:color="auto" w:fill="auto"/>
            <w:noWrap/>
            <w:vAlign w:val="center"/>
            <w:hideMark/>
          </w:tcPr>
          <w:p w14:paraId="2CBD7B14" w14:textId="17DC2D6E" w:rsidR="00E36931" w:rsidRPr="00E36931" w:rsidRDefault="00E36931" w:rsidP="00E36931">
            <w:pPr>
              <w:jc w:val="righ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 xml:space="preserve">       320</w:t>
            </w:r>
            <w:r w:rsidR="00EA0452">
              <w:rPr>
                <w:rFonts w:ascii="Arial Narrow" w:hAnsi="Arial Narrow" w:cs="Calibri"/>
                <w:color w:val="000000"/>
                <w:spacing w:val="0"/>
                <w:sz w:val="18"/>
                <w:szCs w:val="18"/>
                <w:lang w:eastAsia="es-CO"/>
              </w:rPr>
              <w:t>.</w:t>
            </w:r>
            <w:r w:rsidRPr="00E36931">
              <w:rPr>
                <w:rFonts w:ascii="Arial Narrow" w:hAnsi="Arial Narrow" w:cs="Calibri"/>
                <w:color w:val="000000"/>
                <w:spacing w:val="0"/>
                <w:sz w:val="18"/>
                <w:szCs w:val="18"/>
                <w:lang w:eastAsia="es-CO"/>
              </w:rPr>
              <w:t>110</w:t>
            </w:r>
            <w:r w:rsidR="00EA0452">
              <w:rPr>
                <w:rFonts w:ascii="Arial Narrow" w:hAnsi="Arial Narrow" w:cs="Calibri"/>
                <w:color w:val="000000"/>
                <w:spacing w:val="0"/>
                <w:sz w:val="18"/>
                <w:szCs w:val="18"/>
                <w:lang w:eastAsia="es-CO"/>
              </w:rPr>
              <w:t>.</w:t>
            </w:r>
            <w:r w:rsidRPr="00E36931">
              <w:rPr>
                <w:rFonts w:ascii="Arial Narrow" w:hAnsi="Arial Narrow" w:cs="Calibri"/>
                <w:color w:val="000000"/>
                <w:spacing w:val="0"/>
                <w:sz w:val="18"/>
                <w:szCs w:val="18"/>
                <w:lang w:eastAsia="es-CO"/>
              </w:rPr>
              <w:t xml:space="preserve">125 </w:t>
            </w:r>
          </w:p>
        </w:tc>
        <w:tc>
          <w:tcPr>
            <w:tcW w:w="1417" w:type="dxa"/>
            <w:tcBorders>
              <w:top w:val="nil"/>
              <w:left w:val="nil"/>
              <w:bottom w:val="single" w:sz="4" w:space="0" w:color="auto"/>
              <w:right w:val="single" w:sz="4" w:space="0" w:color="auto"/>
            </w:tcBorders>
            <w:shd w:val="clear" w:color="auto" w:fill="auto"/>
            <w:noWrap/>
            <w:vAlign w:val="center"/>
            <w:hideMark/>
          </w:tcPr>
          <w:p w14:paraId="7C277BAA" w14:textId="77777777" w:rsidR="00E36931" w:rsidRPr="00E36931" w:rsidRDefault="00E36931" w:rsidP="00E36931">
            <w:pPr>
              <w:jc w:val="righ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 xml:space="preserve">                        - </w:t>
            </w:r>
          </w:p>
        </w:tc>
      </w:tr>
      <w:tr w:rsidR="00E36931" w:rsidRPr="00E36931" w14:paraId="5ECAF546" w14:textId="77777777" w:rsidTr="00E36931">
        <w:trPr>
          <w:trHeight w:val="290"/>
        </w:trPr>
        <w:tc>
          <w:tcPr>
            <w:tcW w:w="319" w:type="dxa"/>
            <w:tcBorders>
              <w:top w:val="nil"/>
              <w:left w:val="single" w:sz="4" w:space="0" w:color="auto"/>
              <w:bottom w:val="single" w:sz="4" w:space="0" w:color="auto"/>
              <w:right w:val="single" w:sz="4" w:space="0" w:color="auto"/>
            </w:tcBorders>
            <w:shd w:val="clear" w:color="auto" w:fill="auto"/>
            <w:noWrap/>
            <w:vAlign w:val="center"/>
            <w:hideMark/>
          </w:tcPr>
          <w:p w14:paraId="11D6AF3A" w14:textId="77777777" w:rsidR="00E36931" w:rsidRPr="00E36931" w:rsidRDefault="00E36931" w:rsidP="00E36931">
            <w:pPr>
              <w:jc w:val="center"/>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8</w:t>
            </w:r>
          </w:p>
        </w:tc>
        <w:tc>
          <w:tcPr>
            <w:tcW w:w="879" w:type="dxa"/>
            <w:tcBorders>
              <w:top w:val="nil"/>
              <w:left w:val="nil"/>
              <w:bottom w:val="single" w:sz="4" w:space="0" w:color="auto"/>
              <w:right w:val="single" w:sz="4" w:space="0" w:color="auto"/>
            </w:tcBorders>
            <w:shd w:val="clear" w:color="auto" w:fill="auto"/>
            <w:noWrap/>
            <w:vAlign w:val="center"/>
            <w:hideMark/>
          </w:tcPr>
          <w:p w14:paraId="740CFA77" w14:textId="77777777" w:rsidR="00E36931" w:rsidRPr="00E36931" w:rsidRDefault="00E36931" w:rsidP="00E36931">
            <w:pPr>
              <w:jc w:val="righ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813009626</w:t>
            </w:r>
          </w:p>
        </w:tc>
        <w:tc>
          <w:tcPr>
            <w:tcW w:w="5034" w:type="dxa"/>
            <w:tcBorders>
              <w:top w:val="nil"/>
              <w:left w:val="nil"/>
              <w:bottom w:val="single" w:sz="4" w:space="0" w:color="auto"/>
              <w:right w:val="single" w:sz="4" w:space="0" w:color="auto"/>
            </w:tcBorders>
            <w:shd w:val="clear" w:color="auto" w:fill="auto"/>
            <w:vAlign w:val="center"/>
            <w:hideMark/>
          </w:tcPr>
          <w:p w14:paraId="30F1A27D" w14:textId="77777777" w:rsidR="00E36931" w:rsidRPr="00E36931" w:rsidRDefault="00E36931" w:rsidP="00E36931">
            <w:pPr>
              <w:jc w:val="lef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SERVICIOS PUBLICOS Y GAS S.A E.S.P.</w:t>
            </w:r>
          </w:p>
        </w:tc>
        <w:tc>
          <w:tcPr>
            <w:tcW w:w="1418" w:type="dxa"/>
            <w:tcBorders>
              <w:top w:val="nil"/>
              <w:left w:val="nil"/>
              <w:bottom w:val="single" w:sz="4" w:space="0" w:color="auto"/>
              <w:right w:val="single" w:sz="4" w:space="0" w:color="auto"/>
            </w:tcBorders>
            <w:shd w:val="clear" w:color="auto" w:fill="auto"/>
            <w:noWrap/>
            <w:vAlign w:val="center"/>
            <w:hideMark/>
          </w:tcPr>
          <w:p w14:paraId="40F3679B" w14:textId="293F5A87" w:rsidR="00E36931" w:rsidRPr="00E36931" w:rsidRDefault="00E36931" w:rsidP="00E36931">
            <w:pPr>
              <w:jc w:val="righ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 xml:space="preserve">       145</w:t>
            </w:r>
            <w:r w:rsidR="00EA0452">
              <w:rPr>
                <w:rFonts w:ascii="Arial Narrow" w:hAnsi="Arial Narrow" w:cs="Calibri"/>
                <w:color w:val="000000"/>
                <w:spacing w:val="0"/>
                <w:sz w:val="18"/>
                <w:szCs w:val="18"/>
                <w:lang w:eastAsia="es-CO"/>
              </w:rPr>
              <w:t>.</w:t>
            </w:r>
            <w:r w:rsidRPr="00E36931">
              <w:rPr>
                <w:rFonts w:ascii="Arial Narrow" w:hAnsi="Arial Narrow" w:cs="Calibri"/>
                <w:color w:val="000000"/>
                <w:spacing w:val="0"/>
                <w:sz w:val="18"/>
                <w:szCs w:val="18"/>
                <w:lang w:eastAsia="es-CO"/>
              </w:rPr>
              <w:t>512</w:t>
            </w:r>
            <w:r w:rsidR="00EA0452">
              <w:rPr>
                <w:rFonts w:ascii="Arial Narrow" w:hAnsi="Arial Narrow" w:cs="Calibri"/>
                <w:color w:val="000000"/>
                <w:spacing w:val="0"/>
                <w:sz w:val="18"/>
                <w:szCs w:val="18"/>
                <w:lang w:eastAsia="es-CO"/>
              </w:rPr>
              <w:t>.</w:t>
            </w:r>
            <w:r w:rsidRPr="00E36931">
              <w:rPr>
                <w:rFonts w:ascii="Arial Narrow" w:hAnsi="Arial Narrow" w:cs="Calibri"/>
                <w:color w:val="000000"/>
                <w:spacing w:val="0"/>
                <w:sz w:val="18"/>
                <w:szCs w:val="18"/>
                <w:lang w:eastAsia="es-CO"/>
              </w:rPr>
              <w:t xml:space="preserve">000 </w:t>
            </w:r>
          </w:p>
        </w:tc>
        <w:tc>
          <w:tcPr>
            <w:tcW w:w="1417" w:type="dxa"/>
            <w:tcBorders>
              <w:top w:val="nil"/>
              <w:left w:val="nil"/>
              <w:bottom w:val="single" w:sz="4" w:space="0" w:color="auto"/>
              <w:right w:val="single" w:sz="4" w:space="0" w:color="auto"/>
            </w:tcBorders>
            <w:shd w:val="clear" w:color="auto" w:fill="auto"/>
            <w:noWrap/>
            <w:vAlign w:val="center"/>
            <w:hideMark/>
          </w:tcPr>
          <w:p w14:paraId="54DA891D" w14:textId="77777777" w:rsidR="00E36931" w:rsidRPr="00E36931" w:rsidRDefault="00E36931" w:rsidP="00E36931">
            <w:pPr>
              <w:jc w:val="righ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 xml:space="preserve">                        - </w:t>
            </w:r>
          </w:p>
        </w:tc>
      </w:tr>
      <w:tr w:rsidR="00E36931" w:rsidRPr="00E36931" w14:paraId="653E2C4B" w14:textId="77777777" w:rsidTr="00E36931">
        <w:trPr>
          <w:trHeight w:val="238"/>
        </w:trPr>
        <w:tc>
          <w:tcPr>
            <w:tcW w:w="319" w:type="dxa"/>
            <w:tcBorders>
              <w:top w:val="nil"/>
              <w:left w:val="single" w:sz="4" w:space="0" w:color="auto"/>
              <w:bottom w:val="single" w:sz="4" w:space="0" w:color="auto"/>
              <w:right w:val="single" w:sz="4" w:space="0" w:color="auto"/>
            </w:tcBorders>
            <w:shd w:val="clear" w:color="auto" w:fill="auto"/>
            <w:noWrap/>
            <w:vAlign w:val="center"/>
            <w:hideMark/>
          </w:tcPr>
          <w:p w14:paraId="2B30732B" w14:textId="77777777" w:rsidR="00E36931" w:rsidRPr="00E36931" w:rsidRDefault="00E36931" w:rsidP="00E36931">
            <w:pPr>
              <w:jc w:val="center"/>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9</w:t>
            </w:r>
          </w:p>
        </w:tc>
        <w:tc>
          <w:tcPr>
            <w:tcW w:w="879" w:type="dxa"/>
            <w:tcBorders>
              <w:top w:val="nil"/>
              <w:left w:val="nil"/>
              <w:bottom w:val="single" w:sz="4" w:space="0" w:color="auto"/>
              <w:right w:val="single" w:sz="4" w:space="0" w:color="auto"/>
            </w:tcBorders>
            <w:shd w:val="clear" w:color="auto" w:fill="auto"/>
            <w:noWrap/>
            <w:vAlign w:val="center"/>
            <w:hideMark/>
          </w:tcPr>
          <w:p w14:paraId="7CBF124F" w14:textId="77777777" w:rsidR="00E36931" w:rsidRPr="00E36931" w:rsidRDefault="00E36931" w:rsidP="00E36931">
            <w:pPr>
              <w:jc w:val="righ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900122435</w:t>
            </w:r>
          </w:p>
        </w:tc>
        <w:tc>
          <w:tcPr>
            <w:tcW w:w="5034" w:type="dxa"/>
            <w:tcBorders>
              <w:top w:val="nil"/>
              <w:left w:val="nil"/>
              <w:bottom w:val="single" w:sz="4" w:space="0" w:color="auto"/>
              <w:right w:val="single" w:sz="4" w:space="0" w:color="auto"/>
            </w:tcBorders>
            <w:shd w:val="clear" w:color="auto" w:fill="auto"/>
            <w:vAlign w:val="center"/>
            <w:hideMark/>
          </w:tcPr>
          <w:p w14:paraId="492E4ACC" w14:textId="77777777" w:rsidR="00E36931" w:rsidRPr="00E36931" w:rsidRDefault="00E36931" w:rsidP="00E36931">
            <w:pPr>
              <w:jc w:val="lef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COOPERATIVA DE SERVICIOS PÚBLICOS DE LÓPEZ DE MICAY</w:t>
            </w:r>
          </w:p>
        </w:tc>
        <w:tc>
          <w:tcPr>
            <w:tcW w:w="1418" w:type="dxa"/>
            <w:tcBorders>
              <w:top w:val="nil"/>
              <w:left w:val="nil"/>
              <w:bottom w:val="single" w:sz="4" w:space="0" w:color="auto"/>
              <w:right w:val="single" w:sz="4" w:space="0" w:color="auto"/>
            </w:tcBorders>
            <w:shd w:val="clear" w:color="auto" w:fill="auto"/>
            <w:noWrap/>
            <w:vAlign w:val="center"/>
            <w:hideMark/>
          </w:tcPr>
          <w:p w14:paraId="0FF855BF" w14:textId="2CD0A3FC" w:rsidR="00E36931" w:rsidRPr="00E36931" w:rsidRDefault="00E36931" w:rsidP="00E36931">
            <w:pPr>
              <w:jc w:val="righ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 xml:space="preserve">       662</w:t>
            </w:r>
            <w:r w:rsidR="00EA0452">
              <w:rPr>
                <w:rFonts w:ascii="Arial Narrow" w:hAnsi="Arial Narrow" w:cs="Calibri"/>
                <w:color w:val="000000"/>
                <w:spacing w:val="0"/>
                <w:sz w:val="18"/>
                <w:szCs w:val="18"/>
                <w:lang w:eastAsia="es-CO"/>
              </w:rPr>
              <w:t>.</w:t>
            </w:r>
            <w:r w:rsidRPr="00E36931">
              <w:rPr>
                <w:rFonts w:ascii="Arial Narrow" w:hAnsi="Arial Narrow" w:cs="Calibri"/>
                <w:color w:val="000000"/>
                <w:spacing w:val="0"/>
                <w:sz w:val="18"/>
                <w:szCs w:val="18"/>
                <w:lang w:eastAsia="es-CO"/>
              </w:rPr>
              <w:t>473</w:t>
            </w:r>
            <w:r w:rsidR="00EA0452">
              <w:rPr>
                <w:rFonts w:ascii="Arial Narrow" w:hAnsi="Arial Narrow" w:cs="Calibri"/>
                <w:color w:val="000000"/>
                <w:spacing w:val="0"/>
                <w:sz w:val="18"/>
                <w:szCs w:val="18"/>
                <w:lang w:eastAsia="es-CO"/>
              </w:rPr>
              <w:t>.</w:t>
            </w:r>
            <w:r w:rsidRPr="00E36931">
              <w:rPr>
                <w:rFonts w:ascii="Arial Narrow" w:hAnsi="Arial Narrow" w:cs="Calibri"/>
                <w:color w:val="000000"/>
                <w:spacing w:val="0"/>
                <w:sz w:val="18"/>
                <w:szCs w:val="18"/>
                <w:lang w:eastAsia="es-CO"/>
              </w:rPr>
              <w:t xml:space="preserve">133 </w:t>
            </w:r>
          </w:p>
        </w:tc>
        <w:tc>
          <w:tcPr>
            <w:tcW w:w="1417" w:type="dxa"/>
            <w:tcBorders>
              <w:top w:val="nil"/>
              <w:left w:val="nil"/>
              <w:bottom w:val="single" w:sz="4" w:space="0" w:color="auto"/>
              <w:right w:val="single" w:sz="4" w:space="0" w:color="auto"/>
            </w:tcBorders>
            <w:shd w:val="clear" w:color="auto" w:fill="auto"/>
            <w:noWrap/>
            <w:vAlign w:val="center"/>
            <w:hideMark/>
          </w:tcPr>
          <w:p w14:paraId="44FE2780" w14:textId="77777777" w:rsidR="00E36931" w:rsidRPr="00E36931" w:rsidRDefault="00E36931" w:rsidP="00E36931">
            <w:pPr>
              <w:jc w:val="righ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 xml:space="preserve">                        - </w:t>
            </w:r>
          </w:p>
        </w:tc>
      </w:tr>
      <w:tr w:rsidR="00E36931" w:rsidRPr="00E36931" w14:paraId="67312D38" w14:textId="77777777" w:rsidTr="00E36931">
        <w:trPr>
          <w:trHeight w:val="269"/>
        </w:trPr>
        <w:tc>
          <w:tcPr>
            <w:tcW w:w="319" w:type="dxa"/>
            <w:tcBorders>
              <w:top w:val="nil"/>
              <w:left w:val="single" w:sz="4" w:space="0" w:color="auto"/>
              <w:bottom w:val="single" w:sz="4" w:space="0" w:color="auto"/>
              <w:right w:val="single" w:sz="4" w:space="0" w:color="auto"/>
            </w:tcBorders>
            <w:shd w:val="clear" w:color="auto" w:fill="auto"/>
            <w:noWrap/>
            <w:vAlign w:val="center"/>
            <w:hideMark/>
          </w:tcPr>
          <w:p w14:paraId="1D362E70" w14:textId="77777777" w:rsidR="00E36931" w:rsidRPr="00E36931" w:rsidRDefault="00E36931" w:rsidP="00E36931">
            <w:pPr>
              <w:jc w:val="center"/>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10</w:t>
            </w:r>
          </w:p>
        </w:tc>
        <w:tc>
          <w:tcPr>
            <w:tcW w:w="879" w:type="dxa"/>
            <w:tcBorders>
              <w:top w:val="nil"/>
              <w:left w:val="nil"/>
              <w:bottom w:val="single" w:sz="4" w:space="0" w:color="auto"/>
              <w:right w:val="single" w:sz="4" w:space="0" w:color="auto"/>
            </w:tcBorders>
            <w:shd w:val="clear" w:color="auto" w:fill="auto"/>
            <w:noWrap/>
            <w:vAlign w:val="center"/>
            <w:hideMark/>
          </w:tcPr>
          <w:p w14:paraId="42A03576" w14:textId="77777777" w:rsidR="00E36931" w:rsidRPr="00E36931" w:rsidRDefault="00E36931" w:rsidP="00E36931">
            <w:pPr>
              <w:jc w:val="righ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900103542</w:t>
            </w:r>
          </w:p>
        </w:tc>
        <w:tc>
          <w:tcPr>
            <w:tcW w:w="5034" w:type="dxa"/>
            <w:tcBorders>
              <w:top w:val="nil"/>
              <w:left w:val="nil"/>
              <w:bottom w:val="single" w:sz="4" w:space="0" w:color="auto"/>
              <w:right w:val="single" w:sz="4" w:space="0" w:color="auto"/>
            </w:tcBorders>
            <w:shd w:val="clear" w:color="auto" w:fill="auto"/>
            <w:vAlign w:val="center"/>
            <w:hideMark/>
          </w:tcPr>
          <w:p w14:paraId="172FC13E" w14:textId="77777777" w:rsidR="00E36931" w:rsidRPr="00E36931" w:rsidRDefault="00E36931" w:rsidP="00E36931">
            <w:pPr>
              <w:jc w:val="lef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GNI GAS NATURAL INDUSTRIAL DE COLOMBIA S.A.S. E.S.P.</w:t>
            </w:r>
          </w:p>
        </w:tc>
        <w:tc>
          <w:tcPr>
            <w:tcW w:w="1418" w:type="dxa"/>
            <w:tcBorders>
              <w:top w:val="nil"/>
              <w:left w:val="nil"/>
              <w:bottom w:val="single" w:sz="4" w:space="0" w:color="auto"/>
              <w:right w:val="single" w:sz="4" w:space="0" w:color="auto"/>
            </w:tcBorders>
            <w:shd w:val="clear" w:color="auto" w:fill="auto"/>
            <w:noWrap/>
            <w:vAlign w:val="center"/>
            <w:hideMark/>
          </w:tcPr>
          <w:p w14:paraId="1E15250B" w14:textId="53200D46" w:rsidR="00E36931" w:rsidRPr="00E36931" w:rsidRDefault="00E36931" w:rsidP="00E36931">
            <w:pPr>
              <w:jc w:val="righ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 xml:space="preserve">    1</w:t>
            </w:r>
            <w:r w:rsidR="00EA0452">
              <w:rPr>
                <w:rFonts w:ascii="Arial Narrow" w:hAnsi="Arial Narrow" w:cs="Calibri"/>
                <w:color w:val="000000"/>
                <w:spacing w:val="0"/>
                <w:sz w:val="18"/>
                <w:szCs w:val="18"/>
                <w:lang w:eastAsia="es-CO"/>
              </w:rPr>
              <w:t>.</w:t>
            </w:r>
            <w:r w:rsidRPr="00E36931">
              <w:rPr>
                <w:rFonts w:ascii="Arial Narrow" w:hAnsi="Arial Narrow" w:cs="Calibri"/>
                <w:color w:val="000000"/>
                <w:spacing w:val="0"/>
                <w:sz w:val="18"/>
                <w:szCs w:val="18"/>
                <w:lang w:eastAsia="es-CO"/>
              </w:rPr>
              <w:t>266</w:t>
            </w:r>
            <w:r w:rsidR="00EA0452">
              <w:rPr>
                <w:rFonts w:ascii="Arial Narrow" w:hAnsi="Arial Narrow" w:cs="Calibri"/>
                <w:color w:val="000000"/>
                <w:spacing w:val="0"/>
                <w:sz w:val="18"/>
                <w:szCs w:val="18"/>
                <w:lang w:eastAsia="es-CO"/>
              </w:rPr>
              <w:t>.</w:t>
            </w:r>
            <w:r w:rsidRPr="00E36931">
              <w:rPr>
                <w:rFonts w:ascii="Arial Narrow" w:hAnsi="Arial Narrow" w:cs="Calibri"/>
                <w:color w:val="000000"/>
                <w:spacing w:val="0"/>
                <w:sz w:val="18"/>
                <w:szCs w:val="18"/>
                <w:lang w:eastAsia="es-CO"/>
              </w:rPr>
              <w:t>801</w:t>
            </w:r>
            <w:r w:rsidR="00EA0452">
              <w:rPr>
                <w:rFonts w:ascii="Arial Narrow" w:hAnsi="Arial Narrow" w:cs="Calibri"/>
                <w:color w:val="000000"/>
                <w:spacing w:val="0"/>
                <w:sz w:val="18"/>
                <w:szCs w:val="18"/>
                <w:lang w:eastAsia="es-CO"/>
              </w:rPr>
              <w:t>.</w:t>
            </w:r>
            <w:r w:rsidRPr="00E36931">
              <w:rPr>
                <w:rFonts w:ascii="Arial Narrow" w:hAnsi="Arial Narrow" w:cs="Calibri"/>
                <w:color w:val="000000"/>
                <w:spacing w:val="0"/>
                <w:sz w:val="18"/>
                <w:szCs w:val="18"/>
                <w:lang w:eastAsia="es-CO"/>
              </w:rPr>
              <w:t xml:space="preserve">043 </w:t>
            </w:r>
          </w:p>
        </w:tc>
        <w:tc>
          <w:tcPr>
            <w:tcW w:w="1417" w:type="dxa"/>
            <w:tcBorders>
              <w:top w:val="nil"/>
              <w:left w:val="nil"/>
              <w:bottom w:val="single" w:sz="4" w:space="0" w:color="auto"/>
              <w:right w:val="single" w:sz="4" w:space="0" w:color="auto"/>
            </w:tcBorders>
            <w:shd w:val="clear" w:color="auto" w:fill="auto"/>
            <w:noWrap/>
            <w:vAlign w:val="center"/>
            <w:hideMark/>
          </w:tcPr>
          <w:p w14:paraId="2C3ACF58" w14:textId="77777777" w:rsidR="00E36931" w:rsidRPr="00E36931" w:rsidRDefault="00E36931" w:rsidP="00E36931">
            <w:pPr>
              <w:jc w:val="righ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 xml:space="preserve">                        - </w:t>
            </w:r>
          </w:p>
        </w:tc>
      </w:tr>
      <w:tr w:rsidR="00E36931" w:rsidRPr="00E36931" w14:paraId="4BBBE834" w14:textId="77777777" w:rsidTr="00E36931">
        <w:trPr>
          <w:trHeight w:val="375"/>
        </w:trPr>
        <w:tc>
          <w:tcPr>
            <w:tcW w:w="319" w:type="dxa"/>
            <w:tcBorders>
              <w:top w:val="nil"/>
              <w:left w:val="single" w:sz="4" w:space="0" w:color="auto"/>
              <w:bottom w:val="single" w:sz="4" w:space="0" w:color="auto"/>
              <w:right w:val="single" w:sz="4" w:space="0" w:color="auto"/>
            </w:tcBorders>
            <w:shd w:val="clear" w:color="auto" w:fill="auto"/>
            <w:noWrap/>
            <w:vAlign w:val="center"/>
            <w:hideMark/>
          </w:tcPr>
          <w:p w14:paraId="64A0BDC5" w14:textId="77777777" w:rsidR="00E36931" w:rsidRPr="00E36931" w:rsidRDefault="00E36931" w:rsidP="00E36931">
            <w:pPr>
              <w:jc w:val="center"/>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11</w:t>
            </w:r>
          </w:p>
        </w:tc>
        <w:tc>
          <w:tcPr>
            <w:tcW w:w="879" w:type="dxa"/>
            <w:tcBorders>
              <w:top w:val="nil"/>
              <w:left w:val="nil"/>
              <w:bottom w:val="single" w:sz="4" w:space="0" w:color="auto"/>
              <w:right w:val="single" w:sz="4" w:space="0" w:color="auto"/>
            </w:tcBorders>
            <w:shd w:val="clear" w:color="auto" w:fill="auto"/>
            <w:noWrap/>
            <w:vAlign w:val="center"/>
            <w:hideMark/>
          </w:tcPr>
          <w:p w14:paraId="059D1526" w14:textId="77777777" w:rsidR="00E36931" w:rsidRPr="00E36931" w:rsidRDefault="00E36931" w:rsidP="00E36931">
            <w:pPr>
              <w:jc w:val="righ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900350023</w:t>
            </w:r>
          </w:p>
        </w:tc>
        <w:tc>
          <w:tcPr>
            <w:tcW w:w="5034" w:type="dxa"/>
            <w:tcBorders>
              <w:top w:val="nil"/>
              <w:left w:val="nil"/>
              <w:bottom w:val="single" w:sz="4" w:space="0" w:color="auto"/>
              <w:right w:val="single" w:sz="4" w:space="0" w:color="auto"/>
            </w:tcBorders>
            <w:shd w:val="clear" w:color="auto" w:fill="auto"/>
            <w:vAlign w:val="center"/>
            <w:hideMark/>
          </w:tcPr>
          <w:p w14:paraId="7640F977" w14:textId="46D50C5F" w:rsidR="00E36931" w:rsidRPr="00E36931" w:rsidRDefault="00E36931" w:rsidP="00E36931">
            <w:pPr>
              <w:jc w:val="lef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EMPRESA DE SERVICIOS PUBLICOS DE ENERGIA ELECTRICA DEL MUNICIPIO DE BARBACOAS S.A.S E.S.P</w:t>
            </w:r>
            <w:r>
              <w:rPr>
                <w:rFonts w:ascii="Arial Narrow" w:hAnsi="Arial Narrow" w:cs="Calibri"/>
                <w:color w:val="000000"/>
                <w:spacing w:val="0"/>
                <w:sz w:val="18"/>
                <w:szCs w:val="18"/>
                <w:lang w:eastAsia="es-CO"/>
              </w:rPr>
              <w:t>.</w:t>
            </w:r>
          </w:p>
        </w:tc>
        <w:tc>
          <w:tcPr>
            <w:tcW w:w="1418" w:type="dxa"/>
            <w:tcBorders>
              <w:top w:val="nil"/>
              <w:left w:val="nil"/>
              <w:bottom w:val="single" w:sz="4" w:space="0" w:color="auto"/>
              <w:right w:val="single" w:sz="4" w:space="0" w:color="auto"/>
            </w:tcBorders>
            <w:shd w:val="clear" w:color="auto" w:fill="auto"/>
            <w:noWrap/>
            <w:vAlign w:val="center"/>
            <w:hideMark/>
          </w:tcPr>
          <w:p w14:paraId="35AF3FF2" w14:textId="0CC5BBA5" w:rsidR="00E36931" w:rsidRPr="00E36931" w:rsidRDefault="00E36931" w:rsidP="00E36931">
            <w:pPr>
              <w:jc w:val="righ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 xml:space="preserve">       310</w:t>
            </w:r>
            <w:r w:rsidR="00EA0452">
              <w:rPr>
                <w:rFonts w:ascii="Arial Narrow" w:hAnsi="Arial Narrow" w:cs="Calibri"/>
                <w:color w:val="000000"/>
                <w:spacing w:val="0"/>
                <w:sz w:val="18"/>
                <w:szCs w:val="18"/>
                <w:lang w:eastAsia="es-CO"/>
              </w:rPr>
              <w:t>.</w:t>
            </w:r>
            <w:r w:rsidRPr="00E36931">
              <w:rPr>
                <w:rFonts w:ascii="Arial Narrow" w:hAnsi="Arial Narrow" w:cs="Calibri"/>
                <w:color w:val="000000"/>
                <w:spacing w:val="0"/>
                <w:sz w:val="18"/>
                <w:szCs w:val="18"/>
                <w:lang w:eastAsia="es-CO"/>
              </w:rPr>
              <w:t>141</w:t>
            </w:r>
            <w:r w:rsidR="00EA0452">
              <w:rPr>
                <w:rFonts w:ascii="Arial Narrow" w:hAnsi="Arial Narrow" w:cs="Calibri"/>
                <w:color w:val="000000"/>
                <w:spacing w:val="0"/>
                <w:sz w:val="18"/>
                <w:szCs w:val="18"/>
                <w:lang w:eastAsia="es-CO"/>
              </w:rPr>
              <w:t>.</w:t>
            </w:r>
            <w:r w:rsidRPr="00E36931">
              <w:rPr>
                <w:rFonts w:ascii="Arial Narrow" w:hAnsi="Arial Narrow" w:cs="Calibri"/>
                <w:color w:val="000000"/>
                <w:spacing w:val="0"/>
                <w:sz w:val="18"/>
                <w:szCs w:val="18"/>
                <w:lang w:eastAsia="es-CO"/>
              </w:rPr>
              <w:t xml:space="preserve">808 </w:t>
            </w:r>
          </w:p>
        </w:tc>
        <w:tc>
          <w:tcPr>
            <w:tcW w:w="1417" w:type="dxa"/>
            <w:tcBorders>
              <w:top w:val="nil"/>
              <w:left w:val="nil"/>
              <w:bottom w:val="single" w:sz="4" w:space="0" w:color="auto"/>
              <w:right w:val="single" w:sz="4" w:space="0" w:color="auto"/>
            </w:tcBorders>
            <w:shd w:val="clear" w:color="auto" w:fill="auto"/>
            <w:noWrap/>
            <w:vAlign w:val="center"/>
            <w:hideMark/>
          </w:tcPr>
          <w:p w14:paraId="1F34E82E" w14:textId="77777777" w:rsidR="00E36931" w:rsidRPr="00E36931" w:rsidRDefault="00E36931" w:rsidP="00E36931">
            <w:pPr>
              <w:jc w:val="righ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 xml:space="preserve">                        - </w:t>
            </w:r>
          </w:p>
        </w:tc>
      </w:tr>
      <w:tr w:rsidR="00E36931" w:rsidRPr="00E36931" w14:paraId="2060456F" w14:textId="77777777" w:rsidTr="00E36931">
        <w:trPr>
          <w:trHeight w:val="290"/>
        </w:trPr>
        <w:tc>
          <w:tcPr>
            <w:tcW w:w="319" w:type="dxa"/>
            <w:tcBorders>
              <w:top w:val="nil"/>
              <w:left w:val="single" w:sz="4" w:space="0" w:color="auto"/>
              <w:bottom w:val="single" w:sz="4" w:space="0" w:color="auto"/>
              <w:right w:val="single" w:sz="4" w:space="0" w:color="auto"/>
            </w:tcBorders>
            <w:shd w:val="clear" w:color="auto" w:fill="auto"/>
            <w:noWrap/>
            <w:vAlign w:val="center"/>
            <w:hideMark/>
          </w:tcPr>
          <w:p w14:paraId="02C7F547" w14:textId="77777777" w:rsidR="00E36931" w:rsidRPr="00E36931" w:rsidRDefault="00E36931" w:rsidP="00E36931">
            <w:pPr>
              <w:jc w:val="center"/>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12</w:t>
            </w:r>
          </w:p>
        </w:tc>
        <w:tc>
          <w:tcPr>
            <w:tcW w:w="879" w:type="dxa"/>
            <w:tcBorders>
              <w:top w:val="nil"/>
              <w:left w:val="nil"/>
              <w:bottom w:val="single" w:sz="4" w:space="0" w:color="auto"/>
              <w:right w:val="single" w:sz="4" w:space="0" w:color="auto"/>
            </w:tcBorders>
            <w:shd w:val="clear" w:color="auto" w:fill="auto"/>
            <w:noWrap/>
            <w:vAlign w:val="center"/>
            <w:hideMark/>
          </w:tcPr>
          <w:p w14:paraId="4C1944DD" w14:textId="77777777" w:rsidR="00E36931" w:rsidRPr="00E36931" w:rsidRDefault="00E36931" w:rsidP="00E36931">
            <w:pPr>
              <w:jc w:val="righ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900396040</w:t>
            </w:r>
          </w:p>
        </w:tc>
        <w:tc>
          <w:tcPr>
            <w:tcW w:w="5034" w:type="dxa"/>
            <w:tcBorders>
              <w:top w:val="nil"/>
              <w:left w:val="nil"/>
              <w:bottom w:val="single" w:sz="4" w:space="0" w:color="auto"/>
              <w:right w:val="single" w:sz="4" w:space="0" w:color="auto"/>
            </w:tcBorders>
            <w:shd w:val="clear" w:color="auto" w:fill="auto"/>
            <w:vAlign w:val="center"/>
            <w:hideMark/>
          </w:tcPr>
          <w:p w14:paraId="0073A23D" w14:textId="77777777" w:rsidR="00E36931" w:rsidRPr="00C6331D" w:rsidRDefault="00E36931" w:rsidP="00E36931">
            <w:pPr>
              <w:jc w:val="left"/>
              <w:rPr>
                <w:rFonts w:ascii="Arial Narrow" w:hAnsi="Arial Narrow" w:cs="Calibri"/>
                <w:color w:val="000000"/>
                <w:spacing w:val="0"/>
                <w:sz w:val="18"/>
                <w:szCs w:val="18"/>
                <w:lang w:val="en-US" w:eastAsia="es-CO"/>
              </w:rPr>
            </w:pPr>
            <w:r w:rsidRPr="00C6331D">
              <w:rPr>
                <w:rFonts w:ascii="Arial Narrow" w:hAnsi="Arial Narrow" w:cs="Calibri"/>
                <w:color w:val="000000"/>
                <w:spacing w:val="0"/>
                <w:sz w:val="18"/>
                <w:szCs w:val="18"/>
                <w:lang w:val="en-US" w:eastAsia="es-CO"/>
              </w:rPr>
              <w:t>FEDEGAS S.A.S.  E.S.P.</w:t>
            </w:r>
          </w:p>
        </w:tc>
        <w:tc>
          <w:tcPr>
            <w:tcW w:w="1418" w:type="dxa"/>
            <w:tcBorders>
              <w:top w:val="nil"/>
              <w:left w:val="nil"/>
              <w:bottom w:val="single" w:sz="4" w:space="0" w:color="auto"/>
              <w:right w:val="single" w:sz="4" w:space="0" w:color="auto"/>
            </w:tcBorders>
            <w:shd w:val="clear" w:color="auto" w:fill="auto"/>
            <w:noWrap/>
            <w:vAlign w:val="center"/>
            <w:hideMark/>
          </w:tcPr>
          <w:p w14:paraId="6F23C15E" w14:textId="4D34A40E" w:rsidR="00E36931" w:rsidRPr="00E36931" w:rsidRDefault="00E36931" w:rsidP="00E36931">
            <w:pPr>
              <w:jc w:val="right"/>
              <w:rPr>
                <w:rFonts w:ascii="Arial Narrow" w:hAnsi="Arial Narrow" w:cs="Calibri"/>
                <w:color w:val="000000"/>
                <w:spacing w:val="0"/>
                <w:sz w:val="18"/>
                <w:szCs w:val="18"/>
                <w:lang w:eastAsia="es-CO"/>
              </w:rPr>
            </w:pPr>
            <w:r w:rsidRPr="00C6331D">
              <w:rPr>
                <w:rFonts w:ascii="Arial Narrow" w:hAnsi="Arial Narrow" w:cs="Calibri"/>
                <w:color w:val="000000"/>
                <w:spacing w:val="0"/>
                <w:sz w:val="18"/>
                <w:szCs w:val="18"/>
                <w:lang w:val="en-US" w:eastAsia="es-CO"/>
              </w:rPr>
              <w:t xml:space="preserve">    </w:t>
            </w:r>
            <w:r w:rsidRPr="00E36931">
              <w:rPr>
                <w:rFonts w:ascii="Arial Narrow" w:hAnsi="Arial Narrow" w:cs="Calibri"/>
                <w:color w:val="000000"/>
                <w:spacing w:val="0"/>
                <w:sz w:val="18"/>
                <w:szCs w:val="18"/>
                <w:lang w:eastAsia="es-CO"/>
              </w:rPr>
              <w:t>1</w:t>
            </w:r>
            <w:r w:rsidR="00EA0452">
              <w:rPr>
                <w:rFonts w:ascii="Arial Narrow" w:hAnsi="Arial Narrow" w:cs="Calibri"/>
                <w:color w:val="000000"/>
                <w:spacing w:val="0"/>
                <w:sz w:val="18"/>
                <w:szCs w:val="18"/>
                <w:lang w:eastAsia="es-CO"/>
              </w:rPr>
              <w:t>.</w:t>
            </w:r>
            <w:r w:rsidRPr="00E36931">
              <w:rPr>
                <w:rFonts w:ascii="Arial Narrow" w:hAnsi="Arial Narrow" w:cs="Calibri"/>
                <w:color w:val="000000"/>
                <w:spacing w:val="0"/>
                <w:sz w:val="18"/>
                <w:szCs w:val="18"/>
                <w:lang w:eastAsia="es-CO"/>
              </w:rPr>
              <w:t>490</w:t>
            </w:r>
            <w:r w:rsidR="00EA0452">
              <w:rPr>
                <w:rFonts w:ascii="Arial Narrow" w:hAnsi="Arial Narrow" w:cs="Calibri"/>
                <w:color w:val="000000"/>
                <w:spacing w:val="0"/>
                <w:sz w:val="18"/>
                <w:szCs w:val="18"/>
                <w:lang w:eastAsia="es-CO"/>
              </w:rPr>
              <w:t>.</w:t>
            </w:r>
            <w:r w:rsidRPr="00E36931">
              <w:rPr>
                <w:rFonts w:ascii="Arial Narrow" w:hAnsi="Arial Narrow" w:cs="Calibri"/>
                <w:color w:val="000000"/>
                <w:spacing w:val="0"/>
                <w:sz w:val="18"/>
                <w:szCs w:val="18"/>
                <w:lang w:eastAsia="es-CO"/>
              </w:rPr>
              <w:t>146</w:t>
            </w:r>
            <w:r w:rsidR="00EA0452">
              <w:rPr>
                <w:rFonts w:ascii="Arial Narrow" w:hAnsi="Arial Narrow" w:cs="Calibri"/>
                <w:color w:val="000000"/>
                <w:spacing w:val="0"/>
                <w:sz w:val="18"/>
                <w:szCs w:val="18"/>
                <w:lang w:eastAsia="es-CO"/>
              </w:rPr>
              <w:t>.</w:t>
            </w:r>
            <w:r w:rsidRPr="00E36931">
              <w:rPr>
                <w:rFonts w:ascii="Arial Narrow" w:hAnsi="Arial Narrow" w:cs="Calibri"/>
                <w:color w:val="000000"/>
                <w:spacing w:val="0"/>
                <w:sz w:val="18"/>
                <w:szCs w:val="18"/>
                <w:lang w:eastAsia="es-CO"/>
              </w:rPr>
              <w:t xml:space="preserve">825 </w:t>
            </w:r>
          </w:p>
        </w:tc>
        <w:tc>
          <w:tcPr>
            <w:tcW w:w="1417" w:type="dxa"/>
            <w:tcBorders>
              <w:top w:val="nil"/>
              <w:left w:val="nil"/>
              <w:bottom w:val="single" w:sz="4" w:space="0" w:color="auto"/>
              <w:right w:val="single" w:sz="4" w:space="0" w:color="auto"/>
            </w:tcBorders>
            <w:shd w:val="clear" w:color="auto" w:fill="auto"/>
            <w:noWrap/>
            <w:vAlign w:val="center"/>
            <w:hideMark/>
          </w:tcPr>
          <w:p w14:paraId="49BE30BB" w14:textId="77777777" w:rsidR="00E36931" w:rsidRPr="00E36931" w:rsidRDefault="00E36931" w:rsidP="00E36931">
            <w:pPr>
              <w:jc w:val="righ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 xml:space="preserve">                        - </w:t>
            </w:r>
          </w:p>
        </w:tc>
      </w:tr>
      <w:tr w:rsidR="00E36931" w:rsidRPr="00E36931" w14:paraId="76BCFD22" w14:textId="77777777" w:rsidTr="00E36931">
        <w:trPr>
          <w:trHeight w:val="290"/>
        </w:trPr>
        <w:tc>
          <w:tcPr>
            <w:tcW w:w="319" w:type="dxa"/>
            <w:tcBorders>
              <w:top w:val="nil"/>
              <w:left w:val="single" w:sz="4" w:space="0" w:color="auto"/>
              <w:bottom w:val="single" w:sz="4" w:space="0" w:color="auto"/>
              <w:right w:val="single" w:sz="4" w:space="0" w:color="auto"/>
            </w:tcBorders>
            <w:shd w:val="clear" w:color="auto" w:fill="auto"/>
            <w:noWrap/>
            <w:vAlign w:val="center"/>
            <w:hideMark/>
          </w:tcPr>
          <w:p w14:paraId="28548273" w14:textId="77777777" w:rsidR="00E36931" w:rsidRPr="00E36931" w:rsidRDefault="00E36931" w:rsidP="00E36931">
            <w:pPr>
              <w:jc w:val="center"/>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13</w:t>
            </w:r>
          </w:p>
        </w:tc>
        <w:tc>
          <w:tcPr>
            <w:tcW w:w="879" w:type="dxa"/>
            <w:tcBorders>
              <w:top w:val="nil"/>
              <w:left w:val="nil"/>
              <w:bottom w:val="single" w:sz="4" w:space="0" w:color="auto"/>
              <w:right w:val="single" w:sz="4" w:space="0" w:color="auto"/>
            </w:tcBorders>
            <w:shd w:val="clear" w:color="auto" w:fill="auto"/>
            <w:noWrap/>
            <w:vAlign w:val="center"/>
            <w:hideMark/>
          </w:tcPr>
          <w:p w14:paraId="4D1D486C" w14:textId="77777777" w:rsidR="00E36931" w:rsidRPr="00E36931" w:rsidRDefault="00E36931" w:rsidP="00E36931">
            <w:pPr>
              <w:jc w:val="righ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830095563</w:t>
            </w:r>
          </w:p>
        </w:tc>
        <w:tc>
          <w:tcPr>
            <w:tcW w:w="5034" w:type="dxa"/>
            <w:tcBorders>
              <w:top w:val="nil"/>
              <w:left w:val="nil"/>
              <w:bottom w:val="single" w:sz="4" w:space="0" w:color="auto"/>
              <w:right w:val="single" w:sz="4" w:space="0" w:color="auto"/>
            </w:tcBorders>
            <w:shd w:val="clear" w:color="auto" w:fill="auto"/>
            <w:vAlign w:val="center"/>
            <w:hideMark/>
          </w:tcPr>
          <w:p w14:paraId="77703E7C" w14:textId="77777777" w:rsidR="00E36931" w:rsidRPr="00E36931" w:rsidRDefault="00E36931" w:rsidP="00E36931">
            <w:pPr>
              <w:jc w:val="lef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CANACOL ENERGY COLOMBIA S.A.</w:t>
            </w:r>
          </w:p>
        </w:tc>
        <w:tc>
          <w:tcPr>
            <w:tcW w:w="1418" w:type="dxa"/>
            <w:tcBorders>
              <w:top w:val="nil"/>
              <w:left w:val="nil"/>
              <w:bottom w:val="single" w:sz="4" w:space="0" w:color="auto"/>
              <w:right w:val="single" w:sz="4" w:space="0" w:color="auto"/>
            </w:tcBorders>
            <w:shd w:val="clear" w:color="auto" w:fill="auto"/>
            <w:noWrap/>
            <w:vAlign w:val="center"/>
            <w:hideMark/>
          </w:tcPr>
          <w:p w14:paraId="281A006D" w14:textId="462FC9EA" w:rsidR="00E36931" w:rsidRPr="00E36931" w:rsidRDefault="00E36931" w:rsidP="00E36931">
            <w:pPr>
              <w:jc w:val="righ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 xml:space="preserve">  48</w:t>
            </w:r>
            <w:r w:rsidR="00EA0452">
              <w:rPr>
                <w:rFonts w:ascii="Arial Narrow" w:hAnsi="Arial Narrow" w:cs="Calibri"/>
                <w:color w:val="000000"/>
                <w:spacing w:val="0"/>
                <w:sz w:val="18"/>
                <w:szCs w:val="18"/>
                <w:lang w:eastAsia="es-CO"/>
              </w:rPr>
              <w:t>.</w:t>
            </w:r>
            <w:r w:rsidRPr="00E36931">
              <w:rPr>
                <w:rFonts w:ascii="Arial Narrow" w:hAnsi="Arial Narrow" w:cs="Calibri"/>
                <w:color w:val="000000"/>
                <w:spacing w:val="0"/>
                <w:sz w:val="18"/>
                <w:szCs w:val="18"/>
                <w:lang w:eastAsia="es-CO"/>
              </w:rPr>
              <w:t>046</w:t>
            </w:r>
            <w:r w:rsidR="00EA0452">
              <w:rPr>
                <w:rFonts w:ascii="Arial Narrow" w:hAnsi="Arial Narrow" w:cs="Calibri"/>
                <w:color w:val="000000"/>
                <w:spacing w:val="0"/>
                <w:sz w:val="18"/>
                <w:szCs w:val="18"/>
                <w:lang w:eastAsia="es-CO"/>
              </w:rPr>
              <w:t>.</w:t>
            </w:r>
            <w:r w:rsidRPr="00E36931">
              <w:rPr>
                <w:rFonts w:ascii="Arial Narrow" w:hAnsi="Arial Narrow" w:cs="Calibri"/>
                <w:color w:val="000000"/>
                <w:spacing w:val="0"/>
                <w:sz w:val="18"/>
                <w:szCs w:val="18"/>
                <w:lang w:eastAsia="es-CO"/>
              </w:rPr>
              <w:t>625</w:t>
            </w:r>
            <w:r w:rsidR="00EA0452">
              <w:rPr>
                <w:rFonts w:ascii="Arial Narrow" w:hAnsi="Arial Narrow" w:cs="Calibri"/>
                <w:color w:val="000000"/>
                <w:spacing w:val="0"/>
                <w:sz w:val="18"/>
                <w:szCs w:val="18"/>
                <w:lang w:eastAsia="es-CO"/>
              </w:rPr>
              <w:t>.</w:t>
            </w:r>
            <w:r w:rsidRPr="00E36931">
              <w:rPr>
                <w:rFonts w:ascii="Arial Narrow" w:hAnsi="Arial Narrow" w:cs="Calibri"/>
                <w:color w:val="000000"/>
                <w:spacing w:val="0"/>
                <w:sz w:val="18"/>
                <w:szCs w:val="18"/>
                <w:lang w:eastAsia="es-CO"/>
              </w:rPr>
              <w:t xml:space="preserve">703 </w:t>
            </w:r>
          </w:p>
        </w:tc>
        <w:tc>
          <w:tcPr>
            <w:tcW w:w="1417" w:type="dxa"/>
            <w:tcBorders>
              <w:top w:val="nil"/>
              <w:left w:val="nil"/>
              <w:bottom w:val="single" w:sz="4" w:space="0" w:color="auto"/>
              <w:right w:val="single" w:sz="4" w:space="0" w:color="auto"/>
            </w:tcBorders>
            <w:shd w:val="clear" w:color="auto" w:fill="auto"/>
            <w:noWrap/>
            <w:vAlign w:val="center"/>
            <w:hideMark/>
          </w:tcPr>
          <w:p w14:paraId="088F264D" w14:textId="77777777" w:rsidR="00E36931" w:rsidRPr="00E36931" w:rsidRDefault="00E36931" w:rsidP="00E36931">
            <w:pPr>
              <w:jc w:val="righ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 xml:space="preserve">                        - </w:t>
            </w:r>
          </w:p>
        </w:tc>
      </w:tr>
      <w:tr w:rsidR="00E36931" w:rsidRPr="00E36931" w14:paraId="267B1058" w14:textId="77777777" w:rsidTr="00E36931">
        <w:trPr>
          <w:trHeight w:val="290"/>
        </w:trPr>
        <w:tc>
          <w:tcPr>
            <w:tcW w:w="319" w:type="dxa"/>
            <w:tcBorders>
              <w:top w:val="nil"/>
              <w:left w:val="single" w:sz="4" w:space="0" w:color="auto"/>
              <w:bottom w:val="single" w:sz="4" w:space="0" w:color="auto"/>
              <w:right w:val="single" w:sz="4" w:space="0" w:color="auto"/>
            </w:tcBorders>
            <w:shd w:val="clear" w:color="auto" w:fill="auto"/>
            <w:noWrap/>
            <w:vAlign w:val="center"/>
            <w:hideMark/>
          </w:tcPr>
          <w:p w14:paraId="4B480526" w14:textId="77777777" w:rsidR="00E36931" w:rsidRPr="00E36931" w:rsidRDefault="00E36931" w:rsidP="00E36931">
            <w:pPr>
              <w:jc w:val="center"/>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14</w:t>
            </w:r>
          </w:p>
        </w:tc>
        <w:tc>
          <w:tcPr>
            <w:tcW w:w="879" w:type="dxa"/>
            <w:tcBorders>
              <w:top w:val="nil"/>
              <w:left w:val="nil"/>
              <w:bottom w:val="single" w:sz="4" w:space="0" w:color="auto"/>
              <w:right w:val="single" w:sz="4" w:space="0" w:color="auto"/>
            </w:tcBorders>
            <w:shd w:val="clear" w:color="auto" w:fill="auto"/>
            <w:noWrap/>
            <w:vAlign w:val="center"/>
            <w:hideMark/>
          </w:tcPr>
          <w:p w14:paraId="24FA7021" w14:textId="77777777" w:rsidR="00E36931" w:rsidRPr="00E36931" w:rsidRDefault="00E36931" w:rsidP="00E36931">
            <w:pPr>
              <w:jc w:val="righ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900431226</w:t>
            </w:r>
          </w:p>
        </w:tc>
        <w:tc>
          <w:tcPr>
            <w:tcW w:w="5034" w:type="dxa"/>
            <w:tcBorders>
              <w:top w:val="nil"/>
              <w:left w:val="nil"/>
              <w:bottom w:val="single" w:sz="4" w:space="0" w:color="auto"/>
              <w:right w:val="single" w:sz="4" w:space="0" w:color="auto"/>
            </w:tcBorders>
            <w:shd w:val="clear" w:color="auto" w:fill="auto"/>
            <w:vAlign w:val="center"/>
            <w:hideMark/>
          </w:tcPr>
          <w:p w14:paraId="36AC55FD" w14:textId="710EBD19" w:rsidR="00E36931" w:rsidRPr="00C6331D" w:rsidRDefault="00E36931" w:rsidP="00E36931">
            <w:pPr>
              <w:jc w:val="left"/>
              <w:rPr>
                <w:rFonts w:ascii="Arial Narrow" w:hAnsi="Arial Narrow" w:cs="Calibri"/>
                <w:color w:val="000000"/>
                <w:spacing w:val="0"/>
                <w:sz w:val="18"/>
                <w:szCs w:val="18"/>
                <w:lang w:val="en-US" w:eastAsia="es-CO"/>
              </w:rPr>
            </w:pPr>
            <w:r w:rsidRPr="00C6331D">
              <w:rPr>
                <w:rFonts w:ascii="Arial Narrow" w:hAnsi="Arial Narrow" w:cs="Calibri"/>
                <w:color w:val="000000"/>
                <w:spacing w:val="0"/>
                <w:sz w:val="18"/>
                <w:szCs w:val="18"/>
                <w:lang w:val="en-US" w:eastAsia="es-CO"/>
              </w:rPr>
              <w:t>FORCEFUL ENERGY S.A.S E.S.P.</w:t>
            </w:r>
          </w:p>
        </w:tc>
        <w:tc>
          <w:tcPr>
            <w:tcW w:w="1418" w:type="dxa"/>
            <w:tcBorders>
              <w:top w:val="nil"/>
              <w:left w:val="nil"/>
              <w:bottom w:val="single" w:sz="4" w:space="0" w:color="auto"/>
              <w:right w:val="single" w:sz="4" w:space="0" w:color="auto"/>
            </w:tcBorders>
            <w:shd w:val="clear" w:color="auto" w:fill="auto"/>
            <w:noWrap/>
            <w:vAlign w:val="center"/>
            <w:hideMark/>
          </w:tcPr>
          <w:p w14:paraId="0C6BA700" w14:textId="7246A8FC" w:rsidR="00E36931" w:rsidRPr="00E36931" w:rsidRDefault="00E36931" w:rsidP="00E36931">
            <w:pPr>
              <w:jc w:val="right"/>
              <w:rPr>
                <w:rFonts w:ascii="Arial Narrow" w:hAnsi="Arial Narrow" w:cs="Calibri"/>
                <w:color w:val="000000"/>
                <w:spacing w:val="0"/>
                <w:sz w:val="18"/>
                <w:szCs w:val="18"/>
                <w:lang w:eastAsia="es-CO"/>
              </w:rPr>
            </w:pPr>
            <w:r w:rsidRPr="00C6331D">
              <w:rPr>
                <w:rFonts w:ascii="Arial Narrow" w:hAnsi="Arial Narrow" w:cs="Calibri"/>
                <w:color w:val="000000"/>
                <w:spacing w:val="0"/>
                <w:sz w:val="18"/>
                <w:szCs w:val="18"/>
                <w:lang w:val="en-US" w:eastAsia="es-CO"/>
              </w:rPr>
              <w:t xml:space="preserve">         </w:t>
            </w:r>
            <w:r w:rsidRPr="00E36931">
              <w:rPr>
                <w:rFonts w:ascii="Arial Narrow" w:hAnsi="Arial Narrow" w:cs="Calibri"/>
                <w:color w:val="000000"/>
                <w:spacing w:val="0"/>
                <w:sz w:val="18"/>
                <w:szCs w:val="18"/>
                <w:lang w:eastAsia="es-CO"/>
              </w:rPr>
              <w:t>75</w:t>
            </w:r>
            <w:r w:rsidR="00EA0452">
              <w:rPr>
                <w:rFonts w:ascii="Arial Narrow" w:hAnsi="Arial Narrow" w:cs="Calibri"/>
                <w:color w:val="000000"/>
                <w:spacing w:val="0"/>
                <w:sz w:val="18"/>
                <w:szCs w:val="18"/>
                <w:lang w:eastAsia="es-CO"/>
              </w:rPr>
              <w:t>.</w:t>
            </w:r>
            <w:r w:rsidRPr="00E36931">
              <w:rPr>
                <w:rFonts w:ascii="Arial Narrow" w:hAnsi="Arial Narrow" w:cs="Calibri"/>
                <w:color w:val="000000"/>
                <w:spacing w:val="0"/>
                <w:sz w:val="18"/>
                <w:szCs w:val="18"/>
                <w:lang w:eastAsia="es-CO"/>
              </w:rPr>
              <w:t>280</w:t>
            </w:r>
            <w:r w:rsidR="00EA0452">
              <w:rPr>
                <w:rFonts w:ascii="Arial Narrow" w:hAnsi="Arial Narrow" w:cs="Calibri"/>
                <w:color w:val="000000"/>
                <w:spacing w:val="0"/>
                <w:sz w:val="18"/>
                <w:szCs w:val="18"/>
                <w:lang w:eastAsia="es-CO"/>
              </w:rPr>
              <w:t>.</w:t>
            </w:r>
            <w:r w:rsidRPr="00E36931">
              <w:rPr>
                <w:rFonts w:ascii="Arial Narrow" w:hAnsi="Arial Narrow" w:cs="Calibri"/>
                <w:color w:val="000000"/>
                <w:spacing w:val="0"/>
                <w:sz w:val="18"/>
                <w:szCs w:val="18"/>
                <w:lang w:eastAsia="es-CO"/>
              </w:rPr>
              <w:t xml:space="preserve">000 </w:t>
            </w:r>
          </w:p>
        </w:tc>
        <w:tc>
          <w:tcPr>
            <w:tcW w:w="1417" w:type="dxa"/>
            <w:tcBorders>
              <w:top w:val="nil"/>
              <w:left w:val="nil"/>
              <w:bottom w:val="single" w:sz="4" w:space="0" w:color="auto"/>
              <w:right w:val="single" w:sz="4" w:space="0" w:color="auto"/>
            </w:tcBorders>
            <w:shd w:val="clear" w:color="auto" w:fill="auto"/>
            <w:noWrap/>
            <w:vAlign w:val="center"/>
            <w:hideMark/>
          </w:tcPr>
          <w:p w14:paraId="18F2678B" w14:textId="77777777" w:rsidR="00E36931" w:rsidRPr="00E36931" w:rsidRDefault="00E36931" w:rsidP="00E36931">
            <w:pPr>
              <w:jc w:val="righ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 xml:space="preserve">                        - </w:t>
            </w:r>
          </w:p>
        </w:tc>
      </w:tr>
      <w:tr w:rsidR="00E36931" w:rsidRPr="00E36931" w14:paraId="72624F1B" w14:textId="77777777" w:rsidTr="00E36931">
        <w:trPr>
          <w:trHeight w:val="290"/>
        </w:trPr>
        <w:tc>
          <w:tcPr>
            <w:tcW w:w="319" w:type="dxa"/>
            <w:tcBorders>
              <w:top w:val="nil"/>
              <w:left w:val="single" w:sz="4" w:space="0" w:color="auto"/>
              <w:bottom w:val="single" w:sz="4" w:space="0" w:color="auto"/>
              <w:right w:val="single" w:sz="4" w:space="0" w:color="auto"/>
            </w:tcBorders>
            <w:shd w:val="clear" w:color="auto" w:fill="auto"/>
            <w:noWrap/>
            <w:vAlign w:val="center"/>
            <w:hideMark/>
          </w:tcPr>
          <w:p w14:paraId="5A2ED96F" w14:textId="77777777" w:rsidR="00E36931" w:rsidRPr="00E36931" w:rsidRDefault="00E36931" w:rsidP="00E36931">
            <w:pPr>
              <w:jc w:val="center"/>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15</w:t>
            </w:r>
          </w:p>
        </w:tc>
        <w:tc>
          <w:tcPr>
            <w:tcW w:w="879" w:type="dxa"/>
            <w:tcBorders>
              <w:top w:val="nil"/>
              <w:left w:val="nil"/>
              <w:bottom w:val="single" w:sz="4" w:space="0" w:color="auto"/>
              <w:right w:val="single" w:sz="4" w:space="0" w:color="auto"/>
            </w:tcBorders>
            <w:shd w:val="clear" w:color="000000" w:fill="FFFFFF"/>
            <w:noWrap/>
            <w:vAlign w:val="center"/>
            <w:hideMark/>
          </w:tcPr>
          <w:p w14:paraId="52584C84" w14:textId="77777777" w:rsidR="00E36931" w:rsidRPr="00E36931" w:rsidRDefault="00E36931" w:rsidP="00E36931">
            <w:pPr>
              <w:jc w:val="righ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900436006</w:t>
            </w:r>
          </w:p>
        </w:tc>
        <w:tc>
          <w:tcPr>
            <w:tcW w:w="5034" w:type="dxa"/>
            <w:tcBorders>
              <w:top w:val="nil"/>
              <w:left w:val="nil"/>
              <w:bottom w:val="single" w:sz="4" w:space="0" w:color="auto"/>
              <w:right w:val="single" w:sz="4" w:space="0" w:color="auto"/>
            </w:tcBorders>
            <w:shd w:val="clear" w:color="000000" w:fill="FFFFFF"/>
            <w:vAlign w:val="center"/>
            <w:hideMark/>
          </w:tcPr>
          <w:p w14:paraId="207C51F3" w14:textId="77777777" w:rsidR="00E36931" w:rsidRPr="00E36931" w:rsidRDefault="00E36931" w:rsidP="00E36931">
            <w:pPr>
              <w:jc w:val="lef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GENERPUTUMAYO S.A.S E.S.P.</w:t>
            </w:r>
          </w:p>
        </w:tc>
        <w:tc>
          <w:tcPr>
            <w:tcW w:w="1418" w:type="dxa"/>
            <w:tcBorders>
              <w:top w:val="nil"/>
              <w:left w:val="nil"/>
              <w:bottom w:val="single" w:sz="4" w:space="0" w:color="auto"/>
              <w:right w:val="single" w:sz="4" w:space="0" w:color="auto"/>
            </w:tcBorders>
            <w:shd w:val="clear" w:color="auto" w:fill="auto"/>
            <w:noWrap/>
            <w:vAlign w:val="center"/>
            <w:hideMark/>
          </w:tcPr>
          <w:p w14:paraId="5C60A3A1" w14:textId="3E84B3BA" w:rsidR="00E36931" w:rsidRPr="00E36931" w:rsidRDefault="00E36931" w:rsidP="00E36931">
            <w:pPr>
              <w:jc w:val="righ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 xml:space="preserve">       735</w:t>
            </w:r>
            <w:r w:rsidR="00EA0452">
              <w:rPr>
                <w:rFonts w:ascii="Arial Narrow" w:hAnsi="Arial Narrow" w:cs="Calibri"/>
                <w:color w:val="000000"/>
                <w:spacing w:val="0"/>
                <w:sz w:val="18"/>
                <w:szCs w:val="18"/>
                <w:lang w:eastAsia="es-CO"/>
              </w:rPr>
              <w:t>.</w:t>
            </w:r>
            <w:r w:rsidRPr="00E36931">
              <w:rPr>
                <w:rFonts w:ascii="Arial Narrow" w:hAnsi="Arial Narrow" w:cs="Calibri"/>
                <w:color w:val="000000"/>
                <w:spacing w:val="0"/>
                <w:sz w:val="18"/>
                <w:szCs w:val="18"/>
                <w:lang w:eastAsia="es-CO"/>
              </w:rPr>
              <w:t>102</w:t>
            </w:r>
            <w:r w:rsidR="00EA0452">
              <w:rPr>
                <w:rFonts w:ascii="Arial Narrow" w:hAnsi="Arial Narrow" w:cs="Calibri"/>
                <w:color w:val="000000"/>
                <w:spacing w:val="0"/>
                <w:sz w:val="18"/>
                <w:szCs w:val="18"/>
                <w:lang w:eastAsia="es-CO"/>
              </w:rPr>
              <w:t>.</w:t>
            </w:r>
            <w:r w:rsidRPr="00E36931">
              <w:rPr>
                <w:rFonts w:ascii="Arial Narrow" w:hAnsi="Arial Narrow" w:cs="Calibri"/>
                <w:color w:val="000000"/>
                <w:spacing w:val="0"/>
                <w:sz w:val="18"/>
                <w:szCs w:val="18"/>
                <w:lang w:eastAsia="es-CO"/>
              </w:rPr>
              <w:t xml:space="preserve">000 </w:t>
            </w:r>
          </w:p>
        </w:tc>
        <w:tc>
          <w:tcPr>
            <w:tcW w:w="1417" w:type="dxa"/>
            <w:tcBorders>
              <w:top w:val="nil"/>
              <w:left w:val="nil"/>
              <w:bottom w:val="single" w:sz="4" w:space="0" w:color="auto"/>
              <w:right w:val="single" w:sz="4" w:space="0" w:color="auto"/>
            </w:tcBorders>
            <w:shd w:val="clear" w:color="auto" w:fill="auto"/>
            <w:noWrap/>
            <w:vAlign w:val="center"/>
            <w:hideMark/>
          </w:tcPr>
          <w:p w14:paraId="027234DA" w14:textId="77777777" w:rsidR="00E36931" w:rsidRPr="00E36931" w:rsidRDefault="00E36931" w:rsidP="00E36931">
            <w:pPr>
              <w:jc w:val="righ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 xml:space="preserve">                        - </w:t>
            </w:r>
          </w:p>
        </w:tc>
      </w:tr>
      <w:tr w:rsidR="00E36931" w:rsidRPr="00E36931" w14:paraId="29EB0DCC" w14:textId="77777777" w:rsidTr="00E36931">
        <w:trPr>
          <w:trHeight w:val="290"/>
        </w:trPr>
        <w:tc>
          <w:tcPr>
            <w:tcW w:w="319" w:type="dxa"/>
            <w:tcBorders>
              <w:top w:val="nil"/>
              <w:left w:val="single" w:sz="4" w:space="0" w:color="auto"/>
              <w:bottom w:val="single" w:sz="4" w:space="0" w:color="auto"/>
              <w:right w:val="single" w:sz="4" w:space="0" w:color="auto"/>
            </w:tcBorders>
            <w:shd w:val="clear" w:color="auto" w:fill="auto"/>
            <w:noWrap/>
            <w:vAlign w:val="center"/>
            <w:hideMark/>
          </w:tcPr>
          <w:p w14:paraId="4081BCB1" w14:textId="77777777" w:rsidR="00E36931" w:rsidRPr="00E36931" w:rsidRDefault="00E36931" w:rsidP="00E36931">
            <w:pPr>
              <w:jc w:val="center"/>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16</w:t>
            </w:r>
          </w:p>
        </w:tc>
        <w:tc>
          <w:tcPr>
            <w:tcW w:w="879" w:type="dxa"/>
            <w:tcBorders>
              <w:top w:val="nil"/>
              <w:left w:val="nil"/>
              <w:bottom w:val="single" w:sz="4" w:space="0" w:color="auto"/>
              <w:right w:val="single" w:sz="4" w:space="0" w:color="auto"/>
            </w:tcBorders>
            <w:shd w:val="clear" w:color="auto" w:fill="auto"/>
            <w:noWrap/>
            <w:vAlign w:val="center"/>
            <w:hideMark/>
          </w:tcPr>
          <w:p w14:paraId="4C30A2D9" w14:textId="77777777" w:rsidR="00E36931" w:rsidRPr="00E36931" w:rsidRDefault="00E36931" w:rsidP="00E36931">
            <w:pPr>
              <w:jc w:val="righ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900655560</w:t>
            </w:r>
          </w:p>
        </w:tc>
        <w:tc>
          <w:tcPr>
            <w:tcW w:w="5034" w:type="dxa"/>
            <w:tcBorders>
              <w:top w:val="nil"/>
              <w:left w:val="nil"/>
              <w:bottom w:val="single" w:sz="4" w:space="0" w:color="auto"/>
              <w:right w:val="single" w:sz="4" w:space="0" w:color="auto"/>
            </w:tcBorders>
            <w:shd w:val="clear" w:color="auto" w:fill="auto"/>
            <w:vAlign w:val="center"/>
            <w:hideMark/>
          </w:tcPr>
          <w:p w14:paraId="00E442CA" w14:textId="77777777" w:rsidR="00E36931" w:rsidRPr="00E36931" w:rsidRDefault="00E36931" w:rsidP="00E36931">
            <w:pPr>
              <w:jc w:val="lef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GAS DE LA ORINOQUIA S.A. ESP.</w:t>
            </w:r>
          </w:p>
        </w:tc>
        <w:tc>
          <w:tcPr>
            <w:tcW w:w="1418" w:type="dxa"/>
            <w:tcBorders>
              <w:top w:val="nil"/>
              <w:left w:val="nil"/>
              <w:bottom w:val="single" w:sz="4" w:space="0" w:color="auto"/>
              <w:right w:val="single" w:sz="4" w:space="0" w:color="auto"/>
            </w:tcBorders>
            <w:shd w:val="clear" w:color="auto" w:fill="auto"/>
            <w:noWrap/>
            <w:vAlign w:val="center"/>
            <w:hideMark/>
          </w:tcPr>
          <w:p w14:paraId="4FE2FEB2" w14:textId="1C87D26B" w:rsidR="00E36931" w:rsidRPr="00E36931" w:rsidRDefault="00E36931" w:rsidP="00E36931">
            <w:pPr>
              <w:jc w:val="righ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 xml:space="preserve">       262</w:t>
            </w:r>
            <w:r w:rsidR="00EA0452">
              <w:rPr>
                <w:rFonts w:ascii="Arial Narrow" w:hAnsi="Arial Narrow" w:cs="Calibri"/>
                <w:color w:val="000000"/>
                <w:spacing w:val="0"/>
                <w:sz w:val="18"/>
                <w:szCs w:val="18"/>
                <w:lang w:eastAsia="es-CO"/>
              </w:rPr>
              <w:t>.</w:t>
            </w:r>
            <w:r w:rsidRPr="00E36931">
              <w:rPr>
                <w:rFonts w:ascii="Arial Narrow" w:hAnsi="Arial Narrow" w:cs="Calibri"/>
                <w:color w:val="000000"/>
                <w:spacing w:val="0"/>
                <w:sz w:val="18"/>
                <w:szCs w:val="18"/>
                <w:lang w:eastAsia="es-CO"/>
              </w:rPr>
              <w:t>913</w:t>
            </w:r>
            <w:r w:rsidR="00EA0452">
              <w:rPr>
                <w:rFonts w:ascii="Arial Narrow" w:hAnsi="Arial Narrow" w:cs="Calibri"/>
                <w:color w:val="000000"/>
                <w:spacing w:val="0"/>
                <w:sz w:val="18"/>
                <w:szCs w:val="18"/>
                <w:lang w:eastAsia="es-CO"/>
              </w:rPr>
              <w:t>.</w:t>
            </w:r>
            <w:r w:rsidRPr="00E36931">
              <w:rPr>
                <w:rFonts w:ascii="Arial Narrow" w:hAnsi="Arial Narrow" w:cs="Calibri"/>
                <w:color w:val="000000"/>
                <w:spacing w:val="0"/>
                <w:sz w:val="18"/>
                <w:szCs w:val="18"/>
                <w:lang w:eastAsia="es-CO"/>
              </w:rPr>
              <w:t xml:space="preserve">283 </w:t>
            </w:r>
          </w:p>
        </w:tc>
        <w:tc>
          <w:tcPr>
            <w:tcW w:w="1417" w:type="dxa"/>
            <w:tcBorders>
              <w:top w:val="nil"/>
              <w:left w:val="nil"/>
              <w:bottom w:val="single" w:sz="4" w:space="0" w:color="auto"/>
              <w:right w:val="single" w:sz="4" w:space="0" w:color="auto"/>
            </w:tcBorders>
            <w:shd w:val="clear" w:color="auto" w:fill="auto"/>
            <w:noWrap/>
            <w:vAlign w:val="center"/>
            <w:hideMark/>
          </w:tcPr>
          <w:p w14:paraId="5251DF29" w14:textId="77777777" w:rsidR="00E36931" w:rsidRPr="00E36931" w:rsidRDefault="00E36931" w:rsidP="00E36931">
            <w:pPr>
              <w:jc w:val="righ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 xml:space="preserve">                        - </w:t>
            </w:r>
          </w:p>
        </w:tc>
      </w:tr>
      <w:tr w:rsidR="00E36931" w:rsidRPr="00E36931" w14:paraId="53E7CC79" w14:textId="77777777" w:rsidTr="00E36931">
        <w:trPr>
          <w:trHeight w:val="290"/>
        </w:trPr>
        <w:tc>
          <w:tcPr>
            <w:tcW w:w="319" w:type="dxa"/>
            <w:tcBorders>
              <w:top w:val="nil"/>
              <w:left w:val="single" w:sz="4" w:space="0" w:color="auto"/>
              <w:bottom w:val="single" w:sz="4" w:space="0" w:color="auto"/>
              <w:right w:val="single" w:sz="4" w:space="0" w:color="auto"/>
            </w:tcBorders>
            <w:shd w:val="clear" w:color="auto" w:fill="auto"/>
            <w:noWrap/>
            <w:vAlign w:val="center"/>
            <w:hideMark/>
          </w:tcPr>
          <w:p w14:paraId="397D2626" w14:textId="77777777" w:rsidR="00E36931" w:rsidRPr="00E36931" w:rsidRDefault="00E36931" w:rsidP="00E36931">
            <w:pPr>
              <w:jc w:val="center"/>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17</w:t>
            </w:r>
          </w:p>
        </w:tc>
        <w:tc>
          <w:tcPr>
            <w:tcW w:w="879" w:type="dxa"/>
            <w:tcBorders>
              <w:top w:val="nil"/>
              <w:left w:val="nil"/>
              <w:bottom w:val="single" w:sz="4" w:space="0" w:color="auto"/>
              <w:right w:val="single" w:sz="4" w:space="0" w:color="auto"/>
            </w:tcBorders>
            <w:shd w:val="clear" w:color="auto" w:fill="auto"/>
            <w:noWrap/>
            <w:vAlign w:val="center"/>
            <w:hideMark/>
          </w:tcPr>
          <w:p w14:paraId="112D4DE2" w14:textId="77777777" w:rsidR="00E36931" w:rsidRPr="00E36931" w:rsidRDefault="00E36931" w:rsidP="00E36931">
            <w:pPr>
              <w:jc w:val="righ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900181508</w:t>
            </w:r>
          </w:p>
        </w:tc>
        <w:tc>
          <w:tcPr>
            <w:tcW w:w="5034" w:type="dxa"/>
            <w:tcBorders>
              <w:top w:val="nil"/>
              <w:left w:val="nil"/>
              <w:bottom w:val="single" w:sz="4" w:space="0" w:color="auto"/>
              <w:right w:val="single" w:sz="4" w:space="0" w:color="auto"/>
            </w:tcBorders>
            <w:shd w:val="clear" w:color="auto" w:fill="auto"/>
            <w:vAlign w:val="center"/>
            <w:hideMark/>
          </w:tcPr>
          <w:p w14:paraId="121194EC" w14:textId="5D7969C8" w:rsidR="00E36931" w:rsidRPr="00E36931" w:rsidRDefault="00E36931" w:rsidP="00E36931">
            <w:pPr>
              <w:jc w:val="lef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BIOGAS DONA JUANA S.A.S</w:t>
            </w:r>
            <w:r>
              <w:rPr>
                <w:rFonts w:ascii="Arial Narrow" w:hAnsi="Arial Narrow" w:cs="Calibri"/>
                <w:color w:val="000000"/>
                <w:spacing w:val="0"/>
                <w:sz w:val="18"/>
                <w:szCs w:val="18"/>
                <w:lang w:eastAsia="es-CO"/>
              </w:rPr>
              <w:t>.</w:t>
            </w:r>
            <w:r w:rsidRPr="00E36931">
              <w:rPr>
                <w:rFonts w:ascii="Arial Narrow" w:hAnsi="Arial Narrow" w:cs="Calibri"/>
                <w:color w:val="000000"/>
                <w:spacing w:val="0"/>
                <w:sz w:val="18"/>
                <w:szCs w:val="18"/>
                <w:lang w:eastAsia="es-CO"/>
              </w:rPr>
              <w:t xml:space="preserve">  E.S.P.</w:t>
            </w:r>
          </w:p>
        </w:tc>
        <w:tc>
          <w:tcPr>
            <w:tcW w:w="1418" w:type="dxa"/>
            <w:tcBorders>
              <w:top w:val="nil"/>
              <w:left w:val="nil"/>
              <w:bottom w:val="single" w:sz="4" w:space="0" w:color="auto"/>
              <w:right w:val="single" w:sz="4" w:space="0" w:color="auto"/>
            </w:tcBorders>
            <w:shd w:val="clear" w:color="auto" w:fill="auto"/>
            <w:noWrap/>
            <w:vAlign w:val="center"/>
            <w:hideMark/>
          </w:tcPr>
          <w:p w14:paraId="478ACF97" w14:textId="155C5C45" w:rsidR="00E36931" w:rsidRPr="00E36931" w:rsidRDefault="00E36931" w:rsidP="00E36931">
            <w:pPr>
              <w:jc w:val="righ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 xml:space="preserve">       137</w:t>
            </w:r>
            <w:r w:rsidR="00EA0452">
              <w:rPr>
                <w:rFonts w:ascii="Arial Narrow" w:hAnsi="Arial Narrow" w:cs="Calibri"/>
                <w:color w:val="000000"/>
                <w:spacing w:val="0"/>
                <w:sz w:val="18"/>
                <w:szCs w:val="18"/>
                <w:lang w:eastAsia="es-CO"/>
              </w:rPr>
              <w:t>.</w:t>
            </w:r>
            <w:r w:rsidRPr="00E36931">
              <w:rPr>
                <w:rFonts w:ascii="Arial Narrow" w:hAnsi="Arial Narrow" w:cs="Calibri"/>
                <w:color w:val="000000"/>
                <w:spacing w:val="0"/>
                <w:sz w:val="18"/>
                <w:szCs w:val="18"/>
                <w:lang w:eastAsia="es-CO"/>
              </w:rPr>
              <w:t>608</w:t>
            </w:r>
            <w:r w:rsidR="00EA0452">
              <w:rPr>
                <w:rFonts w:ascii="Arial Narrow" w:hAnsi="Arial Narrow" w:cs="Calibri"/>
                <w:color w:val="000000"/>
                <w:spacing w:val="0"/>
                <w:sz w:val="18"/>
                <w:szCs w:val="18"/>
                <w:lang w:eastAsia="es-CO"/>
              </w:rPr>
              <w:t>.</w:t>
            </w:r>
            <w:r w:rsidRPr="00E36931">
              <w:rPr>
                <w:rFonts w:ascii="Arial Narrow" w:hAnsi="Arial Narrow" w:cs="Calibri"/>
                <w:color w:val="000000"/>
                <w:spacing w:val="0"/>
                <w:sz w:val="18"/>
                <w:szCs w:val="18"/>
                <w:lang w:eastAsia="es-CO"/>
              </w:rPr>
              <w:t xml:space="preserve">984 </w:t>
            </w:r>
          </w:p>
        </w:tc>
        <w:tc>
          <w:tcPr>
            <w:tcW w:w="1417" w:type="dxa"/>
            <w:tcBorders>
              <w:top w:val="nil"/>
              <w:left w:val="nil"/>
              <w:bottom w:val="single" w:sz="4" w:space="0" w:color="auto"/>
              <w:right w:val="single" w:sz="4" w:space="0" w:color="auto"/>
            </w:tcBorders>
            <w:shd w:val="clear" w:color="auto" w:fill="auto"/>
            <w:noWrap/>
            <w:vAlign w:val="center"/>
            <w:hideMark/>
          </w:tcPr>
          <w:p w14:paraId="334AB3FD" w14:textId="77777777" w:rsidR="00E36931" w:rsidRPr="00E36931" w:rsidRDefault="00E36931" w:rsidP="00E36931">
            <w:pPr>
              <w:jc w:val="righ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 xml:space="preserve">                        - </w:t>
            </w:r>
          </w:p>
        </w:tc>
      </w:tr>
      <w:tr w:rsidR="00E36931" w:rsidRPr="00E36931" w14:paraId="16D4D84B" w14:textId="77777777" w:rsidTr="00E36931">
        <w:trPr>
          <w:trHeight w:val="301"/>
        </w:trPr>
        <w:tc>
          <w:tcPr>
            <w:tcW w:w="319" w:type="dxa"/>
            <w:tcBorders>
              <w:top w:val="nil"/>
              <w:left w:val="single" w:sz="4" w:space="0" w:color="auto"/>
              <w:bottom w:val="single" w:sz="4" w:space="0" w:color="auto"/>
              <w:right w:val="single" w:sz="4" w:space="0" w:color="auto"/>
            </w:tcBorders>
            <w:shd w:val="clear" w:color="auto" w:fill="auto"/>
            <w:noWrap/>
            <w:vAlign w:val="center"/>
            <w:hideMark/>
          </w:tcPr>
          <w:p w14:paraId="7E9C1672" w14:textId="77777777" w:rsidR="00E36931" w:rsidRPr="00E36931" w:rsidRDefault="00E36931" w:rsidP="00E36931">
            <w:pPr>
              <w:jc w:val="center"/>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18</w:t>
            </w:r>
          </w:p>
        </w:tc>
        <w:tc>
          <w:tcPr>
            <w:tcW w:w="879" w:type="dxa"/>
            <w:tcBorders>
              <w:top w:val="nil"/>
              <w:left w:val="nil"/>
              <w:bottom w:val="single" w:sz="4" w:space="0" w:color="auto"/>
              <w:right w:val="single" w:sz="4" w:space="0" w:color="auto"/>
            </w:tcBorders>
            <w:shd w:val="clear" w:color="auto" w:fill="auto"/>
            <w:noWrap/>
            <w:vAlign w:val="center"/>
            <w:hideMark/>
          </w:tcPr>
          <w:p w14:paraId="4516011C" w14:textId="77777777" w:rsidR="00E36931" w:rsidRPr="00E36931" w:rsidRDefault="00E36931" w:rsidP="00E36931">
            <w:pPr>
              <w:jc w:val="righ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901020967</w:t>
            </w:r>
          </w:p>
        </w:tc>
        <w:tc>
          <w:tcPr>
            <w:tcW w:w="5034" w:type="dxa"/>
            <w:tcBorders>
              <w:top w:val="nil"/>
              <w:left w:val="nil"/>
              <w:bottom w:val="single" w:sz="4" w:space="0" w:color="auto"/>
              <w:right w:val="single" w:sz="4" w:space="0" w:color="auto"/>
            </w:tcBorders>
            <w:shd w:val="clear" w:color="auto" w:fill="auto"/>
            <w:vAlign w:val="center"/>
            <w:hideMark/>
          </w:tcPr>
          <w:p w14:paraId="78356603" w14:textId="77777777" w:rsidR="00E36931" w:rsidRPr="00E36931" w:rsidRDefault="00E36931" w:rsidP="00E36931">
            <w:pPr>
              <w:jc w:val="lef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COMPRIGAS S.A.S.  E.S.P.</w:t>
            </w:r>
          </w:p>
        </w:tc>
        <w:tc>
          <w:tcPr>
            <w:tcW w:w="1418" w:type="dxa"/>
            <w:tcBorders>
              <w:top w:val="nil"/>
              <w:left w:val="nil"/>
              <w:bottom w:val="single" w:sz="4" w:space="0" w:color="auto"/>
              <w:right w:val="single" w:sz="4" w:space="0" w:color="auto"/>
            </w:tcBorders>
            <w:shd w:val="clear" w:color="auto" w:fill="auto"/>
            <w:noWrap/>
            <w:vAlign w:val="center"/>
            <w:hideMark/>
          </w:tcPr>
          <w:p w14:paraId="33976EF0" w14:textId="7AF03BB0" w:rsidR="00E36931" w:rsidRPr="00E36931" w:rsidRDefault="00E36931" w:rsidP="00E36931">
            <w:pPr>
              <w:jc w:val="righ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 xml:space="preserve">       886</w:t>
            </w:r>
            <w:r w:rsidR="00EA0452">
              <w:rPr>
                <w:rFonts w:ascii="Arial Narrow" w:hAnsi="Arial Narrow" w:cs="Calibri"/>
                <w:color w:val="000000"/>
                <w:spacing w:val="0"/>
                <w:sz w:val="18"/>
                <w:szCs w:val="18"/>
                <w:lang w:eastAsia="es-CO"/>
              </w:rPr>
              <w:t>.</w:t>
            </w:r>
            <w:r w:rsidRPr="00E36931">
              <w:rPr>
                <w:rFonts w:ascii="Arial Narrow" w:hAnsi="Arial Narrow" w:cs="Calibri"/>
                <w:color w:val="000000"/>
                <w:spacing w:val="0"/>
                <w:sz w:val="18"/>
                <w:szCs w:val="18"/>
                <w:lang w:eastAsia="es-CO"/>
              </w:rPr>
              <w:t>386</w:t>
            </w:r>
            <w:r w:rsidR="00EA0452">
              <w:rPr>
                <w:rFonts w:ascii="Arial Narrow" w:hAnsi="Arial Narrow" w:cs="Calibri"/>
                <w:color w:val="000000"/>
                <w:spacing w:val="0"/>
                <w:sz w:val="18"/>
                <w:szCs w:val="18"/>
                <w:lang w:eastAsia="es-CO"/>
              </w:rPr>
              <w:t>.</w:t>
            </w:r>
            <w:r w:rsidRPr="00E36931">
              <w:rPr>
                <w:rFonts w:ascii="Arial Narrow" w:hAnsi="Arial Narrow" w:cs="Calibri"/>
                <w:color w:val="000000"/>
                <w:spacing w:val="0"/>
                <w:sz w:val="18"/>
                <w:szCs w:val="18"/>
                <w:lang w:eastAsia="es-CO"/>
              </w:rPr>
              <w:t xml:space="preserve">000 </w:t>
            </w:r>
          </w:p>
        </w:tc>
        <w:tc>
          <w:tcPr>
            <w:tcW w:w="1417" w:type="dxa"/>
            <w:tcBorders>
              <w:top w:val="nil"/>
              <w:left w:val="nil"/>
              <w:bottom w:val="single" w:sz="4" w:space="0" w:color="auto"/>
              <w:right w:val="single" w:sz="4" w:space="0" w:color="auto"/>
            </w:tcBorders>
            <w:shd w:val="clear" w:color="auto" w:fill="auto"/>
            <w:noWrap/>
            <w:vAlign w:val="center"/>
            <w:hideMark/>
          </w:tcPr>
          <w:p w14:paraId="5387ABC0" w14:textId="77777777" w:rsidR="00E36931" w:rsidRPr="00E36931" w:rsidRDefault="00E36931" w:rsidP="00E36931">
            <w:pPr>
              <w:jc w:val="righ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 xml:space="preserve">                        - </w:t>
            </w:r>
          </w:p>
        </w:tc>
      </w:tr>
      <w:tr w:rsidR="00E36931" w:rsidRPr="00E36931" w14:paraId="02B4C9F9" w14:textId="77777777" w:rsidTr="00E36931">
        <w:trPr>
          <w:trHeight w:val="362"/>
        </w:trPr>
        <w:tc>
          <w:tcPr>
            <w:tcW w:w="319" w:type="dxa"/>
            <w:tcBorders>
              <w:top w:val="nil"/>
              <w:left w:val="single" w:sz="4" w:space="0" w:color="auto"/>
              <w:bottom w:val="single" w:sz="4" w:space="0" w:color="auto"/>
              <w:right w:val="single" w:sz="4" w:space="0" w:color="auto"/>
            </w:tcBorders>
            <w:shd w:val="clear" w:color="auto" w:fill="auto"/>
            <w:noWrap/>
            <w:vAlign w:val="center"/>
            <w:hideMark/>
          </w:tcPr>
          <w:p w14:paraId="7E7A6C2A" w14:textId="77777777" w:rsidR="00E36931" w:rsidRPr="00E36931" w:rsidRDefault="00E36931" w:rsidP="00E36931">
            <w:pPr>
              <w:jc w:val="center"/>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19</w:t>
            </w:r>
          </w:p>
        </w:tc>
        <w:tc>
          <w:tcPr>
            <w:tcW w:w="879" w:type="dxa"/>
            <w:tcBorders>
              <w:top w:val="nil"/>
              <w:left w:val="nil"/>
              <w:bottom w:val="single" w:sz="4" w:space="0" w:color="auto"/>
              <w:right w:val="single" w:sz="4" w:space="0" w:color="auto"/>
            </w:tcBorders>
            <w:shd w:val="clear" w:color="auto" w:fill="auto"/>
            <w:noWrap/>
            <w:vAlign w:val="center"/>
            <w:hideMark/>
          </w:tcPr>
          <w:p w14:paraId="39948CEE" w14:textId="77777777" w:rsidR="00E36931" w:rsidRPr="00E36931" w:rsidRDefault="00E36931" w:rsidP="00E36931">
            <w:pPr>
              <w:jc w:val="righ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900716459</w:t>
            </w:r>
          </w:p>
        </w:tc>
        <w:tc>
          <w:tcPr>
            <w:tcW w:w="5034" w:type="dxa"/>
            <w:tcBorders>
              <w:top w:val="nil"/>
              <w:left w:val="nil"/>
              <w:bottom w:val="single" w:sz="4" w:space="0" w:color="auto"/>
              <w:right w:val="single" w:sz="4" w:space="0" w:color="auto"/>
            </w:tcBorders>
            <w:shd w:val="clear" w:color="auto" w:fill="auto"/>
            <w:vAlign w:val="center"/>
            <w:hideMark/>
          </w:tcPr>
          <w:p w14:paraId="12EF621A" w14:textId="3546443B" w:rsidR="00E36931" w:rsidRPr="00E36931" w:rsidRDefault="00E36931" w:rsidP="00E36931">
            <w:pPr>
              <w:jc w:val="lef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COLOMBIANA DE SERVICIOS PÚBLICOS SOSTENIBLES S.A E.S.P</w:t>
            </w:r>
            <w:r>
              <w:rPr>
                <w:rFonts w:ascii="Arial Narrow" w:hAnsi="Arial Narrow" w:cs="Calibri"/>
                <w:color w:val="000000"/>
                <w:spacing w:val="0"/>
                <w:sz w:val="18"/>
                <w:szCs w:val="18"/>
                <w:lang w:eastAsia="es-CO"/>
              </w:rPr>
              <w:t>.</w:t>
            </w:r>
          </w:p>
        </w:tc>
        <w:tc>
          <w:tcPr>
            <w:tcW w:w="1418" w:type="dxa"/>
            <w:tcBorders>
              <w:top w:val="nil"/>
              <w:left w:val="nil"/>
              <w:bottom w:val="single" w:sz="4" w:space="0" w:color="auto"/>
              <w:right w:val="single" w:sz="4" w:space="0" w:color="auto"/>
            </w:tcBorders>
            <w:shd w:val="clear" w:color="auto" w:fill="auto"/>
            <w:noWrap/>
            <w:vAlign w:val="center"/>
            <w:hideMark/>
          </w:tcPr>
          <w:p w14:paraId="0493388B" w14:textId="342733EF" w:rsidR="00E36931" w:rsidRPr="00E36931" w:rsidRDefault="00E36931" w:rsidP="00E36931">
            <w:pPr>
              <w:jc w:val="righ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 xml:space="preserve">       144</w:t>
            </w:r>
            <w:r w:rsidR="00EA0452">
              <w:rPr>
                <w:rFonts w:ascii="Arial Narrow" w:hAnsi="Arial Narrow" w:cs="Calibri"/>
                <w:color w:val="000000"/>
                <w:spacing w:val="0"/>
                <w:sz w:val="18"/>
                <w:szCs w:val="18"/>
                <w:lang w:eastAsia="es-CO"/>
              </w:rPr>
              <w:t>.</w:t>
            </w:r>
            <w:r w:rsidRPr="00E36931">
              <w:rPr>
                <w:rFonts w:ascii="Arial Narrow" w:hAnsi="Arial Narrow" w:cs="Calibri"/>
                <w:color w:val="000000"/>
                <w:spacing w:val="0"/>
                <w:sz w:val="18"/>
                <w:szCs w:val="18"/>
                <w:lang w:eastAsia="es-CO"/>
              </w:rPr>
              <w:t>978</w:t>
            </w:r>
            <w:r w:rsidR="00EA0452">
              <w:rPr>
                <w:rFonts w:ascii="Arial Narrow" w:hAnsi="Arial Narrow" w:cs="Calibri"/>
                <w:color w:val="000000"/>
                <w:spacing w:val="0"/>
                <w:sz w:val="18"/>
                <w:szCs w:val="18"/>
                <w:lang w:eastAsia="es-CO"/>
              </w:rPr>
              <w:t>.</w:t>
            </w:r>
            <w:r w:rsidRPr="00E36931">
              <w:rPr>
                <w:rFonts w:ascii="Arial Narrow" w:hAnsi="Arial Narrow" w:cs="Calibri"/>
                <w:color w:val="000000"/>
                <w:spacing w:val="0"/>
                <w:sz w:val="18"/>
                <w:szCs w:val="18"/>
                <w:lang w:eastAsia="es-CO"/>
              </w:rPr>
              <w:t xml:space="preserve">305 </w:t>
            </w:r>
          </w:p>
        </w:tc>
        <w:tc>
          <w:tcPr>
            <w:tcW w:w="1417" w:type="dxa"/>
            <w:tcBorders>
              <w:top w:val="nil"/>
              <w:left w:val="nil"/>
              <w:bottom w:val="single" w:sz="4" w:space="0" w:color="auto"/>
              <w:right w:val="single" w:sz="4" w:space="0" w:color="auto"/>
            </w:tcBorders>
            <w:shd w:val="clear" w:color="auto" w:fill="auto"/>
            <w:noWrap/>
            <w:vAlign w:val="center"/>
            <w:hideMark/>
          </w:tcPr>
          <w:p w14:paraId="1EECEFB6" w14:textId="77777777" w:rsidR="00E36931" w:rsidRPr="00E36931" w:rsidRDefault="00E36931" w:rsidP="00E36931">
            <w:pPr>
              <w:jc w:val="righ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 xml:space="preserve">                        - </w:t>
            </w:r>
          </w:p>
        </w:tc>
      </w:tr>
      <w:tr w:rsidR="00E36931" w:rsidRPr="00E36931" w14:paraId="52F205E5" w14:textId="77777777" w:rsidTr="00E36931">
        <w:trPr>
          <w:trHeight w:val="290"/>
        </w:trPr>
        <w:tc>
          <w:tcPr>
            <w:tcW w:w="319" w:type="dxa"/>
            <w:tcBorders>
              <w:top w:val="nil"/>
              <w:left w:val="single" w:sz="4" w:space="0" w:color="auto"/>
              <w:bottom w:val="single" w:sz="4" w:space="0" w:color="auto"/>
              <w:right w:val="single" w:sz="4" w:space="0" w:color="auto"/>
            </w:tcBorders>
            <w:shd w:val="clear" w:color="auto" w:fill="auto"/>
            <w:noWrap/>
            <w:vAlign w:val="center"/>
            <w:hideMark/>
          </w:tcPr>
          <w:p w14:paraId="6CB5196A" w14:textId="77777777" w:rsidR="00E36931" w:rsidRPr="00E36931" w:rsidRDefault="00E36931" w:rsidP="00E36931">
            <w:pPr>
              <w:jc w:val="center"/>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20</w:t>
            </w:r>
          </w:p>
        </w:tc>
        <w:tc>
          <w:tcPr>
            <w:tcW w:w="879" w:type="dxa"/>
            <w:tcBorders>
              <w:top w:val="nil"/>
              <w:left w:val="nil"/>
              <w:bottom w:val="single" w:sz="4" w:space="0" w:color="auto"/>
              <w:right w:val="single" w:sz="4" w:space="0" w:color="auto"/>
            </w:tcBorders>
            <w:shd w:val="clear" w:color="auto" w:fill="auto"/>
            <w:noWrap/>
            <w:vAlign w:val="center"/>
            <w:hideMark/>
          </w:tcPr>
          <w:p w14:paraId="7A9CEE0B" w14:textId="77777777" w:rsidR="00E36931" w:rsidRPr="00E36931" w:rsidRDefault="00E36931" w:rsidP="00E36931">
            <w:pPr>
              <w:jc w:val="righ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901061072</w:t>
            </w:r>
          </w:p>
        </w:tc>
        <w:tc>
          <w:tcPr>
            <w:tcW w:w="5034" w:type="dxa"/>
            <w:tcBorders>
              <w:top w:val="nil"/>
              <w:left w:val="nil"/>
              <w:bottom w:val="single" w:sz="4" w:space="0" w:color="auto"/>
              <w:right w:val="single" w:sz="4" w:space="0" w:color="auto"/>
            </w:tcBorders>
            <w:shd w:val="clear" w:color="auto" w:fill="auto"/>
            <w:vAlign w:val="center"/>
            <w:hideMark/>
          </w:tcPr>
          <w:p w14:paraId="71651A8C" w14:textId="77777777" w:rsidR="00E36931" w:rsidRPr="00E36931" w:rsidRDefault="00E36931" w:rsidP="00E36931">
            <w:pPr>
              <w:jc w:val="lef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ELECTRIFICADORA DE NARIÑO SUR E.A.T.</w:t>
            </w:r>
          </w:p>
        </w:tc>
        <w:tc>
          <w:tcPr>
            <w:tcW w:w="1418" w:type="dxa"/>
            <w:tcBorders>
              <w:top w:val="nil"/>
              <w:left w:val="nil"/>
              <w:bottom w:val="single" w:sz="4" w:space="0" w:color="auto"/>
              <w:right w:val="single" w:sz="4" w:space="0" w:color="auto"/>
            </w:tcBorders>
            <w:shd w:val="clear" w:color="auto" w:fill="auto"/>
            <w:noWrap/>
            <w:vAlign w:val="center"/>
            <w:hideMark/>
          </w:tcPr>
          <w:p w14:paraId="4EB8651E" w14:textId="2145490F" w:rsidR="00E36931" w:rsidRPr="00E36931" w:rsidRDefault="00E36931" w:rsidP="00E36931">
            <w:pPr>
              <w:jc w:val="righ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 xml:space="preserve">       127</w:t>
            </w:r>
            <w:r w:rsidR="00EA0452">
              <w:rPr>
                <w:rFonts w:ascii="Arial Narrow" w:hAnsi="Arial Narrow" w:cs="Calibri"/>
                <w:color w:val="000000"/>
                <w:spacing w:val="0"/>
                <w:sz w:val="18"/>
                <w:szCs w:val="18"/>
                <w:lang w:eastAsia="es-CO"/>
              </w:rPr>
              <w:t>.</w:t>
            </w:r>
            <w:r w:rsidRPr="00E36931">
              <w:rPr>
                <w:rFonts w:ascii="Arial Narrow" w:hAnsi="Arial Narrow" w:cs="Calibri"/>
                <w:color w:val="000000"/>
                <w:spacing w:val="0"/>
                <w:sz w:val="18"/>
                <w:szCs w:val="18"/>
                <w:lang w:eastAsia="es-CO"/>
              </w:rPr>
              <w:t>959</w:t>
            </w:r>
            <w:r w:rsidR="00EA0452">
              <w:rPr>
                <w:rFonts w:ascii="Arial Narrow" w:hAnsi="Arial Narrow" w:cs="Calibri"/>
                <w:color w:val="000000"/>
                <w:spacing w:val="0"/>
                <w:sz w:val="18"/>
                <w:szCs w:val="18"/>
                <w:lang w:eastAsia="es-CO"/>
              </w:rPr>
              <w:t>.</w:t>
            </w:r>
            <w:r w:rsidRPr="00E36931">
              <w:rPr>
                <w:rFonts w:ascii="Arial Narrow" w:hAnsi="Arial Narrow" w:cs="Calibri"/>
                <w:color w:val="000000"/>
                <w:spacing w:val="0"/>
                <w:sz w:val="18"/>
                <w:szCs w:val="18"/>
                <w:lang w:eastAsia="es-CO"/>
              </w:rPr>
              <w:t xml:space="preserve">397 </w:t>
            </w:r>
          </w:p>
        </w:tc>
        <w:tc>
          <w:tcPr>
            <w:tcW w:w="1417" w:type="dxa"/>
            <w:tcBorders>
              <w:top w:val="nil"/>
              <w:left w:val="nil"/>
              <w:bottom w:val="single" w:sz="4" w:space="0" w:color="auto"/>
              <w:right w:val="single" w:sz="4" w:space="0" w:color="auto"/>
            </w:tcBorders>
            <w:shd w:val="clear" w:color="auto" w:fill="auto"/>
            <w:noWrap/>
            <w:vAlign w:val="center"/>
            <w:hideMark/>
          </w:tcPr>
          <w:p w14:paraId="130C1E45" w14:textId="77777777" w:rsidR="00E36931" w:rsidRPr="00E36931" w:rsidRDefault="00E36931" w:rsidP="00E36931">
            <w:pPr>
              <w:jc w:val="righ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 xml:space="preserve">                        - </w:t>
            </w:r>
          </w:p>
        </w:tc>
      </w:tr>
      <w:tr w:rsidR="00E36931" w:rsidRPr="00E36931" w14:paraId="1B3561EB" w14:textId="77777777" w:rsidTr="00E36931">
        <w:trPr>
          <w:trHeight w:val="290"/>
        </w:trPr>
        <w:tc>
          <w:tcPr>
            <w:tcW w:w="319" w:type="dxa"/>
            <w:tcBorders>
              <w:top w:val="nil"/>
              <w:left w:val="single" w:sz="4" w:space="0" w:color="auto"/>
              <w:bottom w:val="single" w:sz="4" w:space="0" w:color="auto"/>
              <w:right w:val="single" w:sz="4" w:space="0" w:color="auto"/>
            </w:tcBorders>
            <w:shd w:val="clear" w:color="auto" w:fill="auto"/>
            <w:noWrap/>
            <w:vAlign w:val="center"/>
            <w:hideMark/>
          </w:tcPr>
          <w:p w14:paraId="29D91150" w14:textId="77777777" w:rsidR="00E36931" w:rsidRPr="00E36931" w:rsidRDefault="00E36931" w:rsidP="00E36931">
            <w:pPr>
              <w:jc w:val="center"/>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21</w:t>
            </w:r>
          </w:p>
        </w:tc>
        <w:tc>
          <w:tcPr>
            <w:tcW w:w="879" w:type="dxa"/>
            <w:tcBorders>
              <w:top w:val="nil"/>
              <w:left w:val="nil"/>
              <w:bottom w:val="single" w:sz="4" w:space="0" w:color="auto"/>
              <w:right w:val="single" w:sz="4" w:space="0" w:color="auto"/>
            </w:tcBorders>
            <w:shd w:val="clear" w:color="auto" w:fill="auto"/>
            <w:noWrap/>
            <w:vAlign w:val="center"/>
            <w:hideMark/>
          </w:tcPr>
          <w:p w14:paraId="0779EBDA" w14:textId="77777777" w:rsidR="00E36931" w:rsidRPr="00E36931" w:rsidRDefault="00E36931" w:rsidP="00E36931">
            <w:pPr>
              <w:jc w:val="righ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900440491</w:t>
            </w:r>
          </w:p>
        </w:tc>
        <w:tc>
          <w:tcPr>
            <w:tcW w:w="5034" w:type="dxa"/>
            <w:tcBorders>
              <w:top w:val="nil"/>
              <w:left w:val="nil"/>
              <w:bottom w:val="single" w:sz="4" w:space="0" w:color="auto"/>
              <w:right w:val="single" w:sz="4" w:space="0" w:color="auto"/>
            </w:tcBorders>
            <w:shd w:val="clear" w:color="auto" w:fill="auto"/>
            <w:vAlign w:val="center"/>
            <w:hideMark/>
          </w:tcPr>
          <w:p w14:paraId="6B59D01A" w14:textId="77777777" w:rsidR="00E36931" w:rsidRPr="00E36931" w:rsidRDefault="00E36931" w:rsidP="00E36931">
            <w:pPr>
              <w:jc w:val="lef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JADAPE SAS ESP</w:t>
            </w:r>
          </w:p>
        </w:tc>
        <w:tc>
          <w:tcPr>
            <w:tcW w:w="1418" w:type="dxa"/>
            <w:tcBorders>
              <w:top w:val="nil"/>
              <w:left w:val="nil"/>
              <w:bottom w:val="single" w:sz="4" w:space="0" w:color="auto"/>
              <w:right w:val="single" w:sz="4" w:space="0" w:color="auto"/>
            </w:tcBorders>
            <w:shd w:val="clear" w:color="auto" w:fill="auto"/>
            <w:noWrap/>
            <w:vAlign w:val="center"/>
            <w:hideMark/>
          </w:tcPr>
          <w:p w14:paraId="6F916157" w14:textId="670337AE" w:rsidR="00E36931" w:rsidRPr="00E36931" w:rsidRDefault="00E36931" w:rsidP="00E36931">
            <w:pPr>
              <w:jc w:val="righ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 xml:space="preserve">       128</w:t>
            </w:r>
            <w:r w:rsidR="00EA0452">
              <w:rPr>
                <w:rFonts w:ascii="Arial Narrow" w:hAnsi="Arial Narrow" w:cs="Calibri"/>
                <w:color w:val="000000"/>
                <w:spacing w:val="0"/>
                <w:sz w:val="18"/>
                <w:szCs w:val="18"/>
                <w:lang w:eastAsia="es-CO"/>
              </w:rPr>
              <w:t>.</w:t>
            </w:r>
            <w:r w:rsidRPr="00E36931">
              <w:rPr>
                <w:rFonts w:ascii="Arial Narrow" w:hAnsi="Arial Narrow" w:cs="Calibri"/>
                <w:color w:val="000000"/>
                <w:spacing w:val="0"/>
                <w:sz w:val="18"/>
                <w:szCs w:val="18"/>
                <w:lang w:eastAsia="es-CO"/>
              </w:rPr>
              <w:t>780</w:t>
            </w:r>
            <w:r w:rsidR="00EA0452">
              <w:rPr>
                <w:rFonts w:ascii="Arial Narrow" w:hAnsi="Arial Narrow" w:cs="Calibri"/>
                <w:color w:val="000000"/>
                <w:spacing w:val="0"/>
                <w:sz w:val="18"/>
                <w:szCs w:val="18"/>
                <w:lang w:eastAsia="es-CO"/>
              </w:rPr>
              <w:t>.</w:t>
            </w:r>
            <w:r w:rsidRPr="00E36931">
              <w:rPr>
                <w:rFonts w:ascii="Arial Narrow" w:hAnsi="Arial Narrow" w:cs="Calibri"/>
                <w:color w:val="000000"/>
                <w:spacing w:val="0"/>
                <w:sz w:val="18"/>
                <w:szCs w:val="18"/>
                <w:lang w:eastAsia="es-CO"/>
              </w:rPr>
              <w:t xml:space="preserve">364 </w:t>
            </w:r>
          </w:p>
        </w:tc>
        <w:tc>
          <w:tcPr>
            <w:tcW w:w="1417" w:type="dxa"/>
            <w:tcBorders>
              <w:top w:val="nil"/>
              <w:left w:val="nil"/>
              <w:bottom w:val="single" w:sz="4" w:space="0" w:color="auto"/>
              <w:right w:val="single" w:sz="4" w:space="0" w:color="auto"/>
            </w:tcBorders>
            <w:shd w:val="clear" w:color="auto" w:fill="auto"/>
            <w:noWrap/>
            <w:vAlign w:val="center"/>
            <w:hideMark/>
          </w:tcPr>
          <w:p w14:paraId="37503606" w14:textId="77777777" w:rsidR="00E36931" w:rsidRPr="00E36931" w:rsidRDefault="00E36931" w:rsidP="00E36931">
            <w:pPr>
              <w:jc w:val="righ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 xml:space="preserve">                        - </w:t>
            </w:r>
          </w:p>
        </w:tc>
      </w:tr>
      <w:tr w:rsidR="00E36931" w:rsidRPr="00E36931" w14:paraId="05402EA4" w14:textId="77777777" w:rsidTr="00E36931">
        <w:trPr>
          <w:trHeight w:val="460"/>
        </w:trPr>
        <w:tc>
          <w:tcPr>
            <w:tcW w:w="319" w:type="dxa"/>
            <w:tcBorders>
              <w:top w:val="nil"/>
              <w:left w:val="single" w:sz="4" w:space="0" w:color="auto"/>
              <w:bottom w:val="single" w:sz="4" w:space="0" w:color="auto"/>
              <w:right w:val="single" w:sz="4" w:space="0" w:color="auto"/>
            </w:tcBorders>
            <w:shd w:val="clear" w:color="auto" w:fill="auto"/>
            <w:noWrap/>
            <w:vAlign w:val="center"/>
            <w:hideMark/>
          </w:tcPr>
          <w:p w14:paraId="69FA30C3" w14:textId="77777777" w:rsidR="00E36931" w:rsidRPr="00E36931" w:rsidRDefault="00E36931" w:rsidP="00E36931">
            <w:pPr>
              <w:jc w:val="center"/>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22</w:t>
            </w:r>
          </w:p>
        </w:tc>
        <w:tc>
          <w:tcPr>
            <w:tcW w:w="879" w:type="dxa"/>
            <w:tcBorders>
              <w:top w:val="nil"/>
              <w:left w:val="nil"/>
              <w:bottom w:val="single" w:sz="4" w:space="0" w:color="auto"/>
              <w:right w:val="single" w:sz="4" w:space="0" w:color="auto"/>
            </w:tcBorders>
            <w:shd w:val="clear" w:color="auto" w:fill="auto"/>
            <w:noWrap/>
            <w:vAlign w:val="center"/>
            <w:hideMark/>
          </w:tcPr>
          <w:p w14:paraId="3E2D921D" w14:textId="77777777" w:rsidR="00E36931" w:rsidRPr="00E36931" w:rsidRDefault="00E36931" w:rsidP="00E36931">
            <w:pPr>
              <w:jc w:val="righ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901094262</w:t>
            </w:r>
          </w:p>
        </w:tc>
        <w:tc>
          <w:tcPr>
            <w:tcW w:w="5034" w:type="dxa"/>
            <w:tcBorders>
              <w:top w:val="nil"/>
              <w:left w:val="nil"/>
              <w:bottom w:val="single" w:sz="4" w:space="0" w:color="auto"/>
              <w:right w:val="single" w:sz="4" w:space="0" w:color="auto"/>
            </w:tcBorders>
            <w:shd w:val="clear" w:color="auto" w:fill="auto"/>
            <w:vAlign w:val="center"/>
            <w:hideMark/>
          </w:tcPr>
          <w:p w14:paraId="754B443D" w14:textId="6DC6A201" w:rsidR="00E36931" w:rsidRPr="00E36931" w:rsidRDefault="00E36931" w:rsidP="00E36931">
            <w:pPr>
              <w:jc w:val="lef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E.A.T. ELECTRIFICADORA DE LA ZONA FRONTERA Y RURAL DE TUMACO</w:t>
            </w:r>
          </w:p>
        </w:tc>
        <w:tc>
          <w:tcPr>
            <w:tcW w:w="1418" w:type="dxa"/>
            <w:tcBorders>
              <w:top w:val="nil"/>
              <w:left w:val="nil"/>
              <w:bottom w:val="single" w:sz="4" w:space="0" w:color="auto"/>
              <w:right w:val="single" w:sz="4" w:space="0" w:color="auto"/>
            </w:tcBorders>
            <w:shd w:val="clear" w:color="auto" w:fill="auto"/>
            <w:noWrap/>
            <w:vAlign w:val="center"/>
            <w:hideMark/>
          </w:tcPr>
          <w:p w14:paraId="6385D2F7" w14:textId="0A5C8292" w:rsidR="00E36931" w:rsidRPr="00E36931" w:rsidRDefault="00E36931" w:rsidP="00E36931">
            <w:pPr>
              <w:jc w:val="righ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 xml:space="preserve">       119</w:t>
            </w:r>
            <w:r w:rsidR="00EA0452">
              <w:rPr>
                <w:rFonts w:ascii="Arial Narrow" w:hAnsi="Arial Narrow" w:cs="Calibri"/>
                <w:color w:val="000000"/>
                <w:spacing w:val="0"/>
                <w:sz w:val="18"/>
                <w:szCs w:val="18"/>
                <w:lang w:eastAsia="es-CO"/>
              </w:rPr>
              <w:t>.</w:t>
            </w:r>
            <w:r w:rsidRPr="00E36931">
              <w:rPr>
                <w:rFonts w:ascii="Arial Narrow" w:hAnsi="Arial Narrow" w:cs="Calibri"/>
                <w:color w:val="000000"/>
                <w:spacing w:val="0"/>
                <w:sz w:val="18"/>
                <w:szCs w:val="18"/>
                <w:lang w:eastAsia="es-CO"/>
              </w:rPr>
              <w:t>572</w:t>
            </w:r>
            <w:r w:rsidR="00EA0452">
              <w:rPr>
                <w:rFonts w:ascii="Arial Narrow" w:hAnsi="Arial Narrow" w:cs="Calibri"/>
                <w:color w:val="000000"/>
                <w:spacing w:val="0"/>
                <w:sz w:val="18"/>
                <w:szCs w:val="18"/>
                <w:lang w:eastAsia="es-CO"/>
              </w:rPr>
              <w:t>.</w:t>
            </w:r>
            <w:r w:rsidRPr="00E36931">
              <w:rPr>
                <w:rFonts w:ascii="Arial Narrow" w:hAnsi="Arial Narrow" w:cs="Calibri"/>
                <w:color w:val="000000"/>
                <w:spacing w:val="0"/>
                <w:sz w:val="18"/>
                <w:szCs w:val="18"/>
                <w:lang w:eastAsia="es-CO"/>
              </w:rPr>
              <w:t xml:space="preserve">067 </w:t>
            </w:r>
          </w:p>
        </w:tc>
        <w:tc>
          <w:tcPr>
            <w:tcW w:w="1417" w:type="dxa"/>
            <w:tcBorders>
              <w:top w:val="nil"/>
              <w:left w:val="nil"/>
              <w:bottom w:val="single" w:sz="4" w:space="0" w:color="auto"/>
              <w:right w:val="single" w:sz="4" w:space="0" w:color="auto"/>
            </w:tcBorders>
            <w:shd w:val="clear" w:color="auto" w:fill="auto"/>
            <w:noWrap/>
            <w:vAlign w:val="center"/>
            <w:hideMark/>
          </w:tcPr>
          <w:p w14:paraId="1FFB42D8" w14:textId="77777777" w:rsidR="00E36931" w:rsidRPr="00E36931" w:rsidRDefault="00E36931" w:rsidP="00E36931">
            <w:pPr>
              <w:jc w:val="righ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 xml:space="preserve">                        - </w:t>
            </w:r>
          </w:p>
        </w:tc>
      </w:tr>
      <w:tr w:rsidR="00E36931" w:rsidRPr="00E36931" w14:paraId="600A5A64" w14:textId="77777777" w:rsidTr="00E36931">
        <w:trPr>
          <w:trHeight w:val="290"/>
        </w:trPr>
        <w:tc>
          <w:tcPr>
            <w:tcW w:w="319" w:type="dxa"/>
            <w:tcBorders>
              <w:top w:val="nil"/>
              <w:left w:val="single" w:sz="4" w:space="0" w:color="auto"/>
              <w:bottom w:val="single" w:sz="4" w:space="0" w:color="auto"/>
              <w:right w:val="single" w:sz="4" w:space="0" w:color="auto"/>
            </w:tcBorders>
            <w:shd w:val="clear" w:color="auto" w:fill="auto"/>
            <w:noWrap/>
            <w:vAlign w:val="center"/>
            <w:hideMark/>
          </w:tcPr>
          <w:p w14:paraId="0A49F8B6" w14:textId="77777777" w:rsidR="00E36931" w:rsidRPr="00E36931" w:rsidRDefault="00E36931" w:rsidP="00E36931">
            <w:pPr>
              <w:jc w:val="center"/>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23</w:t>
            </w:r>
          </w:p>
        </w:tc>
        <w:tc>
          <w:tcPr>
            <w:tcW w:w="879" w:type="dxa"/>
            <w:tcBorders>
              <w:top w:val="nil"/>
              <w:left w:val="nil"/>
              <w:bottom w:val="single" w:sz="4" w:space="0" w:color="auto"/>
              <w:right w:val="single" w:sz="4" w:space="0" w:color="auto"/>
            </w:tcBorders>
            <w:shd w:val="clear" w:color="auto" w:fill="auto"/>
            <w:noWrap/>
            <w:vAlign w:val="center"/>
            <w:hideMark/>
          </w:tcPr>
          <w:p w14:paraId="52D71B42" w14:textId="77777777" w:rsidR="00E36931" w:rsidRPr="00E36931" w:rsidRDefault="00E36931" w:rsidP="00E36931">
            <w:pPr>
              <w:jc w:val="righ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900740329</w:t>
            </w:r>
          </w:p>
        </w:tc>
        <w:tc>
          <w:tcPr>
            <w:tcW w:w="5034" w:type="dxa"/>
            <w:tcBorders>
              <w:top w:val="nil"/>
              <w:left w:val="nil"/>
              <w:bottom w:val="single" w:sz="4" w:space="0" w:color="auto"/>
              <w:right w:val="single" w:sz="4" w:space="0" w:color="auto"/>
            </w:tcBorders>
            <w:shd w:val="clear" w:color="auto" w:fill="auto"/>
            <w:vAlign w:val="center"/>
            <w:hideMark/>
          </w:tcPr>
          <w:p w14:paraId="213D9536" w14:textId="77777777" w:rsidR="00E36931" w:rsidRPr="00E36931" w:rsidRDefault="00E36931" w:rsidP="00E36931">
            <w:pPr>
              <w:jc w:val="lef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AURES BAJO S.A.S. E.S.P.</w:t>
            </w:r>
          </w:p>
        </w:tc>
        <w:tc>
          <w:tcPr>
            <w:tcW w:w="1418" w:type="dxa"/>
            <w:tcBorders>
              <w:top w:val="nil"/>
              <w:left w:val="nil"/>
              <w:bottom w:val="single" w:sz="4" w:space="0" w:color="auto"/>
              <w:right w:val="single" w:sz="4" w:space="0" w:color="auto"/>
            </w:tcBorders>
            <w:shd w:val="clear" w:color="auto" w:fill="auto"/>
            <w:noWrap/>
            <w:vAlign w:val="center"/>
            <w:hideMark/>
          </w:tcPr>
          <w:p w14:paraId="5291F11D" w14:textId="0441C6C5" w:rsidR="00E36931" w:rsidRPr="00E36931" w:rsidRDefault="00E36931" w:rsidP="00E36931">
            <w:pPr>
              <w:jc w:val="righ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 xml:space="preserve">       313</w:t>
            </w:r>
            <w:r w:rsidR="00EA0452">
              <w:rPr>
                <w:rFonts w:ascii="Arial Narrow" w:hAnsi="Arial Narrow" w:cs="Calibri"/>
                <w:color w:val="000000"/>
                <w:spacing w:val="0"/>
                <w:sz w:val="18"/>
                <w:szCs w:val="18"/>
                <w:lang w:eastAsia="es-CO"/>
              </w:rPr>
              <w:t>.</w:t>
            </w:r>
            <w:r w:rsidRPr="00E36931">
              <w:rPr>
                <w:rFonts w:ascii="Arial Narrow" w:hAnsi="Arial Narrow" w:cs="Calibri"/>
                <w:color w:val="000000"/>
                <w:spacing w:val="0"/>
                <w:sz w:val="18"/>
                <w:szCs w:val="18"/>
                <w:lang w:eastAsia="es-CO"/>
              </w:rPr>
              <w:t>607</w:t>
            </w:r>
            <w:r w:rsidR="00EA0452">
              <w:rPr>
                <w:rFonts w:ascii="Arial Narrow" w:hAnsi="Arial Narrow" w:cs="Calibri"/>
                <w:color w:val="000000"/>
                <w:spacing w:val="0"/>
                <w:sz w:val="18"/>
                <w:szCs w:val="18"/>
                <w:lang w:eastAsia="es-CO"/>
              </w:rPr>
              <w:t>.</w:t>
            </w:r>
            <w:r w:rsidRPr="00E36931">
              <w:rPr>
                <w:rFonts w:ascii="Arial Narrow" w:hAnsi="Arial Narrow" w:cs="Calibri"/>
                <w:color w:val="000000"/>
                <w:spacing w:val="0"/>
                <w:sz w:val="18"/>
                <w:szCs w:val="18"/>
                <w:lang w:eastAsia="es-CO"/>
              </w:rPr>
              <w:t xml:space="preserve">729 </w:t>
            </w:r>
          </w:p>
        </w:tc>
        <w:tc>
          <w:tcPr>
            <w:tcW w:w="1417" w:type="dxa"/>
            <w:tcBorders>
              <w:top w:val="nil"/>
              <w:left w:val="nil"/>
              <w:bottom w:val="single" w:sz="4" w:space="0" w:color="auto"/>
              <w:right w:val="single" w:sz="4" w:space="0" w:color="auto"/>
            </w:tcBorders>
            <w:shd w:val="clear" w:color="auto" w:fill="auto"/>
            <w:noWrap/>
            <w:vAlign w:val="center"/>
            <w:hideMark/>
          </w:tcPr>
          <w:p w14:paraId="43DBBDBA" w14:textId="77777777" w:rsidR="00E36931" w:rsidRPr="00E36931" w:rsidRDefault="00E36931" w:rsidP="00E36931">
            <w:pPr>
              <w:jc w:val="righ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 xml:space="preserve">                        - </w:t>
            </w:r>
          </w:p>
        </w:tc>
      </w:tr>
      <w:tr w:rsidR="00E36931" w:rsidRPr="00E36931" w14:paraId="57ACA3F9" w14:textId="77777777" w:rsidTr="00E36931">
        <w:trPr>
          <w:trHeight w:val="290"/>
        </w:trPr>
        <w:tc>
          <w:tcPr>
            <w:tcW w:w="319" w:type="dxa"/>
            <w:tcBorders>
              <w:top w:val="nil"/>
              <w:left w:val="single" w:sz="4" w:space="0" w:color="auto"/>
              <w:bottom w:val="single" w:sz="4" w:space="0" w:color="auto"/>
              <w:right w:val="single" w:sz="4" w:space="0" w:color="auto"/>
            </w:tcBorders>
            <w:shd w:val="clear" w:color="auto" w:fill="auto"/>
            <w:noWrap/>
            <w:vAlign w:val="center"/>
            <w:hideMark/>
          </w:tcPr>
          <w:p w14:paraId="083A95A8" w14:textId="77777777" w:rsidR="00E36931" w:rsidRPr="00E36931" w:rsidRDefault="00E36931" w:rsidP="00E36931">
            <w:pPr>
              <w:jc w:val="center"/>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24</w:t>
            </w:r>
          </w:p>
        </w:tc>
        <w:tc>
          <w:tcPr>
            <w:tcW w:w="879" w:type="dxa"/>
            <w:tcBorders>
              <w:top w:val="nil"/>
              <w:left w:val="nil"/>
              <w:bottom w:val="single" w:sz="4" w:space="0" w:color="auto"/>
              <w:right w:val="single" w:sz="4" w:space="0" w:color="auto"/>
            </w:tcBorders>
            <w:shd w:val="clear" w:color="auto" w:fill="auto"/>
            <w:noWrap/>
            <w:vAlign w:val="center"/>
            <w:hideMark/>
          </w:tcPr>
          <w:p w14:paraId="4A8C1404" w14:textId="77777777" w:rsidR="00E36931" w:rsidRPr="00E36931" w:rsidRDefault="00E36931" w:rsidP="00E36931">
            <w:pPr>
              <w:jc w:val="righ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901021569</w:t>
            </w:r>
          </w:p>
        </w:tc>
        <w:tc>
          <w:tcPr>
            <w:tcW w:w="5034" w:type="dxa"/>
            <w:tcBorders>
              <w:top w:val="nil"/>
              <w:left w:val="nil"/>
              <w:bottom w:val="single" w:sz="4" w:space="0" w:color="auto"/>
              <w:right w:val="single" w:sz="4" w:space="0" w:color="auto"/>
            </w:tcBorders>
            <w:shd w:val="clear" w:color="auto" w:fill="auto"/>
            <w:vAlign w:val="center"/>
            <w:hideMark/>
          </w:tcPr>
          <w:p w14:paraId="7AE8A9F4" w14:textId="77777777" w:rsidR="00E36931" w:rsidRPr="00E36931" w:rsidRDefault="00E36931" w:rsidP="00E36931">
            <w:pPr>
              <w:jc w:val="lef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GASTUMACO DEL PACIFICO SAS ESP</w:t>
            </w:r>
          </w:p>
        </w:tc>
        <w:tc>
          <w:tcPr>
            <w:tcW w:w="1418" w:type="dxa"/>
            <w:tcBorders>
              <w:top w:val="nil"/>
              <w:left w:val="nil"/>
              <w:bottom w:val="single" w:sz="4" w:space="0" w:color="auto"/>
              <w:right w:val="single" w:sz="4" w:space="0" w:color="auto"/>
            </w:tcBorders>
            <w:shd w:val="clear" w:color="auto" w:fill="auto"/>
            <w:noWrap/>
            <w:vAlign w:val="center"/>
            <w:hideMark/>
          </w:tcPr>
          <w:p w14:paraId="4ACCE0F0" w14:textId="5EE5B025" w:rsidR="00E36931" w:rsidRPr="00E36931" w:rsidRDefault="00E36931" w:rsidP="00E36931">
            <w:pPr>
              <w:jc w:val="righ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 xml:space="preserve">       390</w:t>
            </w:r>
            <w:r w:rsidR="00EA0452">
              <w:rPr>
                <w:rFonts w:ascii="Arial Narrow" w:hAnsi="Arial Narrow" w:cs="Calibri"/>
                <w:color w:val="000000"/>
                <w:spacing w:val="0"/>
                <w:sz w:val="18"/>
                <w:szCs w:val="18"/>
                <w:lang w:eastAsia="es-CO"/>
              </w:rPr>
              <w:t>.</w:t>
            </w:r>
            <w:r w:rsidRPr="00E36931">
              <w:rPr>
                <w:rFonts w:ascii="Arial Narrow" w:hAnsi="Arial Narrow" w:cs="Calibri"/>
                <w:color w:val="000000"/>
                <w:spacing w:val="0"/>
                <w:sz w:val="18"/>
                <w:szCs w:val="18"/>
                <w:lang w:eastAsia="es-CO"/>
              </w:rPr>
              <w:t>541</w:t>
            </w:r>
            <w:r w:rsidR="00EA0452">
              <w:rPr>
                <w:rFonts w:ascii="Arial Narrow" w:hAnsi="Arial Narrow" w:cs="Calibri"/>
                <w:color w:val="000000"/>
                <w:spacing w:val="0"/>
                <w:sz w:val="18"/>
                <w:szCs w:val="18"/>
                <w:lang w:eastAsia="es-CO"/>
              </w:rPr>
              <w:t>.</w:t>
            </w:r>
            <w:r w:rsidRPr="00E36931">
              <w:rPr>
                <w:rFonts w:ascii="Arial Narrow" w:hAnsi="Arial Narrow" w:cs="Calibri"/>
                <w:color w:val="000000"/>
                <w:spacing w:val="0"/>
                <w:sz w:val="18"/>
                <w:szCs w:val="18"/>
                <w:lang w:eastAsia="es-CO"/>
              </w:rPr>
              <w:t xml:space="preserve">000 </w:t>
            </w:r>
          </w:p>
        </w:tc>
        <w:tc>
          <w:tcPr>
            <w:tcW w:w="1417" w:type="dxa"/>
            <w:tcBorders>
              <w:top w:val="nil"/>
              <w:left w:val="nil"/>
              <w:bottom w:val="single" w:sz="4" w:space="0" w:color="auto"/>
              <w:right w:val="single" w:sz="4" w:space="0" w:color="auto"/>
            </w:tcBorders>
            <w:shd w:val="clear" w:color="auto" w:fill="auto"/>
            <w:noWrap/>
            <w:vAlign w:val="center"/>
            <w:hideMark/>
          </w:tcPr>
          <w:p w14:paraId="30DE3539" w14:textId="77777777" w:rsidR="00E36931" w:rsidRPr="00E36931" w:rsidRDefault="00E36931" w:rsidP="00E36931">
            <w:pPr>
              <w:jc w:val="righ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 xml:space="preserve">                        - </w:t>
            </w:r>
          </w:p>
        </w:tc>
      </w:tr>
      <w:tr w:rsidR="00E36931" w:rsidRPr="00E36931" w14:paraId="7B392FAC" w14:textId="77777777" w:rsidTr="00E36931">
        <w:trPr>
          <w:trHeight w:val="290"/>
        </w:trPr>
        <w:tc>
          <w:tcPr>
            <w:tcW w:w="319" w:type="dxa"/>
            <w:tcBorders>
              <w:top w:val="nil"/>
              <w:left w:val="single" w:sz="4" w:space="0" w:color="auto"/>
              <w:bottom w:val="single" w:sz="4" w:space="0" w:color="auto"/>
              <w:right w:val="single" w:sz="4" w:space="0" w:color="auto"/>
            </w:tcBorders>
            <w:shd w:val="clear" w:color="auto" w:fill="auto"/>
            <w:noWrap/>
            <w:vAlign w:val="center"/>
            <w:hideMark/>
          </w:tcPr>
          <w:p w14:paraId="151B6040" w14:textId="77777777" w:rsidR="00E36931" w:rsidRPr="00E36931" w:rsidRDefault="00E36931" w:rsidP="00E36931">
            <w:pPr>
              <w:jc w:val="center"/>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25</w:t>
            </w:r>
          </w:p>
        </w:tc>
        <w:tc>
          <w:tcPr>
            <w:tcW w:w="879" w:type="dxa"/>
            <w:tcBorders>
              <w:top w:val="nil"/>
              <w:left w:val="nil"/>
              <w:bottom w:val="single" w:sz="4" w:space="0" w:color="auto"/>
              <w:right w:val="single" w:sz="4" w:space="0" w:color="auto"/>
            </w:tcBorders>
            <w:shd w:val="clear" w:color="auto" w:fill="auto"/>
            <w:noWrap/>
            <w:vAlign w:val="center"/>
            <w:hideMark/>
          </w:tcPr>
          <w:p w14:paraId="56483417" w14:textId="77777777" w:rsidR="00E36931" w:rsidRPr="00E36931" w:rsidRDefault="00E36931" w:rsidP="00E36931">
            <w:pPr>
              <w:jc w:val="righ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900509559</w:t>
            </w:r>
          </w:p>
        </w:tc>
        <w:tc>
          <w:tcPr>
            <w:tcW w:w="5034" w:type="dxa"/>
            <w:tcBorders>
              <w:top w:val="nil"/>
              <w:left w:val="nil"/>
              <w:bottom w:val="single" w:sz="4" w:space="0" w:color="auto"/>
              <w:right w:val="single" w:sz="4" w:space="0" w:color="auto"/>
            </w:tcBorders>
            <w:shd w:val="clear" w:color="auto" w:fill="auto"/>
            <w:vAlign w:val="center"/>
            <w:hideMark/>
          </w:tcPr>
          <w:p w14:paraId="2B034314" w14:textId="77777777" w:rsidR="00E36931" w:rsidRPr="00E36931" w:rsidRDefault="00E36931" w:rsidP="00E36931">
            <w:pPr>
              <w:jc w:val="lef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ENEL GREEN POWER COLOMBIA S.A.S E.S.P.</w:t>
            </w:r>
          </w:p>
        </w:tc>
        <w:tc>
          <w:tcPr>
            <w:tcW w:w="1418" w:type="dxa"/>
            <w:tcBorders>
              <w:top w:val="nil"/>
              <w:left w:val="nil"/>
              <w:bottom w:val="single" w:sz="4" w:space="0" w:color="auto"/>
              <w:right w:val="single" w:sz="4" w:space="0" w:color="auto"/>
            </w:tcBorders>
            <w:shd w:val="clear" w:color="auto" w:fill="auto"/>
            <w:noWrap/>
            <w:vAlign w:val="center"/>
            <w:hideMark/>
          </w:tcPr>
          <w:p w14:paraId="37311F3F" w14:textId="1609CE6E" w:rsidR="00E36931" w:rsidRPr="00E36931" w:rsidRDefault="00E36931" w:rsidP="00E36931">
            <w:pPr>
              <w:jc w:val="righ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 xml:space="preserve">    6</w:t>
            </w:r>
            <w:r w:rsidR="00EA0452">
              <w:rPr>
                <w:rFonts w:ascii="Arial Narrow" w:hAnsi="Arial Narrow" w:cs="Calibri"/>
                <w:color w:val="000000"/>
                <w:spacing w:val="0"/>
                <w:sz w:val="18"/>
                <w:szCs w:val="18"/>
                <w:lang w:eastAsia="es-CO"/>
              </w:rPr>
              <w:t>.</w:t>
            </w:r>
            <w:r w:rsidRPr="00E36931">
              <w:rPr>
                <w:rFonts w:ascii="Arial Narrow" w:hAnsi="Arial Narrow" w:cs="Calibri"/>
                <w:color w:val="000000"/>
                <w:spacing w:val="0"/>
                <w:sz w:val="18"/>
                <w:szCs w:val="18"/>
                <w:lang w:eastAsia="es-CO"/>
              </w:rPr>
              <w:t>904</w:t>
            </w:r>
            <w:r w:rsidR="00EA0452">
              <w:rPr>
                <w:rFonts w:ascii="Arial Narrow" w:hAnsi="Arial Narrow" w:cs="Calibri"/>
                <w:color w:val="000000"/>
                <w:spacing w:val="0"/>
                <w:sz w:val="18"/>
                <w:szCs w:val="18"/>
                <w:lang w:eastAsia="es-CO"/>
              </w:rPr>
              <w:t>.</w:t>
            </w:r>
            <w:r w:rsidRPr="00E36931">
              <w:rPr>
                <w:rFonts w:ascii="Arial Narrow" w:hAnsi="Arial Narrow" w:cs="Calibri"/>
                <w:color w:val="000000"/>
                <w:spacing w:val="0"/>
                <w:sz w:val="18"/>
                <w:szCs w:val="18"/>
                <w:lang w:eastAsia="es-CO"/>
              </w:rPr>
              <w:t>522</w:t>
            </w:r>
            <w:r w:rsidR="00EA0452">
              <w:rPr>
                <w:rFonts w:ascii="Arial Narrow" w:hAnsi="Arial Narrow" w:cs="Calibri"/>
                <w:color w:val="000000"/>
                <w:spacing w:val="0"/>
                <w:sz w:val="18"/>
                <w:szCs w:val="18"/>
                <w:lang w:eastAsia="es-CO"/>
              </w:rPr>
              <w:t>.</w:t>
            </w:r>
            <w:r w:rsidRPr="00E36931">
              <w:rPr>
                <w:rFonts w:ascii="Arial Narrow" w:hAnsi="Arial Narrow" w:cs="Calibri"/>
                <w:color w:val="000000"/>
                <w:spacing w:val="0"/>
                <w:sz w:val="18"/>
                <w:szCs w:val="18"/>
                <w:lang w:eastAsia="es-CO"/>
              </w:rPr>
              <w:t xml:space="preserve">093 </w:t>
            </w:r>
          </w:p>
        </w:tc>
        <w:tc>
          <w:tcPr>
            <w:tcW w:w="1417" w:type="dxa"/>
            <w:tcBorders>
              <w:top w:val="nil"/>
              <w:left w:val="nil"/>
              <w:bottom w:val="single" w:sz="4" w:space="0" w:color="auto"/>
              <w:right w:val="single" w:sz="4" w:space="0" w:color="auto"/>
            </w:tcBorders>
            <w:shd w:val="clear" w:color="auto" w:fill="auto"/>
            <w:noWrap/>
            <w:vAlign w:val="center"/>
            <w:hideMark/>
          </w:tcPr>
          <w:p w14:paraId="72888A93" w14:textId="77777777" w:rsidR="00E36931" w:rsidRPr="00E36931" w:rsidRDefault="00E36931" w:rsidP="00E36931">
            <w:pPr>
              <w:jc w:val="righ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 xml:space="preserve">                        - </w:t>
            </w:r>
          </w:p>
        </w:tc>
      </w:tr>
      <w:tr w:rsidR="00E36931" w:rsidRPr="00E36931" w14:paraId="3FEEB7BA" w14:textId="77777777" w:rsidTr="00E36931">
        <w:trPr>
          <w:trHeight w:val="290"/>
        </w:trPr>
        <w:tc>
          <w:tcPr>
            <w:tcW w:w="319" w:type="dxa"/>
            <w:tcBorders>
              <w:top w:val="nil"/>
              <w:left w:val="single" w:sz="4" w:space="0" w:color="auto"/>
              <w:bottom w:val="single" w:sz="4" w:space="0" w:color="auto"/>
              <w:right w:val="single" w:sz="4" w:space="0" w:color="auto"/>
            </w:tcBorders>
            <w:shd w:val="clear" w:color="auto" w:fill="auto"/>
            <w:noWrap/>
            <w:vAlign w:val="center"/>
            <w:hideMark/>
          </w:tcPr>
          <w:p w14:paraId="5BE6C681" w14:textId="77777777" w:rsidR="00E36931" w:rsidRPr="00E36931" w:rsidRDefault="00E36931" w:rsidP="00E36931">
            <w:pPr>
              <w:jc w:val="center"/>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26</w:t>
            </w:r>
          </w:p>
        </w:tc>
        <w:tc>
          <w:tcPr>
            <w:tcW w:w="879" w:type="dxa"/>
            <w:tcBorders>
              <w:top w:val="nil"/>
              <w:left w:val="nil"/>
              <w:bottom w:val="single" w:sz="4" w:space="0" w:color="auto"/>
              <w:right w:val="single" w:sz="4" w:space="0" w:color="auto"/>
            </w:tcBorders>
            <w:shd w:val="clear" w:color="auto" w:fill="auto"/>
            <w:noWrap/>
            <w:vAlign w:val="center"/>
            <w:hideMark/>
          </w:tcPr>
          <w:p w14:paraId="3F5A27CB" w14:textId="77777777" w:rsidR="00E36931" w:rsidRPr="00E36931" w:rsidRDefault="00E36931" w:rsidP="00E36931">
            <w:pPr>
              <w:jc w:val="righ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901043956</w:t>
            </w:r>
          </w:p>
        </w:tc>
        <w:tc>
          <w:tcPr>
            <w:tcW w:w="5034" w:type="dxa"/>
            <w:tcBorders>
              <w:top w:val="nil"/>
              <w:left w:val="nil"/>
              <w:bottom w:val="single" w:sz="4" w:space="0" w:color="auto"/>
              <w:right w:val="single" w:sz="4" w:space="0" w:color="auto"/>
            </w:tcBorders>
            <w:shd w:val="clear" w:color="auto" w:fill="auto"/>
            <w:vAlign w:val="center"/>
            <w:hideMark/>
          </w:tcPr>
          <w:p w14:paraId="00B563ED" w14:textId="77777777" w:rsidR="00E36931" w:rsidRPr="00E36931" w:rsidRDefault="00E36931" w:rsidP="00E36931">
            <w:pPr>
              <w:jc w:val="lef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PLUSENERGY SAS ESP</w:t>
            </w:r>
          </w:p>
        </w:tc>
        <w:tc>
          <w:tcPr>
            <w:tcW w:w="1418" w:type="dxa"/>
            <w:tcBorders>
              <w:top w:val="nil"/>
              <w:left w:val="nil"/>
              <w:bottom w:val="single" w:sz="4" w:space="0" w:color="auto"/>
              <w:right w:val="single" w:sz="4" w:space="0" w:color="auto"/>
            </w:tcBorders>
            <w:shd w:val="clear" w:color="auto" w:fill="auto"/>
            <w:noWrap/>
            <w:vAlign w:val="center"/>
            <w:hideMark/>
          </w:tcPr>
          <w:p w14:paraId="49C73205" w14:textId="0A45FFA7" w:rsidR="00E36931" w:rsidRPr="00E36931" w:rsidRDefault="00E36931" w:rsidP="00E36931">
            <w:pPr>
              <w:jc w:val="righ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 xml:space="preserve">       164</w:t>
            </w:r>
            <w:r w:rsidR="00EA0452">
              <w:rPr>
                <w:rFonts w:ascii="Arial Narrow" w:hAnsi="Arial Narrow" w:cs="Calibri"/>
                <w:color w:val="000000"/>
                <w:spacing w:val="0"/>
                <w:sz w:val="18"/>
                <w:szCs w:val="18"/>
                <w:lang w:eastAsia="es-CO"/>
              </w:rPr>
              <w:t>.</w:t>
            </w:r>
            <w:r w:rsidRPr="00E36931">
              <w:rPr>
                <w:rFonts w:ascii="Arial Narrow" w:hAnsi="Arial Narrow" w:cs="Calibri"/>
                <w:color w:val="000000"/>
                <w:spacing w:val="0"/>
                <w:sz w:val="18"/>
                <w:szCs w:val="18"/>
                <w:lang w:eastAsia="es-CO"/>
              </w:rPr>
              <w:t>335</w:t>
            </w:r>
            <w:r w:rsidR="00EA0452">
              <w:rPr>
                <w:rFonts w:ascii="Arial Narrow" w:hAnsi="Arial Narrow" w:cs="Calibri"/>
                <w:color w:val="000000"/>
                <w:spacing w:val="0"/>
                <w:sz w:val="18"/>
                <w:szCs w:val="18"/>
                <w:lang w:eastAsia="es-CO"/>
              </w:rPr>
              <w:t>.</w:t>
            </w:r>
            <w:r w:rsidRPr="00E36931">
              <w:rPr>
                <w:rFonts w:ascii="Arial Narrow" w:hAnsi="Arial Narrow" w:cs="Calibri"/>
                <w:color w:val="000000"/>
                <w:spacing w:val="0"/>
                <w:sz w:val="18"/>
                <w:szCs w:val="18"/>
                <w:lang w:eastAsia="es-CO"/>
              </w:rPr>
              <w:t xml:space="preserve">076 </w:t>
            </w:r>
          </w:p>
        </w:tc>
        <w:tc>
          <w:tcPr>
            <w:tcW w:w="1417" w:type="dxa"/>
            <w:tcBorders>
              <w:top w:val="nil"/>
              <w:left w:val="nil"/>
              <w:bottom w:val="single" w:sz="4" w:space="0" w:color="auto"/>
              <w:right w:val="single" w:sz="4" w:space="0" w:color="auto"/>
            </w:tcBorders>
            <w:shd w:val="clear" w:color="auto" w:fill="auto"/>
            <w:noWrap/>
            <w:vAlign w:val="center"/>
            <w:hideMark/>
          </w:tcPr>
          <w:p w14:paraId="79D6C920" w14:textId="77777777" w:rsidR="00E36931" w:rsidRPr="00E36931" w:rsidRDefault="00E36931" w:rsidP="00E36931">
            <w:pPr>
              <w:jc w:val="righ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 xml:space="preserve">                        - </w:t>
            </w:r>
          </w:p>
        </w:tc>
      </w:tr>
      <w:tr w:rsidR="00E36931" w:rsidRPr="00E36931" w14:paraId="4014A319" w14:textId="77777777" w:rsidTr="00E36931">
        <w:trPr>
          <w:trHeight w:val="585"/>
        </w:trPr>
        <w:tc>
          <w:tcPr>
            <w:tcW w:w="319" w:type="dxa"/>
            <w:tcBorders>
              <w:top w:val="nil"/>
              <w:left w:val="single" w:sz="4" w:space="0" w:color="auto"/>
              <w:bottom w:val="single" w:sz="4" w:space="0" w:color="auto"/>
              <w:right w:val="single" w:sz="4" w:space="0" w:color="auto"/>
            </w:tcBorders>
            <w:shd w:val="clear" w:color="auto" w:fill="auto"/>
            <w:noWrap/>
            <w:vAlign w:val="center"/>
            <w:hideMark/>
          </w:tcPr>
          <w:p w14:paraId="440B3203" w14:textId="77777777" w:rsidR="00E36931" w:rsidRPr="00E36931" w:rsidRDefault="00E36931" w:rsidP="00E36931">
            <w:pPr>
              <w:jc w:val="center"/>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27</w:t>
            </w:r>
          </w:p>
        </w:tc>
        <w:tc>
          <w:tcPr>
            <w:tcW w:w="879" w:type="dxa"/>
            <w:tcBorders>
              <w:top w:val="nil"/>
              <w:left w:val="nil"/>
              <w:bottom w:val="single" w:sz="4" w:space="0" w:color="auto"/>
              <w:right w:val="single" w:sz="4" w:space="0" w:color="auto"/>
            </w:tcBorders>
            <w:shd w:val="clear" w:color="auto" w:fill="auto"/>
            <w:noWrap/>
            <w:vAlign w:val="center"/>
            <w:hideMark/>
          </w:tcPr>
          <w:p w14:paraId="7C8A75F4" w14:textId="77777777" w:rsidR="00E36931" w:rsidRPr="00E36931" w:rsidRDefault="00E36931" w:rsidP="00E36931">
            <w:pPr>
              <w:jc w:val="righ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901209425</w:t>
            </w:r>
          </w:p>
        </w:tc>
        <w:tc>
          <w:tcPr>
            <w:tcW w:w="5034" w:type="dxa"/>
            <w:tcBorders>
              <w:top w:val="nil"/>
              <w:left w:val="nil"/>
              <w:bottom w:val="single" w:sz="4" w:space="0" w:color="auto"/>
              <w:right w:val="single" w:sz="4" w:space="0" w:color="auto"/>
            </w:tcBorders>
            <w:shd w:val="clear" w:color="auto" w:fill="auto"/>
            <w:vAlign w:val="center"/>
            <w:hideMark/>
          </w:tcPr>
          <w:p w14:paraId="66DBFBD0" w14:textId="77777777" w:rsidR="00E36931" w:rsidRPr="00E36931" w:rsidRDefault="00E36931" w:rsidP="00E36931">
            <w:pPr>
              <w:jc w:val="lef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EMPRESA ASOCIATIVA DE TRABAJO Y LA PRESTACIÓN DEL SERVICIO DE ENERGÍA EN LA ZONA RURAL DEL MUNICIPIO DE LA TOLA NARIÑO</w:t>
            </w:r>
          </w:p>
        </w:tc>
        <w:tc>
          <w:tcPr>
            <w:tcW w:w="1418" w:type="dxa"/>
            <w:tcBorders>
              <w:top w:val="nil"/>
              <w:left w:val="nil"/>
              <w:bottom w:val="single" w:sz="4" w:space="0" w:color="auto"/>
              <w:right w:val="single" w:sz="4" w:space="0" w:color="auto"/>
            </w:tcBorders>
            <w:shd w:val="clear" w:color="auto" w:fill="auto"/>
            <w:noWrap/>
            <w:vAlign w:val="center"/>
            <w:hideMark/>
          </w:tcPr>
          <w:p w14:paraId="2058433D" w14:textId="0EC3BB53" w:rsidR="00E36931" w:rsidRPr="00E36931" w:rsidRDefault="00E36931" w:rsidP="00E36931">
            <w:pPr>
              <w:jc w:val="righ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 xml:space="preserve">         34</w:t>
            </w:r>
            <w:r w:rsidR="00EA0452">
              <w:rPr>
                <w:rFonts w:ascii="Arial Narrow" w:hAnsi="Arial Narrow" w:cs="Calibri"/>
                <w:color w:val="000000"/>
                <w:spacing w:val="0"/>
                <w:sz w:val="18"/>
                <w:szCs w:val="18"/>
                <w:lang w:eastAsia="es-CO"/>
              </w:rPr>
              <w:t>.</w:t>
            </w:r>
            <w:r w:rsidRPr="00E36931">
              <w:rPr>
                <w:rFonts w:ascii="Arial Narrow" w:hAnsi="Arial Narrow" w:cs="Calibri"/>
                <w:color w:val="000000"/>
                <w:spacing w:val="0"/>
                <w:sz w:val="18"/>
                <w:szCs w:val="18"/>
                <w:lang w:eastAsia="es-CO"/>
              </w:rPr>
              <w:t>548</w:t>
            </w:r>
            <w:r w:rsidR="00EA0452">
              <w:rPr>
                <w:rFonts w:ascii="Arial Narrow" w:hAnsi="Arial Narrow" w:cs="Calibri"/>
                <w:color w:val="000000"/>
                <w:spacing w:val="0"/>
                <w:sz w:val="18"/>
                <w:szCs w:val="18"/>
                <w:lang w:eastAsia="es-CO"/>
              </w:rPr>
              <w:t>.</w:t>
            </w:r>
            <w:r w:rsidRPr="00E36931">
              <w:rPr>
                <w:rFonts w:ascii="Arial Narrow" w:hAnsi="Arial Narrow" w:cs="Calibri"/>
                <w:color w:val="000000"/>
                <w:spacing w:val="0"/>
                <w:sz w:val="18"/>
                <w:szCs w:val="18"/>
                <w:lang w:eastAsia="es-CO"/>
              </w:rPr>
              <w:t xml:space="preserve">959 </w:t>
            </w:r>
          </w:p>
        </w:tc>
        <w:tc>
          <w:tcPr>
            <w:tcW w:w="1417" w:type="dxa"/>
            <w:tcBorders>
              <w:top w:val="nil"/>
              <w:left w:val="nil"/>
              <w:bottom w:val="single" w:sz="4" w:space="0" w:color="auto"/>
              <w:right w:val="single" w:sz="4" w:space="0" w:color="auto"/>
            </w:tcBorders>
            <w:shd w:val="clear" w:color="auto" w:fill="auto"/>
            <w:noWrap/>
            <w:vAlign w:val="center"/>
            <w:hideMark/>
          </w:tcPr>
          <w:p w14:paraId="75184B7B" w14:textId="77777777" w:rsidR="00E36931" w:rsidRPr="00E36931" w:rsidRDefault="00E36931" w:rsidP="00E36931">
            <w:pPr>
              <w:jc w:val="righ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 xml:space="preserve">                        - </w:t>
            </w:r>
          </w:p>
        </w:tc>
      </w:tr>
      <w:tr w:rsidR="00E36931" w:rsidRPr="00E36931" w14:paraId="0962407D" w14:textId="77777777" w:rsidTr="00E36931">
        <w:trPr>
          <w:trHeight w:val="290"/>
        </w:trPr>
        <w:tc>
          <w:tcPr>
            <w:tcW w:w="319" w:type="dxa"/>
            <w:tcBorders>
              <w:top w:val="nil"/>
              <w:left w:val="single" w:sz="4" w:space="0" w:color="auto"/>
              <w:bottom w:val="single" w:sz="4" w:space="0" w:color="auto"/>
              <w:right w:val="single" w:sz="4" w:space="0" w:color="auto"/>
            </w:tcBorders>
            <w:shd w:val="clear" w:color="auto" w:fill="auto"/>
            <w:noWrap/>
            <w:vAlign w:val="center"/>
            <w:hideMark/>
          </w:tcPr>
          <w:p w14:paraId="72C1C1D5" w14:textId="77777777" w:rsidR="00E36931" w:rsidRPr="00E36931" w:rsidRDefault="00E36931" w:rsidP="00E36931">
            <w:pPr>
              <w:jc w:val="center"/>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28</w:t>
            </w:r>
          </w:p>
        </w:tc>
        <w:tc>
          <w:tcPr>
            <w:tcW w:w="879" w:type="dxa"/>
            <w:tcBorders>
              <w:top w:val="nil"/>
              <w:left w:val="nil"/>
              <w:bottom w:val="single" w:sz="4" w:space="0" w:color="auto"/>
              <w:right w:val="single" w:sz="4" w:space="0" w:color="auto"/>
            </w:tcBorders>
            <w:shd w:val="clear" w:color="auto" w:fill="auto"/>
            <w:noWrap/>
            <w:vAlign w:val="center"/>
            <w:hideMark/>
          </w:tcPr>
          <w:p w14:paraId="0E35FAB9" w14:textId="77777777" w:rsidR="00E36931" w:rsidRPr="00E36931" w:rsidRDefault="00E36931" w:rsidP="00E36931">
            <w:pPr>
              <w:jc w:val="righ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901263317</w:t>
            </w:r>
          </w:p>
        </w:tc>
        <w:tc>
          <w:tcPr>
            <w:tcW w:w="5034" w:type="dxa"/>
            <w:tcBorders>
              <w:top w:val="nil"/>
              <w:left w:val="nil"/>
              <w:bottom w:val="single" w:sz="4" w:space="0" w:color="auto"/>
              <w:right w:val="single" w:sz="4" w:space="0" w:color="auto"/>
            </w:tcBorders>
            <w:shd w:val="clear" w:color="auto" w:fill="auto"/>
            <w:vAlign w:val="center"/>
            <w:hideMark/>
          </w:tcPr>
          <w:p w14:paraId="47E045E0" w14:textId="77777777" w:rsidR="00E36931" w:rsidRPr="00C6331D" w:rsidRDefault="00E36931" w:rsidP="00E36931">
            <w:pPr>
              <w:jc w:val="left"/>
              <w:rPr>
                <w:rFonts w:ascii="Arial Narrow" w:hAnsi="Arial Narrow" w:cs="Calibri"/>
                <w:color w:val="000000"/>
                <w:spacing w:val="0"/>
                <w:sz w:val="18"/>
                <w:szCs w:val="18"/>
                <w:lang w:val="en-US" w:eastAsia="es-CO"/>
              </w:rPr>
            </w:pPr>
            <w:r w:rsidRPr="00C6331D">
              <w:rPr>
                <w:rFonts w:ascii="Arial Narrow" w:hAnsi="Arial Narrow" w:cs="Calibri"/>
                <w:color w:val="000000"/>
                <w:spacing w:val="0"/>
                <w:sz w:val="18"/>
                <w:szCs w:val="18"/>
                <w:lang w:val="en-US" w:eastAsia="es-CO"/>
              </w:rPr>
              <w:t>ENERGY TRANSITIONS S.A.S. ESP</w:t>
            </w:r>
          </w:p>
        </w:tc>
        <w:tc>
          <w:tcPr>
            <w:tcW w:w="1418" w:type="dxa"/>
            <w:tcBorders>
              <w:top w:val="nil"/>
              <w:left w:val="nil"/>
              <w:bottom w:val="single" w:sz="4" w:space="0" w:color="auto"/>
              <w:right w:val="single" w:sz="4" w:space="0" w:color="auto"/>
            </w:tcBorders>
            <w:shd w:val="clear" w:color="auto" w:fill="auto"/>
            <w:noWrap/>
            <w:vAlign w:val="center"/>
            <w:hideMark/>
          </w:tcPr>
          <w:p w14:paraId="01E584D6" w14:textId="442D4464" w:rsidR="00E36931" w:rsidRPr="00E36931" w:rsidRDefault="00E36931" w:rsidP="00E36931">
            <w:pPr>
              <w:jc w:val="right"/>
              <w:rPr>
                <w:rFonts w:ascii="Arial Narrow" w:hAnsi="Arial Narrow" w:cs="Calibri"/>
                <w:color w:val="000000"/>
                <w:spacing w:val="0"/>
                <w:sz w:val="18"/>
                <w:szCs w:val="18"/>
                <w:lang w:eastAsia="es-CO"/>
              </w:rPr>
            </w:pPr>
            <w:r w:rsidRPr="00C6331D">
              <w:rPr>
                <w:rFonts w:ascii="Arial Narrow" w:hAnsi="Arial Narrow" w:cs="Calibri"/>
                <w:color w:val="000000"/>
                <w:spacing w:val="0"/>
                <w:sz w:val="18"/>
                <w:szCs w:val="18"/>
                <w:lang w:val="en-US" w:eastAsia="es-CO"/>
              </w:rPr>
              <w:t xml:space="preserve">    </w:t>
            </w:r>
            <w:r w:rsidRPr="00E36931">
              <w:rPr>
                <w:rFonts w:ascii="Arial Narrow" w:hAnsi="Arial Narrow" w:cs="Calibri"/>
                <w:color w:val="000000"/>
                <w:spacing w:val="0"/>
                <w:sz w:val="18"/>
                <w:szCs w:val="18"/>
                <w:lang w:eastAsia="es-CO"/>
              </w:rPr>
              <w:t>1</w:t>
            </w:r>
            <w:r w:rsidR="00EA0452">
              <w:rPr>
                <w:rFonts w:ascii="Arial Narrow" w:hAnsi="Arial Narrow" w:cs="Calibri"/>
                <w:color w:val="000000"/>
                <w:spacing w:val="0"/>
                <w:sz w:val="18"/>
                <w:szCs w:val="18"/>
                <w:lang w:eastAsia="es-CO"/>
              </w:rPr>
              <w:t>.</w:t>
            </w:r>
            <w:r w:rsidRPr="00E36931">
              <w:rPr>
                <w:rFonts w:ascii="Arial Narrow" w:hAnsi="Arial Narrow" w:cs="Calibri"/>
                <w:color w:val="000000"/>
                <w:spacing w:val="0"/>
                <w:sz w:val="18"/>
                <w:szCs w:val="18"/>
                <w:lang w:eastAsia="es-CO"/>
              </w:rPr>
              <w:t>046</w:t>
            </w:r>
            <w:r w:rsidR="00EA0452">
              <w:rPr>
                <w:rFonts w:ascii="Arial Narrow" w:hAnsi="Arial Narrow" w:cs="Calibri"/>
                <w:color w:val="000000"/>
                <w:spacing w:val="0"/>
                <w:sz w:val="18"/>
                <w:szCs w:val="18"/>
                <w:lang w:eastAsia="es-CO"/>
              </w:rPr>
              <w:t>.</w:t>
            </w:r>
            <w:r w:rsidRPr="00E36931">
              <w:rPr>
                <w:rFonts w:ascii="Arial Narrow" w:hAnsi="Arial Narrow" w:cs="Calibri"/>
                <w:color w:val="000000"/>
                <w:spacing w:val="0"/>
                <w:sz w:val="18"/>
                <w:szCs w:val="18"/>
                <w:lang w:eastAsia="es-CO"/>
              </w:rPr>
              <w:t>361</w:t>
            </w:r>
            <w:r w:rsidR="00EA0452">
              <w:rPr>
                <w:rFonts w:ascii="Arial Narrow" w:hAnsi="Arial Narrow" w:cs="Calibri"/>
                <w:color w:val="000000"/>
                <w:spacing w:val="0"/>
                <w:sz w:val="18"/>
                <w:szCs w:val="18"/>
                <w:lang w:eastAsia="es-CO"/>
              </w:rPr>
              <w:t>.</w:t>
            </w:r>
            <w:r w:rsidRPr="00E36931">
              <w:rPr>
                <w:rFonts w:ascii="Arial Narrow" w:hAnsi="Arial Narrow" w:cs="Calibri"/>
                <w:color w:val="000000"/>
                <w:spacing w:val="0"/>
                <w:sz w:val="18"/>
                <w:szCs w:val="18"/>
                <w:lang w:eastAsia="es-CO"/>
              </w:rPr>
              <w:t xml:space="preserve">205 </w:t>
            </w:r>
          </w:p>
        </w:tc>
        <w:tc>
          <w:tcPr>
            <w:tcW w:w="1417" w:type="dxa"/>
            <w:tcBorders>
              <w:top w:val="nil"/>
              <w:left w:val="nil"/>
              <w:bottom w:val="single" w:sz="4" w:space="0" w:color="auto"/>
              <w:right w:val="single" w:sz="4" w:space="0" w:color="auto"/>
            </w:tcBorders>
            <w:shd w:val="clear" w:color="auto" w:fill="auto"/>
            <w:noWrap/>
            <w:vAlign w:val="center"/>
            <w:hideMark/>
          </w:tcPr>
          <w:p w14:paraId="5D25ACC7" w14:textId="77777777" w:rsidR="00E36931" w:rsidRPr="00E36931" w:rsidRDefault="00E36931" w:rsidP="00E36931">
            <w:pPr>
              <w:jc w:val="righ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 xml:space="preserve">                        - </w:t>
            </w:r>
          </w:p>
        </w:tc>
      </w:tr>
      <w:tr w:rsidR="00E36931" w:rsidRPr="00E36931" w14:paraId="5CA8C231" w14:textId="77777777" w:rsidTr="00E36931">
        <w:trPr>
          <w:trHeight w:val="290"/>
        </w:trPr>
        <w:tc>
          <w:tcPr>
            <w:tcW w:w="319" w:type="dxa"/>
            <w:tcBorders>
              <w:top w:val="nil"/>
              <w:left w:val="single" w:sz="4" w:space="0" w:color="auto"/>
              <w:bottom w:val="single" w:sz="4" w:space="0" w:color="auto"/>
              <w:right w:val="single" w:sz="4" w:space="0" w:color="auto"/>
            </w:tcBorders>
            <w:shd w:val="clear" w:color="auto" w:fill="auto"/>
            <w:noWrap/>
            <w:vAlign w:val="center"/>
            <w:hideMark/>
          </w:tcPr>
          <w:p w14:paraId="1950BF00" w14:textId="77777777" w:rsidR="00E36931" w:rsidRPr="00E36931" w:rsidRDefault="00E36931" w:rsidP="00E36931">
            <w:pPr>
              <w:jc w:val="center"/>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29</w:t>
            </w:r>
          </w:p>
        </w:tc>
        <w:tc>
          <w:tcPr>
            <w:tcW w:w="879" w:type="dxa"/>
            <w:tcBorders>
              <w:top w:val="nil"/>
              <w:left w:val="nil"/>
              <w:bottom w:val="single" w:sz="4" w:space="0" w:color="auto"/>
              <w:right w:val="single" w:sz="4" w:space="0" w:color="auto"/>
            </w:tcBorders>
            <w:shd w:val="clear" w:color="auto" w:fill="auto"/>
            <w:noWrap/>
            <w:vAlign w:val="center"/>
            <w:hideMark/>
          </w:tcPr>
          <w:p w14:paraId="49BC1055" w14:textId="77777777" w:rsidR="00E36931" w:rsidRPr="00E36931" w:rsidRDefault="00E36931" w:rsidP="00E36931">
            <w:pPr>
              <w:jc w:val="righ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900148768</w:t>
            </w:r>
          </w:p>
        </w:tc>
        <w:tc>
          <w:tcPr>
            <w:tcW w:w="5034" w:type="dxa"/>
            <w:tcBorders>
              <w:top w:val="nil"/>
              <w:left w:val="nil"/>
              <w:bottom w:val="single" w:sz="4" w:space="0" w:color="auto"/>
              <w:right w:val="single" w:sz="4" w:space="0" w:color="auto"/>
            </w:tcBorders>
            <w:shd w:val="clear" w:color="auto" w:fill="auto"/>
            <w:vAlign w:val="center"/>
            <w:hideMark/>
          </w:tcPr>
          <w:p w14:paraId="4ECB6299" w14:textId="77777777" w:rsidR="00E36931" w:rsidRPr="00E36931" w:rsidRDefault="00E36931" w:rsidP="00E36931">
            <w:pPr>
              <w:jc w:val="lef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ENERMAS SAS ESP</w:t>
            </w:r>
          </w:p>
        </w:tc>
        <w:tc>
          <w:tcPr>
            <w:tcW w:w="1418" w:type="dxa"/>
            <w:tcBorders>
              <w:top w:val="nil"/>
              <w:left w:val="nil"/>
              <w:bottom w:val="single" w:sz="4" w:space="0" w:color="auto"/>
              <w:right w:val="single" w:sz="4" w:space="0" w:color="auto"/>
            </w:tcBorders>
            <w:shd w:val="clear" w:color="auto" w:fill="auto"/>
            <w:noWrap/>
            <w:vAlign w:val="center"/>
            <w:hideMark/>
          </w:tcPr>
          <w:p w14:paraId="6B9259A0" w14:textId="431D1787" w:rsidR="00E36931" w:rsidRPr="00E36931" w:rsidRDefault="00E36931" w:rsidP="00E36931">
            <w:pPr>
              <w:jc w:val="righ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 xml:space="preserve">       291</w:t>
            </w:r>
            <w:r w:rsidR="00EA0452">
              <w:rPr>
                <w:rFonts w:ascii="Arial Narrow" w:hAnsi="Arial Narrow" w:cs="Calibri"/>
                <w:color w:val="000000"/>
                <w:spacing w:val="0"/>
                <w:sz w:val="18"/>
                <w:szCs w:val="18"/>
                <w:lang w:eastAsia="es-CO"/>
              </w:rPr>
              <w:t>.</w:t>
            </w:r>
            <w:r w:rsidRPr="00E36931">
              <w:rPr>
                <w:rFonts w:ascii="Arial Narrow" w:hAnsi="Arial Narrow" w:cs="Calibri"/>
                <w:color w:val="000000"/>
                <w:spacing w:val="0"/>
                <w:sz w:val="18"/>
                <w:szCs w:val="18"/>
                <w:lang w:eastAsia="es-CO"/>
              </w:rPr>
              <w:t>963</w:t>
            </w:r>
            <w:r w:rsidR="00EA0452">
              <w:rPr>
                <w:rFonts w:ascii="Arial Narrow" w:hAnsi="Arial Narrow" w:cs="Calibri"/>
                <w:color w:val="000000"/>
                <w:spacing w:val="0"/>
                <w:sz w:val="18"/>
                <w:szCs w:val="18"/>
                <w:lang w:eastAsia="es-CO"/>
              </w:rPr>
              <w:t>.</w:t>
            </w:r>
            <w:r w:rsidRPr="00E36931">
              <w:rPr>
                <w:rFonts w:ascii="Arial Narrow" w:hAnsi="Arial Narrow" w:cs="Calibri"/>
                <w:color w:val="000000"/>
                <w:spacing w:val="0"/>
                <w:sz w:val="18"/>
                <w:szCs w:val="18"/>
                <w:lang w:eastAsia="es-CO"/>
              </w:rPr>
              <w:t xml:space="preserve">220 </w:t>
            </w:r>
          </w:p>
        </w:tc>
        <w:tc>
          <w:tcPr>
            <w:tcW w:w="1417" w:type="dxa"/>
            <w:tcBorders>
              <w:top w:val="nil"/>
              <w:left w:val="nil"/>
              <w:bottom w:val="single" w:sz="4" w:space="0" w:color="auto"/>
              <w:right w:val="single" w:sz="4" w:space="0" w:color="auto"/>
            </w:tcBorders>
            <w:shd w:val="clear" w:color="auto" w:fill="auto"/>
            <w:noWrap/>
            <w:vAlign w:val="center"/>
            <w:hideMark/>
          </w:tcPr>
          <w:p w14:paraId="68854B5B" w14:textId="77777777" w:rsidR="00E36931" w:rsidRPr="00E36931" w:rsidRDefault="00E36931" w:rsidP="00E36931">
            <w:pPr>
              <w:jc w:val="righ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 xml:space="preserve">                        - </w:t>
            </w:r>
          </w:p>
        </w:tc>
      </w:tr>
      <w:tr w:rsidR="00E36931" w:rsidRPr="00E36931" w14:paraId="1A454EAF" w14:textId="77777777" w:rsidTr="00E36931">
        <w:trPr>
          <w:trHeight w:val="290"/>
        </w:trPr>
        <w:tc>
          <w:tcPr>
            <w:tcW w:w="319" w:type="dxa"/>
            <w:tcBorders>
              <w:top w:val="nil"/>
              <w:left w:val="single" w:sz="4" w:space="0" w:color="auto"/>
              <w:bottom w:val="single" w:sz="4" w:space="0" w:color="auto"/>
              <w:right w:val="single" w:sz="4" w:space="0" w:color="auto"/>
            </w:tcBorders>
            <w:shd w:val="clear" w:color="auto" w:fill="auto"/>
            <w:noWrap/>
            <w:vAlign w:val="center"/>
            <w:hideMark/>
          </w:tcPr>
          <w:p w14:paraId="512EAD5D" w14:textId="77777777" w:rsidR="00E36931" w:rsidRPr="00E36931" w:rsidRDefault="00E36931" w:rsidP="00E36931">
            <w:pPr>
              <w:jc w:val="center"/>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lastRenderedPageBreak/>
              <w:t>30</w:t>
            </w:r>
          </w:p>
        </w:tc>
        <w:tc>
          <w:tcPr>
            <w:tcW w:w="879" w:type="dxa"/>
            <w:tcBorders>
              <w:top w:val="nil"/>
              <w:left w:val="nil"/>
              <w:bottom w:val="single" w:sz="4" w:space="0" w:color="auto"/>
              <w:right w:val="single" w:sz="4" w:space="0" w:color="auto"/>
            </w:tcBorders>
            <w:shd w:val="clear" w:color="auto" w:fill="auto"/>
            <w:noWrap/>
            <w:vAlign w:val="center"/>
            <w:hideMark/>
          </w:tcPr>
          <w:p w14:paraId="06BDA147" w14:textId="77777777" w:rsidR="00E36931" w:rsidRPr="00E36931" w:rsidRDefault="00E36931" w:rsidP="00E36931">
            <w:pPr>
              <w:jc w:val="righ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900155624</w:t>
            </w:r>
          </w:p>
        </w:tc>
        <w:tc>
          <w:tcPr>
            <w:tcW w:w="5034" w:type="dxa"/>
            <w:tcBorders>
              <w:top w:val="nil"/>
              <w:left w:val="nil"/>
              <w:bottom w:val="single" w:sz="4" w:space="0" w:color="auto"/>
              <w:right w:val="single" w:sz="4" w:space="0" w:color="auto"/>
            </w:tcBorders>
            <w:shd w:val="clear" w:color="auto" w:fill="auto"/>
            <w:vAlign w:val="center"/>
            <w:hideMark/>
          </w:tcPr>
          <w:p w14:paraId="33E0E820" w14:textId="77777777" w:rsidR="00E36931" w:rsidRPr="00E36931" w:rsidRDefault="00E36931" w:rsidP="00E36931">
            <w:pPr>
              <w:jc w:val="lef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A&amp;A ENERGY SAS ESP</w:t>
            </w:r>
          </w:p>
        </w:tc>
        <w:tc>
          <w:tcPr>
            <w:tcW w:w="1418" w:type="dxa"/>
            <w:tcBorders>
              <w:top w:val="nil"/>
              <w:left w:val="nil"/>
              <w:bottom w:val="single" w:sz="4" w:space="0" w:color="auto"/>
              <w:right w:val="single" w:sz="4" w:space="0" w:color="auto"/>
            </w:tcBorders>
            <w:shd w:val="clear" w:color="auto" w:fill="auto"/>
            <w:noWrap/>
            <w:vAlign w:val="center"/>
            <w:hideMark/>
          </w:tcPr>
          <w:p w14:paraId="5635EA77" w14:textId="34C359DA" w:rsidR="00E36931" w:rsidRPr="00E36931" w:rsidRDefault="00E36931" w:rsidP="00E36931">
            <w:pPr>
              <w:jc w:val="righ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 xml:space="preserve">       221</w:t>
            </w:r>
            <w:r w:rsidR="00EA0452">
              <w:rPr>
                <w:rFonts w:ascii="Arial Narrow" w:hAnsi="Arial Narrow" w:cs="Calibri"/>
                <w:color w:val="000000"/>
                <w:spacing w:val="0"/>
                <w:sz w:val="18"/>
                <w:szCs w:val="18"/>
                <w:lang w:eastAsia="es-CO"/>
              </w:rPr>
              <w:t>.</w:t>
            </w:r>
            <w:r w:rsidRPr="00E36931">
              <w:rPr>
                <w:rFonts w:ascii="Arial Narrow" w:hAnsi="Arial Narrow" w:cs="Calibri"/>
                <w:color w:val="000000"/>
                <w:spacing w:val="0"/>
                <w:sz w:val="18"/>
                <w:szCs w:val="18"/>
                <w:lang w:eastAsia="es-CO"/>
              </w:rPr>
              <w:t>306</w:t>
            </w:r>
            <w:r w:rsidR="00EA0452">
              <w:rPr>
                <w:rFonts w:ascii="Arial Narrow" w:hAnsi="Arial Narrow" w:cs="Calibri"/>
                <w:color w:val="000000"/>
                <w:spacing w:val="0"/>
                <w:sz w:val="18"/>
                <w:szCs w:val="18"/>
                <w:lang w:eastAsia="es-CO"/>
              </w:rPr>
              <w:t>.</w:t>
            </w:r>
            <w:r w:rsidRPr="00E36931">
              <w:rPr>
                <w:rFonts w:ascii="Arial Narrow" w:hAnsi="Arial Narrow" w:cs="Calibri"/>
                <w:color w:val="000000"/>
                <w:spacing w:val="0"/>
                <w:sz w:val="18"/>
                <w:szCs w:val="18"/>
                <w:lang w:eastAsia="es-CO"/>
              </w:rPr>
              <w:t xml:space="preserve">864 </w:t>
            </w:r>
          </w:p>
        </w:tc>
        <w:tc>
          <w:tcPr>
            <w:tcW w:w="1417" w:type="dxa"/>
            <w:tcBorders>
              <w:top w:val="nil"/>
              <w:left w:val="nil"/>
              <w:bottom w:val="single" w:sz="4" w:space="0" w:color="auto"/>
              <w:right w:val="single" w:sz="4" w:space="0" w:color="auto"/>
            </w:tcBorders>
            <w:shd w:val="clear" w:color="auto" w:fill="auto"/>
            <w:noWrap/>
            <w:vAlign w:val="center"/>
            <w:hideMark/>
          </w:tcPr>
          <w:p w14:paraId="6D70C513" w14:textId="77777777" w:rsidR="00E36931" w:rsidRPr="00E36931" w:rsidRDefault="00E36931" w:rsidP="00E36931">
            <w:pPr>
              <w:jc w:val="righ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 xml:space="preserve">                        - </w:t>
            </w:r>
          </w:p>
        </w:tc>
      </w:tr>
      <w:tr w:rsidR="00E36931" w:rsidRPr="00E36931" w14:paraId="1792DF43" w14:textId="77777777" w:rsidTr="00E36931">
        <w:trPr>
          <w:trHeight w:val="230"/>
        </w:trPr>
        <w:tc>
          <w:tcPr>
            <w:tcW w:w="319" w:type="dxa"/>
            <w:tcBorders>
              <w:top w:val="nil"/>
              <w:left w:val="single" w:sz="4" w:space="0" w:color="auto"/>
              <w:bottom w:val="single" w:sz="4" w:space="0" w:color="auto"/>
              <w:right w:val="single" w:sz="4" w:space="0" w:color="auto"/>
            </w:tcBorders>
            <w:shd w:val="clear" w:color="auto" w:fill="auto"/>
            <w:noWrap/>
            <w:vAlign w:val="center"/>
            <w:hideMark/>
          </w:tcPr>
          <w:p w14:paraId="6FE84EE3" w14:textId="77777777" w:rsidR="00E36931" w:rsidRPr="00E36931" w:rsidRDefault="00E36931" w:rsidP="00E36931">
            <w:pPr>
              <w:jc w:val="center"/>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31</w:t>
            </w:r>
          </w:p>
        </w:tc>
        <w:tc>
          <w:tcPr>
            <w:tcW w:w="879" w:type="dxa"/>
            <w:tcBorders>
              <w:top w:val="nil"/>
              <w:left w:val="nil"/>
              <w:bottom w:val="single" w:sz="4" w:space="0" w:color="auto"/>
              <w:right w:val="single" w:sz="4" w:space="0" w:color="auto"/>
            </w:tcBorders>
            <w:shd w:val="clear" w:color="auto" w:fill="auto"/>
            <w:noWrap/>
            <w:vAlign w:val="center"/>
            <w:hideMark/>
          </w:tcPr>
          <w:p w14:paraId="3E2746F6" w14:textId="77777777" w:rsidR="00E36931" w:rsidRPr="00E36931" w:rsidRDefault="00E36931" w:rsidP="00E36931">
            <w:pPr>
              <w:jc w:val="righ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901175206</w:t>
            </w:r>
          </w:p>
        </w:tc>
        <w:tc>
          <w:tcPr>
            <w:tcW w:w="5034" w:type="dxa"/>
            <w:tcBorders>
              <w:top w:val="nil"/>
              <w:left w:val="nil"/>
              <w:bottom w:val="single" w:sz="4" w:space="0" w:color="auto"/>
              <w:right w:val="single" w:sz="4" w:space="0" w:color="auto"/>
            </w:tcBorders>
            <w:shd w:val="clear" w:color="auto" w:fill="auto"/>
            <w:vAlign w:val="center"/>
            <w:hideMark/>
          </w:tcPr>
          <w:p w14:paraId="03DA25CF" w14:textId="77777777" w:rsidR="00E36931" w:rsidRPr="00E36931" w:rsidRDefault="00E36931" w:rsidP="00E36931">
            <w:pPr>
              <w:jc w:val="lef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Empresa Privada de Servicios Públicos de la Amazonía ZOMAC SAS</w:t>
            </w:r>
          </w:p>
        </w:tc>
        <w:tc>
          <w:tcPr>
            <w:tcW w:w="1418" w:type="dxa"/>
            <w:tcBorders>
              <w:top w:val="nil"/>
              <w:left w:val="nil"/>
              <w:bottom w:val="single" w:sz="4" w:space="0" w:color="auto"/>
              <w:right w:val="single" w:sz="4" w:space="0" w:color="auto"/>
            </w:tcBorders>
            <w:shd w:val="clear" w:color="auto" w:fill="auto"/>
            <w:noWrap/>
            <w:vAlign w:val="center"/>
            <w:hideMark/>
          </w:tcPr>
          <w:p w14:paraId="62E932E4" w14:textId="46FB9901" w:rsidR="00E36931" w:rsidRPr="00E36931" w:rsidRDefault="00E36931" w:rsidP="00E36931">
            <w:pPr>
              <w:jc w:val="righ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 xml:space="preserve">       152</w:t>
            </w:r>
            <w:r w:rsidR="00EA0452">
              <w:rPr>
                <w:rFonts w:ascii="Arial Narrow" w:hAnsi="Arial Narrow" w:cs="Calibri"/>
                <w:color w:val="000000"/>
                <w:spacing w:val="0"/>
                <w:sz w:val="18"/>
                <w:szCs w:val="18"/>
                <w:lang w:eastAsia="es-CO"/>
              </w:rPr>
              <w:t>.</w:t>
            </w:r>
            <w:r w:rsidRPr="00E36931">
              <w:rPr>
                <w:rFonts w:ascii="Arial Narrow" w:hAnsi="Arial Narrow" w:cs="Calibri"/>
                <w:color w:val="000000"/>
                <w:spacing w:val="0"/>
                <w:sz w:val="18"/>
                <w:szCs w:val="18"/>
                <w:lang w:eastAsia="es-CO"/>
              </w:rPr>
              <w:t>870</w:t>
            </w:r>
            <w:r w:rsidR="00EA0452">
              <w:rPr>
                <w:rFonts w:ascii="Arial Narrow" w:hAnsi="Arial Narrow" w:cs="Calibri"/>
                <w:color w:val="000000"/>
                <w:spacing w:val="0"/>
                <w:sz w:val="18"/>
                <w:szCs w:val="18"/>
                <w:lang w:eastAsia="es-CO"/>
              </w:rPr>
              <w:t>.</w:t>
            </w:r>
            <w:r w:rsidRPr="00E36931">
              <w:rPr>
                <w:rFonts w:ascii="Arial Narrow" w:hAnsi="Arial Narrow" w:cs="Calibri"/>
                <w:color w:val="000000"/>
                <w:spacing w:val="0"/>
                <w:sz w:val="18"/>
                <w:szCs w:val="18"/>
                <w:lang w:eastAsia="es-CO"/>
              </w:rPr>
              <w:t xml:space="preserve">140 </w:t>
            </w:r>
          </w:p>
        </w:tc>
        <w:tc>
          <w:tcPr>
            <w:tcW w:w="1417" w:type="dxa"/>
            <w:tcBorders>
              <w:top w:val="nil"/>
              <w:left w:val="nil"/>
              <w:bottom w:val="single" w:sz="4" w:space="0" w:color="auto"/>
              <w:right w:val="single" w:sz="4" w:space="0" w:color="auto"/>
            </w:tcBorders>
            <w:shd w:val="clear" w:color="auto" w:fill="auto"/>
            <w:noWrap/>
            <w:vAlign w:val="center"/>
            <w:hideMark/>
          </w:tcPr>
          <w:p w14:paraId="2752339D" w14:textId="77777777" w:rsidR="00E36931" w:rsidRPr="00E36931" w:rsidRDefault="00E36931" w:rsidP="00E36931">
            <w:pPr>
              <w:jc w:val="righ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 xml:space="preserve">                        - </w:t>
            </w:r>
          </w:p>
        </w:tc>
      </w:tr>
      <w:tr w:rsidR="00E36931" w:rsidRPr="00E36931" w14:paraId="0937FBD8" w14:textId="77777777" w:rsidTr="00E36931">
        <w:trPr>
          <w:trHeight w:val="290"/>
        </w:trPr>
        <w:tc>
          <w:tcPr>
            <w:tcW w:w="319" w:type="dxa"/>
            <w:tcBorders>
              <w:top w:val="nil"/>
              <w:left w:val="single" w:sz="4" w:space="0" w:color="auto"/>
              <w:bottom w:val="single" w:sz="4" w:space="0" w:color="auto"/>
              <w:right w:val="single" w:sz="4" w:space="0" w:color="auto"/>
            </w:tcBorders>
            <w:shd w:val="clear" w:color="auto" w:fill="auto"/>
            <w:noWrap/>
            <w:vAlign w:val="center"/>
            <w:hideMark/>
          </w:tcPr>
          <w:p w14:paraId="788BBCEB" w14:textId="77777777" w:rsidR="00E36931" w:rsidRPr="00E36931" w:rsidRDefault="00E36931" w:rsidP="00E36931">
            <w:pPr>
              <w:jc w:val="center"/>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32</w:t>
            </w:r>
          </w:p>
        </w:tc>
        <w:tc>
          <w:tcPr>
            <w:tcW w:w="879" w:type="dxa"/>
            <w:tcBorders>
              <w:top w:val="nil"/>
              <w:left w:val="nil"/>
              <w:bottom w:val="single" w:sz="4" w:space="0" w:color="auto"/>
              <w:right w:val="single" w:sz="4" w:space="0" w:color="auto"/>
            </w:tcBorders>
            <w:shd w:val="clear" w:color="auto" w:fill="auto"/>
            <w:noWrap/>
            <w:vAlign w:val="center"/>
            <w:hideMark/>
          </w:tcPr>
          <w:p w14:paraId="23DB6A53" w14:textId="77777777" w:rsidR="00E36931" w:rsidRPr="00E36931" w:rsidRDefault="00E36931" w:rsidP="00E36931">
            <w:pPr>
              <w:jc w:val="righ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901296315</w:t>
            </w:r>
          </w:p>
        </w:tc>
        <w:tc>
          <w:tcPr>
            <w:tcW w:w="5034" w:type="dxa"/>
            <w:tcBorders>
              <w:top w:val="nil"/>
              <w:left w:val="nil"/>
              <w:bottom w:val="single" w:sz="4" w:space="0" w:color="auto"/>
              <w:right w:val="single" w:sz="4" w:space="0" w:color="auto"/>
            </w:tcBorders>
            <w:shd w:val="clear" w:color="auto" w:fill="auto"/>
            <w:vAlign w:val="center"/>
            <w:hideMark/>
          </w:tcPr>
          <w:p w14:paraId="338ABBCF" w14:textId="77777777" w:rsidR="00E36931" w:rsidRPr="00E36931" w:rsidRDefault="00E36931" w:rsidP="00E36931">
            <w:pPr>
              <w:jc w:val="lef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ELECTRIFICADORA ENTRE RIOS S.A.S</w:t>
            </w:r>
          </w:p>
        </w:tc>
        <w:tc>
          <w:tcPr>
            <w:tcW w:w="1418" w:type="dxa"/>
            <w:tcBorders>
              <w:top w:val="nil"/>
              <w:left w:val="nil"/>
              <w:bottom w:val="single" w:sz="4" w:space="0" w:color="auto"/>
              <w:right w:val="single" w:sz="4" w:space="0" w:color="auto"/>
            </w:tcBorders>
            <w:shd w:val="clear" w:color="auto" w:fill="auto"/>
            <w:noWrap/>
            <w:vAlign w:val="center"/>
            <w:hideMark/>
          </w:tcPr>
          <w:p w14:paraId="6C53BCE1" w14:textId="010589C8" w:rsidR="00E36931" w:rsidRPr="00E36931" w:rsidRDefault="00E36931" w:rsidP="00E36931">
            <w:pPr>
              <w:jc w:val="righ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 xml:space="preserve">         69</w:t>
            </w:r>
            <w:r w:rsidR="00EA0452">
              <w:rPr>
                <w:rFonts w:ascii="Arial Narrow" w:hAnsi="Arial Narrow" w:cs="Calibri"/>
                <w:color w:val="000000"/>
                <w:spacing w:val="0"/>
                <w:sz w:val="18"/>
                <w:szCs w:val="18"/>
                <w:lang w:eastAsia="es-CO"/>
              </w:rPr>
              <w:t>.</w:t>
            </w:r>
            <w:r w:rsidRPr="00E36931">
              <w:rPr>
                <w:rFonts w:ascii="Arial Narrow" w:hAnsi="Arial Narrow" w:cs="Calibri"/>
                <w:color w:val="000000"/>
                <w:spacing w:val="0"/>
                <w:sz w:val="18"/>
                <w:szCs w:val="18"/>
                <w:lang w:eastAsia="es-CO"/>
              </w:rPr>
              <w:t>807</w:t>
            </w:r>
            <w:r w:rsidR="00EA0452">
              <w:rPr>
                <w:rFonts w:ascii="Arial Narrow" w:hAnsi="Arial Narrow" w:cs="Calibri"/>
                <w:color w:val="000000"/>
                <w:spacing w:val="0"/>
                <w:sz w:val="18"/>
                <w:szCs w:val="18"/>
                <w:lang w:eastAsia="es-CO"/>
              </w:rPr>
              <w:t>.</w:t>
            </w:r>
            <w:r w:rsidRPr="00E36931">
              <w:rPr>
                <w:rFonts w:ascii="Arial Narrow" w:hAnsi="Arial Narrow" w:cs="Calibri"/>
                <w:color w:val="000000"/>
                <w:spacing w:val="0"/>
                <w:sz w:val="18"/>
                <w:szCs w:val="18"/>
                <w:lang w:eastAsia="es-CO"/>
              </w:rPr>
              <w:t xml:space="preserve">609 </w:t>
            </w:r>
          </w:p>
        </w:tc>
        <w:tc>
          <w:tcPr>
            <w:tcW w:w="1417" w:type="dxa"/>
            <w:tcBorders>
              <w:top w:val="nil"/>
              <w:left w:val="nil"/>
              <w:bottom w:val="single" w:sz="4" w:space="0" w:color="auto"/>
              <w:right w:val="single" w:sz="4" w:space="0" w:color="auto"/>
            </w:tcBorders>
            <w:shd w:val="clear" w:color="auto" w:fill="auto"/>
            <w:noWrap/>
            <w:vAlign w:val="center"/>
            <w:hideMark/>
          </w:tcPr>
          <w:p w14:paraId="6381E4EB" w14:textId="77777777" w:rsidR="00E36931" w:rsidRPr="00E36931" w:rsidRDefault="00E36931" w:rsidP="00E36931">
            <w:pPr>
              <w:jc w:val="righ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 xml:space="preserve">                        - </w:t>
            </w:r>
          </w:p>
        </w:tc>
      </w:tr>
      <w:tr w:rsidR="00E36931" w:rsidRPr="00E36931" w14:paraId="2899CCF3" w14:textId="77777777" w:rsidTr="00E36931">
        <w:trPr>
          <w:trHeight w:val="290"/>
        </w:trPr>
        <w:tc>
          <w:tcPr>
            <w:tcW w:w="319" w:type="dxa"/>
            <w:tcBorders>
              <w:top w:val="nil"/>
              <w:left w:val="single" w:sz="4" w:space="0" w:color="auto"/>
              <w:bottom w:val="single" w:sz="4" w:space="0" w:color="auto"/>
              <w:right w:val="single" w:sz="4" w:space="0" w:color="auto"/>
            </w:tcBorders>
            <w:shd w:val="clear" w:color="auto" w:fill="auto"/>
            <w:noWrap/>
            <w:vAlign w:val="center"/>
            <w:hideMark/>
          </w:tcPr>
          <w:p w14:paraId="43C5333C" w14:textId="77777777" w:rsidR="00E36931" w:rsidRPr="00E36931" w:rsidRDefault="00E36931" w:rsidP="00E36931">
            <w:pPr>
              <w:jc w:val="center"/>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33</w:t>
            </w:r>
          </w:p>
        </w:tc>
        <w:tc>
          <w:tcPr>
            <w:tcW w:w="879" w:type="dxa"/>
            <w:tcBorders>
              <w:top w:val="nil"/>
              <w:left w:val="nil"/>
              <w:bottom w:val="single" w:sz="4" w:space="0" w:color="auto"/>
              <w:right w:val="single" w:sz="4" w:space="0" w:color="auto"/>
            </w:tcBorders>
            <w:shd w:val="clear" w:color="auto" w:fill="auto"/>
            <w:noWrap/>
            <w:vAlign w:val="center"/>
            <w:hideMark/>
          </w:tcPr>
          <w:p w14:paraId="7F4B4D40" w14:textId="77777777" w:rsidR="00E36931" w:rsidRPr="00E36931" w:rsidRDefault="00E36931" w:rsidP="00E36931">
            <w:pPr>
              <w:jc w:val="righ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901288781</w:t>
            </w:r>
          </w:p>
        </w:tc>
        <w:tc>
          <w:tcPr>
            <w:tcW w:w="5034" w:type="dxa"/>
            <w:tcBorders>
              <w:top w:val="nil"/>
              <w:left w:val="nil"/>
              <w:bottom w:val="single" w:sz="4" w:space="0" w:color="auto"/>
              <w:right w:val="single" w:sz="4" w:space="0" w:color="auto"/>
            </w:tcBorders>
            <w:shd w:val="clear" w:color="auto" w:fill="auto"/>
            <w:vAlign w:val="center"/>
            <w:hideMark/>
          </w:tcPr>
          <w:p w14:paraId="06DF82E5" w14:textId="77777777" w:rsidR="00E36931" w:rsidRPr="00E36931" w:rsidRDefault="00E36931" w:rsidP="00E36931">
            <w:pPr>
              <w:jc w:val="lef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DEPI ENERGY S.A.S. E.S.P.</w:t>
            </w:r>
          </w:p>
        </w:tc>
        <w:tc>
          <w:tcPr>
            <w:tcW w:w="1418" w:type="dxa"/>
            <w:tcBorders>
              <w:top w:val="nil"/>
              <w:left w:val="nil"/>
              <w:bottom w:val="single" w:sz="4" w:space="0" w:color="auto"/>
              <w:right w:val="single" w:sz="4" w:space="0" w:color="auto"/>
            </w:tcBorders>
            <w:shd w:val="clear" w:color="auto" w:fill="auto"/>
            <w:noWrap/>
            <w:vAlign w:val="center"/>
            <w:hideMark/>
          </w:tcPr>
          <w:p w14:paraId="47AD3B5F" w14:textId="6705B4A3" w:rsidR="00E36931" w:rsidRPr="00E36931" w:rsidRDefault="00E36931" w:rsidP="00E36931">
            <w:pPr>
              <w:jc w:val="righ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 xml:space="preserve">       320</w:t>
            </w:r>
            <w:r w:rsidR="00EA0452">
              <w:rPr>
                <w:rFonts w:ascii="Arial Narrow" w:hAnsi="Arial Narrow" w:cs="Calibri"/>
                <w:color w:val="000000"/>
                <w:spacing w:val="0"/>
                <w:sz w:val="18"/>
                <w:szCs w:val="18"/>
                <w:lang w:eastAsia="es-CO"/>
              </w:rPr>
              <w:t>.</w:t>
            </w:r>
            <w:r w:rsidRPr="00E36931">
              <w:rPr>
                <w:rFonts w:ascii="Arial Narrow" w:hAnsi="Arial Narrow" w:cs="Calibri"/>
                <w:color w:val="000000"/>
                <w:spacing w:val="0"/>
                <w:sz w:val="18"/>
                <w:szCs w:val="18"/>
                <w:lang w:eastAsia="es-CO"/>
              </w:rPr>
              <w:t>647</w:t>
            </w:r>
            <w:r w:rsidR="00EA0452">
              <w:rPr>
                <w:rFonts w:ascii="Arial Narrow" w:hAnsi="Arial Narrow" w:cs="Calibri"/>
                <w:color w:val="000000"/>
                <w:spacing w:val="0"/>
                <w:sz w:val="18"/>
                <w:szCs w:val="18"/>
                <w:lang w:eastAsia="es-CO"/>
              </w:rPr>
              <w:t>.</w:t>
            </w:r>
            <w:r w:rsidRPr="00E36931">
              <w:rPr>
                <w:rFonts w:ascii="Arial Narrow" w:hAnsi="Arial Narrow" w:cs="Calibri"/>
                <w:color w:val="000000"/>
                <w:spacing w:val="0"/>
                <w:sz w:val="18"/>
                <w:szCs w:val="18"/>
                <w:lang w:eastAsia="es-CO"/>
              </w:rPr>
              <w:t xml:space="preserve">000 </w:t>
            </w:r>
          </w:p>
        </w:tc>
        <w:tc>
          <w:tcPr>
            <w:tcW w:w="1417" w:type="dxa"/>
            <w:tcBorders>
              <w:top w:val="nil"/>
              <w:left w:val="nil"/>
              <w:bottom w:val="single" w:sz="4" w:space="0" w:color="auto"/>
              <w:right w:val="single" w:sz="4" w:space="0" w:color="auto"/>
            </w:tcBorders>
            <w:shd w:val="clear" w:color="auto" w:fill="auto"/>
            <w:noWrap/>
            <w:vAlign w:val="center"/>
            <w:hideMark/>
          </w:tcPr>
          <w:p w14:paraId="5BCB7D7B" w14:textId="77777777" w:rsidR="00E36931" w:rsidRPr="00E36931" w:rsidRDefault="00E36931" w:rsidP="00E36931">
            <w:pPr>
              <w:jc w:val="righ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 xml:space="preserve">                        - </w:t>
            </w:r>
          </w:p>
        </w:tc>
      </w:tr>
      <w:tr w:rsidR="00E36931" w:rsidRPr="00E36931" w14:paraId="7D5AF6DC" w14:textId="77777777" w:rsidTr="00E36931">
        <w:trPr>
          <w:trHeight w:val="290"/>
        </w:trPr>
        <w:tc>
          <w:tcPr>
            <w:tcW w:w="319" w:type="dxa"/>
            <w:tcBorders>
              <w:top w:val="nil"/>
              <w:left w:val="single" w:sz="4" w:space="0" w:color="auto"/>
              <w:bottom w:val="single" w:sz="4" w:space="0" w:color="auto"/>
              <w:right w:val="single" w:sz="4" w:space="0" w:color="auto"/>
            </w:tcBorders>
            <w:shd w:val="clear" w:color="auto" w:fill="auto"/>
            <w:noWrap/>
            <w:vAlign w:val="center"/>
            <w:hideMark/>
          </w:tcPr>
          <w:p w14:paraId="2F584405" w14:textId="77777777" w:rsidR="00E36931" w:rsidRPr="00E36931" w:rsidRDefault="00E36931" w:rsidP="00E36931">
            <w:pPr>
              <w:jc w:val="center"/>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34</w:t>
            </w:r>
          </w:p>
        </w:tc>
        <w:tc>
          <w:tcPr>
            <w:tcW w:w="879" w:type="dxa"/>
            <w:tcBorders>
              <w:top w:val="nil"/>
              <w:left w:val="nil"/>
              <w:bottom w:val="single" w:sz="4" w:space="0" w:color="auto"/>
              <w:right w:val="single" w:sz="4" w:space="0" w:color="auto"/>
            </w:tcBorders>
            <w:shd w:val="clear" w:color="auto" w:fill="auto"/>
            <w:noWrap/>
            <w:vAlign w:val="center"/>
            <w:hideMark/>
          </w:tcPr>
          <w:p w14:paraId="68364111" w14:textId="77777777" w:rsidR="00E36931" w:rsidRPr="00E36931" w:rsidRDefault="00E36931" w:rsidP="00E36931">
            <w:pPr>
              <w:jc w:val="righ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900173892</w:t>
            </w:r>
          </w:p>
        </w:tc>
        <w:tc>
          <w:tcPr>
            <w:tcW w:w="5034" w:type="dxa"/>
            <w:tcBorders>
              <w:top w:val="nil"/>
              <w:left w:val="nil"/>
              <w:bottom w:val="single" w:sz="4" w:space="0" w:color="auto"/>
              <w:right w:val="single" w:sz="4" w:space="0" w:color="auto"/>
            </w:tcBorders>
            <w:shd w:val="clear" w:color="auto" w:fill="auto"/>
            <w:vAlign w:val="center"/>
            <w:hideMark/>
          </w:tcPr>
          <w:p w14:paraId="046B0D6F" w14:textId="77777777" w:rsidR="00E36931" w:rsidRPr="00E36931" w:rsidRDefault="00E36931" w:rsidP="00E36931">
            <w:pPr>
              <w:jc w:val="lef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UTGC SAS ESP</w:t>
            </w:r>
          </w:p>
        </w:tc>
        <w:tc>
          <w:tcPr>
            <w:tcW w:w="1418" w:type="dxa"/>
            <w:tcBorders>
              <w:top w:val="nil"/>
              <w:left w:val="nil"/>
              <w:bottom w:val="single" w:sz="4" w:space="0" w:color="auto"/>
              <w:right w:val="single" w:sz="4" w:space="0" w:color="auto"/>
            </w:tcBorders>
            <w:shd w:val="clear" w:color="auto" w:fill="auto"/>
            <w:noWrap/>
            <w:vAlign w:val="center"/>
            <w:hideMark/>
          </w:tcPr>
          <w:p w14:paraId="19EF1027" w14:textId="6A9B0F0B" w:rsidR="00E36931" w:rsidRPr="00E36931" w:rsidRDefault="00E36931" w:rsidP="00E36931">
            <w:pPr>
              <w:jc w:val="righ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 xml:space="preserve">         63</w:t>
            </w:r>
            <w:r w:rsidR="00EA0452">
              <w:rPr>
                <w:rFonts w:ascii="Arial Narrow" w:hAnsi="Arial Narrow" w:cs="Calibri"/>
                <w:color w:val="000000"/>
                <w:spacing w:val="0"/>
                <w:sz w:val="18"/>
                <w:szCs w:val="18"/>
                <w:lang w:eastAsia="es-CO"/>
              </w:rPr>
              <w:t>.</w:t>
            </w:r>
            <w:r w:rsidRPr="00E36931">
              <w:rPr>
                <w:rFonts w:ascii="Arial Narrow" w:hAnsi="Arial Narrow" w:cs="Calibri"/>
                <w:color w:val="000000"/>
                <w:spacing w:val="0"/>
                <w:sz w:val="18"/>
                <w:szCs w:val="18"/>
                <w:lang w:eastAsia="es-CO"/>
              </w:rPr>
              <w:t>169</w:t>
            </w:r>
            <w:r w:rsidR="00EA0452">
              <w:rPr>
                <w:rFonts w:ascii="Arial Narrow" w:hAnsi="Arial Narrow" w:cs="Calibri"/>
                <w:color w:val="000000"/>
                <w:spacing w:val="0"/>
                <w:sz w:val="18"/>
                <w:szCs w:val="18"/>
                <w:lang w:eastAsia="es-CO"/>
              </w:rPr>
              <w:t>.</w:t>
            </w:r>
            <w:r w:rsidRPr="00E36931">
              <w:rPr>
                <w:rFonts w:ascii="Arial Narrow" w:hAnsi="Arial Narrow" w:cs="Calibri"/>
                <w:color w:val="000000"/>
                <w:spacing w:val="0"/>
                <w:sz w:val="18"/>
                <w:szCs w:val="18"/>
                <w:lang w:eastAsia="es-CO"/>
              </w:rPr>
              <w:t xml:space="preserve">536 </w:t>
            </w:r>
          </w:p>
        </w:tc>
        <w:tc>
          <w:tcPr>
            <w:tcW w:w="1417" w:type="dxa"/>
            <w:tcBorders>
              <w:top w:val="nil"/>
              <w:left w:val="nil"/>
              <w:bottom w:val="single" w:sz="4" w:space="0" w:color="auto"/>
              <w:right w:val="single" w:sz="4" w:space="0" w:color="auto"/>
            </w:tcBorders>
            <w:shd w:val="clear" w:color="auto" w:fill="auto"/>
            <w:noWrap/>
            <w:vAlign w:val="center"/>
            <w:hideMark/>
          </w:tcPr>
          <w:p w14:paraId="034B5DD2" w14:textId="77777777" w:rsidR="00E36931" w:rsidRPr="00E36931" w:rsidRDefault="00E36931" w:rsidP="00E36931">
            <w:pPr>
              <w:jc w:val="righ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 xml:space="preserve">                        - </w:t>
            </w:r>
          </w:p>
        </w:tc>
      </w:tr>
      <w:tr w:rsidR="00E36931" w:rsidRPr="00E36931" w14:paraId="1A30515D" w14:textId="77777777" w:rsidTr="00E36931">
        <w:trPr>
          <w:trHeight w:val="290"/>
        </w:trPr>
        <w:tc>
          <w:tcPr>
            <w:tcW w:w="319" w:type="dxa"/>
            <w:tcBorders>
              <w:top w:val="nil"/>
              <w:left w:val="single" w:sz="4" w:space="0" w:color="auto"/>
              <w:bottom w:val="single" w:sz="4" w:space="0" w:color="auto"/>
              <w:right w:val="single" w:sz="4" w:space="0" w:color="auto"/>
            </w:tcBorders>
            <w:shd w:val="clear" w:color="auto" w:fill="auto"/>
            <w:noWrap/>
            <w:vAlign w:val="center"/>
            <w:hideMark/>
          </w:tcPr>
          <w:p w14:paraId="25BD5142" w14:textId="77777777" w:rsidR="00E36931" w:rsidRPr="00E36931" w:rsidRDefault="00E36931" w:rsidP="00E36931">
            <w:pPr>
              <w:jc w:val="center"/>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35</w:t>
            </w:r>
          </w:p>
        </w:tc>
        <w:tc>
          <w:tcPr>
            <w:tcW w:w="879" w:type="dxa"/>
            <w:tcBorders>
              <w:top w:val="nil"/>
              <w:left w:val="nil"/>
              <w:bottom w:val="single" w:sz="4" w:space="0" w:color="auto"/>
              <w:right w:val="single" w:sz="4" w:space="0" w:color="auto"/>
            </w:tcBorders>
            <w:shd w:val="clear" w:color="auto" w:fill="auto"/>
            <w:noWrap/>
            <w:vAlign w:val="center"/>
            <w:hideMark/>
          </w:tcPr>
          <w:p w14:paraId="6AE31AC7" w14:textId="77777777" w:rsidR="00E36931" w:rsidRPr="00E36931" w:rsidRDefault="00E36931" w:rsidP="00E36931">
            <w:pPr>
              <w:jc w:val="righ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901315859</w:t>
            </w:r>
          </w:p>
        </w:tc>
        <w:tc>
          <w:tcPr>
            <w:tcW w:w="5034" w:type="dxa"/>
            <w:tcBorders>
              <w:top w:val="nil"/>
              <w:left w:val="nil"/>
              <w:bottom w:val="single" w:sz="4" w:space="0" w:color="auto"/>
              <w:right w:val="single" w:sz="4" w:space="0" w:color="auto"/>
            </w:tcBorders>
            <w:shd w:val="clear" w:color="auto" w:fill="auto"/>
            <w:vAlign w:val="center"/>
            <w:hideMark/>
          </w:tcPr>
          <w:p w14:paraId="25874146" w14:textId="77777777" w:rsidR="00E36931" w:rsidRPr="00E36931" w:rsidRDefault="00E36931" w:rsidP="00E36931">
            <w:pPr>
              <w:jc w:val="lef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HIDROCARBUROS TRIPLE A SAS ESP</w:t>
            </w:r>
          </w:p>
        </w:tc>
        <w:tc>
          <w:tcPr>
            <w:tcW w:w="1418" w:type="dxa"/>
            <w:tcBorders>
              <w:top w:val="nil"/>
              <w:left w:val="nil"/>
              <w:bottom w:val="single" w:sz="4" w:space="0" w:color="auto"/>
              <w:right w:val="single" w:sz="4" w:space="0" w:color="auto"/>
            </w:tcBorders>
            <w:shd w:val="clear" w:color="auto" w:fill="auto"/>
            <w:noWrap/>
            <w:vAlign w:val="center"/>
            <w:hideMark/>
          </w:tcPr>
          <w:p w14:paraId="50DFF35E" w14:textId="765EBEED" w:rsidR="00E36931" w:rsidRPr="00E36931" w:rsidRDefault="00E36931" w:rsidP="00E36931">
            <w:pPr>
              <w:jc w:val="righ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 xml:space="preserve">       133</w:t>
            </w:r>
            <w:r w:rsidR="00EA0452">
              <w:rPr>
                <w:rFonts w:ascii="Arial Narrow" w:hAnsi="Arial Narrow" w:cs="Calibri"/>
                <w:color w:val="000000"/>
                <w:spacing w:val="0"/>
                <w:sz w:val="18"/>
                <w:szCs w:val="18"/>
                <w:lang w:eastAsia="es-CO"/>
              </w:rPr>
              <w:t>.</w:t>
            </w:r>
            <w:r w:rsidRPr="00E36931">
              <w:rPr>
                <w:rFonts w:ascii="Arial Narrow" w:hAnsi="Arial Narrow" w:cs="Calibri"/>
                <w:color w:val="000000"/>
                <w:spacing w:val="0"/>
                <w:sz w:val="18"/>
                <w:szCs w:val="18"/>
                <w:lang w:eastAsia="es-CO"/>
              </w:rPr>
              <w:t>647</w:t>
            </w:r>
            <w:r w:rsidR="00EA0452">
              <w:rPr>
                <w:rFonts w:ascii="Arial Narrow" w:hAnsi="Arial Narrow" w:cs="Calibri"/>
                <w:color w:val="000000"/>
                <w:spacing w:val="0"/>
                <w:sz w:val="18"/>
                <w:szCs w:val="18"/>
                <w:lang w:eastAsia="es-CO"/>
              </w:rPr>
              <w:t>.</w:t>
            </w:r>
            <w:r w:rsidRPr="00E36931">
              <w:rPr>
                <w:rFonts w:ascii="Arial Narrow" w:hAnsi="Arial Narrow" w:cs="Calibri"/>
                <w:color w:val="000000"/>
                <w:spacing w:val="0"/>
                <w:sz w:val="18"/>
                <w:szCs w:val="18"/>
                <w:lang w:eastAsia="es-CO"/>
              </w:rPr>
              <w:t xml:space="preserve">161 </w:t>
            </w:r>
          </w:p>
        </w:tc>
        <w:tc>
          <w:tcPr>
            <w:tcW w:w="1417" w:type="dxa"/>
            <w:tcBorders>
              <w:top w:val="nil"/>
              <w:left w:val="nil"/>
              <w:bottom w:val="single" w:sz="4" w:space="0" w:color="auto"/>
              <w:right w:val="single" w:sz="4" w:space="0" w:color="auto"/>
            </w:tcBorders>
            <w:shd w:val="clear" w:color="auto" w:fill="auto"/>
            <w:noWrap/>
            <w:vAlign w:val="center"/>
            <w:hideMark/>
          </w:tcPr>
          <w:p w14:paraId="3A884E4A" w14:textId="77777777" w:rsidR="00E36931" w:rsidRPr="00E36931" w:rsidRDefault="00E36931" w:rsidP="00E36931">
            <w:pPr>
              <w:jc w:val="righ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 xml:space="preserve">                        - </w:t>
            </w:r>
          </w:p>
        </w:tc>
      </w:tr>
      <w:tr w:rsidR="00E36931" w:rsidRPr="00E36931" w14:paraId="639FD63E" w14:textId="77777777" w:rsidTr="00E36931">
        <w:trPr>
          <w:trHeight w:val="290"/>
        </w:trPr>
        <w:tc>
          <w:tcPr>
            <w:tcW w:w="319" w:type="dxa"/>
            <w:tcBorders>
              <w:top w:val="nil"/>
              <w:left w:val="single" w:sz="4" w:space="0" w:color="auto"/>
              <w:bottom w:val="single" w:sz="4" w:space="0" w:color="auto"/>
              <w:right w:val="single" w:sz="4" w:space="0" w:color="auto"/>
            </w:tcBorders>
            <w:shd w:val="clear" w:color="auto" w:fill="auto"/>
            <w:noWrap/>
            <w:vAlign w:val="center"/>
            <w:hideMark/>
          </w:tcPr>
          <w:p w14:paraId="4AAE2684" w14:textId="77777777" w:rsidR="00E36931" w:rsidRPr="00E36931" w:rsidRDefault="00E36931" w:rsidP="00E36931">
            <w:pPr>
              <w:jc w:val="center"/>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36</w:t>
            </w:r>
          </w:p>
        </w:tc>
        <w:tc>
          <w:tcPr>
            <w:tcW w:w="879" w:type="dxa"/>
            <w:tcBorders>
              <w:top w:val="nil"/>
              <w:left w:val="nil"/>
              <w:bottom w:val="single" w:sz="4" w:space="0" w:color="auto"/>
              <w:right w:val="single" w:sz="4" w:space="0" w:color="auto"/>
            </w:tcBorders>
            <w:shd w:val="clear" w:color="auto" w:fill="auto"/>
            <w:noWrap/>
            <w:vAlign w:val="center"/>
            <w:hideMark/>
          </w:tcPr>
          <w:p w14:paraId="1608659B" w14:textId="77777777" w:rsidR="00E36931" w:rsidRPr="00E36931" w:rsidRDefault="00E36931" w:rsidP="00E36931">
            <w:pPr>
              <w:jc w:val="righ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901380949</w:t>
            </w:r>
          </w:p>
        </w:tc>
        <w:tc>
          <w:tcPr>
            <w:tcW w:w="5034" w:type="dxa"/>
            <w:tcBorders>
              <w:top w:val="nil"/>
              <w:left w:val="nil"/>
              <w:bottom w:val="single" w:sz="4" w:space="0" w:color="auto"/>
              <w:right w:val="single" w:sz="4" w:space="0" w:color="auto"/>
            </w:tcBorders>
            <w:shd w:val="clear" w:color="auto" w:fill="auto"/>
            <w:vAlign w:val="center"/>
            <w:hideMark/>
          </w:tcPr>
          <w:p w14:paraId="5B2EA201" w14:textId="77777777" w:rsidR="00E36931" w:rsidRPr="00E36931" w:rsidRDefault="00E36931" w:rsidP="00E36931">
            <w:pPr>
              <w:jc w:val="lef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CARIBEMAR DE LA COSTA S.A.S. E.S.P.</w:t>
            </w:r>
          </w:p>
        </w:tc>
        <w:tc>
          <w:tcPr>
            <w:tcW w:w="1418" w:type="dxa"/>
            <w:tcBorders>
              <w:top w:val="nil"/>
              <w:left w:val="nil"/>
              <w:bottom w:val="single" w:sz="4" w:space="0" w:color="auto"/>
              <w:right w:val="single" w:sz="4" w:space="0" w:color="auto"/>
            </w:tcBorders>
            <w:shd w:val="clear" w:color="auto" w:fill="auto"/>
            <w:noWrap/>
            <w:vAlign w:val="center"/>
            <w:hideMark/>
          </w:tcPr>
          <w:p w14:paraId="2709F122" w14:textId="2B4BC29C" w:rsidR="00E36931" w:rsidRPr="00E36931" w:rsidRDefault="00E36931" w:rsidP="00E36931">
            <w:pPr>
              <w:jc w:val="righ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 xml:space="preserve">    9</w:t>
            </w:r>
            <w:r w:rsidR="00EA0452">
              <w:rPr>
                <w:rFonts w:ascii="Arial Narrow" w:hAnsi="Arial Narrow" w:cs="Calibri"/>
                <w:color w:val="000000"/>
                <w:spacing w:val="0"/>
                <w:sz w:val="18"/>
                <w:szCs w:val="18"/>
                <w:lang w:eastAsia="es-CO"/>
              </w:rPr>
              <w:t>.</w:t>
            </w:r>
            <w:r w:rsidRPr="00E36931">
              <w:rPr>
                <w:rFonts w:ascii="Arial Narrow" w:hAnsi="Arial Narrow" w:cs="Calibri"/>
                <w:color w:val="000000"/>
                <w:spacing w:val="0"/>
                <w:sz w:val="18"/>
                <w:szCs w:val="18"/>
                <w:lang w:eastAsia="es-CO"/>
              </w:rPr>
              <w:t>128</w:t>
            </w:r>
            <w:r w:rsidR="00EA0452">
              <w:rPr>
                <w:rFonts w:ascii="Arial Narrow" w:hAnsi="Arial Narrow" w:cs="Calibri"/>
                <w:color w:val="000000"/>
                <w:spacing w:val="0"/>
                <w:sz w:val="18"/>
                <w:szCs w:val="18"/>
                <w:lang w:eastAsia="es-CO"/>
              </w:rPr>
              <w:t>.</w:t>
            </w:r>
            <w:r w:rsidRPr="00E36931">
              <w:rPr>
                <w:rFonts w:ascii="Arial Narrow" w:hAnsi="Arial Narrow" w:cs="Calibri"/>
                <w:color w:val="000000"/>
                <w:spacing w:val="0"/>
                <w:sz w:val="18"/>
                <w:szCs w:val="18"/>
                <w:lang w:eastAsia="es-CO"/>
              </w:rPr>
              <w:t>042</w:t>
            </w:r>
            <w:r w:rsidR="00EA0452">
              <w:rPr>
                <w:rFonts w:ascii="Arial Narrow" w:hAnsi="Arial Narrow" w:cs="Calibri"/>
                <w:color w:val="000000"/>
                <w:spacing w:val="0"/>
                <w:sz w:val="18"/>
                <w:szCs w:val="18"/>
                <w:lang w:eastAsia="es-CO"/>
              </w:rPr>
              <w:t>.</w:t>
            </w:r>
            <w:r w:rsidRPr="00E36931">
              <w:rPr>
                <w:rFonts w:ascii="Arial Narrow" w:hAnsi="Arial Narrow" w:cs="Calibri"/>
                <w:color w:val="000000"/>
                <w:spacing w:val="0"/>
                <w:sz w:val="18"/>
                <w:szCs w:val="18"/>
                <w:lang w:eastAsia="es-CO"/>
              </w:rPr>
              <w:t xml:space="preserve">427 </w:t>
            </w:r>
          </w:p>
        </w:tc>
        <w:tc>
          <w:tcPr>
            <w:tcW w:w="1417" w:type="dxa"/>
            <w:tcBorders>
              <w:top w:val="nil"/>
              <w:left w:val="nil"/>
              <w:bottom w:val="single" w:sz="4" w:space="0" w:color="auto"/>
              <w:right w:val="single" w:sz="4" w:space="0" w:color="auto"/>
            </w:tcBorders>
            <w:shd w:val="clear" w:color="auto" w:fill="auto"/>
            <w:noWrap/>
            <w:vAlign w:val="center"/>
            <w:hideMark/>
          </w:tcPr>
          <w:p w14:paraId="437466FD" w14:textId="77777777" w:rsidR="00E36931" w:rsidRPr="00E36931" w:rsidRDefault="00E36931" w:rsidP="00E36931">
            <w:pPr>
              <w:jc w:val="righ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 xml:space="preserve">                        - </w:t>
            </w:r>
          </w:p>
        </w:tc>
      </w:tr>
      <w:tr w:rsidR="00E36931" w:rsidRPr="00E36931" w14:paraId="12778D44" w14:textId="77777777" w:rsidTr="00E36931">
        <w:trPr>
          <w:trHeight w:val="290"/>
        </w:trPr>
        <w:tc>
          <w:tcPr>
            <w:tcW w:w="319" w:type="dxa"/>
            <w:tcBorders>
              <w:top w:val="nil"/>
              <w:left w:val="single" w:sz="4" w:space="0" w:color="auto"/>
              <w:bottom w:val="single" w:sz="4" w:space="0" w:color="auto"/>
              <w:right w:val="single" w:sz="4" w:space="0" w:color="auto"/>
            </w:tcBorders>
            <w:shd w:val="clear" w:color="auto" w:fill="auto"/>
            <w:noWrap/>
            <w:vAlign w:val="center"/>
            <w:hideMark/>
          </w:tcPr>
          <w:p w14:paraId="05EAFCAB" w14:textId="77777777" w:rsidR="00E36931" w:rsidRPr="00E36931" w:rsidRDefault="00E36931" w:rsidP="00E36931">
            <w:pPr>
              <w:jc w:val="center"/>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37</w:t>
            </w:r>
          </w:p>
        </w:tc>
        <w:tc>
          <w:tcPr>
            <w:tcW w:w="879" w:type="dxa"/>
            <w:tcBorders>
              <w:top w:val="nil"/>
              <w:left w:val="nil"/>
              <w:bottom w:val="single" w:sz="4" w:space="0" w:color="auto"/>
              <w:right w:val="single" w:sz="4" w:space="0" w:color="auto"/>
            </w:tcBorders>
            <w:shd w:val="clear" w:color="auto" w:fill="auto"/>
            <w:noWrap/>
            <w:vAlign w:val="center"/>
            <w:hideMark/>
          </w:tcPr>
          <w:p w14:paraId="22EBCE11" w14:textId="77777777" w:rsidR="00E36931" w:rsidRPr="00E36931" w:rsidRDefault="00E36931" w:rsidP="00E36931">
            <w:pPr>
              <w:jc w:val="righ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901380930</w:t>
            </w:r>
          </w:p>
        </w:tc>
        <w:tc>
          <w:tcPr>
            <w:tcW w:w="5034" w:type="dxa"/>
            <w:tcBorders>
              <w:top w:val="nil"/>
              <w:left w:val="nil"/>
              <w:bottom w:val="single" w:sz="4" w:space="0" w:color="auto"/>
              <w:right w:val="single" w:sz="4" w:space="0" w:color="auto"/>
            </w:tcBorders>
            <w:shd w:val="clear" w:color="auto" w:fill="auto"/>
            <w:vAlign w:val="center"/>
            <w:hideMark/>
          </w:tcPr>
          <w:p w14:paraId="4B4D2084" w14:textId="77777777" w:rsidR="00E36931" w:rsidRPr="00E36931" w:rsidRDefault="00E36931" w:rsidP="00E36931">
            <w:pPr>
              <w:jc w:val="lef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AIR-E S.A.S. E.S.P.</w:t>
            </w:r>
          </w:p>
        </w:tc>
        <w:tc>
          <w:tcPr>
            <w:tcW w:w="1418" w:type="dxa"/>
            <w:tcBorders>
              <w:top w:val="nil"/>
              <w:left w:val="nil"/>
              <w:bottom w:val="single" w:sz="4" w:space="0" w:color="auto"/>
              <w:right w:val="single" w:sz="4" w:space="0" w:color="auto"/>
            </w:tcBorders>
            <w:shd w:val="clear" w:color="auto" w:fill="auto"/>
            <w:noWrap/>
            <w:vAlign w:val="center"/>
            <w:hideMark/>
          </w:tcPr>
          <w:p w14:paraId="68E54696" w14:textId="313CA1B8" w:rsidR="00E36931" w:rsidRPr="00E36931" w:rsidRDefault="00E36931" w:rsidP="00E36931">
            <w:pPr>
              <w:jc w:val="righ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 xml:space="preserve">  17</w:t>
            </w:r>
            <w:r w:rsidR="00EA0452">
              <w:rPr>
                <w:rFonts w:ascii="Arial Narrow" w:hAnsi="Arial Narrow" w:cs="Calibri"/>
                <w:color w:val="000000"/>
                <w:spacing w:val="0"/>
                <w:sz w:val="18"/>
                <w:szCs w:val="18"/>
                <w:lang w:eastAsia="es-CO"/>
              </w:rPr>
              <w:t>.</w:t>
            </w:r>
            <w:r w:rsidRPr="00E36931">
              <w:rPr>
                <w:rFonts w:ascii="Arial Narrow" w:hAnsi="Arial Narrow" w:cs="Calibri"/>
                <w:color w:val="000000"/>
                <w:spacing w:val="0"/>
                <w:sz w:val="18"/>
                <w:szCs w:val="18"/>
                <w:lang w:eastAsia="es-CO"/>
              </w:rPr>
              <w:t>139</w:t>
            </w:r>
            <w:r w:rsidR="00EA0452">
              <w:rPr>
                <w:rFonts w:ascii="Arial Narrow" w:hAnsi="Arial Narrow" w:cs="Calibri"/>
                <w:color w:val="000000"/>
                <w:spacing w:val="0"/>
                <w:sz w:val="18"/>
                <w:szCs w:val="18"/>
                <w:lang w:eastAsia="es-CO"/>
              </w:rPr>
              <w:t>.</w:t>
            </w:r>
            <w:r w:rsidRPr="00E36931">
              <w:rPr>
                <w:rFonts w:ascii="Arial Narrow" w:hAnsi="Arial Narrow" w:cs="Calibri"/>
                <w:color w:val="000000"/>
                <w:spacing w:val="0"/>
                <w:sz w:val="18"/>
                <w:szCs w:val="18"/>
                <w:lang w:eastAsia="es-CO"/>
              </w:rPr>
              <w:t>538</w:t>
            </w:r>
            <w:r w:rsidR="00EA0452">
              <w:rPr>
                <w:rFonts w:ascii="Arial Narrow" w:hAnsi="Arial Narrow" w:cs="Calibri"/>
                <w:color w:val="000000"/>
                <w:spacing w:val="0"/>
                <w:sz w:val="18"/>
                <w:szCs w:val="18"/>
                <w:lang w:eastAsia="es-CO"/>
              </w:rPr>
              <w:t>.</w:t>
            </w:r>
            <w:r w:rsidRPr="00E36931">
              <w:rPr>
                <w:rFonts w:ascii="Arial Narrow" w:hAnsi="Arial Narrow" w:cs="Calibri"/>
                <w:color w:val="000000"/>
                <w:spacing w:val="0"/>
                <w:sz w:val="18"/>
                <w:szCs w:val="18"/>
                <w:lang w:eastAsia="es-CO"/>
              </w:rPr>
              <w:t xml:space="preserve">816 </w:t>
            </w:r>
          </w:p>
        </w:tc>
        <w:tc>
          <w:tcPr>
            <w:tcW w:w="1417" w:type="dxa"/>
            <w:tcBorders>
              <w:top w:val="nil"/>
              <w:left w:val="nil"/>
              <w:bottom w:val="single" w:sz="4" w:space="0" w:color="auto"/>
              <w:right w:val="single" w:sz="4" w:space="0" w:color="auto"/>
            </w:tcBorders>
            <w:shd w:val="clear" w:color="auto" w:fill="auto"/>
            <w:noWrap/>
            <w:vAlign w:val="center"/>
            <w:hideMark/>
          </w:tcPr>
          <w:p w14:paraId="3ED1D224" w14:textId="77777777" w:rsidR="00E36931" w:rsidRPr="00E36931" w:rsidRDefault="00E36931" w:rsidP="00E36931">
            <w:pPr>
              <w:jc w:val="righ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 xml:space="preserve">                        - </w:t>
            </w:r>
          </w:p>
        </w:tc>
      </w:tr>
      <w:tr w:rsidR="00E36931" w:rsidRPr="00E36931" w14:paraId="6188E027" w14:textId="77777777" w:rsidTr="00E36931">
        <w:trPr>
          <w:trHeight w:val="290"/>
        </w:trPr>
        <w:tc>
          <w:tcPr>
            <w:tcW w:w="319" w:type="dxa"/>
            <w:tcBorders>
              <w:top w:val="nil"/>
              <w:left w:val="single" w:sz="4" w:space="0" w:color="auto"/>
              <w:bottom w:val="single" w:sz="4" w:space="0" w:color="auto"/>
              <w:right w:val="single" w:sz="4" w:space="0" w:color="auto"/>
            </w:tcBorders>
            <w:shd w:val="clear" w:color="auto" w:fill="auto"/>
            <w:noWrap/>
            <w:vAlign w:val="center"/>
            <w:hideMark/>
          </w:tcPr>
          <w:p w14:paraId="0F73298C" w14:textId="77777777" w:rsidR="00E36931" w:rsidRPr="00E36931" w:rsidRDefault="00E36931" w:rsidP="00E36931">
            <w:pPr>
              <w:jc w:val="center"/>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38</w:t>
            </w:r>
          </w:p>
        </w:tc>
        <w:tc>
          <w:tcPr>
            <w:tcW w:w="879" w:type="dxa"/>
            <w:tcBorders>
              <w:top w:val="nil"/>
              <w:left w:val="nil"/>
              <w:bottom w:val="single" w:sz="4" w:space="0" w:color="auto"/>
              <w:right w:val="single" w:sz="4" w:space="0" w:color="auto"/>
            </w:tcBorders>
            <w:shd w:val="clear" w:color="auto" w:fill="auto"/>
            <w:noWrap/>
            <w:vAlign w:val="center"/>
            <w:hideMark/>
          </w:tcPr>
          <w:p w14:paraId="500D8A0B" w14:textId="77777777" w:rsidR="00E36931" w:rsidRPr="00E36931" w:rsidRDefault="00E36931" w:rsidP="00E36931">
            <w:pPr>
              <w:jc w:val="righ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901105119</w:t>
            </w:r>
          </w:p>
        </w:tc>
        <w:tc>
          <w:tcPr>
            <w:tcW w:w="5034" w:type="dxa"/>
            <w:tcBorders>
              <w:top w:val="nil"/>
              <w:left w:val="nil"/>
              <w:bottom w:val="single" w:sz="4" w:space="0" w:color="auto"/>
              <w:right w:val="single" w:sz="4" w:space="0" w:color="auto"/>
            </w:tcBorders>
            <w:shd w:val="clear" w:color="auto" w:fill="auto"/>
            <w:vAlign w:val="center"/>
            <w:hideMark/>
          </w:tcPr>
          <w:p w14:paraId="3275ABF4" w14:textId="77777777" w:rsidR="00E36931" w:rsidRPr="00E36931" w:rsidRDefault="00E36931" w:rsidP="00E36931">
            <w:pPr>
              <w:jc w:val="lef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DUTMY S.A. Sucursal Colombia</w:t>
            </w:r>
          </w:p>
        </w:tc>
        <w:tc>
          <w:tcPr>
            <w:tcW w:w="1418" w:type="dxa"/>
            <w:tcBorders>
              <w:top w:val="nil"/>
              <w:left w:val="nil"/>
              <w:bottom w:val="single" w:sz="4" w:space="0" w:color="auto"/>
              <w:right w:val="single" w:sz="4" w:space="0" w:color="auto"/>
            </w:tcBorders>
            <w:shd w:val="clear" w:color="auto" w:fill="auto"/>
            <w:noWrap/>
            <w:vAlign w:val="center"/>
            <w:hideMark/>
          </w:tcPr>
          <w:p w14:paraId="67526EF4" w14:textId="21610E1D" w:rsidR="00E36931" w:rsidRPr="00E36931" w:rsidRDefault="00E36931" w:rsidP="00E36931">
            <w:pPr>
              <w:jc w:val="righ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 xml:space="preserve">    3</w:t>
            </w:r>
            <w:r w:rsidR="00EA0452">
              <w:rPr>
                <w:rFonts w:ascii="Arial Narrow" w:hAnsi="Arial Narrow" w:cs="Calibri"/>
                <w:color w:val="000000"/>
                <w:spacing w:val="0"/>
                <w:sz w:val="18"/>
                <w:szCs w:val="18"/>
                <w:lang w:eastAsia="es-CO"/>
              </w:rPr>
              <w:t>.</w:t>
            </w:r>
            <w:r w:rsidRPr="00E36931">
              <w:rPr>
                <w:rFonts w:ascii="Arial Narrow" w:hAnsi="Arial Narrow" w:cs="Calibri"/>
                <w:color w:val="000000"/>
                <w:spacing w:val="0"/>
                <w:sz w:val="18"/>
                <w:szCs w:val="18"/>
                <w:lang w:eastAsia="es-CO"/>
              </w:rPr>
              <w:t>625</w:t>
            </w:r>
            <w:r w:rsidR="00EA0452">
              <w:rPr>
                <w:rFonts w:ascii="Arial Narrow" w:hAnsi="Arial Narrow" w:cs="Calibri"/>
                <w:color w:val="000000"/>
                <w:spacing w:val="0"/>
                <w:sz w:val="18"/>
                <w:szCs w:val="18"/>
                <w:lang w:eastAsia="es-CO"/>
              </w:rPr>
              <w:t>.</w:t>
            </w:r>
            <w:r w:rsidRPr="00E36931">
              <w:rPr>
                <w:rFonts w:ascii="Arial Narrow" w:hAnsi="Arial Narrow" w:cs="Calibri"/>
                <w:color w:val="000000"/>
                <w:spacing w:val="0"/>
                <w:sz w:val="18"/>
                <w:szCs w:val="18"/>
                <w:lang w:eastAsia="es-CO"/>
              </w:rPr>
              <w:t>463</w:t>
            </w:r>
            <w:r w:rsidR="00EA0452">
              <w:rPr>
                <w:rFonts w:ascii="Arial Narrow" w:hAnsi="Arial Narrow" w:cs="Calibri"/>
                <w:color w:val="000000"/>
                <w:spacing w:val="0"/>
                <w:sz w:val="18"/>
                <w:szCs w:val="18"/>
                <w:lang w:eastAsia="es-CO"/>
              </w:rPr>
              <w:t>.</w:t>
            </w:r>
            <w:r w:rsidRPr="00E36931">
              <w:rPr>
                <w:rFonts w:ascii="Arial Narrow" w:hAnsi="Arial Narrow" w:cs="Calibri"/>
                <w:color w:val="000000"/>
                <w:spacing w:val="0"/>
                <w:sz w:val="18"/>
                <w:szCs w:val="18"/>
                <w:lang w:eastAsia="es-CO"/>
              </w:rPr>
              <w:t xml:space="preserve">326 </w:t>
            </w:r>
          </w:p>
        </w:tc>
        <w:tc>
          <w:tcPr>
            <w:tcW w:w="1417" w:type="dxa"/>
            <w:tcBorders>
              <w:top w:val="nil"/>
              <w:left w:val="nil"/>
              <w:bottom w:val="single" w:sz="4" w:space="0" w:color="auto"/>
              <w:right w:val="single" w:sz="4" w:space="0" w:color="auto"/>
            </w:tcBorders>
            <w:shd w:val="clear" w:color="auto" w:fill="auto"/>
            <w:noWrap/>
            <w:vAlign w:val="center"/>
            <w:hideMark/>
          </w:tcPr>
          <w:p w14:paraId="60777323" w14:textId="77777777" w:rsidR="00E36931" w:rsidRPr="00E36931" w:rsidRDefault="00E36931" w:rsidP="00E36931">
            <w:pPr>
              <w:jc w:val="right"/>
              <w:rPr>
                <w:rFonts w:ascii="Arial Narrow" w:hAnsi="Arial Narrow" w:cs="Calibri"/>
                <w:color w:val="000000"/>
                <w:spacing w:val="0"/>
                <w:sz w:val="18"/>
                <w:szCs w:val="18"/>
                <w:lang w:eastAsia="es-CO"/>
              </w:rPr>
            </w:pPr>
            <w:r w:rsidRPr="00E36931">
              <w:rPr>
                <w:rFonts w:ascii="Arial Narrow" w:hAnsi="Arial Narrow" w:cs="Calibri"/>
                <w:color w:val="000000"/>
                <w:spacing w:val="0"/>
                <w:sz w:val="18"/>
                <w:szCs w:val="18"/>
                <w:lang w:eastAsia="es-CO"/>
              </w:rPr>
              <w:t xml:space="preserve">                        - </w:t>
            </w:r>
          </w:p>
        </w:tc>
      </w:tr>
    </w:tbl>
    <w:p w14:paraId="0DE261A1" w14:textId="05D489A2" w:rsidR="00E36931" w:rsidRDefault="00E36931" w:rsidP="00C00BAD">
      <w:pPr>
        <w:rPr>
          <w:rFonts w:cs="Arial"/>
          <w:b/>
          <w:color w:val="FF0000"/>
          <w:sz w:val="22"/>
          <w:szCs w:val="22"/>
          <w:lang w:val="es-MX"/>
        </w:rPr>
      </w:pPr>
    </w:p>
    <w:p w14:paraId="1B77F2CA" w14:textId="7226BD8E" w:rsidR="00DE0554" w:rsidRPr="0085721C" w:rsidRDefault="006B0990" w:rsidP="0085721C">
      <w:pPr>
        <w:pStyle w:val="Subttulo"/>
        <w:numPr>
          <w:ilvl w:val="1"/>
          <w:numId w:val="37"/>
        </w:numPr>
        <w:spacing w:after="0"/>
        <w:ind w:left="357" w:hanging="357"/>
        <w:jc w:val="left"/>
        <w:rPr>
          <w:b/>
          <w:bCs/>
          <w:sz w:val="22"/>
          <w:szCs w:val="22"/>
        </w:rPr>
      </w:pPr>
      <w:bookmarkStart w:id="51" w:name="_Toc88126855"/>
      <w:r w:rsidRPr="0085721C">
        <w:rPr>
          <w:b/>
          <w:bCs/>
          <w:sz w:val="22"/>
          <w:szCs w:val="22"/>
        </w:rPr>
        <w:t>EMPRESAS QUE NO REPORTARON</w:t>
      </w:r>
      <w:r w:rsidR="00FC5D26" w:rsidRPr="0085721C">
        <w:rPr>
          <w:b/>
          <w:bCs/>
          <w:sz w:val="22"/>
          <w:szCs w:val="22"/>
        </w:rPr>
        <w:t xml:space="preserve"> </w:t>
      </w:r>
      <w:r w:rsidRPr="0085721C">
        <w:rPr>
          <w:b/>
          <w:bCs/>
          <w:sz w:val="22"/>
          <w:szCs w:val="22"/>
        </w:rPr>
        <w:t xml:space="preserve">EN EL SISTEMA SUI INFORMACION AL CIERRE DE DICIEMBRE 31 DE LOS AÑOS </w:t>
      </w:r>
      <w:r w:rsidR="00A70D76">
        <w:rPr>
          <w:b/>
          <w:bCs/>
          <w:sz w:val="22"/>
          <w:szCs w:val="22"/>
        </w:rPr>
        <w:t>2018, 2</w:t>
      </w:r>
      <w:r w:rsidRPr="0085721C">
        <w:rPr>
          <w:b/>
          <w:bCs/>
          <w:sz w:val="22"/>
          <w:szCs w:val="22"/>
        </w:rPr>
        <w:t>01</w:t>
      </w:r>
      <w:r w:rsidR="00713D04">
        <w:rPr>
          <w:b/>
          <w:bCs/>
          <w:sz w:val="22"/>
          <w:szCs w:val="22"/>
        </w:rPr>
        <w:t>9</w:t>
      </w:r>
      <w:r w:rsidRPr="0085721C">
        <w:rPr>
          <w:b/>
          <w:bCs/>
          <w:sz w:val="22"/>
          <w:szCs w:val="22"/>
        </w:rPr>
        <w:t xml:space="preserve"> Y 20</w:t>
      </w:r>
      <w:r w:rsidR="00713D04">
        <w:rPr>
          <w:b/>
          <w:bCs/>
          <w:sz w:val="22"/>
          <w:szCs w:val="22"/>
        </w:rPr>
        <w:t>20</w:t>
      </w:r>
      <w:r w:rsidRPr="0085721C">
        <w:rPr>
          <w:b/>
          <w:bCs/>
          <w:sz w:val="22"/>
          <w:szCs w:val="22"/>
        </w:rPr>
        <w:t xml:space="preserve"> Y QUE ESTAN RELACIONADAS COMO INSCRITAS EN LA RESOLUCIÓN CENSO DE LA SSPD:</w:t>
      </w:r>
      <w:bookmarkEnd w:id="51"/>
    </w:p>
    <w:p w14:paraId="0B6C7723" w14:textId="77777777" w:rsidR="0085721C" w:rsidRDefault="0085721C" w:rsidP="00354792">
      <w:pPr>
        <w:rPr>
          <w:rFonts w:cs="Arial"/>
          <w:sz w:val="22"/>
          <w:szCs w:val="22"/>
          <w:lang w:val="es-MX"/>
        </w:rPr>
      </w:pPr>
    </w:p>
    <w:p w14:paraId="63A9F3CA" w14:textId="56FA7394" w:rsidR="00DE0554" w:rsidRDefault="0094369A" w:rsidP="00354792">
      <w:pPr>
        <w:rPr>
          <w:rFonts w:cs="Arial"/>
          <w:sz w:val="22"/>
          <w:szCs w:val="22"/>
          <w:lang w:val="es-MX"/>
        </w:rPr>
      </w:pPr>
      <w:r>
        <w:rPr>
          <w:rFonts w:cs="Arial"/>
          <w:sz w:val="22"/>
          <w:szCs w:val="22"/>
          <w:lang w:val="es-MX"/>
        </w:rPr>
        <w:t xml:space="preserve">Conforme al censo efectuado por la SSPD a través de su </w:t>
      </w:r>
      <w:r w:rsidR="00E36931" w:rsidRPr="00E36931">
        <w:rPr>
          <w:rFonts w:cs="Arial"/>
          <w:sz w:val="22"/>
          <w:szCs w:val="22"/>
          <w:lang w:val="es-MX"/>
        </w:rPr>
        <w:t xml:space="preserve">Resolución N° 20211000206585 del 03 de junio de 2021, </w:t>
      </w:r>
      <w:r w:rsidR="00E36931" w:rsidRPr="00E36931">
        <w:rPr>
          <w:rFonts w:cs="Arial"/>
          <w:i/>
          <w:iCs/>
          <w:sz w:val="22"/>
          <w:szCs w:val="22"/>
          <w:lang w:val="es-MX"/>
        </w:rPr>
        <w:t>“Por la cual se establece el número de prestadores que servirá como base para liquidar la contribución especial para el año 2021 y la contribución adicional para el fortalecimiento del Fondo Empresarial”</w:t>
      </w:r>
      <w:r w:rsidR="00354792">
        <w:rPr>
          <w:rFonts w:cs="Arial"/>
          <w:sz w:val="22"/>
          <w:szCs w:val="22"/>
          <w:lang w:val="es-MX"/>
        </w:rPr>
        <w:t xml:space="preserve">, </w:t>
      </w:r>
      <w:r w:rsidR="00E36931">
        <w:rPr>
          <w:rFonts w:cs="Arial"/>
          <w:sz w:val="22"/>
          <w:szCs w:val="22"/>
          <w:lang w:val="es-MX"/>
        </w:rPr>
        <w:t xml:space="preserve">resolución </w:t>
      </w:r>
      <w:r w:rsidR="00354792">
        <w:rPr>
          <w:rFonts w:cs="Arial"/>
          <w:sz w:val="22"/>
          <w:szCs w:val="22"/>
          <w:lang w:val="es-MX"/>
        </w:rPr>
        <w:t>censo que sirvió de base</w:t>
      </w:r>
      <w:r w:rsidR="002743D8" w:rsidRPr="002743D8">
        <w:rPr>
          <w:rFonts w:cs="Arial"/>
          <w:sz w:val="22"/>
          <w:szCs w:val="22"/>
          <w:lang w:val="es-MX"/>
        </w:rPr>
        <w:t xml:space="preserve"> para</w:t>
      </w:r>
      <w:r>
        <w:rPr>
          <w:rFonts w:cs="Arial"/>
          <w:sz w:val="22"/>
          <w:szCs w:val="22"/>
          <w:lang w:val="es-MX"/>
        </w:rPr>
        <w:t xml:space="preserve"> la CREG</w:t>
      </w:r>
      <w:r w:rsidR="002743D8" w:rsidRPr="002743D8">
        <w:rPr>
          <w:rFonts w:cs="Arial"/>
          <w:sz w:val="22"/>
          <w:szCs w:val="22"/>
          <w:lang w:val="es-MX"/>
        </w:rPr>
        <w:t xml:space="preserve"> realizar el cálculo de la tarifa de la Contribución Especial 20</w:t>
      </w:r>
      <w:r w:rsidR="00E36931">
        <w:rPr>
          <w:rFonts w:cs="Arial"/>
          <w:sz w:val="22"/>
          <w:szCs w:val="22"/>
          <w:lang w:val="es-MX"/>
        </w:rPr>
        <w:t>21</w:t>
      </w:r>
      <w:r w:rsidR="008E3E02">
        <w:rPr>
          <w:rFonts w:cs="Arial"/>
          <w:sz w:val="22"/>
          <w:szCs w:val="22"/>
          <w:lang w:val="es-MX"/>
        </w:rPr>
        <w:t xml:space="preserve">, encontrando que las siguientes </w:t>
      </w:r>
      <w:r w:rsidR="00641D44">
        <w:rPr>
          <w:rFonts w:cs="Arial"/>
          <w:sz w:val="22"/>
          <w:szCs w:val="22"/>
          <w:lang w:val="es-MX"/>
        </w:rPr>
        <w:t>53</w:t>
      </w:r>
      <w:r w:rsidR="008E3E02">
        <w:rPr>
          <w:rFonts w:cs="Arial"/>
          <w:sz w:val="22"/>
          <w:szCs w:val="22"/>
          <w:lang w:val="es-MX"/>
        </w:rPr>
        <w:t xml:space="preserve"> e</w:t>
      </w:r>
      <w:r w:rsidR="00354792" w:rsidRPr="00354792">
        <w:rPr>
          <w:rFonts w:cs="Arial"/>
          <w:sz w:val="22"/>
          <w:szCs w:val="22"/>
          <w:lang w:val="es-MX"/>
        </w:rPr>
        <w:t xml:space="preserve">mpresas </w:t>
      </w:r>
      <w:r>
        <w:rPr>
          <w:rFonts w:cs="Arial"/>
          <w:sz w:val="22"/>
          <w:szCs w:val="22"/>
          <w:lang w:val="es-MX"/>
        </w:rPr>
        <w:t>del ámbito de regulación de</w:t>
      </w:r>
      <w:r w:rsidR="00684767">
        <w:rPr>
          <w:rFonts w:cs="Arial"/>
          <w:sz w:val="22"/>
          <w:szCs w:val="22"/>
          <w:lang w:val="es-MX"/>
        </w:rPr>
        <w:t xml:space="preserve"> la CREG</w:t>
      </w:r>
      <w:r w:rsidR="008E3E02">
        <w:rPr>
          <w:rFonts w:cs="Arial"/>
          <w:sz w:val="22"/>
          <w:szCs w:val="22"/>
          <w:lang w:val="es-MX"/>
        </w:rPr>
        <w:t xml:space="preserve">, </w:t>
      </w:r>
      <w:r w:rsidR="00354792" w:rsidRPr="00354792">
        <w:rPr>
          <w:rFonts w:cs="Arial"/>
          <w:sz w:val="22"/>
          <w:szCs w:val="22"/>
          <w:lang w:val="es-MX"/>
        </w:rPr>
        <w:t xml:space="preserve">no reportaron </w:t>
      </w:r>
      <w:r>
        <w:rPr>
          <w:rFonts w:cs="Arial"/>
          <w:sz w:val="22"/>
          <w:szCs w:val="22"/>
          <w:lang w:val="es-MX"/>
        </w:rPr>
        <w:t xml:space="preserve">en el SUI con corte </w:t>
      </w:r>
      <w:r w:rsidR="006E119B">
        <w:rPr>
          <w:rFonts w:cs="Arial"/>
          <w:sz w:val="22"/>
          <w:szCs w:val="22"/>
          <w:lang w:val="es-MX"/>
        </w:rPr>
        <w:t xml:space="preserve">al </w:t>
      </w:r>
      <w:r w:rsidR="00E36931">
        <w:rPr>
          <w:rFonts w:cs="Arial"/>
          <w:sz w:val="22"/>
          <w:szCs w:val="22"/>
          <w:lang w:val="es-MX"/>
        </w:rPr>
        <w:t>21</w:t>
      </w:r>
      <w:r w:rsidR="006E119B">
        <w:rPr>
          <w:rFonts w:cs="Arial"/>
          <w:sz w:val="22"/>
          <w:szCs w:val="22"/>
          <w:lang w:val="es-MX"/>
        </w:rPr>
        <w:t xml:space="preserve"> de </w:t>
      </w:r>
      <w:r w:rsidR="00E36931">
        <w:rPr>
          <w:rFonts w:cs="Arial"/>
          <w:sz w:val="22"/>
          <w:szCs w:val="22"/>
          <w:lang w:val="es-MX"/>
        </w:rPr>
        <w:t>septiembre</w:t>
      </w:r>
      <w:r w:rsidR="006E119B">
        <w:rPr>
          <w:rFonts w:cs="Arial"/>
          <w:sz w:val="22"/>
          <w:szCs w:val="22"/>
          <w:lang w:val="es-MX"/>
        </w:rPr>
        <w:t xml:space="preserve"> </w:t>
      </w:r>
      <w:r w:rsidR="00A00222">
        <w:rPr>
          <w:rFonts w:cs="Arial"/>
          <w:sz w:val="22"/>
          <w:szCs w:val="22"/>
          <w:lang w:val="es-MX"/>
        </w:rPr>
        <w:t xml:space="preserve">(toma oficial de información por parte de la CREG), </w:t>
      </w:r>
      <w:r w:rsidR="006E119B">
        <w:rPr>
          <w:rFonts w:cs="Arial"/>
          <w:sz w:val="22"/>
          <w:szCs w:val="22"/>
          <w:lang w:val="es-MX"/>
        </w:rPr>
        <w:t xml:space="preserve">del presente año </w:t>
      </w:r>
      <w:r w:rsidR="00354792" w:rsidRPr="00354792">
        <w:rPr>
          <w:rFonts w:cs="Arial"/>
          <w:sz w:val="22"/>
          <w:szCs w:val="22"/>
          <w:lang w:val="es-MX"/>
        </w:rPr>
        <w:t>información de los esta</w:t>
      </w:r>
      <w:r>
        <w:rPr>
          <w:rFonts w:cs="Arial"/>
          <w:sz w:val="22"/>
          <w:szCs w:val="22"/>
          <w:lang w:val="es-MX"/>
        </w:rPr>
        <w:t>dos financieros del 20</w:t>
      </w:r>
      <w:r w:rsidR="00E36931">
        <w:rPr>
          <w:rFonts w:cs="Arial"/>
          <w:sz w:val="22"/>
          <w:szCs w:val="22"/>
          <w:lang w:val="es-MX"/>
        </w:rPr>
        <w:t>20</w:t>
      </w:r>
      <w:r>
        <w:rPr>
          <w:rFonts w:cs="Arial"/>
          <w:sz w:val="22"/>
          <w:szCs w:val="22"/>
          <w:lang w:val="es-MX"/>
        </w:rPr>
        <w:t>, relacionadas a continuación</w:t>
      </w:r>
      <w:r w:rsidR="008E3E02">
        <w:rPr>
          <w:rFonts w:cs="Arial"/>
          <w:sz w:val="22"/>
          <w:szCs w:val="22"/>
          <w:lang w:val="es-MX"/>
        </w:rPr>
        <w:t>:</w:t>
      </w:r>
    </w:p>
    <w:p w14:paraId="292C2F1A" w14:textId="1F17C58D" w:rsidR="00117702" w:rsidRDefault="00117702" w:rsidP="00354792">
      <w:pPr>
        <w:rPr>
          <w:rFonts w:cs="Arial"/>
          <w:sz w:val="22"/>
          <w:szCs w:val="22"/>
          <w:lang w:val="es-MX"/>
        </w:rPr>
      </w:pPr>
    </w:p>
    <w:tbl>
      <w:tblPr>
        <w:tblW w:w="8642" w:type="dxa"/>
        <w:tblCellMar>
          <w:left w:w="70" w:type="dxa"/>
          <w:right w:w="70" w:type="dxa"/>
        </w:tblCellMar>
        <w:tblLook w:val="04A0" w:firstRow="1" w:lastRow="0" w:firstColumn="1" w:lastColumn="0" w:noHBand="0" w:noVBand="1"/>
      </w:tblPr>
      <w:tblGrid>
        <w:gridCol w:w="320"/>
        <w:gridCol w:w="879"/>
        <w:gridCol w:w="5702"/>
        <w:gridCol w:w="891"/>
        <w:gridCol w:w="850"/>
      </w:tblGrid>
      <w:tr w:rsidR="00117702" w:rsidRPr="00C23C88" w14:paraId="285A3A37" w14:textId="77777777" w:rsidTr="00C23C88">
        <w:trPr>
          <w:trHeight w:val="290"/>
          <w:tblHeader/>
        </w:trPr>
        <w:tc>
          <w:tcPr>
            <w:tcW w:w="320" w:type="dxa"/>
            <w:tcBorders>
              <w:top w:val="single" w:sz="4" w:space="0" w:color="auto"/>
              <w:left w:val="single" w:sz="4" w:space="0" w:color="auto"/>
              <w:bottom w:val="single" w:sz="4" w:space="0" w:color="auto"/>
              <w:right w:val="single" w:sz="4" w:space="0" w:color="auto"/>
            </w:tcBorders>
            <w:shd w:val="clear" w:color="6D9EEB" w:fill="F2F2F2"/>
            <w:vAlign w:val="center"/>
            <w:hideMark/>
          </w:tcPr>
          <w:p w14:paraId="3DB8BC88" w14:textId="77777777" w:rsidR="00117702" w:rsidRPr="00117702" w:rsidRDefault="00117702" w:rsidP="00117702">
            <w:pPr>
              <w:jc w:val="center"/>
              <w:rPr>
                <w:rFonts w:ascii="Arial Narrow" w:hAnsi="Arial Narrow" w:cs="Arial"/>
                <w:b/>
                <w:bCs/>
                <w:spacing w:val="0"/>
                <w:sz w:val="16"/>
                <w:szCs w:val="16"/>
                <w:lang w:eastAsia="es-CO"/>
              </w:rPr>
            </w:pPr>
            <w:r w:rsidRPr="00117702">
              <w:rPr>
                <w:rFonts w:ascii="Arial Narrow" w:hAnsi="Arial Narrow" w:cs="Arial"/>
                <w:b/>
                <w:bCs/>
                <w:spacing w:val="0"/>
                <w:sz w:val="16"/>
                <w:szCs w:val="16"/>
                <w:lang w:eastAsia="es-CO"/>
              </w:rPr>
              <w:t>N°</w:t>
            </w:r>
          </w:p>
        </w:tc>
        <w:tc>
          <w:tcPr>
            <w:tcW w:w="879" w:type="dxa"/>
            <w:tcBorders>
              <w:top w:val="single" w:sz="4" w:space="0" w:color="auto"/>
              <w:left w:val="nil"/>
              <w:bottom w:val="single" w:sz="4" w:space="0" w:color="auto"/>
              <w:right w:val="single" w:sz="4" w:space="0" w:color="auto"/>
            </w:tcBorders>
            <w:shd w:val="clear" w:color="6D9EEB" w:fill="F2F2F2"/>
            <w:vAlign w:val="center"/>
            <w:hideMark/>
          </w:tcPr>
          <w:p w14:paraId="732585F8" w14:textId="77777777" w:rsidR="00117702" w:rsidRPr="00117702" w:rsidRDefault="00117702" w:rsidP="00117702">
            <w:pPr>
              <w:jc w:val="center"/>
              <w:rPr>
                <w:rFonts w:ascii="Arial Narrow" w:hAnsi="Arial Narrow" w:cs="Arial"/>
                <w:b/>
                <w:bCs/>
                <w:spacing w:val="0"/>
                <w:sz w:val="16"/>
                <w:szCs w:val="16"/>
                <w:lang w:eastAsia="es-CO"/>
              </w:rPr>
            </w:pPr>
            <w:r w:rsidRPr="00117702">
              <w:rPr>
                <w:rFonts w:ascii="Arial Narrow" w:hAnsi="Arial Narrow" w:cs="Arial"/>
                <w:b/>
                <w:bCs/>
                <w:spacing w:val="0"/>
                <w:sz w:val="16"/>
                <w:szCs w:val="16"/>
                <w:lang w:eastAsia="es-CO"/>
              </w:rPr>
              <w:t>NIT</w:t>
            </w:r>
          </w:p>
        </w:tc>
        <w:tc>
          <w:tcPr>
            <w:tcW w:w="5742" w:type="dxa"/>
            <w:tcBorders>
              <w:top w:val="single" w:sz="4" w:space="0" w:color="auto"/>
              <w:left w:val="nil"/>
              <w:bottom w:val="single" w:sz="4" w:space="0" w:color="auto"/>
              <w:right w:val="single" w:sz="4" w:space="0" w:color="auto"/>
            </w:tcBorders>
            <w:shd w:val="clear" w:color="6D9EEB" w:fill="F2F2F2"/>
            <w:vAlign w:val="center"/>
            <w:hideMark/>
          </w:tcPr>
          <w:p w14:paraId="01916FC3" w14:textId="77777777" w:rsidR="00117702" w:rsidRPr="00117702" w:rsidRDefault="00117702" w:rsidP="00117702">
            <w:pPr>
              <w:jc w:val="center"/>
              <w:rPr>
                <w:rFonts w:ascii="Arial Narrow" w:hAnsi="Arial Narrow" w:cs="Arial"/>
                <w:b/>
                <w:bCs/>
                <w:spacing w:val="0"/>
                <w:sz w:val="16"/>
                <w:szCs w:val="16"/>
                <w:lang w:eastAsia="es-CO"/>
              </w:rPr>
            </w:pPr>
            <w:r w:rsidRPr="00117702">
              <w:rPr>
                <w:rFonts w:ascii="Arial Narrow" w:hAnsi="Arial Narrow" w:cs="Arial"/>
                <w:b/>
                <w:bCs/>
                <w:spacing w:val="0"/>
                <w:sz w:val="16"/>
                <w:szCs w:val="16"/>
                <w:lang w:eastAsia="es-CO"/>
              </w:rPr>
              <w:t>RAZÓN SOCIAL DEL REGULADO</w:t>
            </w:r>
          </w:p>
        </w:tc>
        <w:tc>
          <w:tcPr>
            <w:tcW w:w="851" w:type="dxa"/>
            <w:tcBorders>
              <w:top w:val="single" w:sz="4" w:space="0" w:color="auto"/>
              <w:left w:val="nil"/>
              <w:bottom w:val="single" w:sz="4" w:space="0" w:color="auto"/>
              <w:right w:val="single" w:sz="4" w:space="0" w:color="auto"/>
            </w:tcBorders>
            <w:shd w:val="clear" w:color="6D9EEB" w:fill="F2F2F2"/>
            <w:vAlign w:val="center"/>
            <w:hideMark/>
          </w:tcPr>
          <w:p w14:paraId="43793846" w14:textId="77777777" w:rsidR="00117702" w:rsidRPr="00117702" w:rsidRDefault="00117702" w:rsidP="00117702">
            <w:pPr>
              <w:jc w:val="center"/>
              <w:rPr>
                <w:rFonts w:ascii="Arial Narrow" w:hAnsi="Arial Narrow" w:cs="Arial"/>
                <w:b/>
                <w:bCs/>
                <w:spacing w:val="0"/>
                <w:sz w:val="16"/>
                <w:szCs w:val="16"/>
                <w:lang w:eastAsia="es-CO"/>
              </w:rPr>
            </w:pPr>
            <w:r w:rsidRPr="00117702">
              <w:rPr>
                <w:rFonts w:ascii="Arial Narrow" w:hAnsi="Arial Narrow" w:cs="Arial"/>
                <w:b/>
                <w:bCs/>
                <w:spacing w:val="0"/>
                <w:sz w:val="16"/>
                <w:szCs w:val="16"/>
                <w:lang w:eastAsia="es-CO"/>
              </w:rPr>
              <w:t>ESTADO</w:t>
            </w:r>
          </w:p>
        </w:tc>
        <w:tc>
          <w:tcPr>
            <w:tcW w:w="850" w:type="dxa"/>
            <w:tcBorders>
              <w:top w:val="single" w:sz="4" w:space="0" w:color="auto"/>
              <w:left w:val="nil"/>
              <w:bottom w:val="single" w:sz="4" w:space="0" w:color="auto"/>
              <w:right w:val="single" w:sz="4" w:space="0" w:color="auto"/>
            </w:tcBorders>
            <w:shd w:val="clear" w:color="6D9EEB" w:fill="F2F2F2"/>
            <w:vAlign w:val="center"/>
            <w:hideMark/>
          </w:tcPr>
          <w:p w14:paraId="1C70A442" w14:textId="77777777" w:rsidR="00117702" w:rsidRPr="00117702" w:rsidRDefault="00117702" w:rsidP="00117702">
            <w:pPr>
              <w:jc w:val="center"/>
              <w:rPr>
                <w:rFonts w:ascii="Arial Narrow" w:hAnsi="Arial Narrow" w:cs="Arial"/>
                <w:b/>
                <w:bCs/>
                <w:spacing w:val="0"/>
                <w:sz w:val="16"/>
                <w:szCs w:val="16"/>
                <w:lang w:eastAsia="es-CO"/>
              </w:rPr>
            </w:pPr>
            <w:r w:rsidRPr="00117702">
              <w:rPr>
                <w:rFonts w:ascii="Arial Narrow" w:hAnsi="Arial Narrow" w:cs="Arial"/>
                <w:b/>
                <w:bCs/>
                <w:spacing w:val="0"/>
                <w:sz w:val="16"/>
                <w:szCs w:val="16"/>
                <w:lang w:eastAsia="es-CO"/>
              </w:rPr>
              <w:t>SERVICIO</w:t>
            </w:r>
          </w:p>
        </w:tc>
      </w:tr>
      <w:tr w:rsidR="00117702" w:rsidRPr="00117702" w14:paraId="1A2B6514" w14:textId="77777777" w:rsidTr="00C23C88">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28781956" w14:textId="77777777" w:rsidR="00117702" w:rsidRPr="00117702" w:rsidRDefault="00117702" w:rsidP="00117702">
            <w:pPr>
              <w:jc w:val="right"/>
              <w:rPr>
                <w:rFonts w:ascii="Arial Narrow" w:hAnsi="Arial Narrow" w:cs="Arial"/>
                <w:color w:val="000000"/>
                <w:spacing w:val="0"/>
                <w:sz w:val="16"/>
                <w:szCs w:val="16"/>
                <w:lang w:eastAsia="es-CO"/>
              </w:rPr>
            </w:pPr>
            <w:r w:rsidRPr="00117702">
              <w:rPr>
                <w:rFonts w:ascii="Arial Narrow" w:hAnsi="Arial Narrow" w:cs="Arial"/>
                <w:color w:val="000000"/>
                <w:spacing w:val="0"/>
                <w:sz w:val="16"/>
                <w:szCs w:val="16"/>
                <w:lang w:eastAsia="es-CO"/>
              </w:rPr>
              <w:t>1</w:t>
            </w:r>
          </w:p>
        </w:tc>
        <w:tc>
          <w:tcPr>
            <w:tcW w:w="879" w:type="dxa"/>
            <w:tcBorders>
              <w:top w:val="nil"/>
              <w:left w:val="nil"/>
              <w:bottom w:val="single" w:sz="4" w:space="0" w:color="auto"/>
              <w:right w:val="single" w:sz="4" w:space="0" w:color="auto"/>
            </w:tcBorders>
            <w:shd w:val="clear" w:color="auto" w:fill="auto"/>
            <w:noWrap/>
            <w:vAlign w:val="center"/>
            <w:hideMark/>
          </w:tcPr>
          <w:p w14:paraId="2270CB6A" w14:textId="77777777" w:rsidR="00117702" w:rsidRPr="00117702" w:rsidRDefault="00117702" w:rsidP="00117702">
            <w:pPr>
              <w:jc w:val="center"/>
              <w:rPr>
                <w:rFonts w:ascii="Arial Narrow" w:hAnsi="Arial Narrow" w:cs="Arial"/>
                <w:spacing w:val="0"/>
                <w:sz w:val="16"/>
                <w:szCs w:val="16"/>
                <w:lang w:eastAsia="es-CO"/>
              </w:rPr>
            </w:pPr>
            <w:r w:rsidRPr="00117702">
              <w:rPr>
                <w:rFonts w:ascii="Arial Narrow" w:hAnsi="Arial Narrow" w:cs="Arial"/>
                <w:spacing w:val="0"/>
                <w:sz w:val="16"/>
                <w:szCs w:val="16"/>
                <w:lang w:eastAsia="es-CO"/>
              </w:rPr>
              <w:t>812002285</w:t>
            </w:r>
          </w:p>
        </w:tc>
        <w:tc>
          <w:tcPr>
            <w:tcW w:w="5742" w:type="dxa"/>
            <w:tcBorders>
              <w:top w:val="nil"/>
              <w:left w:val="nil"/>
              <w:bottom w:val="single" w:sz="4" w:space="0" w:color="auto"/>
              <w:right w:val="single" w:sz="4" w:space="0" w:color="auto"/>
            </w:tcBorders>
            <w:shd w:val="clear" w:color="auto" w:fill="auto"/>
            <w:vAlign w:val="center"/>
            <w:hideMark/>
          </w:tcPr>
          <w:p w14:paraId="5C386CCF"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AYAPEGAS S.A E.S.P</w:t>
            </w:r>
          </w:p>
        </w:tc>
        <w:tc>
          <w:tcPr>
            <w:tcW w:w="851" w:type="dxa"/>
            <w:tcBorders>
              <w:top w:val="nil"/>
              <w:left w:val="nil"/>
              <w:bottom w:val="single" w:sz="4" w:space="0" w:color="auto"/>
              <w:right w:val="single" w:sz="4" w:space="0" w:color="auto"/>
            </w:tcBorders>
            <w:shd w:val="clear" w:color="auto" w:fill="auto"/>
            <w:noWrap/>
            <w:vAlign w:val="center"/>
            <w:hideMark/>
          </w:tcPr>
          <w:p w14:paraId="7BB33017"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OPERATIVA</w:t>
            </w:r>
          </w:p>
        </w:tc>
        <w:tc>
          <w:tcPr>
            <w:tcW w:w="850" w:type="dxa"/>
            <w:tcBorders>
              <w:top w:val="nil"/>
              <w:left w:val="nil"/>
              <w:bottom w:val="single" w:sz="4" w:space="0" w:color="auto"/>
              <w:right w:val="single" w:sz="4" w:space="0" w:color="auto"/>
            </w:tcBorders>
            <w:shd w:val="clear" w:color="auto" w:fill="auto"/>
            <w:noWrap/>
            <w:vAlign w:val="center"/>
            <w:hideMark/>
          </w:tcPr>
          <w:p w14:paraId="2448DBF7"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GLP</w:t>
            </w:r>
          </w:p>
        </w:tc>
      </w:tr>
      <w:tr w:rsidR="00117702" w:rsidRPr="00117702" w14:paraId="2E063335" w14:textId="77777777" w:rsidTr="00C23C88">
        <w:trPr>
          <w:trHeight w:val="314"/>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0DD17BA6" w14:textId="77777777" w:rsidR="00117702" w:rsidRPr="00117702" w:rsidRDefault="00117702" w:rsidP="00117702">
            <w:pPr>
              <w:jc w:val="right"/>
              <w:rPr>
                <w:rFonts w:ascii="Arial Narrow" w:hAnsi="Arial Narrow" w:cs="Arial"/>
                <w:color w:val="000000"/>
                <w:spacing w:val="0"/>
                <w:sz w:val="16"/>
                <w:szCs w:val="16"/>
                <w:lang w:eastAsia="es-CO"/>
              </w:rPr>
            </w:pPr>
            <w:r w:rsidRPr="00117702">
              <w:rPr>
                <w:rFonts w:ascii="Arial Narrow" w:hAnsi="Arial Narrow" w:cs="Arial"/>
                <w:color w:val="000000"/>
                <w:spacing w:val="0"/>
                <w:sz w:val="16"/>
                <w:szCs w:val="16"/>
                <w:lang w:eastAsia="es-CO"/>
              </w:rPr>
              <w:t>2</w:t>
            </w:r>
          </w:p>
        </w:tc>
        <w:tc>
          <w:tcPr>
            <w:tcW w:w="879" w:type="dxa"/>
            <w:tcBorders>
              <w:top w:val="nil"/>
              <w:left w:val="nil"/>
              <w:bottom w:val="single" w:sz="4" w:space="0" w:color="auto"/>
              <w:right w:val="single" w:sz="4" w:space="0" w:color="auto"/>
            </w:tcBorders>
            <w:shd w:val="clear" w:color="auto" w:fill="auto"/>
            <w:noWrap/>
            <w:vAlign w:val="center"/>
            <w:hideMark/>
          </w:tcPr>
          <w:p w14:paraId="38813871" w14:textId="77777777" w:rsidR="00117702" w:rsidRPr="00117702" w:rsidRDefault="00117702" w:rsidP="00117702">
            <w:pPr>
              <w:jc w:val="center"/>
              <w:rPr>
                <w:rFonts w:ascii="Arial Narrow" w:hAnsi="Arial Narrow" w:cs="Arial"/>
                <w:spacing w:val="0"/>
                <w:sz w:val="16"/>
                <w:szCs w:val="16"/>
                <w:lang w:eastAsia="es-CO"/>
              </w:rPr>
            </w:pPr>
            <w:r w:rsidRPr="00117702">
              <w:rPr>
                <w:rFonts w:ascii="Arial Narrow" w:hAnsi="Arial Narrow" w:cs="Arial"/>
                <w:spacing w:val="0"/>
                <w:sz w:val="16"/>
                <w:szCs w:val="16"/>
                <w:lang w:eastAsia="es-CO"/>
              </w:rPr>
              <w:t>840000035</w:t>
            </w:r>
          </w:p>
        </w:tc>
        <w:tc>
          <w:tcPr>
            <w:tcW w:w="5742" w:type="dxa"/>
            <w:tcBorders>
              <w:top w:val="nil"/>
              <w:left w:val="nil"/>
              <w:bottom w:val="single" w:sz="4" w:space="0" w:color="auto"/>
              <w:right w:val="single" w:sz="4" w:space="0" w:color="auto"/>
            </w:tcBorders>
            <w:shd w:val="clear" w:color="auto" w:fill="auto"/>
            <w:vAlign w:val="center"/>
            <w:hideMark/>
          </w:tcPr>
          <w:p w14:paraId="505F162D"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EMPRESA GENERADORA DE ENERGIA ELECTRICA DEL CHARCO S.A E.S.P</w:t>
            </w:r>
          </w:p>
        </w:tc>
        <w:tc>
          <w:tcPr>
            <w:tcW w:w="851" w:type="dxa"/>
            <w:tcBorders>
              <w:top w:val="nil"/>
              <w:left w:val="nil"/>
              <w:bottom w:val="single" w:sz="4" w:space="0" w:color="auto"/>
              <w:right w:val="single" w:sz="4" w:space="0" w:color="auto"/>
            </w:tcBorders>
            <w:shd w:val="clear" w:color="auto" w:fill="auto"/>
            <w:noWrap/>
            <w:vAlign w:val="center"/>
            <w:hideMark/>
          </w:tcPr>
          <w:p w14:paraId="6AE28EFE"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OPERATIVA</w:t>
            </w:r>
          </w:p>
        </w:tc>
        <w:tc>
          <w:tcPr>
            <w:tcW w:w="850" w:type="dxa"/>
            <w:tcBorders>
              <w:top w:val="nil"/>
              <w:left w:val="nil"/>
              <w:bottom w:val="single" w:sz="4" w:space="0" w:color="auto"/>
              <w:right w:val="single" w:sz="4" w:space="0" w:color="auto"/>
            </w:tcBorders>
            <w:shd w:val="clear" w:color="auto" w:fill="auto"/>
            <w:noWrap/>
            <w:vAlign w:val="center"/>
            <w:hideMark/>
          </w:tcPr>
          <w:p w14:paraId="10948D87"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EN</w:t>
            </w:r>
          </w:p>
        </w:tc>
      </w:tr>
      <w:tr w:rsidR="00117702" w:rsidRPr="00117702" w14:paraId="2F470C55" w14:textId="77777777" w:rsidTr="00C23C88">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3EE756D0" w14:textId="77777777" w:rsidR="00117702" w:rsidRPr="00117702" w:rsidRDefault="00117702" w:rsidP="00117702">
            <w:pPr>
              <w:jc w:val="right"/>
              <w:rPr>
                <w:rFonts w:ascii="Arial Narrow" w:hAnsi="Arial Narrow" w:cs="Arial"/>
                <w:color w:val="000000"/>
                <w:spacing w:val="0"/>
                <w:sz w:val="16"/>
                <w:szCs w:val="16"/>
                <w:lang w:eastAsia="es-CO"/>
              </w:rPr>
            </w:pPr>
            <w:r w:rsidRPr="00117702">
              <w:rPr>
                <w:rFonts w:ascii="Arial Narrow" w:hAnsi="Arial Narrow" w:cs="Arial"/>
                <w:color w:val="000000"/>
                <w:spacing w:val="0"/>
                <w:sz w:val="16"/>
                <w:szCs w:val="16"/>
                <w:lang w:eastAsia="es-CO"/>
              </w:rPr>
              <w:t>3</w:t>
            </w:r>
          </w:p>
        </w:tc>
        <w:tc>
          <w:tcPr>
            <w:tcW w:w="879" w:type="dxa"/>
            <w:tcBorders>
              <w:top w:val="nil"/>
              <w:left w:val="nil"/>
              <w:bottom w:val="single" w:sz="4" w:space="0" w:color="auto"/>
              <w:right w:val="single" w:sz="4" w:space="0" w:color="auto"/>
            </w:tcBorders>
            <w:shd w:val="clear" w:color="auto" w:fill="auto"/>
            <w:noWrap/>
            <w:vAlign w:val="center"/>
            <w:hideMark/>
          </w:tcPr>
          <w:p w14:paraId="4BFA4C3E" w14:textId="77777777" w:rsidR="00117702" w:rsidRPr="00117702" w:rsidRDefault="00117702" w:rsidP="00117702">
            <w:pPr>
              <w:jc w:val="center"/>
              <w:rPr>
                <w:rFonts w:ascii="Arial Narrow" w:hAnsi="Arial Narrow" w:cs="Arial"/>
                <w:spacing w:val="0"/>
                <w:sz w:val="16"/>
                <w:szCs w:val="16"/>
                <w:lang w:eastAsia="es-CO"/>
              </w:rPr>
            </w:pPr>
            <w:r w:rsidRPr="00117702">
              <w:rPr>
                <w:rFonts w:ascii="Arial Narrow" w:hAnsi="Arial Narrow" w:cs="Arial"/>
                <w:spacing w:val="0"/>
                <w:sz w:val="16"/>
                <w:szCs w:val="16"/>
                <w:lang w:eastAsia="es-CO"/>
              </w:rPr>
              <w:t>818000263</w:t>
            </w:r>
          </w:p>
        </w:tc>
        <w:tc>
          <w:tcPr>
            <w:tcW w:w="5742" w:type="dxa"/>
            <w:tcBorders>
              <w:top w:val="nil"/>
              <w:left w:val="nil"/>
              <w:bottom w:val="single" w:sz="4" w:space="0" w:color="auto"/>
              <w:right w:val="single" w:sz="4" w:space="0" w:color="auto"/>
            </w:tcBorders>
            <w:shd w:val="clear" w:color="auto" w:fill="auto"/>
            <w:vAlign w:val="center"/>
            <w:hideMark/>
          </w:tcPr>
          <w:p w14:paraId="5C4BC8D4"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EMPRESA DE SERVICIOS PUBLICOS DE BAHIA SOLANO S.A. ESP</w:t>
            </w:r>
          </w:p>
        </w:tc>
        <w:tc>
          <w:tcPr>
            <w:tcW w:w="851" w:type="dxa"/>
            <w:tcBorders>
              <w:top w:val="nil"/>
              <w:left w:val="nil"/>
              <w:bottom w:val="single" w:sz="4" w:space="0" w:color="auto"/>
              <w:right w:val="single" w:sz="4" w:space="0" w:color="auto"/>
            </w:tcBorders>
            <w:shd w:val="clear" w:color="auto" w:fill="auto"/>
            <w:noWrap/>
            <w:vAlign w:val="center"/>
            <w:hideMark/>
          </w:tcPr>
          <w:p w14:paraId="626452D7"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OPERATIVA</w:t>
            </w:r>
          </w:p>
        </w:tc>
        <w:tc>
          <w:tcPr>
            <w:tcW w:w="850" w:type="dxa"/>
            <w:tcBorders>
              <w:top w:val="nil"/>
              <w:left w:val="nil"/>
              <w:bottom w:val="single" w:sz="4" w:space="0" w:color="auto"/>
              <w:right w:val="single" w:sz="4" w:space="0" w:color="auto"/>
            </w:tcBorders>
            <w:shd w:val="clear" w:color="auto" w:fill="auto"/>
            <w:noWrap/>
            <w:vAlign w:val="center"/>
            <w:hideMark/>
          </w:tcPr>
          <w:p w14:paraId="3DCAFC8A"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EN</w:t>
            </w:r>
          </w:p>
        </w:tc>
      </w:tr>
      <w:tr w:rsidR="00117702" w:rsidRPr="00117702" w14:paraId="4C16BBCF" w14:textId="77777777" w:rsidTr="00C23C88">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53B0D652" w14:textId="77777777" w:rsidR="00117702" w:rsidRPr="00117702" w:rsidRDefault="00117702" w:rsidP="00117702">
            <w:pPr>
              <w:jc w:val="right"/>
              <w:rPr>
                <w:rFonts w:ascii="Arial Narrow" w:hAnsi="Arial Narrow" w:cs="Arial"/>
                <w:color w:val="000000"/>
                <w:spacing w:val="0"/>
                <w:sz w:val="16"/>
                <w:szCs w:val="16"/>
                <w:lang w:eastAsia="es-CO"/>
              </w:rPr>
            </w:pPr>
            <w:r w:rsidRPr="00117702">
              <w:rPr>
                <w:rFonts w:ascii="Arial Narrow" w:hAnsi="Arial Narrow" w:cs="Arial"/>
                <w:color w:val="000000"/>
                <w:spacing w:val="0"/>
                <w:sz w:val="16"/>
                <w:szCs w:val="16"/>
                <w:lang w:eastAsia="es-CO"/>
              </w:rPr>
              <w:t>4</w:t>
            </w:r>
          </w:p>
        </w:tc>
        <w:tc>
          <w:tcPr>
            <w:tcW w:w="879" w:type="dxa"/>
            <w:tcBorders>
              <w:top w:val="nil"/>
              <w:left w:val="nil"/>
              <w:bottom w:val="single" w:sz="4" w:space="0" w:color="auto"/>
              <w:right w:val="single" w:sz="4" w:space="0" w:color="auto"/>
            </w:tcBorders>
            <w:shd w:val="clear" w:color="auto" w:fill="auto"/>
            <w:noWrap/>
            <w:vAlign w:val="center"/>
            <w:hideMark/>
          </w:tcPr>
          <w:p w14:paraId="421ADF88" w14:textId="77777777" w:rsidR="00117702" w:rsidRPr="00117702" w:rsidRDefault="00117702" w:rsidP="00117702">
            <w:pPr>
              <w:jc w:val="center"/>
              <w:rPr>
                <w:rFonts w:ascii="Arial Narrow" w:hAnsi="Arial Narrow" w:cs="Arial"/>
                <w:spacing w:val="0"/>
                <w:sz w:val="16"/>
                <w:szCs w:val="16"/>
                <w:lang w:eastAsia="es-CO"/>
              </w:rPr>
            </w:pPr>
            <w:r w:rsidRPr="00117702">
              <w:rPr>
                <w:rFonts w:ascii="Arial Narrow" w:hAnsi="Arial Narrow" w:cs="Arial"/>
                <w:spacing w:val="0"/>
                <w:sz w:val="16"/>
                <w:szCs w:val="16"/>
                <w:lang w:eastAsia="es-CO"/>
              </w:rPr>
              <w:t>809011444</w:t>
            </w:r>
          </w:p>
        </w:tc>
        <w:tc>
          <w:tcPr>
            <w:tcW w:w="5742" w:type="dxa"/>
            <w:tcBorders>
              <w:top w:val="nil"/>
              <w:left w:val="nil"/>
              <w:bottom w:val="single" w:sz="4" w:space="0" w:color="auto"/>
              <w:right w:val="single" w:sz="4" w:space="0" w:color="auto"/>
            </w:tcBorders>
            <w:shd w:val="clear" w:color="auto" w:fill="auto"/>
            <w:vAlign w:val="center"/>
            <w:hideMark/>
          </w:tcPr>
          <w:p w14:paraId="1BFE32C9"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LATIN AMERICAN CAPITAL CORP SA ESP</w:t>
            </w:r>
          </w:p>
        </w:tc>
        <w:tc>
          <w:tcPr>
            <w:tcW w:w="851" w:type="dxa"/>
            <w:tcBorders>
              <w:top w:val="nil"/>
              <w:left w:val="nil"/>
              <w:bottom w:val="single" w:sz="4" w:space="0" w:color="auto"/>
              <w:right w:val="single" w:sz="4" w:space="0" w:color="auto"/>
            </w:tcBorders>
            <w:shd w:val="clear" w:color="auto" w:fill="auto"/>
            <w:noWrap/>
            <w:vAlign w:val="center"/>
            <w:hideMark/>
          </w:tcPr>
          <w:p w14:paraId="01EEFC59"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OPERATIVA</w:t>
            </w:r>
          </w:p>
        </w:tc>
        <w:tc>
          <w:tcPr>
            <w:tcW w:w="850" w:type="dxa"/>
            <w:tcBorders>
              <w:top w:val="nil"/>
              <w:left w:val="nil"/>
              <w:bottom w:val="single" w:sz="4" w:space="0" w:color="auto"/>
              <w:right w:val="single" w:sz="4" w:space="0" w:color="auto"/>
            </w:tcBorders>
            <w:shd w:val="clear" w:color="auto" w:fill="auto"/>
            <w:noWrap/>
            <w:vAlign w:val="center"/>
            <w:hideMark/>
          </w:tcPr>
          <w:p w14:paraId="4853A611"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EN</w:t>
            </w:r>
          </w:p>
        </w:tc>
      </w:tr>
      <w:tr w:rsidR="00117702" w:rsidRPr="00117702" w14:paraId="157228FB" w14:textId="77777777" w:rsidTr="00C23C88">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1F2FD8AE" w14:textId="77777777" w:rsidR="00117702" w:rsidRPr="00117702" w:rsidRDefault="00117702" w:rsidP="00117702">
            <w:pPr>
              <w:jc w:val="right"/>
              <w:rPr>
                <w:rFonts w:ascii="Arial Narrow" w:hAnsi="Arial Narrow" w:cs="Arial"/>
                <w:color w:val="000000"/>
                <w:spacing w:val="0"/>
                <w:sz w:val="16"/>
                <w:szCs w:val="16"/>
                <w:lang w:eastAsia="es-CO"/>
              </w:rPr>
            </w:pPr>
            <w:r w:rsidRPr="00117702">
              <w:rPr>
                <w:rFonts w:ascii="Arial Narrow" w:hAnsi="Arial Narrow" w:cs="Arial"/>
                <w:color w:val="000000"/>
                <w:spacing w:val="0"/>
                <w:sz w:val="16"/>
                <w:szCs w:val="16"/>
                <w:lang w:eastAsia="es-CO"/>
              </w:rPr>
              <w:t>5</w:t>
            </w:r>
          </w:p>
        </w:tc>
        <w:tc>
          <w:tcPr>
            <w:tcW w:w="879" w:type="dxa"/>
            <w:tcBorders>
              <w:top w:val="nil"/>
              <w:left w:val="nil"/>
              <w:bottom w:val="single" w:sz="4" w:space="0" w:color="auto"/>
              <w:right w:val="single" w:sz="4" w:space="0" w:color="auto"/>
            </w:tcBorders>
            <w:shd w:val="clear" w:color="auto" w:fill="auto"/>
            <w:noWrap/>
            <w:vAlign w:val="center"/>
            <w:hideMark/>
          </w:tcPr>
          <w:p w14:paraId="099854F2" w14:textId="77777777" w:rsidR="00117702" w:rsidRPr="00117702" w:rsidRDefault="00117702" w:rsidP="00117702">
            <w:pPr>
              <w:jc w:val="center"/>
              <w:rPr>
                <w:rFonts w:ascii="Arial Narrow" w:hAnsi="Arial Narrow" w:cs="Arial"/>
                <w:spacing w:val="0"/>
                <w:sz w:val="16"/>
                <w:szCs w:val="16"/>
                <w:lang w:eastAsia="es-CO"/>
              </w:rPr>
            </w:pPr>
            <w:r w:rsidRPr="00117702">
              <w:rPr>
                <w:rFonts w:ascii="Arial Narrow" w:hAnsi="Arial Narrow" w:cs="Arial"/>
                <w:spacing w:val="0"/>
                <w:sz w:val="16"/>
                <w:szCs w:val="16"/>
                <w:lang w:eastAsia="es-CO"/>
              </w:rPr>
              <w:t>860005223</w:t>
            </w:r>
          </w:p>
        </w:tc>
        <w:tc>
          <w:tcPr>
            <w:tcW w:w="5742" w:type="dxa"/>
            <w:tcBorders>
              <w:top w:val="nil"/>
              <w:left w:val="nil"/>
              <w:bottom w:val="single" w:sz="4" w:space="0" w:color="auto"/>
              <w:right w:val="single" w:sz="4" w:space="0" w:color="auto"/>
            </w:tcBorders>
            <w:shd w:val="clear" w:color="auto" w:fill="auto"/>
            <w:vAlign w:val="center"/>
            <w:hideMark/>
          </w:tcPr>
          <w:p w14:paraId="33FF7133"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CHEVRON PETROLEUM COMPANY</w:t>
            </w:r>
          </w:p>
        </w:tc>
        <w:tc>
          <w:tcPr>
            <w:tcW w:w="851" w:type="dxa"/>
            <w:tcBorders>
              <w:top w:val="nil"/>
              <w:left w:val="nil"/>
              <w:bottom w:val="single" w:sz="4" w:space="0" w:color="auto"/>
              <w:right w:val="single" w:sz="4" w:space="0" w:color="auto"/>
            </w:tcBorders>
            <w:shd w:val="clear" w:color="auto" w:fill="auto"/>
            <w:noWrap/>
            <w:vAlign w:val="center"/>
            <w:hideMark/>
          </w:tcPr>
          <w:p w14:paraId="69A68E96"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OPERATIVA</w:t>
            </w:r>
          </w:p>
        </w:tc>
        <w:tc>
          <w:tcPr>
            <w:tcW w:w="850" w:type="dxa"/>
            <w:tcBorders>
              <w:top w:val="nil"/>
              <w:left w:val="nil"/>
              <w:bottom w:val="single" w:sz="4" w:space="0" w:color="auto"/>
              <w:right w:val="single" w:sz="4" w:space="0" w:color="auto"/>
            </w:tcBorders>
            <w:shd w:val="clear" w:color="auto" w:fill="auto"/>
            <w:noWrap/>
            <w:vAlign w:val="center"/>
            <w:hideMark/>
          </w:tcPr>
          <w:p w14:paraId="35B90143"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GN</w:t>
            </w:r>
          </w:p>
        </w:tc>
      </w:tr>
      <w:tr w:rsidR="00117702" w:rsidRPr="00117702" w14:paraId="40EEBDBD" w14:textId="77777777" w:rsidTr="00C23C88">
        <w:trPr>
          <w:trHeight w:val="218"/>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579ADD27" w14:textId="77777777" w:rsidR="00117702" w:rsidRPr="00117702" w:rsidRDefault="00117702" w:rsidP="00117702">
            <w:pPr>
              <w:jc w:val="right"/>
              <w:rPr>
                <w:rFonts w:ascii="Arial Narrow" w:hAnsi="Arial Narrow" w:cs="Arial"/>
                <w:color w:val="000000"/>
                <w:spacing w:val="0"/>
                <w:sz w:val="16"/>
                <w:szCs w:val="16"/>
                <w:lang w:eastAsia="es-CO"/>
              </w:rPr>
            </w:pPr>
            <w:r w:rsidRPr="00117702">
              <w:rPr>
                <w:rFonts w:ascii="Arial Narrow" w:hAnsi="Arial Narrow" w:cs="Arial"/>
                <w:color w:val="000000"/>
                <w:spacing w:val="0"/>
                <w:sz w:val="16"/>
                <w:szCs w:val="16"/>
                <w:lang w:eastAsia="es-CO"/>
              </w:rPr>
              <w:t>6</w:t>
            </w:r>
          </w:p>
        </w:tc>
        <w:tc>
          <w:tcPr>
            <w:tcW w:w="879" w:type="dxa"/>
            <w:tcBorders>
              <w:top w:val="nil"/>
              <w:left w:val="nil"/>
              <w:bottom w:val="single" w:sz="4" w:space="0" w:color="auto"/>
              <w:right w:val="single" w:sz="4" w:space="0" w:color="auto"/>
            </w:tcBorders>
            <w:shd w:val="clear" w:color="auto" w:fill="auto"/>
            <w:noWrap/>
            <w:vAlign w:val="center"/>
            <w:hideMark/>
          </w:tcPr>
          <w:p w14:paraId="6B23154E" w14:textId="77777777" w:rsidR="00117702" w:rsidRPr="00117702" w:rsidRDefault="00117702" w:rsidP="00117702">
            <w:pPr>
              <w:jc w:val="center"/>
              <w:rPr>
                <w:rFonts w:ascii="Arial Narrow" w:hAnsi="Arial Narrow" w:cs="Arial"/>
                <w:spacing w:val="0"/>
                <w:sz w:val="16"/>
                <w:szCs w:val="16"/>
                <w:lang w:eastAsia="es-CO"/>
              </w:rPr>
            </w:pPr>
            <w:r w:rsidRPr="00117702">
              <w:rPr>
                <w:rFonts w:ascii="Arial Narrow" w:hAnsi="Arial Narrow" w:cs="Arial"/>
                <w:spacing w:val="0"/>
                <w:sz w:val="16"/>
                <w:szCs w:val="16"/>
                <w:lang w:eastAsia="es-CO"/>
              </w:rPr>
              <w:t>830138744</w:t>
            </w:r>
          </w:p>
        </w:tc>
        <w:tc>
          <w:tcPr>
            <w:tcW w:w="5742" w:type="dxa"/>
            <w:tcBorders>
              <w:top w:val="nil"/>
              <w:left w:val="nil"/>
              <w:bottom w:val="single" w:sz="4" w:space="0" w:color="auto"/>
              <w:right w:val="single" w:sz="4" w:space="0" w:color="auto"/>
            </w:tcBorders>
            <w:shd w:val="clear" w:color="auto" w:fill="auto"/>
            <w:vAlign w:val="center"/>
            <w:hideMark/>
          </w:tcPr>
          <w:p w14:paraId="3BF54001"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GAS EL PUENTE SOCIEDAD ANONIMA EMPRESA DE SERVICIOS PUBLICOS</w:t>
            </w:r>
          </w:p>
        </w:tc>
        <w:tc>
          <w:tcPr>
            <w:tcW w:w="851" w:type="dxa"/>
            <w:tcBorders>
              <w:top w:val="nil"/>
              <w:left w:val="nil"/>
              <w:bottom w:val="single" w:sz="4" w:space="0" w:color="auto"/>
              <w:right w:val="single" w:sz="4" w:space="0" w:color="auto"/>
            </w:tcBorders>
            <w:shd w:val="clear" w:color="auto" w:fill="auto"/>
            <w:noWrap/>
            <w:vAlign w:val="center"/>
            <w:hideMark/>
          </w:tcPr>
          <w:p w14:paraId="4AA54B24"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OPERATIVA</w:t>
            </w:r>
          </w:p>
        </w:tc>
        <w:tc>
          <w:tcPr>
            <w:tcW w:w="850" w:type="dxa"/>
            <w:tcBorders>
              <w:top w:val="nil"/>
              <w:left w:val="nil"/>
              <w:bottom w:val="single" w:sz="4" w:space="0" w:color="auto"/>
              <w:right w:val="single" w:sz="4" w:space="0" w:color="auto"/>
            </w:tcBorders>
            <w:shd w:val="clear" w:color="auto" w:fill="auto"/>
            <w:noWrap/>
            <w:vAlign w:val="center"/>
            <w:hideMark/>
          </w:tcPr>
          <w:p w14:paraId="424089AE"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GLP</w:t>
            </w:r>
          </w:p>
        </w:tc>
      </w:tr>
      <w:tr w:rsidR="00117702" w:rsidRPr="00117702" w14:paraId="5135F37B" w14:textId="77777777" w:rsidTr="00C23C88">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21F1DA39" w14:textId="77777777" w:rsidR="00117702" w:rsidRPr="00117702" w:rsidRDefault="00117702" w:rsidP="00117702">
            <w:pPr>
              <w:jc w:val="right"/>
              <w:rPr>
                <w:rFonts w:ascii="Arial Narrow" w:hAnsi="Arial Narrow" w:cs="Arial"/>
                <w:color w:val="000000"/>
                <w:spacing w:val="0"/>
                <w:sz w:val="16"/>
                <w:szCs w:val="16"/>
                <w:lang w:eastAsia="es-CO"/>
              </w:rPr>
            </w:pPr>
            <w:r w:rsidRPr="00117702">
              <w:rPr>
                <w:rFonts w:ascii="Arial Narrow" w:hAnsi="Arial Narrow" w:cs="Arial"/>
                <w:color w:val="000000"/>
                <w:spacing w:val="0"/>
                <w:sz w:val="16"/>
                <w:szCs w:val="16"/>
                <w:lang w:eastAsia="es-CO"/>
              </w:rPr>
              <w:t>7</w:t>
            </w:r>
          </w:p>
        </w:tc>
        <w:tc>
          <w:tcPr>
            <w:tcW w:w="879" w:type="dxa"/>
            <w:tcBorders>
              <w:top w:val="nil"/>
              <w:left w:val="nil"/>
              <w:bottom w:val="single" w:sz="4" w:space="0" w:color="auto"/>
              <w:right w:val="single" w:sz="4" w:space="0" w:color="auto"/>
            </w:tcBorders>
            <w:shd w:val="clear" w:color="auto" w:fill="auto"/>
            <w:noWrap/>
            <w:vAlign w:val="center"/>
            <w:hideMark/>
          </w:tcPr>
          <w:p w14:paraId="564D7906" w14:textId="77777777" w:rsidR="00117702" w:rsidRPr="00117702" w:rsidRDefault="00117702" w:rsidP="00117702">
            <w:pPr>
              <w:jc w:val="center"/>
              <w:rPr>
                <w:rFonts w:ascii="Arial Narrow" w:hAnsi="Arial Narrow" w:cs="Arial"/>
                <w:spacing w:val="0"/>
                <w:sz w:val="16"/>
                <w:szCs w:val="16"/>
                <w:lang w:eastAsia="es-CO"/>
              </w:rPr>
            </w:pPr>
            <w:r w:rsidRPr="00117702">
              <w:rPr>
                <w:rFonts w:ascii="Arial Narrow" w:hAnsi="Arial Narrow" w:cs="Arial"/>
                <w:spacing w:val="0"/>
                <w:sz w:val="16"/>
                <w:szCs w:val="16"/>
                <w:lang w:eastAsia="es-CO"/>
              </w:rPr>
              <w:t>900209971</w:t>
            </w:r>
          </w:p>
        </w:tc>
        <w:tc>
          <w:tcPr>
            <w:tcW w:w="5742" w:type="dxa"/>
            <w:tcBorders>
              <w:top w:val="nil"/>
              <w:left w:val="nil"/>
              <w:bottom w:val="single" w:sz="4" w:space="0" w:color="auto"/>
              <w:right w:val="single" w:sz="4" w:space="0" w:color="auto"/>
            </w:tcBorders>
            <w:shd w:val="clear" w:color="auto" w:fill="auto"/>
            <w:vAlign w:val="center"/>
            <w:hideMark/>
          </w:tcPr>
          <w:p w14:paraId="7528BD7C"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DISTRIBUIDORA RIMAR GAS SAS ESP</w:t>
            </w:r>
          </w:p>
        </w:tc>
        <w:tc>
          <w:tcPr>
            <w:tcW w:w="851" w:type="dxa"/>
            <w:tcBorders>
              <w:top w:val="nil"/>
              <w:left w:val="nil"/>
              <w:bottom w:val="single" w:sz="4" w:space="0" w:color="auto"/>
              <w:right w:val="single" w:sz="4" w:space="0" w:color="auto"/>
            </w:tcBorders>
            <w:shd w:val="clear" w:color="auto" w:fill="auto"/>
            <w:noWrap/>
            <w:vAlign w:val="center"/>
            <w:hideMark/>
          </w:tcPr>
          <w:p w14:paraId="36FA23E0"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OPERATIVA</w:t>
            </w:r>
          </w:p>
        </w:tc>
        <w:tc>
          <w:tcPr>
            <w:tcW w:w="850" w:type="dxa"/>
            <w:tcBorders>
              <w:top w:val="nil"/>
              <w:left w:val="nil"/>
              <w:bottom w:val="single" w:sz="4" w:space="0" w:color="auto"/>
              <w:right w:val="single" w:sz="4" w:space="0" w:color="auto"/>
            </w:tcBorders>
            <w:shd w:val="clear" w:color="auto" w:fill="auto"/>
            <w:noWrap/>
            <w:vAlign w:val="center"/>
            <w:hideMark/>
          </w:tcPr>
          <w:p w14:paraId="353F1C85"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GLP</w:t>
            </w:r>
          </w:p>
        </w:tc>
      </w:tr>
      <w:tr w:rsidR="00117702" w:rsidRPr="00117702" w14:paraId="43CC08A7" w14:textId="77777777" w:rsidTr="00C23C88">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1DCA955F" w14:textId="77777777" w:rsidR="00117702" w:rsidRPr="00117702" w:rsidRDefault="00117702" w:rsidP="00117702">
            <w:pPr>
              <w:jc w:val="right"/>
              <w:rPr>
                <w:rFonts w:ascii="Arial Narrow" w:hAnsi="Arial Narrow" w:cs="Arial"/>
                <w:color w:val="000000"/>
                <w:spacing w:val="0"/>
                <w:sz w:val="16"/>
                <w:szCs w:val="16"/>
                <w:lang w:eastAsia="es-CO"/>
              </w:rPr>
            </w:pPr>
            <w:r w:rsidRPr="00117702">
              <w:rPr>
                <w:rFonts w:ascii="Arial Narrow" w:hAnsi="Arial Narrow" w:cs="Arial"/>
                <w:color w:val="000000"/>
                <w:spacing w:val="0"/>
                <w:sz w:val="16"/>
                <w:szCs w:val="16"/>
                <w:lang w:eastAsia="es-CO"/>
              </w:rPr>
              <w:t>8</w:t>
            </w:r>
          </w:p>
        </w:tc>
        <w:tc>
          <w:tcPr>
            <w:tcW w:w="879" w:type="dxa"/>
            <w:tcBorders>
              <w:top w:val="nil"/>
              <w:left w:val="nil"/>
              <w:bottom w:val="single" w:sz="4" w:space="0" w:color="auto"/>
              <w:right w:val="single" w:sz="4" w:space="0" w:color="auto"/>
            </w:tcBorders>
            <w:shd w:val="clear" w:color="auto" w:fill="auto"/>
            <w:noWrap/>
            <w:vAlign w:val="center"/>
            <w:hideMark/>
          </w:tcPr>
          <w:p w14:paraId="7FD10F43" w14:textId="77777777" w:rsidR="00117702" w:rsidRPr="00117702" w:rsidRDefault="00117702" w:rsidP="00117702">
            <w:pPr>
              <w:jc w:val="center"/>
              <w:rPr>
                <w:rFonts w:ascii="Arial Narrow" w:hAnsi="Arial Narrow" w:cs="Arial"/>
                <w:spacing w:val="0"/>
                <w:sz w:val="16"/>
                <w:szCs w:val="16"/>
                <w:lang w:eastAsia="es-CO"/>
              </w:rPr>
            </w:pPr>
            <w:r w:rsidRPr="00117702">
              <w:rPr>
                <w:rFonts w:ascii="Arial Narrow" w:hAnsi="Arial Narrow" w:cs="Arial"/>
                <w:spacing w:val="0"/>
                <w:sz w:val="16"/>
                <w:szCs w:val="16"/>
                <w:lang w:eastAsia="es-CO"/>
              </w:rPr>
              <w:t>900208859</w:t>
            </w:r>
          </w:p>
        </w:tc>
        <w:tc>
          <w:tcPr>
            <w:tcW w:w="5742" w:type="dxa"/>
            <w:tcBorders>
              <w:top w:val="nil"/>
              <w:left w:val="nil"/>
              <w:bottom w:val="single" w:sz="4" w:space="0" w:color="auto"/>
              <w:right w:val="single" w:sz="4" w:space="0" w:color="auto"/>
            </w:tcBorders>
            <w:shd w:val="clear" w:color="auto" w:fill="auto"/>
            <w:vAlign w:val="center"/>
            <w:hideMark/>
          </w:tcPr>
          <w:p w14:paraId="12436E8F" w14:textId="40F7AED0"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SOLUGAS S.A</w:t>
            </w:r>
            <w:r w:rsidR="00C23C88">
              <w:rPr>
                <w:rFonts w:ascii="Arial Narrow" w:hAnsi="Arial Narrow" w:cs="Arial"/>
                <w:spacing w:val="0"/>
                <w:sz w:val="16"/>
                <w:szCs w:val="16"/>
                <w:lang w:eastAsia="es-CO"/>
              </w:rPr>
              <w:t>.</w:t>
            </w:r>
            <w:r w:rsidRPr="00117702">
              <w:rPr>
                <w:rFonts w:ascii="Arial Narrow" w:hAnsi="Arial Narrow" w:cs="Arial"/>
                <w:spacing w:val="0"/>
                <w:sz w:val="16"/>
                <w:szCs w:val="16"/>
                <w:lang w:eastAsia="es-CO"/>
              </w:rPr>
              <w:t xml:space="preserve"> E.S.P</w:t>
            </w:r>
          </w:p>
        </w:tc>
        <w:tc>
          <w:tcPr>
            <w:tcW w:w="851" w:type="dxa"/>
            <w:tcBorders>
              <w:top w:val="nil"/>
              <w:left w:val="nil"/>
              <w:bottom w:val="single" w:sz="4" w:space="0" w:color="auto"/>
              <w:right w:val="single" w:sz="4" w:space="0" w:color="auto"/>
            </w:tcBorders>
            <w:shd w:val="clear" w:color="auto" w:fill="auto"/>
            <w:noWrap/>
            <w:vAlign w:val="center"/>
            <w:hideMark/>
          </w:tcPr>
          <w:p w14:paraId="3FF5291C"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OPERATIVA</w:t>
            </w:r>
          </w:p>
        </w:tc>
        <w:tc>
          <w:tcPr>
            <w:tcW w:w="850" w:type="dxa"/>
            <w:tcBorders>
              <w:top w:val="nil"/>
              <w:left w:val="nil"/>
              <w:bottom w:val="single" w:sz="4" w:space="0" w:color="auto"/>
              <w:right w:val="single" w:sz="4" w:space="0" w:color="auto"/>
            </w:tcBorders>
            <w:shd w:val="clear" w:color="auto" w:fill="auto"/>
            <w:noWrap/>
            <w:vAlign w:val="center"/>
            <w:hideMark/>
          </w:tcPr>
          <w:p w14:paraId="3B36E3C0"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GN</w:t>
            </w:r>
          </w:p>
        </w:tc>
      </w:tr>
      <w:tr w:rsidR="00117702" w:rsidRPr="00117702" w14:paraId="1D08240C" w14:textId="77777777" w:rsidTr="00C23C88">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0574C896" w14:textId="77777777" w:rsidR="00117702" w:rsidRPr="00117702" w:rsidRDefault="00117702" w:rsidP="00117702">
            <w:pPr>
              <w:jc w:val="right"/>
              <w:rPr>
                <w:rFonts w:ascii="Arial Narrow" w:hAnsi="Arial Narrow" w:cs="Arial"/>
                <w:color w:val="000000"/>
                <w:spacing w:val="0"/>
                <w:sz w:val="16"/>
                <w:szCs w:val="16"/>
                <w:lang w:eastAsia="es-CO"/>
              </w:rPr>
            </w:pPr>
            <w:r w:rsidRPr="00117702">
              <w:rPr>
                <w:rFonts w:ascii="Arial Narrow" w:hAnsi="Arial Narrow" w:cs="Arial"/>
                <w:color w:val="000000"/>
                <w:spacing w:val="0"/>
                <w:sz w:val="16"/>
                <w:szCs w:val="16"/>
                <w:lang w:eastAsia="es-CO"/>
              </w:rPr>
              <w:t>9</w:t>
            </w:r>
          </w:p>
        </w:tc>
        <w:tc>
          <w:tcPr>
            <w:tcW w:w="879" w:type="dxa"/>
            <w:tcBorders>
              <w:top w:val="nil"/>
              <w:left w:val="nil"/>
              <w:bottom w:val="single" w:sz="4" w:space="0" w:color="auto"/>
              <w:right w:val="single" w:sz="4" w:space="0" w:color="auto"/>
            </w:tcBorders>
            <w:shd w:val="clear" w:color="auto" w:fill="auto"/>
            <w:noWrap/>
            <w:vAlign w:val="center"/>
            <w:hideMark/>
          </w:tcPr>
          <w:p w14:paraId="6C3FD4C4" w14:textId="77777777" w:rsidR="00117702" w:rsidRPr="00117702" w:rsidRDefault="00117702" w:rsidP="00117702">
            <w:pPr>
              <w:jc w:val="center"/>
              <w:rPr>
                <w:rFonts w:ascii="Arial Narrow" w:hAnsi="Arial Narrow" w:cs="Arial"/>
                <w:spacing w:val="0"/>
                <w:sz w:val="16"/>
                <w:szCs w:val="16"/>
                <w:lang w:eastAsia="es-CO"/>
              </w:rPr>
            </w:pPr>
            <w:r w:rsidRPr="00117702">
              <w:rPr>
                <w:rFonts w:ascii="Arial Narrow" w:hAnsi="Arial Narrow" w:cs="Arial"/>
                <w:spacing w:val="0"/>
                <w:sz w:val="16"/>
                <w:szCs w:val="16"/>
                <w:lang w:eastAsia="es-CO"/>
              </w:rPr>
              <w:t>900245092</w:t>
            </w:r>
          </w:p>
        </w:tc>
        <w:tc>
          <w:tcPr>
            <w:tcW w:w="5742" w:type="dxa"/>
            <w:tcBorders>
              <w:top w:val="nil"/>
              <w:left w:val="nil"/>
              <w:bottom w:val="single" w:sz="4" w:space="0" w:color="auto"/>
              <w:right w:val="single" w:sz="4" w:space="0" w:color="auto"/>
            </w:tcBorders>
            <w:shd w:val="clear" w:color="auto" w:fill="auto"/>
            <w:vAlign w:val="center"/>
            <w:hideMark/>
          </w:tcPr>
          <w:p w14:paraId="67D25ED5"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MEGA GAS SAS</w:t>
            </w:r>
          </w:p>
        </w:tc>
        <w:tc>
          <w:tcPr>
            <w:tcW w:w="851" w:type="dxa"/>
            <w:tcBorders>
              <w:top w:val="nil"/>
              <w:left w:val="nil"/>
              <w:bottom w:val="single" w:sz="4" w:space="0" w:color="auto"/>
              <w:right w:val="single" w:sz="4" w:space="0" w:color="auto"/>
            </w:tcBorders>
            <w:shd w:val="clear" w:color="auto" w:fill="auto"/>
            <w:noWrap/>
            <w:vAlign w:val="center"/>
            <w:hideMark/>
          </w:tcPr>
          <w:p w14:paraId="0C8D067F"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OPERATIVA</w:t>
            </w:r>
          </w:p>
        </w:tc>
        <w:tc>
          <w:tcPr>
            <w:tcW w:w="850" w:type="dxa"/>
            <w:tcBorders>
              <w:top w:val="nil"/>
              <w:left w:val="nil"/>
              <w:bottom w:val="single" w:sz="4" w:space="0" w:color="auto"/>
              <w:right w:val="single" w:sz="4" w:space="0" w:color="auto"/>
            </w:tcBorders>
            <w:shd w:val="clear" w:color="auto" w:fill="auto"/>
            <w:noWrap/>
            <w:vAlign w:val="center"/>
            <w:hideMark/>
          </w:tcPr>
          <w:p w14:paraId="193EE5F2"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GN</w:t>
            </w:r>
          </w:p>
        </w:tc>
      </w:tr>
      <w:tr w:rsidR="00117702" w:rsidRPr="00117702" w14:paraId="6BB0C80E" w14:textId="77777777" w:rsidTr="00C23C88">
        <w:trPr>
          <w:trHeight w:val="376"/>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5C5B9D80" w14:textId="77777777" w:rsidR="00117702" w:rsidRPr="00117702" w:rsidRDefault="00117702" w:rsidP="00117702">
            <w:pPr>
              <w:jc w:val="right"/>
              <w:rPr>
                <w:rFonts w:ascii="Arial Narrow" w:hAnsi="Arial Narrow" w:cs="Arial"/>
                <w:color w:val="000000"/>
                <w:spacing w:val="0"/>
                <w:sz w:val="16"/>
                <w:szCs w:val="16"/>
                <w:lang w:eastAsia="es-CO"/>
              </w:rPr>
            </w:pPr>
            <w:r w:rsidRPr="00117702">
              <w:rPr>
                <w:rFonts w:ascii="Arial Narrow" w:hAnsi="Arial Narrow" w:cs="Arial"/>
                <w:color w:val="000000"/>
                <w:spacing w:val="0"/>
                <w:sz w:val="16"/>
                <w:szCs w:val="16"/>
                <w:lang w:eastAsia="es-CO"/>
              </w:rPr>
              <w:t>10</w:t>
            </w:r>
          </w:p>
        </w:tc>
        <w:tc>
          <w:tcPr>
            <w:tcW w:w="879" w:type="dxa"/>
            <w:tcBorders>
              <w:top w:val="nil"/>
              <w:left w:val="nil"/>
              <w:bottom w:val="single" w:sz="4" w:space="0" w:color="auto"/>
              <w:right w:val="single" w:sz="4" w:space="0" w:color="auto"/>
            </w:tcBorders>
            <w:shd w:val="clear" w:color="auto" w:fill="auto"/>
            <w:noWrap/>
            <w:vAlign w:val="center"/>
            <w:hideMark/>
          </w:tcPr>
          <w:p w14:paraId="41B619BB" w14:textId="77777777" w:rsidR="00117702" w:rsidRPr="00117702" w:rsidRDefault="00117702" w:rsidP="00117702">
            <w:pPr>
              <w:jc w:val="center"/>
              <w:rPr>
                <w:rFonts w:ascii="Arial Narrow" w:hAnsi="Arial Narrow" w:cs="Arial"/>
                <w:spacing w:val="0"/>
                <w:sz w:val="16"/>
                <w:szCs w:val="16"/>
                <w:lang w:eastAsia="es-CO"/>
              </w:rPr>
            </w:pPr>
            <w:r w:rsidRPr="00117702">
              <w:rPr>
                <w:rFonts w:ascii="Arial Narrow" w:hAnsi="Arial Narrow" w:cs="Arial"/>
                <w:spacing w:val="0"/>
                <w:sz w:val="16"/>
                <w:szCs w:val="16"/>
                <w:lang w:eastAsia="es-CO"/>
              </w:rPr>
              <w:t>900141802</w:t>
            </w:r>
          </w:p>
        </w:tc>
        <w:tc>
          <w:tcPr>
            <w:tcW w:w="5742" w:type="dxa"/>
            <w:tcBorders>
              <w:top w:val="nil"/>
              <w:left w:val="nil"/>
              <w:bottom w:val="single" w:sz="4" w:space="0" w:color="auto"/>
              <w:right w:val="single" w:sz="4" w:space="0" w:color="auto"/>
            </w:tcBorders>
            <w:shd w:val="clear" w:color="auto" w:fill="auto"/>
            <w:vAlign w:val="center"/>
            <w:hideMark/>
          </w:tcPr>
          <w:p w14:paraId="0205F9CC"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COOPERATIVA COMUNITARIA DE SERVICIOS PÙBLICOS DE ISLA FUERTE</w:t>
            </w:r>
          </w:p>
        </w:tc>
        <w:tc>
          <w:tcPr>
            <w:tcW w:w="851" w:type="dxa"/>
            <w:tcBorders>
              <w:top w:val="nil"/>
              <w:left w:val="nil"/>
              <w:bottom w:val="single" w:sz="4" w:space="0" w:color="auto"/>
              <w:right w:val="single" w:sz="4" w:space="0" w:color="auto"/>
            </w:tcBorders>
            <w:shd w:val="clear" w:color="auto" w:fill="auto"/>
            <w:noWrap/>
            <w:vAlign w:val="center"/>
            <w:hideMark/>
          </w:tcPr>
          <w:p w14:paraId="3A4CB8F0"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OPERATIVA</w:t>
            </w:r>
          </w:p>
        </w:tc>
        <w:tc>
          <w:tcPr>
            <w:tcW w:w="850" w:type="dxa"/>
            <w:tcBorders>
              <w:top w:val="nil"/>
              <w:left w:val="nil"/>
              <w:bottom w:val="single" w:sz="4" w:space="0" w:color="auto"/>
              <w:right w:val="single" w:sz="4" w:space="0" w:color="auto"/>
            </w:tcBorders>
            <w:shd w:val="clear" w:color="auto" w:fill="auto"/>
            <w:noWrap/>
            <w:vAlign w:val="center"/>
            <w:hideMark/>
          </w:tcPr>
          <w:p w14:paraId="2C5FA103"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EN</w:t>
            </w:r>
          </w:p>
        </w:tc>
      </w:tr>
      <w:tr w:rsidR="00117702" w:rsidRPr="00117702" w14:paraId="57FAEE16" w14:textId="77777777" w:rsidTr="00C23C88">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77F7A45D" w14:textId="77777777" w:rsidR="00117702" w:rsidRPr="00117702" w:rsidRDefault="00117702" w:rsidP="00117702">
            <w:pPr>
              <w:jc w:val="right"/>
              <w:rPr>
                <w:rFonts w:ascii="Arial Narrow" w:hAnsi="Arial Narrow" w:cs="Arial"/>
                <w:color w:val="000000"/>
                <w:spacing w:val="0"/>
                <w:sz w:val="16"/>
                <w:szCs w:val="16"/>
                <w:lang w:eastAsia="es-CO"/>
              </w:rPr>
            </w:pPr>
            <w:r w:rsidRPr="00117702">
              <w:rPr>
                <w:rFonts w:ascii="Arial Narrow" w:hAnsi="Arial Narrow" w:cs="Arial"/>
                <w:color w:val="000000"/>
                <w:spacing w:val="0"/>
                <w:sz w:val="16"/>
                <w:szCs w:val="16"/>
                <w:lang w:eastAsia="es-CO"/>
              </w:rPr>
              <w:t>11</w:t>
            </w:r>
          </w:p>
        </w:tc>
        <w:tc>
          <w:tcPr>
            <w:tcW w:w="879" w:type="dxa"/>
            <w:tcBorders>
              <w:top w:val="nil"/>
              <w:left w:val="nil"/>
              <w:bottom w:val="single" w:sz="4" w:space="0" w:color="auto"/>
              <w:right w:val="single" w:sz="4" w:space="0" w:color="auto"/>
            </w:tcBorders>
            <w:shd w:val="clear" w:color="auto" w:fill="auto"/>
            <w:noWrap/>
            <w:vAlign w:val="center"/>
            <w:hideMark/>
          </w:tcPr>
          <w:p w14:paraId="7269778C" w14:textId="77777777" w:rsidR="00117702" w:rsidRPr="00117702" w:rsidRDefault="00117702" w:rsidP="00117702">
            <w:pPr>
              <w:jc w:val="center"/>
              <w:rPr>
                <w:rFonts w:ascii="Arial Narrow" w:hAnsi="Arial Narrow" w:cs="Arial"/>
                <w:spacing w:val="0"/>
                <w:sz w:val="16"/>
                <w:szCs w:val="16"/>
                <w:lang w:eastAsia="es-CO"/>
              </w:rPr>
            </w:pPr>
            <w:r w:rsidRPr="00117702">
              <w:rPr>
                <w:rFonts w:ascii="Arial Narrow" w:hAnsi="Arial Narrow" w:cs="Arial"/>
                <w:spacing w:val="0"/>
                <w:sz w:val="16"/>
                <w:szCs w:val="16"/>
                <w:lang w:eastAsia="es-CO"/>
              </w:rPr>
              <w:t>900283665</w:t>
            </w:r>
          </w:p>
        </w:tc>
        <w:tc>
          <w:tcPr>
            <w:tcW w:w="5742" w:type="dxa"/>
            <w:tcBorders>
              <w:top w:val="nil"/>
              <w:left w:val="nil"/>
              <w:bottom w:val="single" w:sz="4" w:space="0" w:color="auto"/>
              <w:right w:val="single" w:sz="4" w:space="0" w:color="auto"/>
            </w:tcBorders>
            <w:shd w:val="clear" w:color="auto" w:fill="auto"/>
            <w:vAlign w:val="center"/>
            <w:hideMark/>
          </w:tcPr>
          <w:p w14:paraId="531C2820" w14:textId="7F6E2E6B"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RIVERGAS S.A.S</w:t>
            </w:r>
            <w:r w:rsidR="00C23C88">
              <w:rPr>
                <w:rFonts w:ascii="Arial Narrow" w:hAnsi="Arial Narrow" w:cs="Arial"/>
                <w:spacing w:val="0"/>
                <w:sz w:val="16"/>
                <w:szCs w:val="16"/>
                <w:lang w:eastAsia="es-CO"/>
              </w:rPr>
              <w:t>.</w:t>
            </w:r>
            <w:r w:rsidRPr="00117702">
              <w:rPr>
                <w:rFonts w:ascii="Arial Narrow" w:hAnsi="Arial Narrow" w:cs="Arial"/>
                <w:spacing w:val="0"/>
                <w:sz w:val="16"/>
                <w:szCs w:val="16"/>
                <w:lang w:eastAsia="es-CO"/>
              </w:rPr>
              <w:t xml:space="preserve">  E.S.P.</w:t>
            </w:r>
          </w:p>
        </w:tc>
        <w:tc>
          <w:tcPr>
            <w:tcW w:w="851" w:type="dxa"/>
            <w:tcBorders>
              <w:top w:val="nil"/>
              <w:left w:val="nil"/>
              <w:bottom w:val="single" w:sz="4" w:space="0" w:color="auto"/>
              <w:right w:val="single" w:sz="4" w:space="0" w:color="auto"/>
            </w:tcBorders>
            <w:shd w:val="clear" w:color="auto" w:fill="auto"/>
            <w:noWrap/>
            <w:vAlign w:val="center"/>
            <w:hideMark/>
          </w:tcPr>
          <w:p w14:paraId="7A3C2D9C"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OPERATIVA</w:t>
            </w:r>
          </w:p>
        </w:tc>
        <w:tc>
          <w:tcPr>
            <w:tcW w:w="850" w:type="dxa"/>
            <w:tcBorders>
              <w:top w:val="nil"/>
              <w:left w:val="nil"/>
              <w:bottom w:val="single" w:sz="4" w:space="0" w:color="auto"/>
              <w:right w:val="single" w:sz="4" w:space="0" w:color="auto"/>
            </w:tcBorders>
            <w:shd w:val="clear" w:color="auto" w:fill="auto"/>
            <w:noWrap/>
            <w:vAlign w:val="center"/>
            <w:hideMark/>
          </w:tcPr>
          <w:p w14:paraId="71AEBFA4"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GLP</w:t>
            </w:r>
          </w:p>
        </w:tc>
      </w:tr>
      <w:tr w:rsidR="00117702" w:rsidRPr="00117702" w14:paraId="44BED2D7" w14:textId="77777777" w:rsidTr="00C23C88">
        <w:trPr>
          <w:trHeight w:val="257"/>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508CB767" w14:textId="77777777" w:rsidR="00117702" w:rsidRPr="00117702" w:rsidRDefault="00117702" w:rsidP="00117702">
            <w:pPr>
              <w:jc w:val="right"/>
              <w:rPr>
                <w:rFonts w:ascii="Arial Narrow" w:hAnsi="Arial Narrow" w:cs="Arial"/>
                <w:color w:val="000000"/>
                <w:spacing w:val="0"/>
                <w:sz w:val="16"/>
                <w:szCs w:val="16"/>
                <w:lang w:eastAsia="es-CO"/>
              </w:rPr>
            </w:pPr>
            <w:r w:rsidRPr="00117702">
              <w:rPr>
                <w:rFonts w:ascii="Arial Narrow" w:hAnsi="Arial Narrow" w:cs="Arial"/>
                <w:color w:val="000000"/>
                <w:spacing w:val="0"/>
                <w:sz w:val="16"/>
                <w:szCs w:val="16"/>
                <w:lang w:eastAsia="es-CO"/>
              </w:rPr>
              <w:t>12</w:t>
            </w:r>
          </w:p>
        </w:tc>
        <w:tc>
          <w:tcPr>
            <w:tcW w:w="879" w:type="dxa"/>
            <w:tcBorders>
              <w:top w:val="nil"/>
              <w:left w:val="nil"/>
              <w:bottom w:val="single" w:sz="4" w:space="0" w:color="auto"/>
              <w:right w:val="single" w:sz="4" w:space="0" w:color="auto"/>
            </w:tcBorders>
            <w:shd w:val="clear" w:color="auto" w:fill="auto"/>
            <w:noWrap/>
            <w:vAlign w:val="center"/>
            <w:hideMark/>
          </w:tcPr>
          <w:p w14:paraId="4164DC76" w14:textId="77777777" w:rsidR="00117702" w:rsidRPr="00117702" w:rsidRDefault="00117702" w:rsidP="00117702">
            <w:pPr>
              <w:jc w:val="center"/>
              <w:rPr>
                <w:rFonts w:ascii="Arial Narrow" w:hAnsi="Arial Narrow" w:cs="Arial"/>
                <w:spacing w:val="0"/>
                <w:sz w:val="16"/>
                <w:szCs w:val="16"/>
                <w:lang w:eastAsia="es-CO"/>
              </w:rPr>
            </w:pPr>
            <w:r w:rsidRPr="00117702">
              <w:rPr>
                <w:rFonts w:ascii="Arial Narrow" w:hAnsi="Arial Narrow" w:cs="Arial"/>
                <w:spacing w:val="0"/>
                <w:sz w:val="16"/>
                <w:szCs w:val="16"/>
                <w:lang w:eastAsia="es-CO"/>
              </w:rPr>
              <w:t>900321652</w:t>
            </w:r>
          </w:p>
        </w:tc>
        <w:tc>
          <w:tcPr>
            <w:tcW w:w="5742" w:type="dxa"/>
            <w:tcBorders>
              <w:top w:val="nil"/>
              <w:left w:val="nil"/>
              <w:bottom w:val="single" w:sz="4" w:space="0" w:color="auto"/>
              <w:right w:val="single" w:sz="4" w:space="0" w:color="auto"/>
            </w:tcBorders>
            <w:shd w:val="clear" w:color="auto" w:fill="auto"/>
            <w:vAlign w:val="center"/>
            <w:hideMark/>
          </w:tcPr>
          <w:p w14:paraId="556A5FE0"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COMERCIALIZADORES MINORISTAS DE GLP EL GAS EN SU HOGAR S.A.S. E.S.P.</w:t>
            </w:r>
          </w:p>
        </w:tc>
        <w:tc>
          <w:tcPr>
            <w:tcW w:w="851" w:type="dxa"/>
            <w:tcBorders>
              <w:top w:val="nil"/>
              <w:left w:val="nil"/>
              <w:bottom w:val="single" w:sz="4" w:space="0" w:color="auto"/>
              <w:right w:val="single" w:sz="4" w:space="0" w:color="auto"/>
            </w:tcBorders>
            <w:shd w:val="clear" w:color="auto" w:fill="auto"/>
            <w:noWrap/>
            <w:vAlign w:val="center"/>
            <w:hideMark/>
          </w:tcPr>
          <w:p w14:paraId="6CECF960"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OPERATIVA</w:t>
            </w:r>
          </w:p>
        </w:tc>
        <w:tc>
          <w:tcPr>
            <w:tcW w:w="850" w:type="dxa"/>
            <w:tcBorders>
              <w:top w:val="nil"/>
              <w:left w:val="nil"/>
              <w:bottom w:val="single" w:sz="4" w:space="0" w:color="auto"/>
              <w:right w:val="single" w:sz="4" w:space="0" w:color="auto"/>
            </w:tcBorders>
            <w:shd w:val="clear" w:color="auto" w:fill="auto"/>
            <w:noWrap/>
            <w:vAlign w:val="center"/>
            <w:hideMark/>
          </w:tcPr>
          <w:p w14:paraId="5A27D262"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GLP</w:t>
            </w:r>
          </w:p>
        </w:tc>
      </w:tr>
      <w:tr w:rsidR="00117702" w:rsidRPr="00117702" w14:paraId="7B507D0B" w14:textId="77777777" w:rsidTr="00C23C88">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67AB68C1" w14:textId="77777777" w:rsidR="00117702" w:rsidRPr="00117702" w:rsidRDefault="00117702" w:rsidP="00117702">
            <w:pPr>
              <w:jc w:val="right"/>
              <w:rPr>
                <w:rFonts w:ascii="Arial Narrow" w:hAnsi="Arial Narrow" w:cs="Arial"/>
                <w:color w:val="000000"/>
                <w:spacing w:val="0"/>
                <w:sz w:val="16"/>
                <w:szCs w:val="16"/>
                <w:lang w:eastAsia="es-CO"/>
              </w:rPr>
            </w:pPr>
            <w:r w:rsidRPr="00117702">
              <w:rPr>
                <w:rFonts w:ascii="Arial Narrow" w:hAnsi="Arial Narrow" w:cs="Arial"/>
                <w:color w:val="000000"/>
                <w:spacing w:val="0"/>
                <w:sz w:val="16"/>
                <w:szCs w:val="16"/>
                <w:lang w:eastAsia="es-CO"/>
              </w:rPr>
              <w:t>13</w:t>
            </w:r>
          </w:p>
        </w:tc>
        <w:tc>
          <w:tcPr>
            <w:tcW w:w="879" w:type="dxa"/>
            <w:tcBorders>
              <w:top w:val="nil"/>
              <w:left w:val="nil"/>
              <w:bottom w:val="single" w:sz="4" w:space="0" w:color="auto"/>
              <w:right w:val="single" w:sz="4" w:space="0" w:color="auto"/>
            </w:tcBorders>
            <w:shd w:val="clear" w:color="auto" w:fill="auto"/>
            <w:noWrap/>
            <w:vAlign w:val="center"/>
            <w:hideMark/>
          </w:tcPr>
          <w:p w14:paraId="35DEAE79" w14:textId="77777777" w:rsidR="00117702" w:rsidRPr="00117702" w:rsidRDefault="00117702" w:rsidP="00117702">
            <w:pPr>
              <w:jc w:val="center"/>
              <w:rPr>
                <w:rFonts w:ascii="Arial Narrow" w:hAnsi="Arial Narrow" w:cs="Arial"/>
                <w:spacing w:val="0"/>
                <w:sz w:val="16"/>
                <w:szCs w:val="16"/>
                <w:lang w:eastAsia="es-CO"/>
              </w:rPr>
            </w:pPr>
            <w:r w:rsidRPr="00117702">
              <w:rPr>
                <w:rFonts w:ascii="Arial Narrow" w:hAnsi="Arial Narrow" w:cs="Arial"/>
                <w:spacing w:val="0"/>
                <w:sz w:val="16"/>
                <w:szCs w:val="16"/>
                <w:lang w:eastAsia="es-CO"/>
              </w:rPr>
              <w:t>900345189</w:t>
            </w:r>
          </w:p>
        </w:tc>
        <w:tc>
          <w:tcPr>
            <w:tcW w:w="5742" w:type="dxa"/>
            <w:tcBorders>
              <w:top w:val="nil"/>
              <w:left w:val="nil"/>
              <w:bottom w:val="single" w:sz="4" w:space="0" w:color="auto"/>
              <w:right w:val="single" w:sz="4" w:space="0" w:color="auto"/>
            </w:tcBorders>
            <w:shd w:val="clear" w:color="auto" w:fill="auto"/>
            <w:vAlign w:val="center"/>
            <w:hideMark/>
          </w:tcPr>
          <w:p w14:paraId="3AD82330" w14:textId="77777777" w:rsidR="00117702" w:rsidRPr="00D26825" w:rsidRDefault="00117702" w:rsidP="00117702">
            <w:pPr>
              <w:jc w:val="left"/>
              <w:rPr>
                <w:rFonts w:ascii="Arial Narrow" w:hAnsi="Arial Narrow" w:cs="Arial"/>
                <w:spacing w:val="0"/>
                <w:sz w:val="16"/>
                <w:szCs w:val="16"/>
                <w:lang w:val="en-US" w:eastAsia="es-CO"/>
              </w:rPr>
            </w:pPr>
            <w:r w:rsidRPr="00D26825">
              <w:rPr>
                <w:rFonts w:ascii="Arial Narrow" w:hAnsi="Arial Narrow" w:cs="Arial"/>
                <w:spacing w:val="0"/>
                <w:sz w:val="16"/>
                <w:szCs w:val="16"/>
                <w:lang w:val="en-US" w:eastAsia="es-CO"/>
              </w:rPr>
              <w:t xml:space="preserve">FREE ENERGY S.A. E.S.P. </w:t>
            </w:r>
          </w:p>
        </w:tc>
        <w:tc>
          <w:tcPr>
            <w:tcW w:w="851" w:type="dxa"/>
            <w:tcBorders>
              <w:top w:val="nil"/>
              <w:left w:val="nil"/>
              <w:bottom w:val="single" w:sz="4" w:space="0" w:color="auto"/>
              <w:right w:val="single" w:sz="4" w:space="0" w:color="auto"/>
            </w:tcBorders>
            <w:shd w:val="clear" w:color="auto" w:fill="auto"/>
            <w:noWrap/>
            <w:vAlign w:val="center"/>
            <w:hideMark/>
          </w:tcPr>
          <w:p w14:paraId="10CAAA01"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OPERATIVA</w:t>
            </w:r>
          </w:p>
        </w:tc>
        <w:tc>
          <w:tcPr>
            <w:tcW w:w="850" w:type="dxa"/>
            <w:tcBorders>
              <w:top w:val="nil"/>
              <w:left w:val="nil"/>
              <w:bottom w:val="single" w:sz="4" w:space="0" w:color="auto"/>
              <w:right w:val="single" w:sz="4" w:space="0" w:color="auto"/>
            </w:tcBorders>
            <w:shd w:val="clear" w:color="auto" w:fill="auto"/>
            <w:noWrap/>
            <w:vAlign w:val="center"/>
            <w:hideMark/>
          </w:tcPr>
          <w:p w14:paraId="49E8995E"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GN</w:t>
            </w:r>
          </w:p>
        </w:tc>
      </w:tr>
      <w:tr w:rsidR="00117702" w:rsidRPr="00117702" w14:paraId="5F970494" w14:textId="77777777" w:rsidTr="00C23C88">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59D9FD4A" w14:textId="77777777" w:rsidR="00117702" w:rsidRPr="00117702" w:rsidRDefault="00117702" w:rsidP="00117702">
            <w:pPr>
              <w:jc w:val="right"/>
              <w:rPr>
                <w:rFonts w:ascii="Arial Narrow" w:hAnsi="Arial Narrow" w:cs="Arial"/>
                <w:color w:val="000000"/>
                <w:spacing w:val="0"/>
                <w:sz w:val="16"/>
                <w:szCs w:val="16"/>
                <w:lang w:eastAsia="es-CO"/>
              </w:rPr>
            </w:pPr>
            <w:r w:rsidRPr="00117702">
              <w:rPr>
                <w:rFonts w:ascii="Arial Narrow" w:hAnsi="Arial Narrow" w:cs="Arial"/>
                <w:color w:val="000000"/>
                <w:spacing w:val="0"/>
                <w:sz w:val="16"/>
                <w:szCs w:val="16"/>
                <w:lang w:eastAsia="es-CO"/>
              </w:rPr>
              <w:t>14</w:t>
            </w:r>
          </w:p>
        </w:tc>
        <w:tc>
          <w:tcPr>
            <w:tcW w:w="879" w:type="dxa"/>
            <w:tcBorders>
              <w:top w:val="nil"/>
              <w:left w:val="nil"/>
              <w:bottom w:val="single" w:sz="4" w:space="0" w:color="auto"/>
              <w:right w:val="single" w:sz="4" w:space="0" w:color="auto"/>
            </w:tcBorders>
            <w:shd w:val="clear" w:color="auto" w:fill="auto"/>
            <w:noWrap/>
            <w:vAlign w:val="center"/>
            <w:hideMark/>
          </w:tcPr>
          <w:p w14:paraId="1AD6E81C" w14:textId="77777777" w:rsidR="00117702" w:rsidRPr="00117702" w:rsidRDefault="00117702" w:rsidP="00117702">
            <w:pPr>
              <w:jc w:val="center"/>
              <w:rPr>
                <w:rFonts w:ascii="Arial Narrow" w:hAnsi="Arial Narrow" w:cs="Arial"/>
                <w:spacing w:val="0"/>
                <w:sz w:val="16"/>
                <w:szCs w:val="16"/>
                <w:lang w:eastAsia="es-CO"/>
              </w:rPr>
            </w:pPr>
            <w:r w:rsidRPr="00117702">
              <w:rPr>
                <w:rFonts w:ascii="Arial Narrow" w:hAnsi="Arial Narrow" w:cs="Arial"/>
                <w:spacing w:val="0"/>
                <w:sz w:val="16"/>
                <w:szCs w:val="16"/>
                <w:lang w:eastAsia="es-CO"/>
              </w:rPr>
              <w:t>900374345</w:t>
            </w:r>
          </w:p>
        </w:tc>
        <w:tc>
          <w:tcPr>
            <w:tcW w:w="5742" w:type="dxa"/>
            <w:tcBorders>
              <w:top w:val="nil"/>
              <w:left w:val="nil"/>
              <w:bottom w:val="single" w:sz="4" w:space="0" w:color="auto"/>
              <w:right w:val="single" w:sz="4" w:space="0" w:color="auto"/>
            </w:tcBorders>
            <w:shd w:val="clear" w:color="auto" w:fill="auto"/>
            <w:vAlign w:val="center"/>
            <w:hideMark/>
          </w:tcPr>
          <w:p w14:paraId="4193470C" w14:textId="78FA49C9"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PROMOTORA DE SERVICIOS PUBLICOS DE URABA S.A E.S.P</w:t>
            </w:r>
            <w:r w:rsidR="00C23C88">
              <w:rPr>
                <w:rFonts w:ascii="Arial Narrow" w:hAnsi="Arial Narrow" w:cs="Arial"/>
                <w:spacing w:val="0"/>
                <w:sz w:val="16"/>
                <w:szCs w:val="16"/>
                <w:lang w:eastAsia="es-CO"/>
              </w:rPr>
              <w:t>.</w:t>
            </w:r>
          </w:p>
        </w:tc>
        <w:tc>
          <w:tcPr>
            <w:tcW w:w="851" w:type="dxa"/>
            <w:tcBorders>
              <w:top w:val="nil"/>
              <w:left w:val="nil"/>
              <w:bottom w:val="single" w:sz="4" w:space="0" w:color="auto"/>
              <w:right w:val="single" w:sz="4" w:space="0" w:color="auto"/>
            </w:tcBorders>
            <w:shd w:val="clear" w:color="auto" w:fill="auto"/>
            <w:noWrap/>
            <w:vAlign w:val="center"/>
            <w:hideMark/>
          </w:tcPr>
          <w:p w14:paraId="4A197F23"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OPERATIVA</w:t>
            </w:r>
          </w:p>
        </w:tc>
        <w:tc>
          <w:tcPr>
            <w:tcW w:w="850" w:type="dxa"/>
            <w:tcBorders>
              <w:top w:val="nil"/>
              <w:left w:val="nil"/>
              <w:bottom w:val="single" w:sz="4" w:space="0" w:color="auto"/>
              <w:right w:val="single" w:sz="4" w:space="0" w:color="auto"/>
            </w:tcBorders>
            <w:shd w:val="clear" w:color="auto" w:fill="auto"/>
            <w:noWrap/>
            <w:vAlign w:val="center"/>
            <w:hideMark/>
          </w:tcPr>
          <w:p w14:paraId="4F2F2B25"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GN</w:t>
            </w:r>
          </w:p>
        </w:tc>
      </w:tr>
      <w:tr w:rsidR="00117702" w:rsidRPr="00117702" w14:paraId="3AC7F40C" w14:textId="77777777" w:rsidTr="00C23C88">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3F978F50" w14:textId="77777777" w:rsidR="00117702" w:rsidRPr="00117702" w:rsidRDefault="00117702" w:rsidP="00117702">
            <w:pPr>
              <w:jc w:val="right"/>
              <w:rPr>
                <w:rFonts w:ascii="Arial Narrow" w:hAnsi="Arial Narrow" w:cs="Arial"/>
                <w:color w:val="000000"/>
                <w:spacing w:val="0"/>
                <w:sz w:val="16"/>
                <w:szCs w:val="16"/>
                <w:lang w:eastAsia="es-CO"/>
              </w:rPr>
            </w:pPr>
            <w:r w:rsidRPr="00117702">
              <w:rPr>
                <w:rFonts w:ascii="Arial Narrow" w:hAnsi="Arial Narrow" w:cs="Arial"/>
                <w:color w:val="000000"/>
                <w:spacing w:val="0"/>
                <w:sz w:val="16"/>
                <w:szCs w:val="16"/>
                <w:lang w:eastAsia="es-CO"/>
              </w:rPr>
              <w:lastRenderedPageBreak/>
              <w:t>15</w:t>
            </w:r>
          </w:p>
        </w:tc>
        <w:tc>
          <w:tcPr>
            <w:tcW w:w="879" w:type="dxa"/>
            <w:tcBorders>
              <w:top w:val="nil"/>
              <w:left w:val="nil"/>
              <w:bottom w:val="single" w:sz="4" w:space="0" w:color="auto"/>
              <w:right w:val="single" w:sz="4" w:space="0" w:color="auto"/>
            </w:tcBorders>
            <w:shd w:val="clear" w:color="auto" w:fill="auto"/>
            <w:noWrap/>
            <w:vAlign w:val="center"/>
            <w:hideMark/>
          </w:tcPr>
          <w:p w14:paraId="3461B8F8" w14:textId="77777777" w:rsidR="00117702" w:rsidRPr="00117702" w:rsidRDefault="00117702" w:rsidP="00117702">
            <w:pPr>
              <w:jc w:val="center"/>
              <w:rPr>
                <w:rFonts w:ascii="Arial Narrow" w:hAnsi="Arial Narrow" w:cs="Arial"/>
                <w:spacing w:val="0"/>
                <w:sz w:val="16"/>
                <w:szCs w:val="16"/>
                <w:lang w:eastAsia="es-CO"/>
              </w:rPr>
            </w:pPr>
            <w:r w:rsidRPr="00117702">
              <w:rPr>
                <w:rFonts w:ascii="Arial Narrow" w:hAnsi="Arial Narrow" w:cs="Arial"/>
                <w:spacing w:val="0"/>
                <w:sz w:val="16"/>
                <w:szCs w:val="16"/>
                <w:lang w:eastAsia="es-CO"/>
              </w:rPr>
              <w:t>830024043</w:t>
            </w:r>
          </w:p>
        </w:tc>
        <w:tc>
          <w:tcPr>
            <w:tcW w:w="5742" w:type="dxa"/>
            <w:tcBorders>
              <w:top w:val="nil"/>
              <w:left w:val="nil"/>
              <w:bottom w:val="single" w:sz="4" w:space="0" w:color="auto"/>
              <w:right w:val="single" w:sz="4" w:space="0" w:color="auto"/>
            </w:tcBorders>
            <w:shd w:val="clear" w:color="auto" w:fill="auto"/>
            <w:vAlign w:val="center"/>
            <w:hideMark/>
          </w:tcPr>
          <w:p w14:paraId="2401D1D2"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EMERALD ENERGY PLC SUCURSAL COLOMBIA</w:t>
            </w:r>
          </w:p>
        </w:tc>
        <w:tc>
          <w:tcPr>
            <w:tcW w:w="851" w:type="dxa"/>
            <w:tcBorders>
              <w:top w:val="nil"/>
              <w:left w:val="nil"/>
              <w:bottom w:val="single" w:sz="4" w:space="0" w:color="auto"/>
              <w:right w:val="single" w:sz="4" w:space="0" w:color="auto"/>
            </w:tcBorders>
            <w:shd w:val="clear" w:color="auto" w:fill="auto"/>
            <w:noWrap/>
            <w:vAlign w:val="center"/>
            <w:hideMark/>
          </w:tcPr>
          <w:p w14:paraId="74DB22F4"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OPERATIVA</w:t>
            </w:r>
          </w:p>
        </w:tc>
        <w:tc>
          <w:tcPr>
            <w:tcW w:w="850" w:type="dxa"/>
            <w:tcBorders>
              <w:top w:val="nil"/>
              <w:left w:val="nil"/>
              <w:bottom w:val="single" w:sz="4" w:space="0" w:color="auto"/>
              <w:right w:val="single" w:sz="4" w:space="0" w:color="auto"/>
            </w:tcBorders>
            <w:shd w:val="clear" w:color="auto" w:fill="auto"/>
            <w:noWrap/>
            <w:vAlign w:val="center"/>
            <w:hideMark/>
          </w:tcPr>
          <w:p w14:paraId="15D8D74A"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GN</w:t>
            </w:r>
          </w:p>
        </w:tc>
      </w:tr>
      <w:tr w:rsidR="00117702" w:rsidRPr="00117702" w14:paraId="08624C82" w14:textId="77777777" w:rsidTr="00C23C88">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23EA32BF" w14:textId="77777777" w:rsidR="00117702" w:rsidRPr="00117702" w:rsidRDefault="00117702" w:rsidP="00117702">
            <w:pPr>
              <w:jc w:val="right"/>
              <w:rPr>
                <w:rFonts w:ascii="Arial Narrow" w:hAnsi="Arial Narrow" w:cs="Arial"/>
                <w:color w:val="000000"/>
                <w:spacing w:val="0"/>
                <w:sz w:val="16"/>
                <w:szCs w:val="16"/>
                <w:lang w:eastAsia="es-CO"/>
              </w:rPr>
            </w:pPr>
            <w:r w:rsidRPr="00117702">
              <w:rPr>
                <w:rFonts w:ascii="Arial Narrow" w:hAnsi="Arial Narrow" w:cs="Arial"/>
                <w:color w:val="000000"/>
                <w:spacing w:val="0"/>
                <w:sz w:val="16"/>
                <w:szCs w:val="16"/>
                <w:lang w:eastAsia="es-CO"/>
              </w:rPr>
              <w:t>16</w:t>
            </w:r>
          </w:p>
        </w:tc>
        <w:tc>
          <w:tcPr>
            <w:tcW w:w="879" w:type="dxa"/>
            <w:tcBorders>
              <w:top w:val="nil"/>
              <w:left w:val="nil"/>
              <w:bottom w:val="single" w:sz="4" w:space="0" w:color="auto"/>
              <w:right w:val="single" w:sz="4" w:space="0" w:color="auto"/>
            </w:tcBorders>
            <w:shd w:val="clear" w:color="auto" w:fill="auto"/>
            <w:noWrap/>
            <w:vAlign w:val="center"/>
            <w:hideMark/>
          </w:tcPr>
          <w:p w14:paraId="6AA9A0AD" w14:textId="77777777" w:rsidR="00117702" w:rsidRPr="00117702" w:rsidRDefault="00117702" w:rsidP="00117702">
            <w:pPr>
              <w:jc w:val="center"/>
              <w:rPr>
                <w:rFonts w:ascii="Arial Narrow" w:hAnsi="Arial Narrow" w:cs="Arial"/>
                <w:spacing w:val="0"/>
                <w:sz w:val="16"/>
                <w:szCs w:val="16"/>
                <w:lang w:eastAsia="es-CO"/>
              </w:rPr>
            </w:pPr>
            <w:r w:rsidRPr="00117702">
              <w:rPr>
                <w:rFonts w:ascii="Arial Narrow" w:hAnsi="Arial Narrow" w:cs="Arial"/>
                <w:spacing w:val="0"/>
                <w:sz w:val="16"/>
                <w:szCs w:val="16"/>
                <w:lang w:eastAsia="es-CO"/>
              </w:rPr>
              <w:t>900468329</w:t>
            </w:r>
          </w:p>
        </w:tc>
        <w:tc>
          <w:tcPr>
            <w:tcW w:w="5742" w:type="dxa"/>
            <w:tcBorders>
              <w:top w:val="nil"/>
              <w:left w:val="nil"/>
              <w:bottom w:val="single" w:sz="4" w:space="0" w:color="auto"/>
              <w:right w:val="single" w:sz="4" w:space="0" w:color="auto"/>
            </w:tcBorders>
            <w:shd w:val="clear" w:color="auto" w:fill="auto"/>
            <w:vAlign w:val="center"/>
            <w:hideMark/>
          </w:tcPr>
          <w:p w14:paraId="0885FE25"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TRANS  GAS  1A  SAS  E.S.P</w:t>
            </w:r>
          </w:p>
        </w:tc>
        <w:tc>
          <w:tcPr>
            <w:tcW w:w="851" w:type="dxa"/>
            <w:tcBorders>
              <w:top w:val="nil"/>
              <w:left w:val="nil"/>
              <w:bottom w:val="single" w:sz="4" w:space="0" w:color="auto"/>
              <w:right w:val="single" w:sz="4" w:space="0" w:color="auto"/>
            </w:tcBorders>
            <w:shd w:val="clear" w:color="auto" w:fill="auto"/>
            <w:noWrap/>
            <w:vAlign w:val="center"/>
            <w:hideMark/>
          </w:tcPr>
          <w:p w14:paraId="17737722"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OPERATIVA</w:t>
            </w:r>
          </w:p>
        </w:tc>
        <w:tc>
          <w:tcPr>
            <w:tcW w:w="850" w:type="dxa"/>
            <w:tcBorders>
              <w:top w:val="nil"/>
              <w:left w:val="nil"/>
              <w:bottom w:val="single" w:sz="4" w:space="0" w:color="auto"/>
              <w:right w:val="single" w:sz="4" w:space="0" w:color="auto"/>
            </w:tcBorders>
            <w:shd w:val="clear" w:color="auto" w:fill="auto"/>
            <w:noWrap/>
            <w:vAlign w:val="center"/>
            <w:hideMark/>
          </w:tcPr>
          <w:p w14:paraId="43AE14D7"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GLP</w:t>
            </w:r>
          </w:p>
        </w:tc>
      </w:tr>
      <w:tr w:rsidR="00117702" w:rsidRPr="00117702" w14:paraId="4DC5796B" w14:textId="77777777" w:rsidTr="00C23C88">
        <w:trPr>
          <w:trHeight w:val="46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3E1DC6E2" w14:textId="77777777" w:rsidR="00117702" w:rsidRPr="00117702" w:rsidRDefault="00117702" w:rsidP="00117702">
            <w:pPr>
              <w:jc w:val="right"/>
              <w:rPr>
                <w:rFonts w:ascii="Arial Narrow" w:hAnsi="Arial Narrow" w:cs="Arial"/>
                <w:color w:val="000000"/>
                <w:spacing w:val="0"/>
                <w:sz w:val="16"/>
                <w:szCs w:val="16"/>
                <w:lang w:eastAsia="es-CO"/>
              </w:rPr>
            </w:pPr>
            <w:r w:rsidRPr="00117702">
              <w:rPr>
                <w:rFonts w:ascii="Arial Narrow" w:hAnsi="Arial Narrow" w:cs="Arial"/>
                <w:color w:val="000000"/>
                <w:spacing w:val="0"/>
                <w:sz w:val="16"/>
                <w:szCs w:val="16"/>
                <w:lang w:eastAsia="es-CO"/>
              </w:rPr>
              <w:t>17</w:t>
            </w:r>
          </w:p>
        </w:tc>
        <w:tc>
          <w:tcPr>
            <w:tcW w:w="879" w:type="dxa"/>
            <w:tcBorders>
              <w:top w:val="nil"/>
              <w:left w:val="nil"/>
              <w:bottom w:val="single" w:sz="4" w:space="0" w:color="auto"/>
              <w:right w:val="single" w:sz="4" w:space="0" w:color="auto"/>
            </w:tcBorders>
            <w:shd w:val="clear" w:color="auto" w:fill="auto"/>
            <w:noWrap/>
            <w:vAlign w:val="center"/>
            <w:hideMark/>
          </w:tcPr>
          <w:p w14:paraId="176393A9" w14:textId="77777777" w:rsidR="00117702" w:rsidRPr="00117702" w:rsidRDefault="00117702" w:rsidP="00117702">
            <w:pPr>
              <w:jc w:val="center"/>
              <w:rPr>
                <w:rFonts w:ascii="Arial Narrow" w:hAnsi="Arial Narrow" w:cs="Arial"/>
                <w:spacing w:val="0"/>
                <w:sz w:val="16"/>
                <w:szCs w:val="16"/>
                <w:lang w:eastAsia="es-CO"/>
              </w:rPr>
            </w:pPr>
            <w:r w:rsidRPr="00117702">
              <w:rPr>
                <w:rFonts w:ascii="Arial Narrow" w:hAnsi="Arial Narrow" w:cs="Arial"/>
                <w:spacing w:val="0"/>
                <w:sz w:val="16"/>
                <w:szCs w:val="16"/>
                <w:lang w:eastAsia="es-CO"/>
              </w:rPr>
              <w:t>900511307</w:t>
            </w:r>
          </w:p>
        </w:tc>
        <w:tc>
          <w:tcPr>
            <w:tcW w:w="5742" w:type="dxa"/>
            <w:tcBorders>
              <w:top w:val="nil"/>
              <w:left w:val="nil"/>
              <w:bottom w:val="single" w:sz="4" w:space="0" w:color="auto"/>
              <w:right w:val="single" w:sz="4" w:space="0" w:color="auto"/>
            </w:tcBorders>
            <w:shd w:val="clear" w:color="auto" w:fill="auto"/>
            <w:vAlign w:val="center"/>
            <w:hideMark/>
          </w:tcPr>
          <w:p w14:paraId="62247FC7"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EMPRESA ASOCIATIVA DE TRABAJO PARA LA PRESTACION DEL SERVICIO DE ENERGIA ELECTRICA EN LA PARTE BAJA DE LA TOLA</w:t>
            </w:r>
          </w:p>
        </w:tc>
        <w:tc>
          <w:tcPr>
            <w:tcW w:w="851" w:type="dxa"/>
            <w:tcBorders>
              <w:top w:val="nil"/>
              <w:left w:val="nil"/>
              <w:bottom w:val="single" w:sz="4" w:space="0" w:color="auto"/>
              <w:right w:val="single" w:sz="4" w:space="0" w:color="auto"/>
            </w:tcBorders>
            <w:shd w:val="clear" w:color="auto" w:fill="auto"/>
            <w:noWrap/>
            <w:vAlign w:val="center"/>
            <w:hideMark/>
          </w:tcPr>
          <w:p w14:paraId="2D46D6C7"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OPERATIVA</w:t>
            </w:r>
          </w:p>
        </w:tc>
        <w:tc>
          <w:tcPr>
            <w:tcW w:w="850" w:type="dxa"/>
            <w:tcBorders>
              <w:top w:val="nil"/>
              <w:left w:val="nil"/>
              <w:bottom w:val="single" w:sz="4" w:space="0" w:color="auto"/>
              <w:right w:val="single" w:sz="4" w:space="0" w:color="auto"/>
            </w:tcBorders>
            <w:shd w:val="clear" w:color="auto" w:fill="auto"/>
            <w:noWrap/>
            <w:vAlign w:val="center"/>
            <w:hideMark/>
          </w:tcPr>
          <w:p w14:paraId="11AA4FD6"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EN</w:t>
            </w:r>
          </w:p>
        </w:tc>
      </w:tr>
      <w:tr w:rsidR="00117702" w:rsidRPr="00117702" w14:paraId="7C2D482F" w14:textId="77777777" w:rsidTr="00C23C88">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2BCFCBF3" w14:textId="77777777" w:rsidR="00117702" w:rsidRPr="00117702" w:rsidRDefault="00117702" w:rsidP="00117702">
            <w:pPr>
              <w:jc w:val="right"/>
              <w:rPr>
                <w:rFonts w:ascii="Arial Narrow" w:hAnsi="Arial Narrow" w:cs="Arial"/>
                <w:color w:val="000000"/>
                <w:spacing w:val="0"/>
                <w:sz w:val="16"/>
                <w:szCs w:val="16"/>
                <w:lang w:eastAsia="es-CO"/>
              </w:rPr>
            </w:pPr>
            <w:r w:rsidRPr="00117702">
              <w:rPr>
                <w:rFonts w:ascii="Arial Narrow" w:hAnsi="Arial Narrow" w:cs="Arial"/>
                <w:color w:val="000000"/>
                <w:spacing w:val="0"/>
                <w:sz w:val="16"/>
                <w:szCs w:val="16"/>
                <w:lang w:eastAsia="es-CO"/>
              </w:rPr>
              <w:t>18</w:t>
            </w:r>
          </w:p>
        </w:tc>
        <w:tc>
          <w:tcPr>
            <w:tcW w:w="879" w:type="dxa"/>
            <w:tcBorders>
              <w:top w:val="nil"/>
              <w:left w:val="nil"/>
              <w:bottom w:val="single" w:sz="4" w:space="0" w:color="auto"/>
              <w:right w:val="single" w:sz="4" w:space="0" w:color="auto"/>
            </w:tcBorders>
            <w:shd w:val="clear" w:color="auto" w:fill="auto"/>
            <w:noWrap/>
            <w:vAlign w:val="center"/>
            <w:hideMark/>
          </w:tcPr>
          <w:p w14:paraId="5DCFE717" w14:textId="77777777" w:rsidR="00117702" w:rsidRPr="00117702" w:rsidRDefault="00117702" w:rsidP="00117702">
            <w:pPr>
              <w:jc w:val="center"/>
              <w:rPr>
                <w:rFonts w:ascii="Arial Narrow" w:hAnsi="Arial Narrow" w:cs="Arial"/>
                <w:spacing w:val="0"/>
                <w:sz w:val="16"/>
                <w:szCs w:val="16"/>
                <w:lang w:eastAsia="es-CO"/>
              </w:rPr>
            </w:pPr>
            <w:r w:rsidRPr="00117702">
              <w:rPr>
                <w:rFonts w:ascii="Arial Narrow" w:hAnsi="Arial Narrow" w:cs="Arial"/>
                <w:spacing w:val="0"/>
                <w:sz w:val="16"/>
                <w:szCs w:val="16"/>
                <w:lang w:eastAsia="es-CO"/>
              </w:rPr>
              <w:t>900535311</w:t>
            </w:r>
          </w:p>
        </w:tc>
        <w:tc>
          <w:tcPr>
            <w:tcW w:w="5742" w:type="dxa"/>
            <w:tcBorders>
              <w:top w:val="nil"/>
              <w:left w:val="nil"/>
              <w:bottom w:val="single" w:sz="4" w:space="0" w:color="auto"/>
              <w:right w:val="single" w:sz="4" w:space="0" w:color="auto"/>
            </w:tcBorders>
            <w:shd w:val="clear" w:color="auto" w:fill="auto"/>
            <w:vAlign w:val="center"/>
            <w:hideMark/>
          </w:tcPr>
          <w:p w14:paraId="0BE157F1" w14:textId="77777777" w:rsidR="00117702" w:rsidRPr="00D26825" w:rsidRDefault="00117702" w:rsidP="00117702">
            <w:pPr>
              <w:jc w:val="left"/>
              <w:rPr>
                <w:rFonts w:ascii="Arial Narrow" w:hAnsi="Arial Narrow" w:cs="Arial"/>
                <w:spacing w:val="0"/>
                <w:sz w:val="16"/>
                <w:szCs w:val="16"/>
                <w:lang w:val="en-US" w:eastAsia="es-CO"/>
              </w:rPr>
            </w:pPr>
            <w:r w:rsidRPr="00D26825">
              <w:rPr>
                <w:rFonts w:ascii="Arial Narrow" w:hAnsi="Arial Narrow" w:cs="Arial"/>
                <w:spacing w:val="0"/>
                <w:sz w:val="16"/>
                <w:szCs w:val="16"/>
                <w:lang w:val="en-US" w:eastAsia="es-CO"/>
              </w:rPr>
              <w:t>OIL AND GAS ENERGY SAS ESP</w:t>
            </w:r>
          </w:p>
        </w:tc>
        <w:tc>
          <w:tcPr>
            <w:tcW w:w="851" w:type="dxa"/>
            <w:tcBorders>
              <w:top w:val="nil"/>
              <w:left w:val="nil"/>
              <w:bottom w:val="single" w:sz="4" w:space="0" w:color="auto"/>
              <w:right w:val="single" w:sz="4" w:space="0" w:color="auto"/>
            </w:tcBorders>
            <w:shd w:val="clear" w:color="auto" w:fill="auto"/>
            <w:noWrap/>
            <w:vAlign w:val="center"/>
            <w:hideMark/>
          </w:tcPr>
          <w:p w14:paraId="5EF77252"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OPERATIVA</w:t>
            </w:r>
          </w:p>
        </w:tc>
        <w:tc>
          <w:tcPr>
            <w:tcW w:w="850" w:type="dxa"/>
            <w:tcBorders>
              <w:top w:val="nil"/>
              <w:left w:val="nil"/>
              <w:bottom w:val="single" w:sz="4" w:space="0" w:color="auto"/>
              <w:right w:val="single" w:sz="4" w:space="0" w:color="auto"/>
            </w:tcBorders>
            <w:shd w:val="clear" w:color="auto" w:fill="auto"/>
            <w:noWrap/>
            <w:vAlign w:val="center"/>
            <w:hideMark/>
          </w:tcPr>
          <w:p w14:paraId="55E98F5A"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GLP-GN</w:t>
            </w:r>
          </w:p>
        </w:tc>
      </w:tr>
      <w:tr w:rsidR="00117702" w:rsidRPr="00117702" w14:paraId="540813CA" w14:textId="77777777" w:rsidTr="00C23C88">
        <w:trPr>
          <w:trHeight w:val="349"/>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703720C4" w14:textId="77777777" w:rsidR="00117702" w:rsidRPr="00117702" w:rsidRDefault="00117702" w:rsidP="00117702">
            <w:pPr>
              <w:jc w:val="right"/>
              <w:rPr>
                <w:rFonts w:ascii="Arial Narrow" w:hAnsi="Arial Narrow" w:cs="Arial"/>
                <w:color w:val="000000"/>
                <w:spacing w:val="0"/>
                <w:sz w:val="16"/>
                <w:szCs w:val="16"/>
                <w:lang w:eastAsia="es-CO"/>
              </w:rPr>
            </w:pPr>
            <w:r w:rsidRPr="00117702">
              <w:rPr>
                <w:rFonts w:ascii="Arial Narrow" w:hAnsi="Arial Narrow" w:cs="Arial"/>
                <w:color w:val="000000"/>
                <w:spacing w:val="0"/>
                <w:sz w:val="16"/>
                <w:szCs w:val="16"/>
                <w:lang w:eastAsia="es-CO"/>
              </w:rPr>
              <w:t>19</w:t>
            </w:r>
          </w:p>
        </w:tc>
        <w:tc>
          <w:tcPr>
            <w:tcW w:w="879" w:type="dxa"/>
            <w:tcBorders>
              <w:top w:val="nil"/>
              <w:left w:val="nil"/>
              <w:bottom w:val="single" w:sz="4" w:space="0" w:color="auto"/>
              <w:right w:val="single" w:sz="4" w:space="0" w:color="auto"/>
            </w:tcBorders>
            <w:shd w:val="clear" w:color="auto" w:fill="auto"/>
            <w:noWrap/>
            <w:vAlign w:val="center"/>
            <w:hideMark/>
          </w:tcPr>
          <w:p w14:paraId="0DF0FC69" w14:textId="77777777" w:rsidR="00117702" w:rsidRPr="00117702" w:rsidRDefault="00117702" w:rsidP="00117702">
            <w:pPr>
              <w:jc w:val="center"/>
              <w:rPr>
                <w:rFonts w:ascii="Arial Narrow" w:hAnsi="Arial Narrow" w:cs="Arial"/>
                <w:spacing w:val="0"/>
                <w:sz w:val="16"/>
                <w:szCs w:val="16"/>
                <w:lang w:eastAsia="es-CO"/>
              </w:rPr>
            </w:pPr>
            <w:r w:rsidRPr="00117702">
              <w:rPr>
                <w:rFonts w:ascii="Arial Narrow" w:hAnsi="Arial Narrow" w:cs="Arial"/>
                <w:spacing w:val="0"/>
                <w:sz w:val="16"/>
                <w:szCs w:val="16"/>
                <w:lang w:eastAsia="es-CO"/>
              </w:rPr>
              <w:t>829003728</w:t>
            </w:r>
          </w:p>
        </w:tc>
        <w:tc>
          <w:tcPr>
            <w:tcW w:w="5742" w:type="dxa"/>
            <w:tcBorders>
              <w:top w:val="nil"/>
              <w:left w:val="nil"/>
              <w:bottom w:val="single" w:sz="4" w:space="0" w:color="auto"/>
              <w:right w:val="single" w:sz="4" w:space="0" w:color="auto"/>
            </w:tcBorders>
            <w:shd w:val="clear" w:color="auto" w:fill="auto"/>
            <w:vAlign w:val="center"/>
            <w:hideMark/>
          </w:tcPr>
          <w:p w14:paraId="71100FB3"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COLOMBIANA DE SERVICIOS PUBLICOS SAS ESP - COLSERPU SAS ESP</w:t>
            </w:r>
          </w:p>
        </w:tc>
        <w:tc>
          <w:tcPr>
            <w:tcW w:w="851" w:type="dxa"/>
            <w:tcBorders>
              <w:top w:val="nil"/>
              <w:left w:val="nil"/>
              <w:bottom w:val="single" w:sz="4" w:space="0" w:color="auto"/>
              <w:right w:val="single" w:sz="4" w:space="0" w:color="auto"/>
            </w:tcBorders>
            <w:shd w:val="clear" w:color="auto" w:fill="auto"/>
            <w:noWrap/>
            <w:vAlign w:val="center"/>
            <w:hideMark/>
          </w:tcPr>
          <w:p w14:paraId="103731C7"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OPERATIVA</w:t>
            </w:r>
          </w:p>
        </w:tc>
        <w:tc>
          <w:tcPr>
            <w:tcW w:w="850" w:type="dxa"/>
            <w:tcBorders>
              <w:top w:val="nil"/>
              <w:left w:val="nil"/>
              <w:bottom w:val="single" w:sz="4" w:space="0" w:color="auto"/>
              <w:right w:val="single" w:sz="4" w:space="0" w:color="auto"/>
            </w:tcBorders>
            <w:shd w:val="clear" w:color="auto" w:fill="auto"/>
            <w:noWrap/>
            <w:vAlign w:val="center"/>
            <w:hideMark/>
          </w:tcPr>
          <w:p w14:paraId="307D5A90"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GLP</w:t>
            </w:r>
          </w:p>
        </w:tc>
      </w:tr>
      <w:tr w:rsidR="00117702" w:rsidRPr="00117702" w14:paraId="5CE76C9C" w14:textId="77777777" w:rsidTr="00C23C88">
        <w:trPr>
          <w:trHeight w:val="46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54EBFF2D" w14:textId="77777777" w:rsidR="00117702" w:rsidRPr="00117702" w:rsidRDefault="00117702" w:rsidP="00117702">
            <w:pPr>
              <w:jc w:val="right"/>
              <w:rPr>
                <w:rFonts w:ascii="Arial Narrow" w:hAnsi="Arial Narrow" w:cs="Arial"/>
                <w:color w:val="000000"/>
                <w:spacing w:val="0"/>
                <w:sz w:val="16"/>
                <w:szCs w:val="16"/>
                <w:lang w:eastAsia="es-CO"/>
              </w:rPr>
            </w:pPr>
            <w:r w:rsidRPr="00117702">
              <w:rPr>
                <w:rFonts w:ascii="Arial Narrow" w:hAnsi="Arial Narrow" w:cs="Arial"/>
                <w:color w:val="000000"/>
                <w:spacing w:val="0"/>
                <w:sz w:val="16"/>
                <w:szCs w:val="16"/>
                <w:lang w:eastAsia="es-CO"/>
              </w:rPr>
              <w:t>20</w:t>
            </w:r>
          </w:p>
        </w:tc>
        <w:tc>
          <w:tcPr>
            <w:tcW w:w="879" w:type="dxa"/>
            <w:tcBorders>
              <w:top w:val="nil"/>
              <w:left w:val="nil"/>
              <w:bottom w:val="single" w:sz="4" w:space="0" w:color="auto"/>
              <w:right w:val="single" w:sz="4" w:space="0" w:color="auto"/>
            </w:tcBorders>
            <w:shd w:val="clear" w:color="auto" w:fill="auto"/>
            <w:noWrap/>
            <w:vAlign w:val="center"/>
            <w:hideMark/>
          </w:tcPr>
          <w:p w14:paraId="7CA95688" w14:textId="77777777" w:rsidR="00117702" w:rsidRPr="00117702" w:rsidRDefault="00117702" w:rsidP="00117702">
            <w:pPr>
              <w:jc w:val="center"/>
              <w:rPr>
                <w:rFonts w:ascii="Arial Narrow" w:hAnsi="Arial Narrow" w:cs="Arial"/>
                <w:spacing w:val="0"/>
                <w:sz w:val="16"/>
                <w:szCs w:val="16"/>
                <w:lang w:eastAsia="es-CO"/>
              </w:rPr>
            </w:pPr>
            <w:r w:rsidRPr="00117702">
              <w:rPr>
                <w:rFonts w:ascii="Arial Narrow" w:hAnsi="Arial Narrow" w:cs="Arial"/>
                <w:spacing w:val="0"/>
                <w:sz w:val="16"/>
                <w:szCs w:val="16"/>
                <w:lang w:eastAsia="es-CO"/>
              </w:rPr>
              <w:t>900534991</w:t>
            </w:r>
          </w:p>
        </w:tc>
        <w:tc>
          <w:tcPr>
            <w:tcW w:w="5742" w:type="dxa"/>
            <w:tcBorders>
              <w:top w:val="nil"/>
              <w:left w:val="nil"/>
              <w:bottom w:val="single" w:sz="4" w:space="0" w:color="auto"/>
              <w:right w:val="single" w:sz="4" w:space="0" w:color="auto"/>
            </w:tcBorders>
            <w:shd w:val="clear" w:color="auto" w:fill="auto"/>
            <w:vAlign w:val="center"/>
            <w:hideMark/>
          </w:tcPr>
          <w:p w14:paraId="0769A2E9"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ASOCIACION DE USUARIOS DE SERVICIOS PUBLICOS DE LAS COMUNIDADES DE LA ZONA SUR DEL MUNICIPIO DE BAJO BAUDO</w:t>
            </w:r>
          </w:p>
        </w:tc>
        <w:tc>
          <w:tcPr>
            <w:tcW w:w="851" w:type="dxa"/>
            <w:tcBorders>
              <w:top w:val="nil"/>
              <w:left w:val="nil"/>
              <w:bottom w:val="single" w:sz="4" w:space="0" w:color="auto"/>
              <w:right w:val="single" w:sz="4" w:space="0" w:color="auto"/>
            </w:tcBorders>
            <w:shd w:val="clear" w:color="auto" w:fill="auto"/>
            <w:noWrap/>
            <w:vAlign w:val="center"/>
            <w:hideMark/>
          </w:tcPr>
          <w:p w14:paraId="7A9B6FBA"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OPERATIVA</w:t>
            </w:r>
          </w:p>
        </w:tc>
        <w:tc>
          <w:tcPr>
            <w:tcW w:w="850" w:type="dxa"/>
            <w:tcBorders>
              <w:top w:val="nil"/>
              <w:left w:val="nil"/>
              <w:bottom w:val="single" w:sz="4" w:space="0" w:color="auto"/>
              <w:right w:val="single" w:sz="4" w:space="0" w:color="auto"/>
            </w:tcBorders>
            <w:shd w:val="clear" w:color="auto" w:fill="auto"/>
            <w:noWrap/>
            <w:vAlign w:val="center"/>
            <w:hideMark/>
          </w:tcPr>
          <w:p w14:paraId="381A1D6B"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EN</w:t>
            </w:r>
          </w:p>
        </w:tc>
      </w:tr>
      <w:tr w:rsidR="00117702" w:rsidRPr="00117702" w14:paraId="08776EE0" w14:textId="77777777" w:rsidTr="00C23C88">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353E753D" w14:textId="77777777" w:rsidR="00117702" w:rsidRPr="00117702" w:rsidRDefault="00117702" w:rsidP="00117702">
            <w:pPr>
              <w:jc w:val="right"/>
              <w:rPr>
                <w:rFonts w:ascii="Arial Narrow" w:hAnsi="Arial Narrow" w:cs="Arial"/>
                <w:color w:val="000000"/>
                <w:spacing w:val="0"/>
                <w:sz w:val="16"/>
                <w:szCs w:val="16"/>
                <w:lang w:eastAsia="es-CO"/>
              </w:rPr>
            </w:pPr>
            <w:r w:rsidRPr="00117702">
              <w:rPr>
                <w:rFonts w:ascii="Arial Narrow" w:hAnsi="Arial Narrow" w:cs="Arial"/>
                <w:color w:val="000000"/>
                <w:spacing w:val="0"/>
                <w:sz w:val="16"/>
                <w:szCs w:val="16"/>
                <w:lang w:eastAsia="es-CO"/>
              </w:rPr>
              <w:t>21</w:t>
            </w:r>
          </w:p>
        </w:tc>
        <w:tc>
          <w:tcPr>
            <w:tcW w:w="879" w:type="dxa"/>
            <w:tcBorders>
              <w:top w:val="nil"/>
              <w:left w:val="nil"/>
              <w:bottom w:val="single" w:sz="4" w:space="0" w:color="auto"/>
              <w:right w:val="single" w:sz="4" w:space="0" w:color="auto"/>
            </w:tcBorders>
            <w:shd w:val="clear" w:color="auto" w:fill="auto"/>
            <w:noWrap/>
            <w:vAlign w:val="center"/>
            <w:hideMark/>
          </w:tcPr>
          <w:p w14:paraId="38247376" w14:textId="77777777" w:rsidR="00117702" w:rsidRPr="00117702" w:rsidRDefault="00117702" w:rsidP="00117702">
            <w:pPr>
              <w:jc w:val="center"/>
              <w:rPr>
                <w:rFonts w:ascii="Arial Narrow" w:hAnsi="Arial Narrow" w:cs="Arial"/>
                <w:spacing w:val="0"/>
                <w:sz w:val="16"/>
                <w:szCs w:val="16"/>
                <w:lang w:eastAsia="es-CO"/>
              </w:rPr>
            </w:pPr>
            <w:r w:rsidRPr="00117702">
              <w:rPr>
                <w:rFonts w:ascii="Arial Narrow" w:hAnsi="Arial Narrow" w:cs="Arial"/>
                <w:spacing w:val="0"/>
                <w:sz w:val="16"/>
                <w:szCs w:val="16"/>
                <w:lang w:eastAsia="es-CO"/>
              </w:rPr>
              <w:t>900234303</w:t>
            </w:r>
          </w:p>
        </w:tc>
        <w:tc>
          <w:tcPr>
            <w:tcW w:w="5742" w:type="dxa"/>
            <w:tcBorders>
              <w:top w:val="nil"/>
              <w:left w:val="nil"/>
              <w:bottom w:val="single" w:sz="4" w:space="0" w:color="auto"/>
              <w:right w:val="single" w:sz="4" w:space="0" w:color="auto"/>
            </w:tcBorders>
            <w:shd w:val="clear" w:color="auto" w:fill="auto"/>
            <w:vAlign w:val="center"/>
            <w:hideMark/>
          </w:tcPr>
          <w:p w14:paraId="696E4896"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UNIVERSAL DE SERVICIOS PUBLICOS SA ESP</w:t>
            </w:r>
          </w:p>
        </w:tc>
        <w:tc>
          <w:tcPr>
            <w:tcW w:w="851" w:type="dxa"/>
            <w:tcBorders>
              <w:top w:val="nil"/>
              <w:left w:val="nil"/>
              <w:bottom w:val="single" w:sz="4" w:space="0" w:color="auto"/>
              <w:right w:val="single" w:sz="4" w:space="0" w:color="auto"/>
            </w:tcBorders>
            <w:shd w:val="clear" w:color="auto" w:fill="auto"/>
            <w:noWrap/>
            <w:vAlign w:val="center"/>
            <w:hideMark/>
          </w:tcPr>
          <w:p w14:paraId="46E390B6"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OPERATIVA</w:t>
            </w:r>
          </w:p>
        </w:tc>
        <w:tc>
          <w:tcPr>
            <w:tcW w:w="850" w:type="dxa"/>
            <w:tcBorders>
              <w:top w:val="nil"/>
              <w:left w:val="nil"/>
              <w:bottom w:val="single" w:sz="4" w:space="0" w:color="auto"/>
              <w:right w:val="single" w:sz="4" w:space="0" w:color="auto"/>
            </w:tcBorders>
            <w:shd w:val="clear" w:color="auto" w:fill="auto"/>
            <w:noWrap/>
            <w:vAlign w:val="center"/>
            <w:hideMark/>
          </w:tcPr>
          <w:p w14:paraId="23337760"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GN</w:t>
            </w:r>
          </w:p>
        </w:tc>
      </w:tr>
      <w:tr w:rsidR="00117702" w:rsidRPr="00117702" w14:paraId="5B44D6E4" w14:textId="77777777" w:rsidTr="00C23C88">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68E54869" w14:textId="77777777" w:rsidR="00117702" w:rsidRPr="00117702" w:rsidRDefault="00117702" w:rsidP="00117702">
            <w:pPr>
              <w:jc w:val="right"/>
              <w:rPr>
                <w:rFonts w:ascii="Arial Narrow" w:hAnsi="Arial Narrow" w:cs="Arial"/>
                <w:color w:val="000000"/>
                <w:spacing w:val="0"/>
                <w:sz w:val="16"/>
                <w:szCs w:val="16"/>
                <w:lang w:eastAsia="es-CO"/>
              </w:rPr>
            </w:pPr>
            <w:r w:rsidRPr="00117702">
              <w:rPr>
                <w:rFonts w:ascii="Arial Narrow" w:hAnsi="Arial Narrow" w:cs="Arial"/>
                <w:color w:val="000000"/>
                <w:spacing w:val="0"/>
                <w:sz w:val="16"/>
                <w:szCs w:val="16"/>
                <w:lang w:eastAsia="es-CO"/>
              </w:rPr>
              <w:t>22</w:t>
            </w:r>
          </w:p>
        </w:tc>
        <w:tc>
          <w:tcPr>
            <w:tcW w:w="879" w:type="dxa"/>
            <w:tcBorders>
              <w:top w:val="nil"/>
              <w:left w:val="nil"/>
              <w:bottom w:val="single" w:sz="4" w:space="0" w:color="auto"/>
              <w:right w:val="single" w:sz="4" w:space="0" w:color="auto"/>
            </w:tcBorders>
            <w:shd w:val="clear" w:color="auto" w:fill="auto"/>
            <w:noWrap/>
            <w:vAlign w:val="center"/>
            <w:hideMark/>
          </w:tcPr>
          <w:p w14:paraId="3F17D776" w14:textId="77777777" w:rsidR="00117702" w:rsidRPr="00117702" w:rsidRDefault="00117702" w:rsidP="00117702">
            <w:pPr>
              <w:jc w:val="center"/>
              <w:rPr>
                <w:rFonts w:ascii="Arial Narrow" w:hAnsi="Arial Narrow" w:cs="Arial"/>
                <w:spacing w:val="0"/>
                <w:sz w:val="16"/>
                <w:szCs w:val="16"/>
                <w:lang w:eastAsia="es-CO"/>
              </w:rPr>
            </w:pPr>
            <w:r w:rsidRPr="00117702">
              <w:rPr>
                <w:rFonts w:ascii="Arial Narrow" w:hAnsi="Arial Narrow" w:cs="Arial"/>
                <w:spacing w:val="0"/>
                <w:sz w:val="16"/>
                <w:szCs w:val="16"/>
                <w:lang w:eastAsia="es-CO"/>
              </w:rPr>
              <w:t>900104187</w:t>
            </w:r>
          </w:p>
        </w:tc>
        <w:tc>
          <w:tcPr>
            <w:tcW w:w="5742" w:type="dxa"/>
            <w:tcBorders>
              <w:top w:val="nil"/>
              <w:left w:val="nil"/>
              <w:bottom w:val="single" w:sz="4" w:space="0" w:color="auto"/>
              <w:right w:val="single" w:sz="4" w:space="0" w:color="auto"/>
            </w:tcBorders>
            <w:shd w:val="clear" w:color="auto" w:fill="auto"/>
            <w:vAlign w:val="center"/>
            <w:hideMark/>
          </w:tcPr>
          <w:p w14:paraId="10B19240"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SAAHGAS INTER CONSTRUCTORA S.A ESP</w:t>
            </w:r>
          </w:p>
        </w:tc>
        <w:tc>
          <w:tcPr>
            <w:tcW w:w="851" w:type="dxa"/>
            <w:tcBorders>
              <w:top w:val="nil"/>
              <w:left w:val="nil"/>
              <w:bottom w:val="single" w:sz="4" w:space="0" w:color="auto"/>
              <w:right w:val="single" w:sz="4" w:space="0" w:color="auto"/>
            </w:tcBorders>
            <w:shd w:val="clear" w:color="auto" w:fill="auto"/>
            <w:noWrap/>
            <w:vAlign w:val="center"/>
            <w:hideMark/>
          </w:tcPr>
          <w:p w14:paraId="07446690"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OPERATIVA</w:t>
            </w:r>
          </w:p>
        </w:tc>
        <w:tc>
          <w:tcPr>
            <w:tcW w:w="850" w:type="dxa"/>
            <w:tcBorders>
              <w:top w:val="nil"/>
              <w:left w:val="nil"/>
              <w:bottom w:val="single" w:sz="4" w:space="0" w:color="auto"/>
              <w:right w:val="single" w:sz="4" w:space="0" w:color="auto"/>
            </w:tcBorders>
            <w:shd w:val="clear" w:color="auto" w:fill="auto"/>
            <w:noWrap/>
            <w:vAlign w:val="center"/>
            <w:hideMark/>
          </w:tcPr>
          <w:p w14:paraId="661F5676"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GN</w:t>
            </w:r>
          </w:p>
        </w:tc>
      </w:tr>
      <w:tr w:rsidR="00117702" w:rsidRPr="00117702" w14:paraId="4BD4F17D" w14:textId="77777777" w:rsidTr="00C23C88">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7AF4C37D" w14:textId="77777777" w:rsidR="00117702" w:rsidRPr="00117702" w:rsidRDefault="00117702" w:rsidP="00117702">
            <w:pPr>
              <w:jc w:val="right"/>
              <w:rPr>
                <w:rFonts w:ascii="Arial Narrow" w:hAnsi="Arial Narrow" w:cs="Arial"/>
                <w:color w:val="000000"/>
                <w:spacing w:val="0"/>
                <w:sz w:val="16"/>
                <w:szCs w:val="16"/>
                <w:lang w:eastAsia="es-CO"/>
              </w:rPr>
            </w:pPr>
            <w:r w:rsidRPr="00117702">
              <w:rPr>
                <w:rFonts w:ascii="Arial Narrow" w:hAnsi="Arial Narrow" w:cs="Arial"/>
                <w:color w:val="000000"/>
                <w:spacing w:val="0"/>
                <w:sz w:val="16"/>
                <w:szCs w:val="16"/>
                <w:lang w:eastAsia="es-CO"/>
              </w:rPr>
              <w:t>23</w:t>
            </w:r>
          </w:p>
        </w:tc>
        <w:tc>
          <w:tcPr>
            <w:tcW w:w="879" w:type="dxa"/>
            <w:tcBorders>
              <w:top w:val="nil"/>
              <w:left w:val="nil"/>
              <w:bottom w:val="single" w:sz="4" w:space="0" w:color="auto"/>
              <w:right w:val="single" w:sz="4" w:space="0" w:color="auto"/>
            </w:tcBorders>
            <w:shd w:val="clear" w:color="auto" w:fill="auto"/>
            <w:noWrap/>
            <w:vAlign w:val="center"/>
            <w:hideMark/>
          </w:tcPr>
          <w:p w14:paraId="1AFC8A5F" w14:textId="77777777" w:rsidR="00117702" w:rsidRPr="00117702" w:rsidRDefault="00117702" w:rsidP="00117702">
            <w:pPr>
              <w:jc w:val="center"/>
              <w:rPr>
                <w:rFonts w:ascii="Arial Narrow" w:hAnsi="Arial Narrow" w:cs="Arial"/>
                <w:spacing w:val="0"/>
                <w:sz w:val="16"/>
                <w:szCs w:val="16"/>
                <w:lang w:eastAsia="es-CO"/>
              </w:rPr>
            </w:pPr>
            <w:r w:rsidRPr="00117702">
              <w:rPr>
                <w:rFonts w:ascii="Arial Narrow" w:hAnsi="Arial Narrow" w:cs="Arial"/>
                <w:spacing w:val="0"/>
                <w:sz w:val="16"/>
                <w:szCs w:val="16"/>
                <w:lang w:eastAsia="es-CO"/>
              </w:rPr>
              <w:t>900653907</w:t>
            </w:r>
          </w:p>
        </w:tc>
        <w:tc>
          <w:tcPr>
            <w:tcW w:w="5742" w:type="dxa"/>
            <w:tcBorders>
              <w:top w:val="nil"/>
              <w:left w:val="nil"/>
              <w:bottom w:val="single" w:sz="4" w:space="0" w:color="auto"/>
              <w:right w:val="single" w:sz="4" w:space="0" w:color="auto"/>
            </w:tcBorders>
            <w:shd w:val="clear" w:color="auto" w:fill="auto"/>
            <w:vAlign w:val="center"/>
            <w:hideMark/>
          </w:tcPr>
          <w:p w14:paraId="65553101"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ECOMAX ENERGY S.A.S. E.S.P.</w:t>
            </w:r>
          </w:p>
        </w:tc>
        <w:tc>
          <w:tcPr>
            <w:tcW w:w="851" w:type="dxa"/>
            <w:tcBorders>
              <w:top w:val="nil"/>
              <w:left w:val="nil"/>
              <w:bottom w:val="single" w:sz="4" w:space="0" w:color="auto"/>
              <w:right w:val="single" w:sz="4" w:space="0" w:color="auto"/>
            </w:tcBorders>
            <w:shd w:val="clear" w:color="auto" w:fill="auto"/>
            <w:noWrap/>
            <w:vAlign w:val="center"/>
            <w:hideMark/>
          </w:tcPr>
          <w:p w14:paraId="1045F30B"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OPERATIVA</w:t>
            </w:r>
          </w:p>
        </w:tc>
        <w:tc>
          <w:tcPr>
            <w:tcW w:w="850" w:type="dxa"/>
            <w:tcBorders>
              <w:top w:val="nil"/>
              <w:left w:val="nil"/>
              <w:bottom w:val="single" w:sz="4" w:space="0" w:color="auto"/>
              <w:right w:val="single" w:sz="4" w:space="0" w:color="auto"/>
            </w:tcBorders>
            <w:shd w:val="clear" w:color="auto" w:fill="auto"/>
            <w:noWrap/>
            <w:vAlign w:val="center"/>
            <w:hideMark/>
          </w:tcPr>
          <w:p w14:paraId="6689B440"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GLP-GN</w:t>
            </w:r>
          </w:p>
        </w:tc>
      </w:tr>
      <w:tr w:rsidR="00117702" w:rsidRPr="00117702" w14:paraId="416A0208" w14:textId="77777777" w:rsidTr="00C23C88">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43411403" w14:textId="77777777" w:rsidR="00117702" w:rsidRPr="00117702" w:rsidRDefault="00117702" w:rsidP="00117702">
            <w:pPr>
              <w:jc w:val="right"/>
              <w:rPr>
                <w:rFonts w:ascii="Arial Narrow" w:hAnsi="Arial Narrow" w:cs="Arial"/>
                <w:color w:val="000000"/>
                <w:spacing w:val="0"/>
                <w:sz w:val="16"/>
                <w:szCs w:val="16"/>
                <w:lang w:eastAsia="es-CO"/>
              </w:rPr>
            </w:pPr>
            <w:r w:rsidRPr="00117702">
              <w:rPr>
                <w:rFonts w:ascii="Arial Narrow" w:hAnsi="Arial Narrow" w:cs="Arial"/>
                <w:color w:val="000000"/>
                <w:spacing w:val="0"/>
                <w:sz w:val="16"/>
                <w:szCs w:val="16"/>
                <w:lang w:eastAsia="es-CO"/>
              </w:rPr>
              <w:t>24</w:t>
            </w:r>
          </w:p>
        </w:tc>
        <w:tc>
          <w:tcPr>
            <w:tcW w:w="879" w:type="dxa"/>
            <w:tcBorders>
              <w:top w:val="nil"/>
              <w:left w:val="nil"/>
              <w:bottom w:val="single" w:sz="4" w:space="0" w:color="auto"/>
              <w:right w:val="single" w:sz="4" w:space="0" w:color="auto"/>
            </w:tcBorders>
            <w:shd w:val="clear" w:color="auto" w:fill="auto"/>
            <w:noWrap/>
            <w:vAlign w:val="center"/>
            <w:hideMark/>
          </w:tcPr>
          <w:p w14:paraId="32A99B7F" w14:textId="77777777" w:rsidR="00117702" w:rsidRPr="00117702" w:rsidRDefault="00117702" w:rsidP="00117702">
            <w:pPr>
              <w:jc w:val="center"/>
              <w:rPr>
                <w:rFonts w:ascii="Arial Narrow" w:hAnsi="Arial Narrow" w:cs="Arial"/>
                <w:spacing w:val="0"/>
                <w:sz w:val="16"/>
                <w:szCs w:val="16"/>
                <w:lang w:eastAsia="es-CO"/>
              </w:rPr>
            </w:pPr>
            <w:r w:rsidRPr="00117702">
              <w:rPr>
                <w:rFonts w:ascii="Arial Narrow" w:hAnsi="Arial Narrow" w:cs="Arial"/>
                <w:spacing w:val="0"/>
                <w:sz w:val="16"/>
                <w:szCs w:val="16"/>
                <w:lang w:eastAsia="es-CO"/>
              </w:rPr>
              <w:t>900067743</w:t>
            </w:r>
          </w:p>
        </w:tc>
        <w:tc>
          <w:tcPr>
            <w:tcW w:w="5742" w:type="dxa"/>
            <w:tcBorders>
              <w:top w:val="nil"/>
              <w:left w:val="nil"/>
              <w:bottom w:val="single" w:sz="4" w:space="0" w:color="auto"/>
              <w:right w:val="single" w:sz="4" w:space="0" w:color="auto"/>
            </w:tcBorders>
            <w:shd w:val="clear" w:color="auto" w:fill="auto"/>
            <w:vAlign w:val="center"/>
            <w:hideMark/>
          </w:tcPr>
          <w:p w14:paraId="2FBF19E6"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OPERACION ENERGIA Y GAS S.A.S. ESP</w:t>
            </w:r>
          </w:p>
        </w:tc>
        <w:tc>
          <w:tcPr>
            <w:tcW w:w="851" w:type="dxa"/>
            <w:tcBorders>
              <w:top w:val="nil"/>
              <w:left w:val="nil"/>
              <w:bottom w:val="single" w:sz="4" w:space="0" w:color="auto"/>
              <w:right w:val="single" w:sz="4" w:space="0" w:color="auto"/>
            </w:tcBorders>
            <w:shd w:val="clear" w:color="auto" w:fill="auto"/>
            <w:noWrap/>
            <w:vAlign w:val="center"/>
            <w:hideMark/>
          </w:tcPr>
          <w:p w14:paraId="51516053"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OPERATIVA</w:t>
            </w:r>
          </w:p>
        </w:tc>
        <w:tc>
          <w:tcPr>
            <w:tcW w:w="850" w:type="dxa"/>
            <w:tcBorders>
              <w:top w:val="nil"/>
              <w:left w:val="nil"/>
              <w:bottom w:val="single" w:sz="4" w:space="0" w:color="auto"/>
              <w:right w:val="single" w:sz="4" w:space="0" w:color="auto"/>
            </w:tcBorders>
            <w:shd w:val="clear" w:color="auto" w:fill="auto"/>
            <w:noWrap/>
            <w:vAlign w:val="center"/>
            <w:hideMark/>
          </w:tcPr>
          <w:p w14:paraId="39E92CD7"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GN</w:t>
            </w:r>
          </w:p>
        </w:tc>
      </w:tr>
      <w:tr w:rsidR="00117702" w:rsidRPr="00117702" w14:paraId="5F59AC65" w14:textId="77777777" w:rsidTr="00C23C88">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1ADCC327" w14:textId="77777777" w:rsidR="00117702" w:rsidRPr="00117702" w:rsidRDefault="00117702" w:rsidP="00117702">
            <w:pPr>
              <w:jc w:val="right"/>
              <w:rPr>
                <w:rFonts w:ascii="Arial Narrow" w:hAnsi="Arial Narrow" w:cs="Arial"/>
                <w:color w:val="000000"/>
                <w:spacing w:val="0"/>
                <w:sz w:val="16"/>
                <w:szCs w:val="16"/>
                <w:lang w:eastAsia="es-CO"/>
              </w:rPr>
            </w:pPr>
            <w:r w:rsidRPr="00117702">
              <w:rPr>
                <w:rFonts w:ascii="Arial Narrow" w:hAnsi="Arial Narrow" w:cs="Arial"/>
                <w:color w:val="000000"/>
                <w:spacing w:val="0"/>
                <w:sz w:val="16"/>
                <w:szCs w:val="16"/>
                <w:lang w:eastAsia="es-CO"/>
              </w:rPr>
              <w:t>25</w:t>
            </w:r>
          </w:p>
        </w:tc>
        <w:tc>
          <w:tcPr>
            <w:tcW w:w="879" w:type="dxa"/>
            <w:tcBorders>
              <w:top w:val="nil"/>
              <w:left w:val="nil"/>
              <w:bottom w:val="single" w:sz="4" w:space="0" w:color="auto"/>
              <w:right w:val="single" w:sz="4" w:space="0" w:color="auto"/>
            </w:tcBorders>
            <w:shd w:val="clear" w:color="auto" w:fill="auto"/>
            <w:noWrap/>
            <w:vAlign w:val="center"/>
            <w:hideMark/>
          </w:tcPr>
          <w:p w14:paraId="22376545" w14:textId="77777777" w:rsidR="00117702" w:rsidRPr="00117702" w:rsidRDefault="00117702" w:rsidP="00117702">
            <w:pPr>
              <w:jc w:val="center"/>
              <w:rPr>
                <w:rFonts w:ascii="Arial Narrow" w:hAnsi="Arial Narrow" w:cs="Arial"/>
                <w:spacing w:val="0"/>
                <w:sz w:val="16"/>
                <w:szCs w:val="16"/>
                <w:lang w:eastAsia="es-CO"/>
              </w:rPr>
            </w:pPr>
            <w:r w:rsidRPr="00117702">
              <w:rPr>
                <w:rFonts w:ascii="Arial Narrow" w:hAnsi="Arial Narrow" w:cs="Arial"/>
                <w:spacing w:val="0"/>
                <w:sz w:val="16"/>
                <w:szCs w:val="16"/>
                <w:lang w:eastAsia="es-CO"/>
              </w:rPr>
              <w:t>900773954</w:t>
            </w:r>
          </w:p>
        </w:tc>
        <w:tc>
          <w:tcPr>
            <w:tcW w:w="5742" w:type="dxa"/>
            <w:tcBorders>
              <w:top w:val="nil"/>
              <w:left w:val="nil"/>
              <w:bottom w:val="single" w:sz="4" w:space="0" w:color="auto"/>
              <w:right w:val="single" w:sz="4" w:space="0" w:color="auto"/>
            </w:tcBorders>
            <w:shd w:val="clear" w:color="auto" w:fill="auto"/>
            <w:vAlign w:val="center"/>
            <w:hideMark/>
          </w:tcPr>
          <w:p w14:paraId="4234C116" w14:textId="77777777" w:rsidR="00117702" w:rsidRPr="00D26825" w:rsidRDefault="00117702" w:rsidP="00117702">
            <w:pPr>
              <w:jc w:val="left"/>
              <w:rPr>
                <w:rFonts w:ascii="Arial Narrow" w:hAnsi="Arial Narrow" w:cs="Arial"/>
                <w:spacing w:val="0"/>
                <w:sz w:val="16"/>
                <w:szCs w:val="16"/>
                <w:lang w:val="en-US" w:eastAsia="es-CO"/>
              </w:rPr>
            </w:pPr>
            <w:r w:rsidRPr="00D26825">
              <w:rPr>
                <w:rFonts w:ascii="Arial Narrow" w:hAnsi="Arial Narrow" w:cs="Arial"/>
                <w:spacing w:val="0"/>
                <w:sz w:val="16"/>
                <w:szCs w:val="16"/>
                <w:lang w:val="en-US" w:eastAsia="es-CO"/>
              </w:rPr>
              <w:t>GREEN COUNTRY S.A.S. E.S.P.</w:t>
            </w:r>
          </w:p>
        </w:tc>
        <w:tc>
          <w:tcPr>
            <w:tcW w:w="851" w:type="dxa"/>
            <w:tcBorders>
              <w:top w:val="nil"/>
              <w:left w:val="nil"/>
              <w:bottom w:val="single" w:sz="4" w:space="0" w:color="auto"/>
              <w:right w:val="single" w:sz="4" w:space="0" w:color="auto"/>
            </w:tcBorders>
            <w:shd w:val="clear" w:color="auto" w:fill="auto"/>
            <w:noWrap/>
            <w:vAlign w:val="center"/>
            <w:hideMark/>
          </w:tcPr>
          <w:p w14:paraId="7CE04B98"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OPERATIVA</w:t>
            </w:r>
          </w:p>
        </w:tc>
        <w:tc>
          <w:tcPr>
            <w:tcW w:w="850" w:type="dxa"/>
            <w:tcBorders>
              <w:top w:val="nil"/>
              <w:left w:val="nil"/>
              <w:bottom w:val="single" w:sz="4" w:space="0" w:color="auto"/>
              <w:right w:val="single" w:sz="4" w:space="0" w:color="auto"/>
            </w:tcBorders>
            <w:shd w:val="clear" w:color="auto" w:fill="auto"/>
            <w:noWrap/>
            <w:vAlign w:val="center"/>
            <w:hideMark/>
          </w:tcPr>
          <w:p w14:paraId="43C107EB"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GLP</w:t>
            </w:r>
          </w:p>
        </w:tc>
      </w:tr>
      <w:tr w:rsidR="00117702" w:rsidRPr="00117702" w14:paraId="55C71718" w14:textId="77777777" w:rsidTr="00C23C88">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0E37795C" w14:textId="77777777" w:rsidR="00117702" w:rsidRPr="00117702" w:rsidRDefault="00117702" w:rsidP="00117702">
            <w:pPr>
              <w:jc w:val="right"/>
              <w:rPr>
                <w:rFonts w:ascii="Arial Narrow" w:hAnsi="Arial Narrow" w:cs="Arial"/>
                <w:color w:val="000000"/>
                <w:spacing w:val="0"/>
                <w:sz w:val="16"/>
                <w:szCs w:val="16"/>
                <w:lang w:eastAsia="es-CO"/>
              </w:rPr>
            </w:pPr>
            <w:r w:rsidRPr="00117702">
              <w:rPr>
                <w:rFonts w:ascii="Arial Narrow" w:hAnsi="Arial Narrow" w:cs="Arial"/>
                <w:color w:val="000000"/>
                <w:spacing w:val="0"/>
                <w:sz w:val="16"/>
                <w:szCs w:val="16"/>
                <w:lang w:eastAsia="es-CO"/>
              </w:rPr>
              <w:t>26</w:t>
            </w:r>
          </w:p>
        </w:tc>
        <w:tc>
          <w:tcPr>
            <w:tcW w:w="879" w:type="dxa"/>
            <w:tcBorders>
              <w:top w:val="nil"/>
              <w:left w:val="nil"/>
              <w:bottom w:val="single" w:sz="4" w:space="0" w:color="auto"/>
              <w:right w:val="single" w:sz="4" w:space="0" w:color="auto"/>
            </w:tcBorders>
            <w:shd w:val="clear" w:color="auto" w:fill="auto"/>
            <w:noWrap/>
            <w:vAlign w:val="center"/>
            <w:hideMark/>
          </w:tcPr>
          <w:p w14:paraId="013769A9" w14:textId="77777777" w:rsidR="00117702" w:rsidRPr="00117702" w:rsidRDefault="00117702" w:rsidP="00117702">
            <w:pPr>
              <w:jc w:val="center"/>
              <w:rPr>
                <w:rFonts w:ascii="Arial Narrow" w:hAnsi="Arial Narrow" w:cs="Arial"/>
                <w:spacing w:val="0"/>
                <w:sz w:val="16"/>
                <w:szCs w:val="16"/>
                <w:lang w:eastAsia="es-CO"/>
              </w:rPr>
            </w:pPr>
            <w:r w:rsidRPr="00117702">
              <w:rPr>
                <w:rFonts w:ascii="Arial Narrow" w:hAnsi="Arial Narrow" w:cs="Arial"/>
                <w:spacing w:val="0"/>
                <w:sz w:val="16"/>
                <w:szCs w:val="16"/>
                <w:lang w:eastAsia="es-CO"/>
              </w:rPr>
              <w:t>900821850</w:t>
            </w:r>
          </w:p>
        </w:tc>
        <w:tc>
          <w:tcPr>
            <w:tcW w:w="5742" w:type="dxa"/>
            <w:tcBorders>
              <w:top w:val="nil"/>
              <w:left w:val="nil"/>
              <w:bottom w:val="single" w:sz="4" w:space="0" w:color="auto"/>
              <w:right w:val="single" w:sz="4" w:space="0" w:color="auto"/>
            </w:tcBorders>
            <w:shd w:val="clear" w:color="auto" w:fill="auto"/>
            <w:vAlign w:val="center"/>
            <w:hideMark/>
          </w:tcPr>
          <w:p w14:paraId="45DD2474"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GENERADORA ENERGY THOM¿S SAS ESP</w:t>
            </w:r>
          </w:p>
        </w:tc>
        <w:tc>
          <w:tcPr>
            <w:tcW w:w="851" w:type="dxa"/>
            <w:tcBorders>
              <w:top w:val="nil"/>
              <w:left w:val="nil"/>
              <w:bottom w:val="single" w:sz="4" w:space="0" w:color="auto"/>
              <w:right w:val="single" w:sz="4" w:space="0" w:color="auto"/>
            </w:tcBorders>
            <w:shd w:val="clear" w:color="auto" w:fill="auto"/>
            <w:noWrap/>
            <w:vAlign w:val="center"/>
            <w:hideMark/>
          </w:tcPr>
          <w:p w14:paraId="4FCC487D"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OPERATIVA</w:t>
            </w:r>
          </w:p>
        </w:tc>
        <w:tc>
          <w:tcPr>
            <w:tcW w:w="850" w:type="dxa"/>
            <w:tcBorders>
              <w:top w:val="nil"/>
              <w:left w:val="nil"/>
              <w:bottom w:val="single" w:sz="4" w:space="0" w:color="auto"/>
              <w:right w:val="single" w:sz="4" w:space="0" w:color="auto"/>
            </w:tcBorders>
            <w:shd w:val="clear" w:color="auto" w:fill="auto"/>
            <w:noWrap/>
            <w:vAlign w:val="center"/>
            <w:hideMark/>
          </w:tcPr>
          <w:p w14:paraId="6B05BA40"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EN</w:t>
            </w:r>
          </w:p>
        </w:tc>
      </w:tr>
      <w:tr w:rsidR="00117702" w:rsidRPr="00117702" w14:paraId="1D28F48C" w14:textId="77777777" w:rsidTr="00C23C88">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51CDD8A5" w14:textId="77777777" w:rsidR="00117702" w:rsidRPr="00117702" w:rsidRDefault="00117702" w:rsidP="00117702">
            <w:pPr>
              <w:jc w:val="right"/>
              <w:rPr>
                <w:rFonts w:ascii="Arial Narrow" w:hAnsi="Arial Narrow" w:cs="Arial"/>
                <w:color w:val="000000"/>
                <w:spacing w:val="0"/>
                <w:sz w:val="16"/>
                <w:szCs w:val="16"/>
                <w:lang w:eastAsia="es-CO"/>
              </w:rPr>
            </w:pPr>
            <w:r w:rsidRPr="00117702">
              <w:rPr>
                <w:rFonts w:ascii="Arial Narrow" w:hAnsi="Arial Narrow" w:cs="Arial"/>
                <w:color w:val="000000"/>
                <w:spacing w:val="0"/>
                <w:sz w:val="16"/>
                <w:szCs w:val="16"/>
                <w:lang w:eastAsia="es-CO"/>
              </w:rPr>
              <w:t>27</w:t>
            </w:r>
          </w:p>
        </w:tc>
        <w:tc>
          <w:tcPr>
            <w:tcW w:w="879" w:type="dxa"/>
            <w:tcBorders>
              <w:top w:val="nil"/>
              <w:left w:val="nil"/>
              <w:bottom w:val="single" w:sz="4" w:space="0" w:color="auto"/>
              <w:right w:val="single" w:sz="4" w:space="0" w:color="auto"/>
            </w:tcBorders>
            <w:shd w:val="clear" w:color="auto" w:fill="auto"/>
            <w:noWrap/>
            <w:vAlign w:val="center"/>
            <w:hideMark/>
          </w:tcPr>
          <w:p w14:paraId="60FD257B" w14:textId="77777777" w:rsidR="00117702" w:rsidRPr="00117702" w:rsidRDefault="00117702" w:rsidP="00117702">
            <w:pPr>
              <w:jc w:val="center"/>
              <w:rPr>
                <w:rFonts w:ascii="Arial Narrow" w:hAnsi="Arial Narrow" w:cs="Arial"/>
                <w:spacing w:val="0"/>
                <w:sz w:val="16"/>
                <w:szCs w:val="16"/>
                <w:lang w:eastAsia="es-CO"/>
              </w:rPr>
            </w:pPr>
            <w:r w:rsidRPr="00117702">
              <w:rPr>
                <w:rFonts w:ascii="Arial Narrow" w:hAnsi="Arial Narrow" w:cs="Arial"/>
                <w:spacing w:val="0"/>
                <w:sz w:val="16"/>
                <w:szCs w:val="16"/>
                <w:lang w:eastAsia="es-CO"/>
              </w:rPr>
              <w:t>900832413</w:t>
            </w:r>
          </w:p>
        </w:tc>
        <w:tc>
          <w:tcPr>
            <w:tcW w:w="5742" w:type="dxa"/>
            <w:tcBorders>
              <w:top w:val="nil"/>
              <w:left w:val="nil"/>
              <w:bottom w:val="single" w:sz="4" w:space="0" w:color="auto"/>
              <w:right w:val="single" w:sz="4" w:space="0" w:color="auto"/>
            </w:tcBorders>
            <w:shd w:val="clear" w:color="auto" w:fill="auto"/>
            <w:vAlign w:val="center"/>
            <w:hideMark/>
          </w:tcPr>
          <w:p w14:paraId="6A93BCF8"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GENERCOMERCIAL S.A.S. E.S.P</w:t>
            </w:r>
          </w:p>
        </w:tc>
        <w:tc>
          <w:tcPr>
            <w:tcW w:w="851" w:type="dxa"/>
            <w:tcBorders>
              <w:top w:val="nil"/>
              <w:left w:val="nil"/>
              <w:bottom w:val="single" w:sz="4" w:space="0" w:color="auto"/>
              <w:right w:val="single" w:sz="4" w:space="0" w:color="auto"/>
            </w:tcBorders>
            <w:shd w:val="clear" w:color="auto" w:fill="auto"/>
            <w:noWrap/>
            <w:vAlign w:val="center"/>
            <w:hideMark/>
          </w:tcPr>
          <w:p w14:paraId="40C55567"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OPERATIVA</w:t>
            </w:r>
          </w:p>
        </w:tc>
        <w:tc>
          <w:tcPr>
            <w:tcW w:w="850" w:type="dxa"/>
            <w:tcBorders>
              <w:top w:val="nil"/>
              <w:left w:val="nil"/>
              <w:bottom w:val="single" w:sz="4" w:space="0" w:color="auto"/>
              <w:right w:val="single" w:sz="4" w:space="0" w:color="auto"/>
            </w:tcBorders>
            <w:shd w:val="clear" w:color="auto" w:fill="auto"/>
            <w:noWrap/>
            <w:vAlign w:val="center"/>
            <w:hideMark/>
          </w:tcPr>
          <w:p w14:paraId="6D6A2C0E"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EN</w:t>
            </w:r>
          </w:p>
        </w:tc>
      </w:tr>
      <w:tr w:rsidR="00117702" w:rsidRPr="00117702" w14:paraId="63F4BEC9" w14:textId="77777777" w:rsidTr="00C23C88">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473A6238" w14:textId="77777777" w:rsidR="00117702" w:rsidRPr="00117702" w:rsidRDefault="00117702" w:rsidP="00117702">
            <w:pPr>
              <w:jc w:val="right"/>
              <w:rPr>
                <w:rFonts w:ascii="Arial Narrow" w:hAnsi="Arial Narrow" w:cs="Arial"/>
                <w:color w:val="000000"/>
                <w:spacing w:val="0"/>
                <w:sz w:val="16"/>
                <w:szCs w:val="16"/>
                <w:lang w:eastAsia="es-CO"/>
              </w:rPr>
            </w:pPr>
            <w:r w:rsidRPr="00117702">
              <w:rPr>
                <w:rFonts w:ascii="Arial Narrow" w:hAnsi="Arial Narrow" w:cs="Arial"/>
                <w:color w:val="000000"/>
                <w:spacing w:val="0"/>
                <w:sz w:val="16"/>
                <w:szCs w:val="16"/>
                <w:lang w:eastAsia="es-CO"/>
              </w:rPr>
              <w:t>28</w:t>
            </w:r>
          </w:p>
        </w:tc>
        <w:tc>
          <w:tcPr>
            <w:tcW w:w="879" w:type="dxa"/>
            <w:tcBorders>
              <w:top w:val="nil"/>
              <w:left w:val="nil"/>
              <w:bottom w:val="single" w:sz="4" w:space="0" w:color="auto"/>
              <w:right w:val="single" w:sz="4" w:space="0" w:color="auto"/>
            </w:tcBorders>
            <w:shd w:val="clear" w:color="auto" w:fill="auto"/>
            <w:noWrap/>
            <w:vAlign w:val="center"/>
            <w:hideMark/>
          </w:tcPr>
          <w:p w14:paraId="25D6E380" w14:textId="77777777" w:rsidR="00117702" w:rsidRPr="00117702" w:rsidRDefault="00117702" w:rsidP="00117702">
            <w:pPr>
              <w:jc w:val="center"/>
              <w:rPr>
                <w:rFonts w:ascii="Arial Narrow" w:hAnsi="Arial Narrow" w:cs="Arial"/>
                <w:spacing w:val="0"/>
                <w:sz w:val="16"/>
                <w:szCs w:val="16"/>
                <w:lang w:eastAsia="es-CO"/>
              </w:rPr>
            </w:pPr>
            <w:r w:rsidRPr="00117702">
              <w:rPr>
                <w:rFonts w:ascii="Arial Narrow" w:hAnsi="Arial Narrow" w:cs="Arial"/>
                <w:spacing w:val="0"/>
                <w:sz w:val="16"/>
                <w:szCs w:val="16"/>
                <w:lang w:eastAsia="es-CO"/>
              </w:rPr>
              <w:t>900820577</w:t>
            </w:r>
          </w:p>
        </w:tc>
        <w:tc>
          <w:tcPr>
            <w:tcW w:w="5742" w:type="dxa"/>
            <w:tcBorders>
              <w:top w:val="nil"/>
              <w:left w:val="nil"/>
              <w:bottom w:val="single" w:sz="4" w:space="0" w:color="auto"/>
              <w:right w:val="single" w:sz="4" w:space="0" w:color="auto"/>
            </w:tcBorders>
            <w:shd w:val="clear" w:color="auto" w:fill="auto"/>
            <w:vAlign w:val="center"/>
            <w:hideMark/>
          </w:tcPr>
          <w:p w14:paraId="3FE26138"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DAVROGAZ S.A.S.</w:t>
            </w:r>
          </w:p>
        </w:tc>
        <w:tc>
          <w:tcPr>
            <w:tcW w:w="851" w:type="dxa"/>
            <w:tcBorders>
              <w:top w:val="nil"/>
              <w:left w:val="nil"/>
              <w:bottom w:val="single" w:sz="4" w:space="0" w:color="auto"/>
              <w:right w:val="single" w:sz="4" w:space="0" w:color="auto"/>
            </w:tcBorders>
            <w:shd w:val="clear" w:color="auto" w:fill="auto"/>
            <w:noWrap/>
            <w:vAlign w:val="center"/>
            <w:hideMark/>
          </w:tcPr>
          <w:p w14:paraId="6AB87244"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OPERATIVA</w:t>
            </w:r>
          </w:p>
        </w:tc>
        <w:tc>
          <w:tcPr>
            <w:tcW w:w="850" w:type="dxa"/>
            <w:tcBorders>
              <w:top w:val="nil"/>
              <w:left w:val="nil"/>
              <w:bottom w:val="single" w:sz="4" w:space="0" w:color="auto"/>
              <w:right w:val="single" w:sz="4" w:space="0" w:color="auto"/>
            </w:tcBorders>
            <w:shd w:val="clear" w:color="auto" w:fill="auto"/>
            <w:noWrap/>
            <w:vAlign w:val="center"/>
            <w:hideMark/>
          </w:tcPr>
          <w:p w14:paraId="41047B23"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GLP</w:t>
            </w:r>
          </w:p>
        </w:tc>
      </w:tr>
      <w:tr w:rsidR="00117702" w:rsidRPr="00117702" w14:paraId="6528130A" w14:textId="77777777" w:rsidTr="00C23C88">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3F481364" w14:textId="77777777" w:rsidR="00117702" w:rsidRPr="00117702" w:rsidRDefault="00117702" w:rsidP="00117702">
            <w:pPr>
              <w:jc w:val="right"/>
              <w:rPr>
                <w:rFonts w:ascii="Arial Narrow" w:hAnsi="Arial Narrow" w:cs="Arial"/>
                <w:color w:val="000000"/>
                <w:spacing w:val="0"/>
                <w:sz w:val="16"/>
                <w:szCs w:val="16"/>
                <w:lang w:eastAsia="es-CO"/>
              </w:rPr>
            </w:pPr>
            <w:r w:rsidRPr="00117702">
              <w:rPr>
                <w:rFonts w:ascii="Arial Narrow" w:hAnsi="Arial Narrow" w:cs="Arial"/>
                <w:color w:val="000000"/>
                <w:spacing w:val="0"/>
                <w:sz w:val="16"/>
                <w:szCs w:val="16"/>
                <w:lang w:eastAsia="es-CO"/>
              </w:rPr>
              <w:t>29</w:t>
            </w:r>
          </w:p>
        </w:tc>
        <w:tc>
          <w:tcPr>
            <w:tcW w:w="879" w:type="dxa"/>
            <w:tcBorders>
              <w:top w:val="nil"/>
              <w:left w:val="nil"/>
              <w:bottom w:val="single" w:sz="4" w:space="0" w:color="auto"/>
              <w:right w:val="single" w:sz="4" w:space="0" w:color="auto"/>
            </w:tcBorders>
            <w:shd w:val="clear" w:color="auto" w:fill="auto"/>
            <w:noWrap/>
            <w:vAlign w:val="center"/>
            <w:hideMark/>
          </w:tcPr>
          <w:p w14:paraId="4B1CAC28" w14:textId="77777777" w:rsidR="00117702" w:rsidRPr="00117702" w:rsidRDefault="00117702" w:rsidP="00117702">
            <w:pPr>
              <w:jc w:val="center"/>
              <w:rPr>
                <w:rFonts w:ascii="Arial Narrow" w:hAnsi="Arial Narrow" w:cs="Arial"/>
                <w:spacing w:val="0"/>
                <w:sz w:val="16"/>
                <w:szCs w:val="16"/>
                <w:lang w:eastAsia="es-CO"/>
              </w:rPr>
            </w:pPr>
            <w:r w:rsidRPr="00117702">
              <w:rPr>
                <w:rFonts w:ascii="Arial Narrow" w:hAnsi="Arial Narrow" w:cs="Arial"/>
                <w:spacing w:val="0"/>
                <w:sz w:val="16"/>
                <w:szCs w:val="16"/>
                <w:lang w:eastAsia="es-CO"/>
              </w:rPr>
              <w:t>900867007</w:t>
            </w:r>
          </w:p>
        </w:tc>
        <w:tc>
          <w:tcPr>
            <w:tcW w:w="5742" w:type="dxa"/>
            <w:tcBorders>
              <w:top w:val="nil"/>
              <w:left w:val="nil"/>
              <w:bottom w:val="single" w:sz="4" w:space="0" w:color="auto"/>
              <w:right w:val="single" w:sz="4" w:space="0" w:color="auto"/>
            </w:tcBorders>
            <w:shd w:val="clear" w:color="auto" w:fill="auto"/>
            <w:vAlign w:val="center"/>
            <w:hideMark/>
          </w:tcPr>
          <w:p w14:paraId="260569A7"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FIELDS SA ESP</w:t>
            </w:r>
          </w:p>
        </w:tc>
        <w:tc>
          <w:tcPr>
            <w:tcW w:w="851" w:type="dxa"/>
            <w:tcBorders>
              <w:top w:val="nil"/>
              <w:left w:val="nil"/>
              <w:bottom w:val="single" w:sz="4" w:space="0" w:color="auto"/>
              <w:right w:val="single" w:sz="4" w:space="0" w:color="auto"/>
            </w:tcBorders>
            <w:shd w:val="clear" w:color="auto" w:fill="auto"/>
            <w:noWrap/>
            <w:vAlign w:val="center"/>
            <w:hideMark/>
          </w:tcPr>
          <w:p w14:paraId="38B2ED75"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OPERATIVA</w:t>
            </w:r>
          </w:p>
        </w:tc>
        <w:tc>
          <w:tcPr>
            <w:tcW w:w="850" w:type="dxa"/>
            <w:tcBorders>
              <w:top w:val="nil"/>
              <w:left w:val="nil"/>
              <w:bottom w:val="single" w:sz="4" w:space="0" w:color="auto"/>
              <w:right w:val="single" w:sz="4" w:space="0" w:color="auto"/>
            </w:tcBorders>
            <w:shd w:val="clear" w:color="auto" w:fill="auto"/>
            <w:noWrap/>
            <w:vAlign w:val="center"/>
            <w:hideMark/>
          </w:tcPr>
          <w:p w14:paraId="434C676A"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GN</w:t>
            </w:r>
          </w:p>
        </w:tc>
      </w:tr>
      <w:tr w:rsidR="00117702" w:rsidRPr="00117702" w14:paraId="3EFCC614" w14:textId="77777777" w:rsidTr="00C23C88">
        <w:trPr>
          <w:trHeight w:val="46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4D6F560D" w14:textId="77777777" w:rsidR="00117702" w:rsidRPr="00117702" w:rsidRDefault="00117702" w:rsidP="00117702">
            <w:pPr>
              <w:jc w:val="right"/>
              <w:rPr>
                <w:rFonts w:ascii="Arial Narrow" w:hAnsi="Arial Narrow" w:cs="Arial"/>
                <w:color w:val="000000"/>
                <w:spacing w:val="0"/>
                <w:sz w:val="16"/>
                <w:szCs w:val="16"/>
                <w:lang w:eastAsia="es-CO"/>
              </w:rPr>
            </w:pPr>
            <w:r w:rsidRPr="00117702">
              <w:rPr>
                <w:rFonts w:ascii="Arial Narrow" w:hAnsi="Arial Narrow" w:cs="Arial"/>
                <w:color w:val="000000"/>
                <w:spacing w:val="0"/>
                <w:sz w:val="16"/>
                <w:szCs w:val="16"/>
                <w:lang w:eastAsia="es-CO"/>
              </w:rPr>
              <w:t>30</w:t>
            </w:r>
          </w:p>
        </w:tc>
        <w:tc>
          <w:tcPr>
            <w:tcW w:w="879" w:type="dxa"/>
            <w:tcBorders>
              <w:top w:val="nil"/>
              <w:left w:val="nil"/>
              <w:bottom w:val="single" w:sz="4" w:space="0" w:color="auto"/>
              <w:right w:val="single" w:sz="4" w:space="0" w:color="auto"/>
            </w:tcBorders>
            <w:shd w:val="clear" w:color="auto" w:fill="auto"/>
            <w:noWrap/>
            <w:vAlign w:val="center"/>
            <w:hideMark/>
          </w:tcPr>
          <w:p w14:paraId="43450E62" w14:textId="77777777" w:rsidR="00117702" w:rsidRPr="00117702" w:rsidRDefault="00117702" w:rsidP="00117702">
            <w:pPr>
              <w:jc w:val="center"/>
              <w:rPr>
                <w:rFonts w:ascii="Arial Narrow" w:hAnsi="Arial Narrow" w:cs="Arial"/>
                <w:spacing w:val="0"/>
                <w:sz w:val="16"/>
                <w:szCs w:val="16"/>
                <w:lang w:eastAsia="es-CO"/>
              </w:rPr>
            </w:pPr>
            <w:r w:rsidRPr="00117702">
              <w:rPr>
                <w:rFonts w:ascii="Arial Narrow" w:hAnsi="Arial Narrow" w:cs="Arial"/>
                <w:spacing w:val="0"/>
                <w:sz w:val="16"/>
                <w:szCs w:val="16"/>
                <w:lang w:eastAsia="es-CO"/>
              </w:rPr>
              <w:t>900842868</w:t>
            </w:r>
          </w:p>
        </w:tc>
        <w:tc>
          <w:tcPr>
            <w:tcW w:w="5742" w:type="dxa"/>
            <w:tcBorders>
              <w:top w:val="nil"/>
              <w:left w:val="nil"/>
              <w:bottom w:val="single" w:sz="4" w:space="0" w:color="auto"/>
              <w:right w:val="single" w:sz="4" w:space="0" w:color="auto"/>
            </w:tcBorders>
            <w:shd w:val="clear" w:color="auto" w:fill="auto"/>
            <w:vAlign w:val="center"/>
            <w:hideMark/>
          </w:tcPr>
          <w:p w14:paraId="4B45A163"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INVERSIONES, SUMINISTROS Y SERVICIOS SAFEANA SAS EMPRESA DE SERVICIOS PUBLICOS</w:t>
            </w:r>
          </w:p>
        </w:tc>
        <w:tc>
          <w:tcPr>
            <w:tcW w:w="851" w:type="dxa"/>
            <w:tcBorders>
              <w:top w:val="nil"/>
              <w:left w:val="nil"/>
              <w:bottom w:val="single" w:sz="4" w:space="0" w:color="auto"/>
              <w:right w:val="single" w:sz="4" w:space="0" w:color="auto"/>
            </w:tcBorders>
            <w:shd w:val="clear" w:color="auto" w:fill="auto"/>
            <w:noWrap/>
            <w:vAlign w:val="center"/>
            <w:hideMark/>
          </w:tcPr>
          <w:p w14:paraId="494D405C"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OPERATIVA</w:t>
            </w:r>
          </w:p>
        </w:tc>
        <w:tc>
          <w:tcPr>
            <w:tcW w:w="850" w:type="dxa"/>
            <w:tcBorders>
              <w:top w:val="nil"/>
              <w:left w:val="nil"/>
              <w:bottom w:val="single" w:sz="4" w:space="0" w:color="auto"/>
              <w:right w:val="single" w:sz="4" w:space="0" w:color="auto"/>
            </w:tcBorders>
            <w:shd w:val="clear" w:color="auto" w:fill="auto"/>
            <w:noWrap/>
            <w:vAlign w:val="center"/>
            <w:hideMark/>
          </w:tcPr>
          <w:p w14:paraId="33AAEAC1"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EN</w:t>
            </w:r>
          </w:p>
        </w:tc>
      </w:tr>
      <w:tr w:rsidR="00117702" w:rsidRPr="00117702" w14:paraId="4029E797" w14:textId="77777777" w:rsidTr="00C23C88">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0247D08D" w14:textId="77777777" w:rsidR="00117702" w:rsidRPr="00117702" w:rsidRDefault="00117702" w:rsidP="00117702">
            <w:pPr>
              <w:jc w:val="right"/>
              <w:rPr>
                <w:rFonts w:ascii="Arial Narrow" w:hAnsi="Arial Narrow" w:cs="Arial"/>
                <w:color w:val="000000"/>
                <w:spacing w:val="0"/>
                <w:sz w:val="16"/>
                <w:szCs w:val="16"/>
                <w:lang w:eastAsia="es-CO"/>
              </w:rPr>
            </w:pPr>
            <w:r w:rsidRPr="00117702">
              <w:rPr>
                <w:rFonts w:ascii="Arial Narrow" w:hAnsi="Arial Narrow" w:cs="Arial"/>
                <w:color w:val="000000"/>
                <w:spacing w:val="0"/>
                <w:sz w:val="16"/>
                <w:szCs w:val="16"/>
                <w:lang w:eastAsia="es-CO"/>
              </w:rPr>
              <w:t>31</w:t>
            </w:r>
          </w:p>
        </w:tc>
        <w:tc>
          <w:tcPr>
            <w:tcW w:w="879" w:type="dxa"/>
            <w:tcBorders>
              <w:top w:val="nil"/>
              <w:left w:val="nil"/>
              <w:bottom w:val="single" w:sz="4" w:space="0" w:color="auto"/>
              <w:right w:val="single" w:sz="4" w:space="0" w:color="auto"/>
            </w:tcBorders>
            <w:shd w:val="clear" w:color="auto" w:fill="auto"/>
            <w:noWrap/>
            <w:vAlign w:val="center"/>
            <w:hideMark/>
          </w:tcPr>
          <w:p w14:paraId="18185830" w14:textId="77777777" w:rsidR="00117702" w:rsidRPr="00117702" w:rsidRDefault="00117702" w:rsidP="00117702">
            <w:pPr>
              <w:jc w:val="center"/>
              <w:rPr>
                <w:rFonts w:ascii="Arial Narrow" w:hAnsi="Arial Narrow" w:cs="Arial"/>
                <w:spacing w:val="0"/>
                <w:sz w:val="16"/>
                <w:szCs w:val="16"/>
                <w:lang w:eastAsia="es-CO"/>
              </w:rPr>
            </w:pPr>
            <w:r w:rsidRPr="00117702">
              <w:rPr>
                <w:rFonts w:ascii="Arial Narrow" w:hAnsi="Arial Narrow" w:cs="Arial"/>
                <w:spacing w:val="0"/>
                <w:sz w:val="16"/>
                <w:szCs w:val="16"/>
                <w:lang w:eastAsia="es-CO"/>
              </w:rPr>
              <w:t>900896360</w:t>
            </w:r>
          </w:p>
        </w:tc>
        <w:tc>
          <w:tcPr>
            <w:tcW w:w="5742" w:type="dxa"/>
            <w:tcBorders>
              <w:top w:val="nil"/>
              <w:left w:val="nil"/>
              <w:bottom w:val="single" w:sz="4" w:space="0" w:color="auto"/>
              <w:right w:val="single" w:sz="4" w:space="0" w:color="auto"/>
            </w:tcBorders>
            <w:shd w:val="clear" w:color="auto" w:fill="auto"/>
            <w:vAlign w:val="center"/>
            <w:hideMark/>
          </w:tcPr>
          <w:p w14:paraId="78FBEE4C"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COENGENERGY SAS ESP</w:t>
            </w:r>
          </w:p>
        </w:tc>
        <w:tc>
          <w:tcPr>
            <w:tcW w:w="851" w:type="dxa"/>
            <w:tcBorders>
              <w:top w:val="nil"/>
              <w:left w:val="nil"/>
              <w:bottom w:val="single" w:sz="4" w:space="0" w:color="auto"/>
              <w:right w:val="single" w:sz="4" w:space="0" w:color="auto"/>
            </w:tcBorders>
            <w:shd w:val="clear" w:color="auto" w:fill="auto"/>
            <w:noWrap/>
            <w:vAlign w:val="center"/>
            <w:hideMark/>
          </w:tcPr>
          <w:p w14:paraId="73F1C7AD"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OPERATIVA</w:t>
            </w:r>
          </w:p>
        </w:tc>
        <w:tc>
          <w:tcPr>
            <w:tcW w:w="850" w:type="dxa"/>
            <w:tcBorders>
              <w:top w:val="nil"/>
              <w:left w:val="nil"/>
              <w:bottom w:val="single" w:sz="4" w:space="0" w:color="auto"/>
              <w:right w:val="single" w:sz="4" w:space="0" w:color="auto"/>
            </w:tcBorders>
            <w:shd w:val="clear" w:color="auto" w:fill="auto"/>
            <w:noWrap/>
            <w:vAlign w:val="center"/>
            <w:hideMark/>
          </w:tcPr>
          <w:p w14:paraId="1D86319C"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GN</w:t>
            </w:r>
          </w:p>
        </w:tc>
      </w:tr>
      <w:tr w:rsidR="00117702" w:rsidRPr="00117702" w14:paraId="108F723E" w14:textId="77777777" w:rsidTr="00C23C88">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22A6755B" w14:textId="77777777" w:rsidR="00117702" w:rsidRPr="00117702" w:rsidRDefault="00117702" w:rsidP="00117702">
            <w:pPr>
              <w:jc w:val="right"/>
              <w:rPr>
                <w:rFonts w:ascii="Arial Narrow" w:hAnsi="Arial Narrow" w:cs="Arial"/>
                <w:color w:val="000000"/>
                <w:spacing w:val="0"/>
                <w:sz w:val="16"/>
                <w:szCs w:val="16"/>
                <w:lang w:eastAsia="es-CO"/>
              </w:rPr>
            </w:pPr>
            <w:r w:rsidRPr="00117702">
              <w:rPr>
                <w:rFonts w:ascii="Arial Narrow" w:hAnsi="Arial Narrow" w:cs="Arial"/>
                <w:color w:val="000000"/>
                <w:spacing w:val="0"/>
                <w:sz w:val="16"/>
                <w:szCs w:val="16"/>
                <w:lang w:eastAsia="es-CO"/>
              </w:rPr>
              <w:t>32</w:t>
            </w:r>
          </w:p>
        </w:tc>
        <w:tc>
          <w:tcPr>
            <w:tcW w:w="879" w:type="dxa"/>
            <w:tcBorders>
              <w:top w:val="nil"/>
              <w:left w:val="nil"/>
              <w:bottom w:val="single" w:sz="4" w:space="0" w:color="auto"/>
              <w:right w:val="single" w:sz="4" w:space="0" w:color="auto"/>
            </w:tcBorders>
            <w:shd w:val="clear" w:color="auto" w:fill="auto"/>
            <w:noWrap/>
            <w:vAlign w:val="center"/>
            <w:hideMark/>
          </w:tcPr>
          <w:p w14:paraId="66F0F44E" w14:textId="77777777" w:rsidR="00117702" w:rsidRPr="00117702" w:rsidRDefault="00117702" w:rsidP="00117702">
            <w:pPr>
              <w:jc w:val="center"/>
              <w:rPr>
                <w:rFonts w:ascii="Arial Narrow" w:hAnsi="Arial Narrow" w:cs="Arial"/>
                <w:spacing w:val="0"/>
                <w:sz w:val="16"/>
                <w:szCs w:val="16"/>
                <w:lang w:eastAsia="es-CO"/>
              </w:rPr>
            </w:pPr>
            <w:r w:rsidRPr="00117702">
              <w:rPr>
                <w:rFonts w:ascii="Arial Narrow" w:hAnsi="Arial Narrow" w:cs="Arial"/>
                <w:spacing w:val="0"/>
                <w:sz w:val="16"/>
                <w:szCs w:val="16"/>
                <w:lang w:eastAsia="es-CO"/>
              </w:rPr>
              <w:t>900252369</w:t>
            </w:r>
          </w:p>
        </w:tc>
        <w:tc>
          <w:tcPr>
            <w:tcW w:w="5742" w:type="dxa"/>
            <w:tcBorders>
              <w:top w:val="nil"/>
              <w:left w:val="nil"/>
              <w:bottom w:val="single" w:sz="4" w:space="0" w:color="auto"/>
              <w:right w:val="single" w:sz="4" w:space="0" w:color="auto"/>
            </w:tcBorders>
            <w:shd w:val="clear" w:color="auto" w:fill="auto"/>
            <w:vAlign w:val="center"/>
            <w:hideMark/>
          </w:tcPr>
          <w:p w14:paraId="44D942C8"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PLUSPETROL COLOMBIA CORPORATION SUCURSAL COLOMBIANA</w:t>
            </w:r>
          </w:p>
        </w:tc>
        <w:tc>
          <w:tcPr>
            <w:tcW w:w="851" w:type="dxa"/>
            <w:tcBorders>
              <w:top w:val="nil"/>
              <w:left w:val="nil"/>
              <w:bottom w:val="single" w:sz="4" w:space="0" w:color="auto"/>
              <w:right w:val="single" w:sz="4" w:space="0" w:color="auto"/>
            </w:tcBorders>
            <w:shd w:val="clear" w:color="auto" w:fill="auto"/>
            <w:noWrap/>
            <w:vAlign w:val="center"/>
            <w:hideMark/>
          </w:tcPr>
          <w:p w14:paraId="5DE3C274"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OPERATIVA</w:t>
            </w:r>
          </w:p>
        </w:tc>
        <w:tc>
          <w:tcPr>
            <w:tcW w:w="850" w:type="dxa"/>
            <w:tcBorders>
              <w:top w:val="nil"/>
              <w:left w:val="nil"/>
              <w:bottom w:val="single" w:sz="4" w:space="0" w:color="auto"/>
              <w:right w:val="single" w:sz="4" w:space="0" w:color="auto"/>
            </w:tcBorders>
            <w:shd w:val="clear" w:color="auto" w:fill="auto"/>
            <w:noWrap/>
            <w:vAlign w:val="center"/>
            <w:hideMark/>
          </w:tcPr>
          <w:p w14:paraId="05A7C724"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GN</w:t>
            </w:r>
          </w:p>
        </w:tc>
      </w:tr>
      <w:tr w:rsidR="00117702" w:rsidRPr="00117702" w14:paraId="67631F54" w14:textId="77777777" w:rsidTr="00C23C88">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6A1E76E8" w14:textId="77777777" w:rsidR="00117702" w:rsidRPr="00117702" w:rsidRDefault="00117702" w:rsidP="00117702">
            <w:pPr>
              <w:jc w:val="right"/>
              <w:rPr>
                <w:rFonts w:ascii="Arial Narrow" w:hAnsi="Arial Narrow" w:cs="Arial"/>
                <w:color w:val="000000"/>
                <w:spacing w:val="0"/>
                <w:sz w:val="16"/>
                <w:szCs w:val="16"/>
                <w:lang w:eastAsia="es-CO"/>
              </w:rPr>
            </w:pPr>
            <w:r w:rsidRPr="00117702">
              <w:rPr>
                <w:rFonts w:ascii="Arial Narrow" w:hAnsi="Arial Narrow" w:cs="Arial"/>
                <w:color w:val="000000"/>
                <w:spacing w:val="0"/>
                <w:sz w:val="16"/>
                <w:szCs w:val="16"/>
                <w:lang w:eastAsia="es-CO"/>
              </w:rPr>
              <w:t>33</w:t>
            </w:r>
          </w:p>
        </w:tc>
        <w:tc>
          <w:tcPr>
            <w:tcW w:w="879" w:type="dxa"/>
            <w:tcBorders>
              <w:top w:val="nil"/>
              <w:left w:val="nil"/>
              <w:bottom w:val="single" w:sz="4" w:space="0" w:color="auto"/>
              <w:right w:val="single" w:sz="4" w:space="0" w:color="auto"/>
            </w:tcBorders>
            <w:shd w:val="clear" w:color="auto" w:fill="auto"/>
            <w:noWrap/>
            <w:vAlign w:val="center"/>
            <w:hideMark/>
          </w:tcPr>
          <w:p w14:paraId="2DC49FF0" w14:textId="77777777" w:rsidR="00117702" w:rsidRPr="00117702" w:rsidRDefault="00117702" w:rsidP="00117702">
            <w:pPr>
              <w:jc w:val="center"/>
              <w:rPr>
                <w:rFonts w:ascii="Arial Narrow" w:hAnsi="Arial Narrow" w:cs="Arial"/>
                <w:spacing w:val="0"/>
                <w:sz w:val="16"/>
                <w:szCs w:val="16"/>
                <w:lang w:eastAsia="es-CO"/>
              </w:rPr>
            </w:pPr>
            <w:r w:rsidRPr="00117702">
              <w:rPr>
                <w:rFonts w:ascii="Arial Narrow" w:hAnsi="Arial Narrow" w:cs="Arial"/>
                <w:spacing w:val="0"/>
                <w:sz w:val="16"/>
                <w:szCs w:val="16"/>
                <w:lang w:eastAsia="es-CO"/>
              </w:rPr>
              <w:t>900901591</w:t>
            </w:r>
          </w:p>
        </w:tc>
        <w:tc>
          <w:tcPr>
            <w:tcW w:w="5742" w:type="dxa"/>
            <w:tcBorders>
              <w:top w:val="nil"/>
              <w:left w:val="nil"/>
              <w:bottom w:val="single" w:sz="4" w:space="0" w:color="auto"/>
              <w:right w:val="single" w:sz="4" w:space="0" w:color="auto"/>
            </w:tcBorders>
            <w:shd w:val="clear" w:color="auto" w:fill="auto"/>
            <w:vAlign w:val="center"/>
            <w:hideMark/>
          </w:tcPr>
          <w:p w14:paraId="6B38851D"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TRANSPORTADORA ELECTRICA DEL CARIBE S.A.S E.S.P</w:t>
            </w:r>
          </w:p>
        </w:tc>
        <w:tc>
          <w:tcPr>
            <w:tcW w:w="851" w:type="dxa"/>
            <w:tcBorders>
              <w:top w:val="nil"/>
              <w:left w:val="nil"/>
              <w:bottom w:val="single" w:sz="4" w:space="0" w:color="auto"/>
              <w:right w:val="single" w:sz="4" w:space="0" w:color="auto"/>
            </w:tcBorders>
            <w:shd w:val="clear" w:color="auto" w:fill="auto"/>
            <w:noWrap/>
            <w:vAlign w:val="center"/>
            <w:hideMark/>
          </w:tcPr>
          <w:p w14:paraId="72579BF3"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OPERATIVA</w:t>
            </w:r>
          </w:p>
        </w:tc>
        <w:tc>
          <w:tcPr>
            <w:tcW w:w="850" w:type="dxa"/>
            <w:tcBorders>
              <w:top w:val="nil"/>
              <w:left w:val="nil"/>
              <w:bottom w:val="single" w:sz="4" w:space="0" w:color="auto"/>
              <w:right w:val="single" w:sz="4" w:space="0" w:color="auto"/>
            </w:tcBorders>
            <w:shd w:val="clear" w:color="auto" w:fill="auto"/>
            <w:noWrap/>
            <w:vAlign w:val="center"/>
            <w:hideMark/>
          </w:tcPr>
          <w:p w14:paraId="2606A134"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EN</w:t>
            </w:r>
          </w:p>
        </w:tc>
      </w:tr>
      <w:tr w:rsidR="00117702" w:rsidRPr="00117702" w14:paraId="777B1E6F" w14:textId="77777777" w:rsidTr="00C23C88">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60B5D8BE" w14:textId="77777777" w:rsidR="00117702" w:rsidRPr="00117702" w:rsidRDefault="00117702" w:rsidP="00117702">
            <w:pPr>
              <w:jc w:val="right"/>
              <w:rPr>
                <w:rFonts w:ascii="Arial Narrow" w:hAnsi="Arial Narrow" w:cs="Arial"/>
                <w:color w:val="000000"/>
                <w:spacing w:val="0"/>
                <w:sz w:val="16"/>
                <w:szCs w:val="16"/>
                <w:lang w:eastAsia="es-CO"/>
              </w:rPr>
            </w:pPr>
            <w:r w:rsidRPr="00117702">
              <w:rPr>
                <w:rFonts w:ascii="Arial Narrow" w:hAnsi="Arial Narrow" w:cs="Arial"/>
                <w:color w:val="000000"/>
                <w:spacing w:val="0"/>
                <w:sz w:val="16"/>
                <w:szCs w:val="16"/>
                <w:lang w:eastAsia="es-CO"/>
              </w:rPr>
              <w:t>34</w:t>
            </w:r>
          </w:p>
        </w:tc>
        <w:tc>
          <w:tcPr>
            <w:tcW w:w="879" w:type="dxa"/>
            <w:tcBorders>
              <w:top w:val="nil"/>
              <w:left w:val="nil"/>
              <w:bottom w:val="single" w:sz="4" w:space="0" w:color="auto"/>
              <w:right w:val="single" w:sz="4" w:space="0" w:color="auto"/>
            </w:tcBorders>
            <w:shd w:val="clear" w:color="auto" w:fill="auto"/>
            <w:noWrap/>
            <w:vAlign w:val="center"/>
            <w:hideMark/>
          </w:tcPr>
          <w:p w14:paraId="3B48DB33" w14:textId="77777777" w:rsidR="00117702" w:rsidRPr="00117702" w:rsidRDefault="00117702" w:rsidP="00117702">
            <w:pPr>
              <w:jc w:val="center"/>
              <w:rPr>
                <w:rFonts w:ascii="Arial Narrow" w:hAnsi="Arial Narrow" w:cs="Arial"/>
                <w:spacing w:val="0"/>
                <w:sz w:val="16"/>
                <w:szCs w:val="16"/>
                <w:lang w:eastAsia="es-CO"/>
              </w:rPr>
            </w:pPr>
            <w:r w:rsidRPr="00117702">
              <w:rPr>
                <w:rFonts w:ascii="Arial Narrow" w:hAnsi="Arial Narrow" w:cs="Arial"/>
                <w:spacing w:val="0"/>
                <w:sz w:val="16"/>
                <w:szCs w:val="16"/>
                <w:lang w:eastAsia="es-CO"/>
              </w:rPr>
              <w:t>900891599</w:t>
            </w:r>
          </w:p>
        </w:tc>
        <w:tc>
          <w:tcPr>
            <w:tcW w:w="5742" w:type="dxa"/>
            <w:tcBorders>
              <w:top w:val="nil"/>
              <w:left w:val="nil"/>
              <w:bottom w:val="single" w:sz="4" w:space="0" w:color="auto"/>
              <w:right w:val="single" w:sz="4" w:space="0" w:color="auto"/>
            </w:tcBorders>
            <w:shd w:val="clear" w:color="auto" w:fill="auto"/>
            <w:vAlign w:val="center"/>
            <w:hideMark/>
          </w:tcPr>
          <w:p w14:paraId="750DF5C3"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AXENERGIA S.A.S.</w:t>
            </w:r>
          </w:p>
        </w:tc>
        <w:tc>
          <w:tcPr>
            <w:tcW w:w="851" w:type="dxa"/>
            <w:tcBorders>
              <w:top w:val="nil"/>
              <w:left w:val="nil"/>
              <w:bottom w:val="single" w:sz="4" w:space="0" w:color="auto"/>
              <w:right w:val="single" w:sz="4" w:space="0" w:color="auto"/>
            </w:tcBorders>
            <w:shd w:val="clear" w:color="auto" w:fill="auto"/>
            <w:noWrap/>
            <w:vAlign w:val="center"/>
            <w:hideMark/>
          </w:tcPr>
          <w:p w14:paraId="339A298F"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OPERATIVA</w:t>
            </w:r>
          </w:p>
        </w:tc>
        <w:tc>
          <w:tcPr>
            <w:tcW w:w="850" w:type="dxa"/>
            <w:tcBorders>
              <w:top w:val="nil"/>
              <w:left w:val="nil"/>
              <w:bottom w:val="single" w:sz="4" w:space="0" w:color="auto"/>
              <w:right w:val="single" w:sz="4" w:space="0" w:color="auto"/>
            </w:tcBorders>
            <w:shd w:val="clear" w:color="auto" w:fill="auto"/>
            <w:noWrap/>
            <w:vAlign w:val="center"/>
            <w:hideMark/>
          </w:tcPr>
          <w:p w14:paraId="3C392632"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GN</w:t>
            </w:r>
          </w:p>
        </w:tc>
      </w:tr>
      <w:tr w:rsidR="00117702" w:rsidRPr="00117702" w14:paraId="67B375FB" w14:textId="77777777" w:rsidTr="00C23C88">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494B7319" w14:textId="77777777" w:rsidR="00117702" w:rsidRPr="00117702" w:rsidRDefault="00117702" w:rsidP="00117702">
            <w:pPr>
              <w:jc w:val="right"/>
              <w:rPr>
                <w:rFonts w:ascii="Arial Narrow" w:hAnsi="Arial Narrow" w:cs="Arial"/>
                <w:color w:val="000000"/>
                <w:spacing w:val="0"/>
                <w:sz w:val="16"/>
                <w:szCs w:val="16"/>
                <w:lang w:eastAsia="es-CO"/>
              </w:rPr>
            </w:pPr>
            <w:r w:rsidRPr="00117702">
              <w:rPr>
                <w:rFonts w:ascii="Arial Narrow" w:hAnsi="Arial Narrow" w:cs="Arial"/>
                <w:color w:val="000000"/>
                <w:spacing w:val="0"/>
                <w:sz w:val="16"/>
                <w:szCs w:val="16"/>
                <w:lang w:eastAsia="es-CO"/>
              </w:rPr>
              <w:t>35</w:t>
            </w:r>
          </w:p>
        </w:tc>
        <w:tc>
          <w:tcPr>
            <w:tcW w:w="879" w:type="dxa"/>
            <w:tcBorders>
              <w:top w:val="nil"/>
              <w:left w:val="nil"/>
              <w:bottom w:val="single" w:sz="4" w:space="0" w:color="auto"/>
              <w:right w:val="single" w:sz="4" w:space="0" w:color="auto"/>
            </w:tcBorders>
            <w:shd w:val="clear" w:color="auto" w:fill="auto"/>
            <w:noWrap/>
            <w:vAlign w:val="center"/>
            <w:hideMark/>
          </w:tcPr>
          <w:p w14:paraId="6E8B59C6" w14:textId="77777777" w:rsidR="00117702" w:rsidRPr="00117702" w:rsidRDefault="00117702" w:rsidP="00117702">
            <w:pPr>
              <w:jc w:val="center"/>
              <w:rPr>
                <w:rFonts w:ascii="Arial Narrow" w:hAnsi="Arial Narrow" w:cs="Arial"/>
                <w:spacing w:val="0"/>
                <w:sz w:val="16"/>
                <w:szCs w:val="16"/>
                <w:lang w:eastAsia="es-CO"/>
              </w:rPr>
            </w:pPr>
            <w:r w:rsidRPr="00117702">
              <w:rPr>
                <w:rFonts w:ascii="Arial Narrow" w:hAnsi="Arial Narrow" w:cs="Arial"/>
                <w:spacing w:val="0"/>
                <w:sz w:val="16"/>
                <w:szCs w:val="16"/>
                <w:lang w:eastAsia="es-CO"/>
              </w:rPr>
              <w:t>900752231</w:t>
            </w:r>
          </w:p>
        </w:tc>
        <w:tc>
          <w:tcPr>
            <w:tcW w:w="5742" w:type="dxa"/>
            <w:tcBorders>
              <w:top w:val="nil"/>
              <w:left w:val="nil"/>
              <w:bottom w:val="single" w:sz="4" w:space="0" w:color="auto"/>
              <w:right w:val="single" w:sz="4" w:space="0" w:color="auto"/>
            </w:tcBorders>
            <w:shd w:val="clear" w:color="auto" w:fill="auto"/>
            <w:vAlign w:val="center"/>
            <w:hideMark/>
          </w:tcPr>
          <w:p w14:paraId="72FFFD02"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TUPROJECT SAS ESP</w:t>
            </w:r>
          </w:p>
        </w:tc>
        <w:tc>
          <w:tcPr>
            <w:tcW w:w="851" w:type="dxa"/>
            <w:tcBorders>
              <w:top w:val="nil"/>
              <w:left w:val="nil"/>
              <w:bottom w:val="single" w:sz="4" w:space="0" w:color="auto"/>
              <w:right w:val="single" w:sz="4" w:space="0" w:color="auto"/>
            </w:tcBorders>
            <w:shd w:val="clear" w:color="auto" w:fill="auto"/>
            <w:noWrap/>
            <w:vAlign w:val="center"/>
            <w:hideMark/>
          </w:tcPr>
          <w:p w14:paraId="619A2E22"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OPERATIVA</w:t>
            </w:r>
          </w:p>
        </w:tc>
        <w:tc>
          <w:tcPr>
            <w:tcW w:w="850" w:type="dxa"/>
            <w:tcBorders>
              <w:top w:val="nil"/>
              <w:left w:val="nil"/>
              <w:bottom w:val="single" w:sz="4" w:space="0" w:color="auto"/>
              <w:right w:val="single" w:sz="4" w:space="0" w:color="auto"/>
            </w:tcBorders>
            <w:shd w:val="clear" w:color="auto" w:fill="auto"/>
            <w:noWrap/>
            <w:vAlign w:val="center"/>
            <w:hideMark/>
          </w:tcPr>
          <w:p w14:paraId="72E8CAA8"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EN</w:t>
            </w:r>
          </w:p>
        </w:tc>
      </w:tr>
      <w:tr w:rsidR="00117702" w:rsidRPr="00117702" w14:paraId="756456F0" w14:textId="77777777" w:rsidTr="00C23C88">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6AC20E33" w14:textId="77777777" w:rsidR="00117702" w:rsidRPr="00117702" w:rsidRDefault="00117702" w:rsidP="00117702">
            <w:pPr>
              <w:jc w:val="right"/>
              <w:rPr>
                <w:rFonts w:ascii="Arial Narrow" w:hAnsi="Arial Narrow" w:cs="Arial"/>
                <w:color w:val="000000"/>
                <w:spacing w:val="0"/>
                <w:sz w:val="16"/>
                <w:szCs w:val="16"/>
                <w:lang w:eastAsia="es-CO"/>
              </w:rPr>
            </w:pPr>
            <w:r w:rsidRPr="00117702">
              <w:rPr>
                <w:rFonts w:ascii="Arial Narrow" w:hAnsi="Arial Narrow" w:cs="Arial"/>
                <w:color w:val="000000"/>
                <w:spacing w:val="0"/>
                <w:sz w:val="16"/>
                <w:szCs w:val="16"/>
                <w:lang w:eastAsia="es-CO"/>
              </w:rPr>
              <w:t>36</w:t>
            </w:r>
          </w:p>
        </w:tc>
        <w:tc>
          <w:tcPr>
            <w:tcW w:w="879" w:type="dxa"/>
            <w:tcBorders>
              <w:top w:val="nil"/>
              <w:left w:val="nil"/>
              <w:bottom w:val="single" w:sz="4" w:space="0" w:color="auto"/>
              <w:right w:val="single" w:sz="4" w:space="0" w:color="auto"/>
            </w:tcBorders>
            <w:shd w:val="clear" w:color="auto" w:fill="auto"/>
            <w:noWrap/>
            <w:vAlign w:val="center"/>
            <w:hideMark/>
          </w:tcPr>
          <w:p w14:paraId="31A7A993" w14:textId="77777777" w:rsidR="00117702" w:rsidRPr="00117702" w:rsidRDefault="00117702" w:rsidP="00117702">
            <w:pPr>
              <w:jc w:val="center"/>
              <w:rPr>
                <w:rFonts w:ascii="Arial Narrow" w:hAnsi="Arial Narrow" w:cs="Arial"/>
                <w:spacing w:val="0"/>
                <w:sz w:val="16"/>
                <w:szCs w:val="16"/>
                <w:lang w:eastAsia="es-CO"/>
              </w:rPr>
            </w:pPr>
            <w:r w:rsidRPr="00117702">
              <w:rPr>
                <w:rFonts w:ascii="Arial Narrow" w:hAnsi="Arial Narrow" w:cs="Arial"/>
                <w:spacing w:val="0"/>
                <w:sz w:val="16"/>
                <w:szCs w:val="16"/>
                <w:lang w:eastAsia="es-CO"/>
              </w:rPr>
              <w:t>900718988</w:t>
            </w:r>
          </w:p>
        </w:tc>
        <w:tc>
          <w:tcPr>
            <w:tcW w:w="5742" w:type="dxa"/>
            <w:tcBorders>
              <w:top w:val="nil"/>
              <w:left w:val="nil"/>
              <w:bottom w:val="single" w:sz="4" w:space="0" w:color="auto"/>
              <w:right w:val="single" w:sz="4" w:space="0" w:color="auto"/>
            </w:tcBorders>
            <w:shd w:val="clear" w:color="auto" w:fill="auto"/>
            <w:vAlign w:val="center"/>
            <w:hideMark/>
          </w:tcPr>
          <w:p w14:paraId="0821273A"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CENTAURO GAS SA ESP</w:t>
            </w:r>
          </w:p>
        </w:tc>
        <w:tc>
          <w:tcPr>
            <w:tcW w:w="851" w:type="dxa"/>
            <w:tcBorders>
              <w:top w:val="nil"/>
              <w:left w:val="nil"/>
              <w:bottom w:val="single" w:sz="4" w:space="0" w:color="auto"/>
              <w:right w:val="single" w:sz="4" w:space="0" w:color="auto"/>
            </w:tcBorders>
            <w:shd w:val="clear" w:color="auto" w:fill="auto"/>
            <w:noWrap/>
            <w:vAlign w:val="center"/>
            <w:hideMark/>
          </w:tcPr>
          <w:p w14:paraId="7AEA7FBC"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OPERATIVA</w:t>
            </w:r>
          </w:p>
        </w:tc>
        <w:tc>
          <w:tcPr>
            <w:tcW w:w="850" w:type="dxa"/>
            <w:tcBorders>
              <w:top w:val="nil"/>
              <w:left w:val="nil"/>
              <w:bottom w:val="single" w:sz="4" w:space="0" w:color="auto"/>
              <w:right w:val="single" w:sz="4" w:space="0" w:color="auto"/>
            </w:tcBorders>
            <w:shd w:val="clear" w:color="auto" w:fill="auto"/>
            <w:noWrap/>
            <w:vAlign w:val="center"/>
            <w:hideMark/>
          </w:tcPr>
          <w:p w14:paraId="11333AD2"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GLP</w:t>
            </w:r>
          </w:p>
        </w:tc>
      </w:tr>
      <w:tr w:rsidR="00117702" w:rsidRPr="00117702" w14:paraId="741E3305" w14:textId="77777777" w:rsidTr="00C23C88">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25682E6C" w14:textId="77777777" w:rsidR="00117702" w:rsidRPr="00117702" w:rsidRDefault="00117702" w:rsidP="00117702">
            <w:pPr>
              <w:jc w:val="right"/>
              <w:rPr>
                <w:rFonts w:ascii="Arial Narrow" w:hAnsi="Arial Narrow" w:cs="Arial"/>
                <w:color w:val="000000"/>
                <w:spacing w:val="0"/>
                <w:sz w:val="16"/>
                <w:szCs w:val="16"/>
                <w:lang w:eastAsia="es-CO"/>
              </w:rPr>
            </w:pPr>
            <w:r w:rsidRPr="00117702">
              <w:rPr>
                <w:rFonts w:ascii="Arial Narrow" w:hAnsi="Arial Narrow" w:cs="Arial"/>
                <w:color w:val="000000"/>
                <w:spacing w:val="0"/>
                <w:sz w:val="16"/>
                <w:szCs w:val="16"/>
                <w:lang w:eastAsia="es-CO"/>
              </w:rPr>
              <w:t>37</w:t>
            </w:r>
          </w:p>
        </w:tc>
        <w:tc>
          <w:tcPr>
            <w:tcW w:w="879" w:type="dxa"/>
            <w:tcBorders>
              <w:top w:val="nil"/>
              <w:left w:val="nil"/>
              <w:bottom w:val="single" w:sz="4" w:space="0" w:color="auto"/>
              <w:right w:val="single" w:sz="4" w:space="0" w:color="auto"/>
            </w:tcBorders>
            <w:shd w:val="clear" w:color="auto" w:fill="auto"/>
            <w:noWrap/>
            <w:vAlign w:val="center"/>
            <w:hideMark/>
          </w:tcPr>
          <w:p w14:paraId="28C9BB2E" w14:textId="77777777" w:rsidR="00117702" w:rsidRPr="00117702" w:rsidRDefault="00117702" w:rsidP="00117702">
            <w:pPr>
              <w:jc w:val="center"/>
              <w:rPr>
                <w:rFonts w:ascii="Arial Narrow" w:hAnsi="Arial Narrow" w:cs="Arial"/>
                <w:spacing w:val="0"/>
                <w:sz w:val="16"/>
                <w:szCs w:val="16"/>
                <w:lang w:eastAsia="es-CO"/>
              </w:rPr>
            </w:pPr>
            <w:r w:rsidRPr="00117702">
              <w:rPr>
                <w:rFonts w:ascii="Arial Narrow" w:hAnsi="Arial Narrow" w:cs="Arial"/>
                <w:spacing w:val="0"/>
                <w:sz w:val="16"/>
                <w:szCs w:val="16"/>
                <w:lang w:eastAsia="es-CO"/>
              </w:rPr>
              <w:t>900842344</w:t>
            </w:r>
          </w:p>
        </w:tc>
        <w:tc>
          <w:tcPr>
            <w:tcW w:w="5742" w:type="dxa"/>
            <w:tcBorders>
              <w:top w:val="nil"/>
              <w:left w:val="nil"/>
              <w:bottom w:val="single" w:sz="4" w:space="0" w:color="auto"/>
              <w:right w:val="single" w:sz="4" w:space="0" w:color="auto"/>
            </w:tcBorders>
            <w:shd w:val="clear" w:color="auto" w:fill="auto"/>
            <w:vAlign w:val="center"/>
            <w:hideMark/>
          </w:tcPr>
          <w:p w14:paraId="5E1E944C"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SINERGAS SAS ESP</w:t>
            </w:r>
          </w:p>
        </w:tc>
        <w:tc>
          <w:tcPr>
            <w:tcW w:w="851" w:type="dxa"/>
            <w:tcBorders>
              <w:top w:val="nil"/>
              <w:left w:val="nil"/>
              <w:bottom w:val="single" w:sz="4" w:space="0" w:color="auto"/>
              <w:right w:val="single" w:sz="4" w:space="0" w:color="auto"/>
            </w:tcBorders>
            <w:shd w:val="clear" w:color="auto" w:fill="auto"/>
            <w:noWrap/>
            <w:vAlign w:val="center"/>
            <w:hideMark/>
          </w:tcPr>
          <w:p w14:paraId="562C177A"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OPERATIVA</w:t>
            </w:r>
          </w:p>
        </w:tc>
        <w:tc>
          <w:tcPr>
            <w:tcW w:w="850" w:type="dxa"/>
            <w:tcBorders>
              <w:top w:val="nil"/>
              <w:left w:val="nil"/>
              <w:bottom w:val="single" w:sz="4" w:space="0" w:color="auto"/>
              <w:right w:val="single" w:sz="4" w:space="0" w:color="auto"/>
            </w:tcBorders>
            <w:shd w:val="clear" w:color="auto" w:fill="auto"/>
            <w:noWrap/>
            <w:vAlign w:val="center"/>
            <w:hideMark/>
          </w:tcPr>
          <w:p w14:paraId="748D846D"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GN</w:t>
            </w:r>
          </w:p>
        </w:tc>
      </w:tr>
      <w:tr w:rsidR="00117702" w:rsidRPr="00117702" w14:paraId="552F8C5E" w14:textId="77777777" w:rsidTr="00C23C88">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45983689" w14:textId="77777777" w:rsidR="00117702" w:rsidRPr="00117702" w:rsidRDefault="00117702" w:rsidP="00117702">
            <w:pPr>
              <w:jc w:val="right"/>
              <w:rPr>
                <w:rFonts w:ascii="Arial Narrow" w:hAnsi="Arial Narrow" w:cs="Arial"/>
                <w:color w:val="000000"/>
                <w:spacing w:val="0"/>
                <w:sz w:val="16"/>
                <w:szCs w:val="16"/>
                <w:lang w:eastAsia="es-CO"/>
              </w:rPr>
            </w:pPr>
            <w:r w:rsidRPr="00117702">
              <w:rPr>
                <w:rFonts w:ascii="Arial Narrow" w:hAnsi="Arial Narrow" w:cs="Arial"/>
                <w:color w:val="000000"/>
                <w:spacing w:val="0"/>
                <w:sz w:val="16"/>
                <w:szCs w:val="16"/>
                <w:lang w:eastAsia="es-CO"/>
              </w:rPr>
              <w:t>38</w:t>
            </w:r>
          </w:p>
        </w:tc>
        <w:tc>
          <w:tcPr>
            <w:tcW w:w="879" w:type="dxa"/>
            <w:tcBorders>
              <w:top w:val="nil"/>
              <w:left w:val="nil"/>
              <w:bottom w:val="single" w:sz="4" w:space="0" w:color="auto"/>
              <w:right w:val="single" w:sz="4" w:space="0" w:color="auto"/>
            </w:tcBorders>
            <w:shd w:val="clear" w:color="auto" w:fill="auto"/>
            <w:noWrap/>
            <w:vAlign w:val="center"/>
            <w:hideMark/>
          </w:tcPr>
          <w:p w14:paraId="7B70F903" w14:textId="77777777" w:rsidR="00117702" w:rsidRPr="00117702" w:rsidRDefault="00117702" w:rsidP="00117702">
            <w:pPr>
              <w:jc w:val="center"/>
              <w:rPr>
                <w:rFonts w:ascii="Arial Narrow" w:hAnsi="Arial Narrow" w:cs="Arial"/>
                <w:spacing w:val="0"/>
                <w:sz w:val="16"/>
                <w:szCs w:val="16"/>
                <w:lang w:eastAsia="es-CO"/>
              </w:rPr>
            </w:pPr>
            <w:r w:rsidRPr="00117702">
              <w:rPr>
                <w:rFonts w:ascii="Arial Narrow" w:hAnsi="Arial Narrow" w:cs="Arial"/>
                <w:spacing w:val="0"/>
                <w:sz w:val="16"/>
                <w:szCs w:val="16"/>
                <w:lang w:eastAsia="es-CO"/>
              </w:rPr>
              <w:t>900507207</w:t>
            </w:r>
          </w:p>
        </w:tc>
        <w:tc>
          <w:tcPr>
            <w:tcW w:w="5742" w:type="dxa"/>
            <w:tcBorders>
              <w:top w:val="nil"/>
              <w:left w:val="nil"/>
              <w:bottom w:val="single" w:sz="4" w:space="0" w:color="auto"/>
              <w:right w:val="single" w:sz="4" w:space="0" w:color="auto"/>
            </w:tcBorders>
            <w:shd w:val="clear" w:color="auto" w:fill="auto"/>
            <w:vAlign w:val="center"/>
            <w:hideMark/>
          </w:tcPr>
          <w:p w14:paraId="380DE0BA"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AXIA ENERGIA S.A.S.E.S.P.</w:t>
            </w:r>
          </w:p>
        </w:tc>
        <w:tc>
          <w:tcPr>
            <w:tcW w:w="851" w:type="dxa"/>
            <w:tcBorders>
              <w:top w:val="nil"/>
              <w:left w:val="nil"/>
              <w:bottom w:val="single" w:sz="4" w:space="0" w:color="auto"/>
              <w:right w:val="single" w:sz="4" w:space="0" w:color="auto"/>
            </w:tcBorders>
            <w:shd w:val="clear" w:color="auto" w:fill="auto"/>
            <w:noWrap/>
            <w:vAlign w:val="center"/>
            <w:hideMark/>
          </w:tcPr>
          <w:p w14:paraId="07730422"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OPERATIVA</w:t>
            </w:r>
          </w:p>
        </w:tc>
        <w:tc>
          <w:tcPr>
            <w:tcW w:w="850" w:type="dxa"/>
            <w:tcBorders>
              <w:top w:val="nil"/>
              <w:left w:val="nil"/>
              <w:bottom w:val="single" w:sz="4" w:space="0" w:color="auto"/>
              <w:right w:val="single" w:sz="4" w:space="0" w:color="auto"/>
            </w:tcBorders>
            <w:shd w:val="clear" w:color="auto" w:fill="auto"/>
            <w:noWrap/>
            <w:vAlign w:val="center"/>
            <w:hideMark/>
          </w:tcPr>
          <w:p w14:paraId="6272478B"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EN</w:t>
            </w:r>
          </w:p>
        </w:tc>
      </w:tr>
      <w:tr w:rsidR="00117702" w:rsidRPr="00117702" w14:paraId="405068E0" w14:textId="77777777" w:rsidTr="00C23C88">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1C28C911" w14:textId="77777777" w:rsidR="00117702" w:rsidRPr="00117702" w:rsidRDefault="00117702" w:rsidP="00117702">
            <w:pPr>
              <w:jc w:val="right"/>
              <w:rPr>
                <w:rFonts w:ascii="Arial Narrow" w:hAnsi="Arial Narrow" w:cs="Arial"/>
                <w:color w:val="000000"/>
                <w:spacing w:val="0"/>
                <w:sz w:val="16"/>
                <w:szCs w:val="16"/>
                <w:lang w:eastAsia="es-CO"/>
              </w:rPr>
            </w:pPr>
            <w:r w:rsidRPr="00117702">
              <w:rPr>
                <w:rFonts w:ascii="Arial Narrow" w:hAnsi="Arial Narrow" w:cs="Arial"/>
                <w:color w:val="000000"/>
                <w:spacing w:val="0"/>
                <w:sz w:val="16"/>
                <w:szCs w:val="16"/>
                <w:lang w:eastAsia="es-CO"/>
              </w:rPr>
              <w:t>39</w:t>
            </w:r>
          </w:p>
        </w:tc>
        <w:tc>
          <w:tcPr>
            <w:tcW w:w="879" w:type="dxa"/>
            <w:tcBorders>
              <w:top w:val="nil"/>
              <w:left w:val="nil"/>
              <w:bottom w:val="single" w:sz="4" w:space="0" w:color="auto"/>
              <w:right w:val="single" w:sz="4" w:space="0" w:color="auto"/>
            </w:tcBorders>
            <w:shd w:val="clear" w:color="auto" w:fill="auto"/>
            <w:noWrap/>
            <w:vAlign w:val="center"/>
            <w:hideMark/>
          </w:tcPr>
          <w:p w14:paraId="63B65FA0" w14:textId="77777777" w:rsidR="00117702" w:rsidRPr="00117702" w:rsidRDefault="00117702" w:rsidP="00117702">
            <w:pPr>
              <w:jc w:val="center"/>
              <w:rPr>
                <w:rFonts w:ascii="Arial Narrow" w:hAnsi="Arial Narrow" w:cs="Arial"/>
                <w:spacing w:val="0"/>
                <w:sz w:val="16"/>
                <w:szCs w:val="16"/>
                <w:lang w:eastAsia="es-CO"/>
              </w:rPr>
            </w:pPr>
            <w:r w:rsidRPr="00117702">
              <w:rPr>
                <w:rFonts w:ascii="Arial Narrow" w:hAnsi="Arial Narrow" w:cs="Arial"/>
                <w:spacing w:val="0"/>
                <w:sz w:val="16"/>
                <w:szCs w:val="16"/>
                <w:lang w:eastAsia="es-CO"/>
              </w:rPr>
              <w:t>900941583</w:t>
            </w:r>
          </w:p>
        </w:tc>
        <w:tc>
          <w:tcPr>
            <w:tcW w:w="5742" w:type="dxa"/>
            <w:tcBorders>
              <w:top w:val="nil"/>
              <w:left w:val="nil"/>
              <w:bottom w:val="single" w:sz="4" w:space="0" w:color="auto"/>
              <w:right w:val="single" w:sz="4" w:space="0" w:color="auto"/>
            </w:tcBorders>
            <w:shd w:val="clear" w:color="auto" w:fill="auto"/>
            <w:vAlign w:val="center"/>
            <w:hideMark/>
          </w:tcPr>
          <w:p w14:paraId="667F5DC8" w14:textId="77777777" w:rsidR="00117702" w:rsidRPr="00117702" w:rsidRDefault="00117702" w:rsidP="00117702">
            <w:pPr>
              <w:jc w:val="left"/>
              <w:rPr>
                <w:rFonts w:ascii="Arial Narrow" w:hAnsi="Arial Narrow" w:cs="Arial"/>
                <w:color w:val="000000"/>
                <w:spacing w:val="0"/>
                <w:sz w:val="16"/>
                <w:szCs w:val="16"/>
                <w:lang w:eastAsia="es-CO"/>
              </w:rPr>
            </w:pPr>
            <w:r w:rsidRPr="00117702">
              <w:rPr>
                <w:rFonts w:ascii="Arial Narrow" w:hAnsi="Arial Narrow" w:cs="Arial"/>
                <w:color w:val="000000"/>
                <w:spacing w:val="0"/>
                <w:sz w:val="16"/>
                <w:szCs w:val="16"/>
                <w:lang w:eastAsia="es-CO"/>
              </w:rPr>
              <w:t>CEOGAS ENERGIA S.A.S. E.S.P.</w:t>
            </w:r>
          </w:p>
        </w:tc>
        <w:tc>
          <w:tcPr>
            <w:tcW w:w="851" w:type="dxa"/>
            <w:tcBorders>
              <w:top w:val="nil"/>
              <w:left w:val="nil"/>
              <w:bottom w:val="single" w:sz="4" w:space="0" w:color="auto"/>
              <w:right w:val="single" w:sz="4" w:space="0" w:color="auto"/>
            </w:tcBorders>
            <w:shd w:val="clear" w:color="auto" w:fill="auto"/>
            <w:noWrap/>
            <w:vAlign w:val="center"/>
            <w:hideMark/>
          </w:tcPr>
          <w:p w14:paraId="3F3DA7A2" w14:textId="77777777" w:rsidR="00117702" w:rsidRPr="00117702" w:rsidRDefault="00117702" w:rsidP="00117702">
            <w:pPr>
              <w:jc w:val="left"/>
              <w:rPr>
                <w:rFonts w:ascii="Arial Narrow" w:hAnsi="Arial Narrow" w:cs="Arial"/>
                <w:color w:val="000000"/>
                <w:spacing w:val="0"/>
                <w:sz w:val="16"/>
                <w:szCs w:val="16"/>
                <w:lang w:eastAsia="es-CO"/>
              </w:rPr>
            </w:pPr>
            <w:r w:rsidRPr="00117702">
              <w:rPr>
                <w:rFonts w:ascii="Arial Narrow" w:hAnsi="Arial Narrow" w:cs="Arial"/>
                <w:color w:val="000000"/>
                <w:spacing w:val="0"/>
                <w:sz w:val="16"/>
                <w:szCs w:val="16"/>
                <w:lang w:eastAsia="es-CO"/>
              </w:rPr>
              <w:t>OPERATIVA</w:t>
            </w:r>
          </w:p>
        </w:tc>
        <w:tc>
          <w:tcPr>
            <w:tcW w:w="850" w:type="dxa"/>
            <w:tcBorders>
              <w:top w:val="nil"/>
              <w:left w:val="nil"/>
              <w:bottom w:val="single" w:sz="4" w:space="0" w:color="auto"/>
              <w:right w:val="single" w:sz="4" w:space="0" w:color="auto"/>
            </w:tcBorders>
            <w:shd w:val="clear" w:color="auto" w:fill="auto"/>
            <w:noWrap/>
            <w:vAlign w:val="center"/>
            <w:hideMark/>
          </w:tcPr>
          <w:p w14:paraId="3B54D3DC" w14:textId="77777777" w:rsidR="00117702" w:rsidRPr="00117702" w:rsidRDefault="00117702" w:rsidP="00117702">
            <w:pPr>
              <w:jc w:val="left"/>
              <w:rPr>
                <w:rFonts w:ascii="Arial Narrow" w:hAnsi="Arial Narrow" w:cs="Arial"/>
                <w:color w:val="000000"/>
                <w:spacing w:val="0"/>
                <w:sz w:val="16"/>
                <w:szCs w:val="16"/>
                <w:lang w:eastAsia="es-CO"/>
              </w:rPr>
            </w:pPr>
            <w:r w:rsidRPr="00117702">
              <w:rPr>
                <w:rFonts w:ascii="Arial Narrow" w:hAnsi="Arial Narrow" w:cs="Arial"/>
                <w:color w:val="000000"/>
                <w:spacing w:val="0"/>
                <w:sz w:val="16"/>
                <w:szCs w:val="16"/>
                <w:lang w:eastAsia="es-CO"/>
              </w:rPr>
              <w:t>GN</w:t>
            </w:r>
          </w:p>
        </w:tc>
      </w:tr>
      <w:tr w:rsidR="00117702" w:rsidRPr="00117702" w14:paraId="09ED228C" w14:textId="77777777" w:rsidTr="00C23C88">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67D43DED" w14:textId="77777777" w:rsidR="00117702" w:rsidRPr="00117702" w:rsidRDefault="00117702" w:rsidP="00117702">
            <w:pPr>
              <w:jc w:val="right"/>
              <w:rPr>
                <w:rFonts w:ascii="Arial Narrow" w:hAnsi="Arial Narrow" w:cs="Arial"/>
                <w:color w:val="000000"/>
                <w:spacing w:val="0"/>
                <w:sz w:val="16"/>
                <w:szCs w:val="16"/>
                <w:lang w:eastAsia="es-CO"/>
              </w:rPr>
            </w:pPr>
            <w:r w:rsidRPr="00117702">
              <w:rPr>
                <w:rFonts w:ascii="Arial Narrow" w:hAnsi="Arial Narrow" w:cs="Arial"/>
                <w:color w:val="000000"/>
                <w:spacing w:val="0"/>
                <w:sz w:val="16"/>
                <w:szCs w:val="16"/>
                <w:lang w:eastAsia="es-CO"/>
              </w:rPr>
              <w:t>40</w:t>
            </w:r>
          </w:p>
        </w:tc>
        <w:tc>
          <w:tcPr>
            <w:tcW w:w="879" w:type="dxa"/>
            <w:tcBorders>
              <w:top w:val="nil"/>
              <w:left w:val="nil"/>
              <w:bottom w:val="single" w:sz="4" w:space="0" w:color="auto"/>
              <w:right w:val="single" w:sz="4" w:space="0" w:color="auto"/>
            </w:tcBorders>
            <w:shd w:val="clear" w:color="auto" w:fill="auto"/>
            <w:noWrap/>
            <w:vAlign w:val="center"/>
            <w:hideMark/>
          </w:tcPr>
          <w:p w14:paraId="5458A428" w14:textId="77777777" w:rsidR="00117702" w:rsidRPr="00117702" w:rsidRDefault="00117702" w:rsidP="00117702">
            <w:pPr>
              <w:jc w:val="center"/>
              <w:rPr>
                <w:rFonts w:ascii="Arial Narrow" w:hAnsi="Arial Narrow" w:cs="Arial"/>
                <w:spacing w:val="0"/>
                <w:sz w:val="16"/>
                <w:szCs w:val="16"/>
                <w:lang w:eastAsia="es-CO"/>
              </w:rPr>
            </w:pPr>
            <w:r w:rsidRPr="00117702">
              <w:rPr>
                <w:rFonts w:ascii="Arial Narrow" w:hAnsi="Arial Narrow" w:cs="Arial"/>
                <w:spacing w:val="0"/>
                <w:sz w:val="16"/>
                <w:szCs w:val="16"/>
                <w:lang w:eastAsia="es-CO"/>
              </w:rPr>
              <w:t>900824354</w:t>
            </w:r>
          </w:p>
        </w:tc>
        <w:tc>
          <w:tcPr>
            <w:tcW w:w="5742" w:type="dxa"/>
            <w:tcBorders>
              <w:top w:val="nil"/>
              <w:left w:val="nil"/>
              <w:bottom w:val="single" w:sz="4" w:space="0" w:color="auto"/>
              <w:right w:val="single" w:sz="4" w:space="0" w:color="auto"/>
            </w:tcBorders>
            <w:shd w:val="clear" w:color="auto" w:fill="auto"/>
            <w:vAlign w:val="center"/>
            <w:hideMark/>
          </w:tcPr>
          <w:p w14:paraId="679E846C" w14:textId="77777777" w:rsidR="00117702" w:rsidRPr="00117702" w:rsidRDefault="00117702" w:rsidP="00117702">
            <w:pPr>
              <w:jc w:val="left"/>
              <w:rPr>
                <w:rFonts w:ascii="Arial Narrow" w:hAnsi="Arial Narrow" w:cs="Arial"/>
                <w:color w:val="000000"/>
                <w:spacing w:val="0"/>
                <w:sz w:val="16"/>
                <w:szCs w:val="16"/>
                <w:lang w:eastAsia="es-CO"/>
              </w:rPr>
            </w:pPr>
            <w:r w:rsidRPr="00117702">
              <w:rPr>
                <w:rFonts w:ascii="Arial Narrow" w:hAnsi="Arial Narrow" w:cs="Arial"/>
                <w:color w:val="000000"/>
                <w:spacing w:val="0"/>
                <w:sz w:val="16"/>
                <w:szCs w:val="16"/>
                <w:lang w:eastAsia="es-CO"/>
              </w:rPr>
              <w:t>CCG ENERGY SAS ESP</w:t>
            </w:r>
          </w:p>
        </w:tc>
        <w:tc>
          <w:tcPr>
            <w:tcW w:w="851" w:type="dxa"/>
            <w:tcBorders>
              <w:top w:val="nil"/>
              <w:left w:val="nil"/>
              <w:bottom w:val="single" w:sz="4" w:space="0" w:color="auto"/>
              <w:right w:val="single" w:sz="4" w:space="0" w:color="auto"/>
            </w:tcBorders>
            <w:shd w:val="clear" w:color="auto" w:fill="auto"/>
            <w:noWrap/>
            <w:vAlign w:val="center"/>
            <w:hideMark/>
          </w:tcPr>
          <w:p w14:paraId="474B00AB" w14:textId="77777777" w:rsidR="00117702" w:rsidRPr="00117702" w:rsidRDefault="00117702" w:rsidP="00117702">
            <w:pPr>
              <w:jc w:val="left"/>
              <w:rPr>
                <w:rFonts w:ascii="Arial Narrow" w:hAnsi="Arial Narrow" w:cs="Arial"/>
                <w:color w:val="000000"/>
                <w:spacing w:val="0"/>
                <w:sz w:val="16"/>
                <w:szCs w:val="16"/>
                <w:lang w:eastAsia="es-CO"/>
              </w:rPr>
            </w:pPr>
            <w:r w:rsidRPr="00117702">
              <w:rPr>
                <w:rFonts w:ascii="Arial Narrow" w:hAnsi="Arial Narrow" w:cs="Arial"/>
                <w:color w:val="000000"/>
                <w:spacing w:val="0"/>
                <w:sz w:val="16"/>
                <w:szCs w:val="16"/>
                <w:lang w:eastAsia="es-CO"/>
              </w:rPr>
              <w:t>OPERATIVA</w:t>
            </w:r>
          </w:p>
        </w:tc>
        <w:tc>
          <w:tcPr>
            <w:tcW w:w="850" w:type="dxa"/>
            <w:tcBorders>
              <w:top w:val="nil"/>
              <w:left w:val="nil"/>
              <w:bottom w:val="single" w:sz="4" w:space="0" w:color="auto"/>
              <w:right w:val="single" w:sz="4" w:space="0" w:color="auto"/>
            </w:tcBorders>
            <w:shd w:val="clear" w:color="auto" w:fill="auto"/>
            <w:noWrap/>
            <w:vAlign w:val="center"/>
            <w:hideMark/>
          </w:tcPr>
          <w:p w14:paraId="23658D5E" w14:textId="77777777" w:rsidR="00117702" w:rsidRPr="00117702" w:rsidRDefault="00117702" w:rsidP="00117702">
            <w:pPr>
              <w:jc w:val="left"/>
              <w:rPr>
                <w:rFonts w:ascii="Arial Narrow" w:hAnsi="Arial Narrow" w:cs="Arial"/>
                <w:color w:val="000000"/>
                <w:spacing w:val="0"/>
                <w:sz w:val="16"/>
                <w:szCs w:val="16"/>
                <w:lang w:eastAsia="es-CO"/>
              </w:rPr>
            </w:pPr>
            <w:r w:rsidRPr="00117702">
              <w:rPr>
                <w:rFonts w:ascii="Arial Narrow" w:hAnsi="Arial Narrow" w:cs="Arial"/>
                <w:color w:val="000000"/>
                <w:spacing w:val="0"/>
                <w:sz w:val="16"/>
                <w:szCs w:val="16"/>
                <w:lang w:eastAsia="es-CO"/>
              </w:rPr>
              <w:t>EN</w:t>
            </w:r>
          </w:p>
        </w:tc>
      </w:tr>
      <w:tr w:rsidR="00117702" w:rsidRPr="00117702" w14:paraId="63C20BAB" w14:textId="77777777" w:rsidTr="00C23C88">
        <w:trPr>
          <w:trHeight w:val="293"/>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69530EB4" w14:textId="77777777" w:rsidR="00117702" w:rsidRPr="00117702" w:rsidRDefault="00117702" w:rsidP="00117702">
            <w:pPr>
              <w:jc w:val="right"/>
              <w:rPr>
                <w:rFonts w:ascii="Arial Narrow" w:hAnsi="Arial Narrow" w:cs="Arial"/>
                <w:color w:val="000000"/>
                <w:spacing w:val="0"/>
                <w:sz w:val="16"/>
                <w:szCs w:val="16"/>
                <w:lang w:eastAsia="es-CO"/>
              </w:rPr>
            </w:pPr>
            <w:r w:rsidRPr="00117702">
              <w:rPr>
                <w:rFonts w:ascii="Arial Narrow" w:hAnsi="Arial Narrow" w:cs="Arial"/>
                <w:color w:val="000000"/>
                <w:spacing w:val="0"/>
                <w:sz w:val="16"/>
                <w:szCs w:val="16"/>
                <w:lang w:eastAsia="es-CO"/>
              </w:rPr>
              <w:t>41</w:t>
            </w:r>
          </w:p>
        </w:tc>
        <w:tc>
          <w:tcPr>
            <w:tcW w:w="879" w:type="dxa"/>
            <w:tcBorders>
              <w:top w:val="nil"/>
              <w:left w:val="nil"/>
              <w:bottom w:val="single" w:sz="4" w:space="0" w:color="auto"/>
              <w:right w:val="single" w:sz="4" w:space="0" w:color="auto"/>
            </w:tcBorders>
            <w:shd w:val="clear" w:color="auto" w:fill="auto"/>
            <w:noWrap/>
            <w:vAlign w:val="center"/>
            <w:hideMark/>
          </w:tcPr>
          <w:p w14:paraId="3267F1EC" w14:textId="77777777" w:rsidR="00117702" w:rsidRPr="00117702" w:rsidRDefault="00117702" w:rsidP="00117702">
            <w:pPr>
              <w:jc w:val="center"/>
              <w:rPr>
                <w:rFonts w:ascii="Arial Narrow" w:hAnsi="Arial Narrow" w:cs="Arial"/>
                <w:spacing w:val="0"/>
                <w:sz w:val="16"/>
                <w:szCs w:val="16"/>
                <w:lang w:eastAsia="es-CO"/>
              </w:rPr>
            </w:pPr>
            <w:r w:rsidRPr="00117702">
              <w:rPr>
                <w:rFonts w:ascii="Arial Narrow" w:hAnsi="Arial Narrow" w:cs="Arial"/>
                <w:spacing w:val="0"/>
                <w:sz w:val="16"/>
                <w:szCs w:val="16"/>
                <w:lang w:eastAsia="es-CO"/>
              </w:rPr>
              <w:t>900729389</w:t>
            </w:r>
          </w:p>
        </w:tc>
        <w:tc>
          <w:tcPr>
            <w:tcW w:w="5742" w:type="dxa"/>
            <w:tcBorders>
              <w:top w:val="nil"/>
              <w:left w:val="nil"/>
              <w:bottom w:val="single" w:sz="4" w:space="0" w:color="auto"/>
              <w:right w:val="single" w:sz="4" w:space="0" w:color="auto"/>
            </w:tcBorders>
            <w:shd w:val="clear" w:color="auto" w:fill="auto"/>
            <w:vAlign w:val="center"/>
            <w:hideMark/>
          </w:tcPr>
          <w:p w14:paraId="58B8BF1A"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EMPRESA PRESTADORA DE SERVICIOS PUBLICOS ECO LOGICA S.A.S. E.S.P.</w:t>
            </w:r>
          </w:p>
        </w:tc>
        <w:tc>
          <w:tcPr>
            <w:tcW w:w="851" w:type="dxa"/>
            <w:tcBorders>
              <w:top w:val="nil"/>
              <w:left w:val="nil"/>
              <w:bottom w:val="single" w:sz="4" w:space="0" w:color="auto"/>
              <w:right w:val="single" w:sz="4" w:space="0" w:color="auto"/>
            </w:tcBorders>
            <w:shd w:val="clear" w:color="auto" w:fill="auto"/>
            <w:noWrap/>
            <w:vAlign w:val="center"/>
            <w:hideMark/>
          </w:tcPr>
          <w:p w14:paraId="42883684"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OPERATIVA</w:t>
            </w:r>
          </w:p>
        </w:tc>
        <w:tc>
          <w:tcPr>
            <w:tcW w:w="850" w:type="dxa"/>
            <w:tcBorders>
              <w:top w:val="nil"/>
              <w:left w:val="nil"/>
              <w:bottom w:val="single" w:sz="4" w:space="0" w:color="auto"/>
              <w:right w:val="single" w:sz="4" w:space="0" w:color="auto"/>
            </w:tcBorders>
            <w:shd w:val="clear" w:color="auto" w:fill="auto"/>
            <w:noWrap/>
            <w:vAlign w:val="center"/>
            <w:hideMark/>
          </w:tcPr>
          <w:p w14:paraId="7EA03945"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EN</w:t>
            </w:r>
          </w:p>
        </w:tc>
      </w:tr>
      <w:tr w:rsidR="00117702" w:rsidRPr="00117702" w14:paraId="4D9DF68B" w14:textId="77777777" w:rsidTr="00C23C88">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264685DA" w14:textId="77777777" w:rsidR="00117702" w:rsidRPr="00117702" w:rsidRDefault="00117702" w:rsidP="00117702">
            <w:pPr>
              <w:jc w:val="right"/>
              <w:rPr>
                <w:rFonts w:ascii="Arial Narrow" w:hAnsi="Arial Narrow" w:cs="Arial"/>
                <w:color w:val="000000"/>
                <w:spacing w:val="0"/>
                <w:sz w:val="16"/>
                <w:szCs w:val="16"/>
                <w:lang w:eastAsia="es-CO"/>
              </w:rPr>
            </w:pPr>
            <w:r w:rsidRPr="00117702">
              <w:rPr>
                <w:rFonts w:ascii="Arial Narrow" w:hAnsi="Arial Narrow" w:cs="Arial"/>
                <w:color w:val="000000"/>
                <w:spacing w:val="0"/>
                <w:sz w:val="16"/>
                <w:szCs w:val="16"/>
                <w:lang w:eastAsia="es-CO"/>
              </w:rPr>
              <w:t>42</w:t>
            </w:r>
          </w:p>
        </w:tc>
        <w:tc>
          <w:tcPr>
            <w:tcW w:w="879" w:type="dxa"/>
            <w:tcBorders>
              <w:top w:val="nil"/>
              <w:left w:val="nil"/>
              <w:bottom w:val="single" w:sz="4" w:space="0" w:color="auto"/>
              <w:right w:val="single" w:sz="4" w:space="0" w:color="auto"/>
            </w:tcBorders>
            <w:shd w:val="clear" w:color="auto" w:fill="auto"/>
            <w:noWrap/>
            <w:vAlign w:val="center"/>
            <w:hideMark/>
          </w:tcPr>
          <w:p w14:paraId="7A89B0CB" w14:textId="77777777" w:rsidR="00117702" w:rsidRPr="00117702" w:rsidRDefault="00117702" w:rsidP="00117702">
            <w:pPr>
              <w:jc w:val="center"/>
              <w:rPr>
                <w:rFonts w:ascii="Arial Narrow" w:hAnsi="Arial Narrow" w:cs="Arial"/>
                <w:spacing w:val="0"/>
                <w:sz w:val="16"/>
                <w:szCs w:val="16"/>
                <w:lang w:eastAsia="es-CO"/>
              </w:rPr>
            </w:pPr>
            <w:r w:rsidRPr="00117702">
              <w:rPr>
                <w:rFonts w:ascii="Arial Narrow" w:hAnsi="Arial Narrow" w:cs="Arial"/>
                <w:spacing w:val="0"/>
                <w:sz w:val="16"/>
                <w:szCs w:val="16"/>
                <w:lang w:eastAsia="es-CO"/>
              </w:rPr>
              <w:t>900192473</w:t>
            </w:r>
          </w:p>
        </w:tc>
        <w:tc>
          <w:tcPr>
            <w:tcW w:w="5742" w:type="dxa"/>
            <w:tcBorders>
              <w:top w:val="nil"/>
              <w:left w:val="nil"/>
              <w:bottom w:val="single" w:sz="4" w:space="0" w:color="auto"/>
              <w:right w:val="single" w:sz="4" w:space="0" w:color="auto"/>
            </w:tcBorders>
            <w:shd w:val="clear" w:color="auto" w:fill="auto"/>
            <w:vAlign w:val="center"/>
            <w:hideMark/>
          </w:tcPr>
          <w:p w14:paraId="0F504938"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BIOPLANET SERVICES SAS ESP</w:t>
            </w:r>
          </w:p>
        </w:tc>
        <w:tc>
          <w:tcPr>
            <w:tcW w:w="851" w:type="dxa"/>
            <w:tcBorders>
              <w:top w:val="nil"/>
              <w:left w:val="nil"/>
              <w:bottom w:val="single" w:sz="4" w:space="0" w:color="auto"/>
              <w:right w:val="single" w:sz="4" w:space="0" w:color="auto"/>
            </w:tcBorders>
            <w:shd w:val="clear" w:color="auto" w:fill="auto"/>
            <w:noWrap/>
            <w:vAlign w:val="center"/>
            <w:hideMark/>
          </w:tcPr>
          <w:p w14:paraId="1615AB5C"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OPERATIVA</w:t>
            </w:r>
          </w:p>
        </w:tc>
        <w:tc>
          <w:tcPr>
            <w:tcW w:w="850" w:type="dxa"/>
            <w:tcBorders>
              <w:top w:val="nil"/>
              <w:left w:val="nil"/>
              <w:bottom w:val="single" w:sz="4" w:space="0" w:color="auto"/>
              <w:right w:val="single" w:sz="4" w:space="0" w:color="auto"/>
            </w:tcBorders>
            <w:shd w:val="clear" w:color="auto" w:fill="auto"/>
            <w:noWrap/>
            <w:vAlign w:val="center"/>
            <w:hideMark/>
          </w:tcPr>
          <w:p w14:paraId="585B9CDF"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GLP</w:t>
            </w:r>
          </w:p>
        </w:tc>
      </w:tr>
      <w:tr w:rsidR="00117702" w:rsidRPr="00117702" w14:paraId="775E9937" w14:textId="77777777" w:rsidTr="00C23C88">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4008230A" w14:textId="77777777" w:rsidR="00117702" w:rsidRPr="00117702" w:rsidRDefault="00117702" w:rsidP="00117702">
            <w:pPr>
              <w:jc w:val="right"/>
              <w:rPr>
                <w:rFonts w:ascii="Arial Narrow" w:hAnsi="Arial Narrow" w:cs="Arial"/>
                <w:color w:val="000000"/>
                <w:spacing w:val="0"/>
                <w:sz w:val="16"/>
                <w:szCs w:val="16"/>
                <w:lang w:eastAsia="es-CO"/>
              </w:rPr>
            </w:pPr>
            <w:r w:rsidRPr="00117702">
              <w:rPr>
                <w:rFonts w:ascii="Arial Narrow" w:hAnsi="Arial Narrow" w:cs="Arial"/>
                <w:color w:val="000000"/>
                <w:spacing w:val="0"/>
                <w:sz w:val="16"/>
                <w:szCs w:val="16"/>
                <w:lang w:eastAsia="es-CO"/>
              </w:rPr>
              <w:t>43</w:t>
            </w:r>
          </w:p>
        </w:tc>
        <w:tc>
          <w:tcPr>
            <w:tcW w:w="879" w:type="dxa"/>
            <w:tcBorders>
              <w:top w:val="nil"/>
              <w:left w:val="nil"/>
              <w:bottom w:val="single" w:sz="4" w:space="0" w:color="auto"/>
              <w:right w:val="single" w:sz="4" w:space="0" w:color="auto"/>
            </w:tcBorders>
            <w:shd w:val="clear" w:color="auto" w:fill="auto"/>
            <w:noWrap/>
            <w:vAlign w:val="center"/>
            <w:hideMark/>
          </w:tcPr>
          <w:p w14:paraId="133509BB" w14:textId="77777777" w:rsidR="00117702" w:rsidRPr="00117702" w:rsidRDefault="00117702" w:rsidP="00117702">
            <w:pPr>
              <w:jc w:val="center"/>
              <w:rPr>
                <w:rFonts w:ascii="Arial Narrow" w:hAnsi="Arial Narrow" w:cs="Arial"/>
                <w:spacing w:val="0"/>
                <w:sz w:val="16"/>
                <w:szCs w:val="16"/>
                <w:lang w:eastAsia="es-CO"/>
              </w:rPr>
            </w:pPr>
            <w:r w:rsidRPr="00117702">
              <w:rPr>
                <w:rFonts w:ascii="Arial Narrow" w:hAnsi="Arial Narrow" w:cs="Arial"/>
                <w:spacing w:val="0"/>
                <w:sz w:val="16"/>
                <w:szCs w:val="16"/>
                <w:lang w:eastAsia="es-CO"/>
              </w:rPr>
              <w:t>900957357</w:t>
            </w:r>
          </w:p>
        </w:tc>
        <w:tc>
          <w:tcPr>
            <w:tcW w:w="5742" w:type="dxa"/>
            <w:tcBorders>
              <w:top w:val="nil"/>
              <w:left w:val="nil"/>
              <w:bottom w:val="single" w:sz="4" w:space="0" w:color="auto"/>
              <w:right w:val="single" w:sz="4" w:space="0" w:color="auto"/>
            </w:tcBorders>
            <w:shd w:val="clear" w:color="auto" w:fill="auto"/>
            <w:vAlign w:val="center"/>
            <w:hideMark/>
          </w:tcPr>
          <w:p w14:paraId="74C30F44" w14:textId="77777777" w:rsidR="00117702" w:rsidRPr="00D26825" w:rsidRDefault="00117702" w:rsidP="00117702">
            <w:pPr>
              <w:jc w:val="left"/>
              <w:rPr>
                <w:rFonts w:ascii="Arial Narrow" w:hAnsi="Arial Narrow" w:cs="Arial"/>
                <w:spacing w:val="0"/>
                <w:sz w:val="16"/>
                <w:szCs w:val="16"/>
                <w:lang w:val="en-US" w:eastAsia="es-CO"/>
              </w:rPr>
            </w:pPr>
            <w:r w:rsidRPr="00D26825">
              <w:rPr>
                <w:rFonts w:ascii="Arial Narrow" w:hAnsi="Arial Narrow" w:cs="Arial"/>
                <w:spacing w:val="0"/>
                <w:sz w:val="16"/>
                <w:szCs w:val="16"/>
                <w:lang w:val="en-US" w:eastAsia="es-CO"/>
              </w:rPr>
              <w:t>COLOMBIAN ENERGY GROUP S.A.S.E.S.P.</w:t>
            </w:r>
          </w:p>
        </w:tc>
        <w:tc>
          <w:tcPr>
            <w:tcW w:w="851" w:type="dxa"/>
            <w:tcBorders>
              <w:top w:val="nil"/>
              <w:left w:val="nil"/>
              <w:bottom w:val="single" w:sz="4" w:space="0" w:color="auto"/>
              <w:right w:val="single" w:sz="4" w:space="0" w:color="auto"/>
            </w:tcBorders>
            <w:shd w:val="clear" w:color="auto" w:fill="auto"/>
            <w:noWrap/>
            <w:vAlign w:val="center"/>
            <w:hideMark/>
          </w:tcPr>
          <w:p w14:paraId="7A2D96B7"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OPERATIVA</w:t>
            </w:r>
          </w:p>
        </w:tc>
        <w:tc>
          <w:tcPr>
            <w:tcW w:w="850" w:type="dxa"/>
            <w:tcBorders>
              <w:top w:val="nil"/>
              <w:left w:val="nil"/>
              <w:bottom w:val="single" w:sz="4" w:space="0" w:color="auto"/>
              <w:right w:val="single" w:sz="4" w:space="0" w:color="auto"/>
            </w:tcBorders>
            <w:shd w:val="clear" w:color="auto" w:fill="auto"/>
            <w:noWrap/>
            <w:vAlign w:val="center"/>
            <w:hideMark/>
          </w:tcPr>
          <w:p w14:paraId="41FBE3CA"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GLP-GN</w:t>
            </w:r>
          </w:p>
        </w:tc>
      </w:tr>
      <w:tr w:rsidR="00117702" w:rsidRPr="00117702" w14:paraId="2CABB52A" w14:textId="77777777" w:rsidTr="00C23C88">
        <w:trPr>
          <w:trHeight w:val="46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0328D536" w14:textId="77777777" w:rsidR="00117702" w:rsidRPr="00117702" w:rsidRDefault="00117702" w:rsidP="00117702">
            <w:pPr>
              <w:jc w:val="right"/>
              <w:rPr>
                <w:rFonts w:ascii="Arial Narrow" w:hAnsi="Arial Narrow" w:cs="Arial"/>
                <w:color w:val="000000"/>
                <w:spacing w:val="0"/>
                <w:sz w:val="16"/>
                <w:szCs w:val="16"/>
                <w:lang w:eastAsia="es-CO"/>
              </w:rPr>
            </w:pPr>
            <w:r w:rsidRPr="00117702">
              <w:rPr>
                <w:rFonts w:ascii="Arial Narrow" w:hAnsi="Arial Narrow" w:cs="Arial"/>
                <w:color w:val="000000"/>
                <w:spacing w:val="0"/>
                <w:sz w:val="16"/>
                <w:szCs w:val="16"/>
                <w:lang w:eastAsia="es-CO"/>
              </w:rPr>
              <w:t>44</w:t>
            </w:r>
          </w:p>
        </w:tc>
        <w:tc>
          <w:tcPr>
            <w:tcW w:w="879" w:type="dxa"/>
            <w:tcBorders>
              <w:top w:val="nil"/>
              <w:left w:val="nil"/>
              <w:bottom w:val="single" w:sz="4" w:space="0" w:color="auto"/>
              <w:right w:val="single" w:sz="4" w:space="0" w:color="auto"/>
            </w:tcBorders>
            <w:shd w:val="clear" w:color="auto" w:fill="auto"/>
            <w:noWrap/>
            <w:vAlign w:val="center"/>
            <w:hideMark/>
          </w:tcPr>
          <w:p w14:paraId="50882067" w14:textId="77777777" w:rsidR="00117702" w:rsidRPr="00117702" w:rsidRDefault="00117702" w:rsidP="00117702">
            <w:pPr>
              <w:jc w:val="center"/>
              <w:rPr>
                <w:rFonts w:ascii="Arial Narrow" w:hAnsi="Arial Narrow" w:cs="Arial"/>
                <w:spacing w:val="0"/>
                <w:sz w:val="16"/>
                <w:szCs w:val="16"/>
                <w:lang w:eastAsia="es-CO"/>
              </w:rPr>
            </w:pPr>
            <w:r w:rsidRPr="00117702">
              <w:rPr>
                <w:rFonts w:ascii="Arial Narrow" w:hAnsi="Arial Narrow" w:cs="Arial"/>
                <w:spacing w:val="0"/>
                <w:sz w:val="16"/>
                <w:szCs w:val="16"/>
                <w:lang w:eastAsia="es-CO"/>
              </w:rPr>
              <w:t>901126551</w:t>
            </w:r>
          </w:p>
        </w:tc>
        <w:tc>
          <w:tcPr>
            <w:tcW w:w="5742" w:type="dxa"/>
            <w:tcBorders>
              <w:top w:val="nil"/>
              <w:left w:val="nil"/>
              <w:bottom w:val="single" w:sz="4" w:space="0" w:color="auto"/>
              <w:right w:val="single" w:sz="4" w:space="0" w:color="auto"/>
            </w:tcBorders>
            <w:shd w:val="clear" w:color="auto" w:fill="auto"/>
            <w:vAlign w:val="center"/>
            <w:hideMark/>
          </w:tcPr>
          <w:p w14:paraId="114FFA92" w14:textId="77777777" w:rsidR="00117702" w:rsidRPr="00117702" w:rsidRDefault="00117702" w:rsidP="00117702">
            <w:pPr>
              <w:jc w:val="left"/>
              <w:rPr>
                <w:rFonts w:ascii="Arial Narrow" w:hAnsi="Arial Narrow" w:cs="Arial"/>
                <w:color w:val="000000"/>
                <w:spacing w:val="0"/>
                <w:sz w:val="16"/>
                <w:szCs w:val="16"/>
                <w:lang w:eastAsia="es-CO"/>
              </w:rPr>
            </w:pPr>
            <w:r w:rsidRPr="00117702">
              <w:rPr>
                <w:rFonts w:ascii="Arial Narrow" w:hAnsi="Arial Narrow" w:cs="Arial"/>
                <w:color w:val="000000"/>
                <w:spacing w:val="0"/>
                <w:sz w:val="16"/>
                <w:szCs w:val="16"/>
                <w:lang w:eastAsia="es-CO"/>
              </w:rPr>
              <w:t>EMPRESA PRESTADORA DE SERVICIOS PUBLICOS DE ENERGIAS GAS Y TELECOMUNICACIONES S.A.S.</w:t>
            </w:r>
          </w:p>
        </w:tc>
        <w:tc>
          <w:tcPr>
            <w:tcW w:w="851" w:type="dxa"/>
            <w:tcBorders>
              <w:top w:val="nil"/>
              <w:left w:val="nil"/>
              <w:bottom w:val="single" w:sz="4" w:space="0" w:color="auto"/>
              <w:right w:val="single" w:sz="4" w:space="0" w:color="auto"/>
            </w:tcBorders>
            <w:shd w:val="clear" w:color="auto" w:fill="auto"/>
            <w:noWrap/>
            <w:vAlign w:val="center"/>
            <w:hideMark/>
          </w:tcPr>
          <w:p w14:paraId="444C73C7" w14:textId="77777777" w:rsidR="00117702" w:rsidRPr="00117702" w:rsidRDefault="00117702" w:rsidP="00117702">
            <w:pPr>
              <w:jc w:val="left"/>
              <w:rPr>
                <w:rFonts w:ascii="Arial Narrow" w:hAnsi="Arial Narrow" w:cs="Arial"/>
                <w:color w:val="000000"/>
                <w:spacing w:val="0"/>
                <w:sz w:val="16"/>
                <w:szCs w:val="16"/>
                <w:lang w:eastAsia="es-CO"/>
              </w:rPr>
            </w:pPr>
            <w:r w:rsidRPr="00117702">
              <w:rPr>
                <w:rFonts w:ascii="Arial Narrow" w:hAnsi="Arial Narrow" w:cs="Arial"/>
                <w:color w:val="000000"/>
                <w:spacing w:val="0"/>
                <w:sz w:val="16"/>
                <w:szCs w:val="16"/>
                <w:lang w:eastAsia="es-CO"/>
              </w:rPr>
              <w:t>OPERATIVA</w:t>
            </w:r>
          </w:p>
        </w:tc>
        <w:tc>
          <w:tcPr>
            <w:tcW w:w="850" w:type="dxa"/>
            <w:tcBorders>
              <w:top w:val="nil"/>
              <w:left w:val="nil"/>
              <w:bottom w:val="single" w:sz="4" w:space="0" w:color="auto"/>
              <w:right w:val="single" w:sz="4" w:space="0" w:color="auto"/>
            </w:tcBorders>
            <w:shd w:val="clear" w:color="auto" w:fill="auto"/>
            <w:noWrap/>
            <w:vAlign w:val="center"/>
            <w:hideMark/>
          </w:tcPr>
          <w:p w14:paraId="440270BC" w14:textId="77777777" w:rsidR="00117702" w:rsidRPr="00117702" w:rsidRDefault="00117702" w:rsidP="00117702">
            <w:pPr>
              <w:jc w:val="left"/>
              <w:rPr>
                <w:rFonts w:ascii="Arial Narrow" w:hAnsi="Arial Narrow" w:cs="Arial"/>
                <w:color w:val="000000"/>
                <w:spacing w:val="0"/>
                <w:sz w:val="16"/>
                <w:szCs w:val="16"/>
                <w:lang w:eastAsia="es-CO"/>
              </w:rPr>
            </w:pPr>
            <w:r w:rsidRPr="00117702">
              <w:rPr>
                <w:rFonts w:ascii="Arial Narrow" w:hAnsi="Arial Narrow" w:cs="Arial"/>
                <w:color w:val="000000"/>
                <w:spacing w:val="0"/>
                <w:sz w:val="16"/>
                <w:szCs w:val="16"/>
                <w:lang w:eastAsia="es-CO"/>
              </w:rPr>
              <w:t>EN</w:t>
            </w:r>
          </w:p>
        </w:tc>
      </w:tr>
      <w:tr w:rsidR="00117702" w:rsidRPr="00117702" w14:paraId="50BB3F79" w14:textId="77777777" w:rsidTr="00C23C88">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5251D011" w14:textId="77777777" w:rsidR="00117702" w:rsidRPr="00117702" w:rsidRDefault="00117702" w:rsidP="00117702">
            <w:pPr>
              <w:jc w:val="right"/>
              <w:rPr>
                <w:rFonts w:ascii="Arial Narrow" w:hAnsi="Arial Narrow" w:cs="Arial"/>
                <w:color w:val="000000"/>
                <w:spacing w:val="0"/>
                <w:sz w:val="16"/>
                <w:szCs w:val="16"/>
                <w:lang w:eastAsia="es-CO"/>
              </w:rPr>
            </w:pPr>
            <w:r w:rsidRPr="00117702">
              <w:rPr>
                <w:rFonts w:ascii="Arial Narrow" w:hAnsi="Arial Narrow" w:cs="Arial"/>
                <w:color w:val="000000"/>
                <w:spacing w:val="0"/>
                <w:sz w:val="16"/>
                <w:szCs w:val="16"/>
                <w:lang w:eastAsia="es-CO"/>
              </w:rPr>
              <w:t>45</w:t>
            </w:r>
          </w:p>
        </w:tc>
        <w:tc>
          <w:tcPr>
            <w:tcW w:w="879" w:type="dxa"/>
            <w:tcBorders>
              <w:top w:val="nil"/>
              <w:left w:val="nil"/>
              <w:bottom w:val="single" w:sz="4" w:space="0" w:color="auto"/>
              <w:right w:val="single" w:sz="4" w:space="0" w:color="auto"/>
            </w:tcBorders>
            <w:shd w:val="clear" w:color="auto" w:fill="auto"/>
            <w:noWrap/>
            <w:vAlign w:val="center"/>
            <w:hideMark/>
          </w:tcPr>
          <w:p w14:paraId="27A804C7" w14:textId="77777777" w:rsidR="00117702" w:rsidRPr="00117702" w:rsidRDefault="00117702" w:rsidP="00117702">
            <w:pPr>
              <w:jc w:val="center"/>
              <w:rPr>
                <w:rFonts w:ascii="Arial Narrow" w:hAnsi="Arial Narrow" w:cs="Arial"/>
                <w:spacing w:val="0"/>
                <w:sz w:val="16"/>
                <w:szCs w:val="16"/>
                <w:lang w:eastAsia="es-CO"/>
              </w:rPr>
            </w:pPr>
            <w:r w:rsidRPr="00117702">
              <w:rPr>
                <w:rFonts w:ascii="Arial Narrow" w:hAnsi="Arial Narrow" w:cs="Arial"/>
                <w:spacing w:val="0"/>
                <w:sz w:val="16"/>
                <w:szCs w:val="16"/>
                <w:lang w:eastAsia="es-CO"/>
              </w:rPr>
              <w:t>830144426</w:t>
            </w:r>
          </w:p>
        </w:tc>
        <w:tc>
          <w:tcPr>
            <w:tcW w:w="5742" w:type="dxa"/>
            <w:tcBorders>
              <w:top w:val="nil"/>
              <w:left w:val="nil"/>
              <w:bottom w:val="single" w:sz="4" w:space="0" w:color="auto"/>
              <w:right w:val="single" w:sz="4" w:space="0" w:color="auto"/>
            </w:tcBorders>
            <w:shd w:val="clear" w:color="auto" w:fill="auto"/>
            <w:vAlign w:val="center"/>
            <w:hideMark/>
          </w:tcPr>
          <w:p w14:paraId="73CC0FA5"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DUARTECNICOS SAS</w:t>
            </w:r>
          </w:p>
        </w:tc>
        <w:tc>
          <w:tcPr>
            <w:tcW w:w="851" w:type="dxa"/>
            <w:tcBorders>
              <w:top w:val="nil"/>
              <w:left w:val="nil"/>
              <w:bottom w:val="single" w:sz="4" w:space="0" w:color="auto"/>
              <w:right w:val="single" w:sz="4" w:space="0" w:color="auto"/>
            </w:tcBorders>
            <w:shd w:val="clear" w:color="auto" w:fill="auto"/>
            <w:noWrap/>
            <w:vAlign w:val="center"/>
            <w:hideMark/>
          </w:tcPr>
          <w:p w14:paraId="76812679"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OPERATIVA</w:t>
            </w:r>
          </w:p>
        </w:tc>
        <w:tc>
          <w:tcPr>
            <w:tcW w:w="850" w:type="dxa"/>
            <w:tcBorders>
              <w:top w:val="nil"/>
              <w:left w:val="nil"/>
              <w:bottom w:val="single" w:sz="4" w:space="0" w:color="auto"/>
              <w:right w:val="single" w:sz="4" w:space="0" w:color="auto"/>
            </w:tcBorders>
            <w:shd w:val="clear" w:color="auto" w:fill="auto"/>
            <w:noWrap/>
            <w:vAlign w:val="center"/>
            <w:hideMark/>
          </w:tcPr>
          <w:p w14:paraId="53ADE1C6"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GN</w:t>
            </w:r>
          </w:p>
        </w:tc>
      </w:tr>
      <w:tr w:rsidR="00117702" w:rsidRPr="00117702" w14:paraId="392496D7" w14:textId="77777777" w:rsidTr="00C23C88">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3A7ED6EE" w14:textId="77777777" w:rsidR="00117702" w:rsidRPr="00117702" w:rsidRDefault="00117702" w:rsidP="00117702">
            <w:pPr>
              <w:jc w:val="right"/>
              <w:rPr>
                <w:rFonts w:ascii="Arial Narrow" w:hAnsi="Arial Narrow" w:cs="Arial"/>
                <w:color w:val="000000"/>
                <w:spacing w:val="0"/>
                <w:sz w:val="16"/>
                <w:szCs w:val="16"/>
                <w:lang w:eastAsia="es-CO"/>
              </w:rPr>
            </w:pPr>
            <w:r w:rsidRPr="00117702">
              <w:rPr>
                <w:rFonts w:ascii="Arial Narrow" w:hAnsi="Arial Narrow" w:cs="Arial"/>
                <w:color w:val="000000"/>
                <w:spacing w:val="0"/>
                <w:sz w:val="16"/>
                <w:szCs w:val="16"/>
                <w:lang w:eastAsia="es-CO"/>
              </w:rPr>
              <w:t>46</w:t>
            </w:r>
          </w:p>
        </w:tc>
        <w:tc>
          <w:tcPr>
            <w:tcW w:w="879" w:type="dxa"/>
            <w:tcBorders>
              <w:top w:val="nil"/>
              <w:left w:val="nil"/>
              <w:bottom w:val="single" w:sz="4" w:space="0" w:color="auto"/>
              <w:right w:val="single" w:sz="4" w:space="0" w:color="auto"/>
            </w:tcBorders>
            <w:shd w:val="clear" w:color="auto" w:fill="auto"/>
            <w:noWrap/>
            <w:vAlign w:val="center"/>
            <w:hideMark/>
          </w:tcPr>
          <w:p w14:paraId="2F08375D" w14:textId="77777777" w:rsidR="00117702" w:rsidRPr="00117702" w:rsidRDefault="00117702" w:rsidP="00117702">
            <w:pPr>
              <w:jc w:val="center"/>
              <w:rPr>
                <w:rFonts w:ascii="Arial Narrow" w:hAnsi="Arial Narrow" w:cs="Arial"/>
                <w:spacing w:val="0"/>
                <w:sz w:val="16"/>
                <w:szCs w:val="16"/>
                <w:lang w:eastAsia="es-CO"/>
              </w:rPr>
            </w:pPr>
            <w:r w:rsidRPr="00117702">
              <w:rPr>
                <w:rFonts w:ascii="Arial Narrow" w:hAnsi="Arial Narrow" w:cs="Arial"/>
                <w:spacing w:val="0"/>
                <w:sz w:val="16"/>
                <w:szCs w:val="16"/>
                <w:lang w:eastAsia="es-CO"/>
              </w:rPr>
              <w:t>900804127</w:t>
            </w:r>
          </w:p>
        </w:tc>
        <w:tc>
          <w:tcPr>
            <w:tcW w:w="5742" w:type="dxa"/>
            <w:tcBorders>
              <w:top w:val="nil"/>
              <w:left w:val="nil"/>
              <w:bottom w:val="single" w:sz="4" w:space="0" w:color="auto"/>
              <w:right w:val="single" w:sz="4" w:space="0" w:color="auto"/>
            </w:tcBorders>
            <w:shd w:val="clear" w:color="auto" w:fill="auto"/>
            <w:vAlign w:val="center"/>
            <w:hideMark/>
          </w:tcPr>
          <w:p w14:paraId="6940A886"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ENERGY &amp; CO SAS ESP</w:t>
            </w:r>
          </w:p>
        </w:tc>
        <w:tc>
          <w:tcPr>
            <w:tcW w:w="851" w:type="dxa"/>
            <w:tcBorders>
              <w:top w:val="nil"/>
              <w:left w:val="nil"/>
              <w:bottom w:val="single" w:sz="4" w:space="0" w:color="auto"/>
              <w:right w:val="single" w:sz="4" w:space="0" w:color="auto"/>
            </w:tcBorders>
            <w:shd w:val="clear" w:color="auto" w:fill="auto"/>
            <w:noWrap/>
            <w:vAlign w:val="center"/>
            <w:hideMark/>
          </w:tcPr>
          <w:p w14:paraId="708E104B"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OPERATIVA</w:t>
            </w:r>
          </w:p>
        </w:tc>
        <w:tc>
          <w:tcPr>
            <w:tcW w:w="850" w:type="dxa"/>
            <w:tcBorders>
              <w:top w:val="nil"/>
              <w:left w:val="nil"/>
              <w:bottom w:val="single" w:sz="4" w:space="0" w:color="auto"/>
              <w:right w:val="single" w:sz="4" w:space="0" w:color="auto"/>
            </w:tcBorders>
            <w:shd w:val="clear" w:color="auto" w:fill="auto"/>
            <w:noWrap/>
            <w:vAlign w:val="center"/>
            <w:hideMark/>
          </w:tcPr>
          <w:p w14:paraId="1513F181"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EN</w:t>
            </w:r>
          </w:p>
        </w:tc>
      </w:tr>
      <w:tr w:rsidR="00117702" w:rsidRPr="00117702" w14:paraId="019130B5" w14:textId="77777777" w:rsidTr="00C23C88">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4BBB79B1" w14:textId="77777777" w:rsidR="00117702" w:rsidRPr="00117702" w:rsidRDefault="00117702" w:rsidP="00117702">
            <w:pPr>
              <w:jc w:val="right"/>
              <w:rPr>
                <w:rFonts w:ascii="Arial Narrow" w:hAnsi="Arial Narrow" w:cs="Arial"/>
                <w:color w:val="000000"/>
                <w:spacing w:val="0"/>
                <w:sz w:val="16"/>
                <w:szCs w:val="16"/>
                <w:lang w:eastAsia="es-CO"/>
              </w:rPr>
            </w:pPr>
            <w:r w:rsidRPr="00117702">
              <w:rPr>
                <w:rFonts w:ascii="Arial Narrow" w:hAnsi="Arial Narrow" w:cs="Arial"/>
                <w:color w:val="000000"/>
                <w:spacing w:val="0"/>
                <w:sz w:val="16"/>
                <w:szCs w:val="16"/>
                <w:lang w:eastAsia="es-CO"/>
              </w:rPr>
              <w:t>47</w:t>
            </w:r>
          </w:p>
        </w:tc>
        <w:tc>
          <w:tcPr>
            <w:tcW w:w="879" w:type="dxa"/>
            <w:tcBorders>
              <w:top w:val="nil"/>
              <w:left w:val="nil"/>
              <w:bottom w:val="single" w:sz="4" w:space="0" w:color="auto"/>
              <w:right w:val="single" w:sz="4" w:space="0" w:color="auto"/>
            </w:tcBorders>
            <w:shd w:val="clear" w:color="auto" w:fill="auto"/>
            <w:noWrap/>
            <w:vAlign w:val="center"/>
            <w:hideMark/>
          </w:tcPr>
          <w:p w14:paraId="72384EFE" w14:textId="77777777" w:rsidR="00117702" w:rsidRPr="00117702" w:rsidRDefault="00117702" w:rsidP="00117702">
            <w:pPr>
              <w:jc w:val="center"/>
              <w:rPr>
                <w:rFonts w:ascii="Arial Narrow" w:hAnsi="Arial Narrow" w:cs="Arial"/>
                <w:spacing w:val="0"/>
                <w:sz w:val="16"/>
                <w:szCs w:val="16"/>
                <w:lang w:eastAsia="es-CO"/>
              </w:rPr>
            </w:pPr>
            <w:r w:rsidRPr="00117702">
              <w:rPr>
                <w:rFonts w:ascii="Arial Narrow" w:hAnsi="Arial Narrow" w:cs="Arial"/>
                <w:spacing w:val="0"/>
                <w:sz w:val="16"/>
                <w:szCs w:val="16"/>
                <w:lang w:eastAsia="es-CO"/>
              </w:rPr>
              <w:t>901199778</w:t>
            </w:r>
          </w:p>
        </w:tc>
        <w:tc>
          <w:tcPr>
            <w:tcW w:w="5742" w:type="dxa"/>
            <w:tcBorders>
              <w:top w:val="nil"/>
              <w:left w:val="nil"/>
              <w:bottom w:val="single" w:sz="4" w:space="0" w:color="auto"/>
              <w:right w:val="single" w:sz="4" w:space="0" w:color="auto"/>
            </w:tcBorders>
            <w:shd w:val="clear" w:color="auto" w:fill="auto"/>
            <w:vAlign w:val="center"/>
            <w:hideMark/>
          </w:tcPr>
          <w:p w14:paraId="753B625A"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LATINOAMERICAN ENERGY SAS ESP</w:t>
            </w:r>
          </w:p>
        </w:tc>
        <w:tc>
          <w:tcPr>
            <w:tcW w:w="851" w:type="dxa"/>
            <w:tcBorders>
              <w:top w:val="nil"/>
              <w:left w:val="nil"/>
              <w:bottom w:val="single" w:sz="4" w:space="0" w:color="auto"/>
              <w:right w:val="single" w:sz="4" w:space="0" w:color="auto"/>
            </w:tcBorders>
            <w:shd w:val="clear" w:color="auto" w:fill="auto"/>
            <w:noWrap/>
            <w:vAlign w:val="center"/>
            <w:hideMark/>
          </w:tcPr>
          <w:p w14:paraId="02390F1C"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OPERATIVA</w:t>
            </w:r>
          </w:p>
        </w:tc>
        <w:tc>
          <w:tcPr>
            <w:tcW w:w="850" w:type="dxa"/>
            <w:tcBorders>
              <w:top w:val="nil"/>
              <w:left w:val="nil"/>
              <w:bottom w:val="single" w:sz="4" w:space="0" w:color="auto"/>
              <w:right w:val="single" w:sz="4" w:space="0" w:color="auto"/>
            </w:tcBorders>
            <w:shd w:val="clear" w:color="auto" w:fill="auto"/>
            <w:noWrap/>
            <w:vAlign w:val="center"/>
            <w:hideMark/>
          </w:tcPr>
          <w:p w14:paraId="620554C0"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EN</w:t>
            </w:r>
          </w:p>
        </w:tc>
      </w:tr>
      <w:tr w:rsidR="00117702" w:rsidRPr="00117702" w14:paraId="7FCAB852" w14:textId="77777777" w:rsidTr="00C23C88">
        <w:trPr>
          <w:trHeight w:val="303"/>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3A0649E6" w14:textId="77777777" w:rsidR="00117702" w:rsidRPr="00117702" w:rsidRDefault="00117702" w:rsidP="00117702">
            <w:pPr>
              <w:jc w:val="right"/>
              <w:rPr>
                <w:rFonts w:ascii="Arial Narrow" w:hAnsi="Arial Narrow" w:cs="Arial"/>
                <w:color w:val="000000"/>
                <w:spacing w:val="0"/>
                <w:sz w:val="16"/>
                <w:szCs w:val="16"/>
                <w:lang w:eastAsia="es-CO"/>
              </w:rPr>
            </w:pPr>
            <w:r w:rsidRPr="00117702">
              <w:rPr>
                <w:rFonts w:ascii="Arial Narrow" w:hAnsi="Arial Narrow" w:cs="Arial"/>
                <w:color w:val="000000"/>
                <w:spacing w:val="0"/>
                <w:sz w:val="16"/>
                <w:szCs w:val="16"/>
                <w:lang w:eastAsia="es-CO"/>
              </w:rPr>
              <w:t>48</w:t>
            </w:r>
          </w:p>
        </w:tc>
        <w:tc>
          <w:tcPr>
            <w:tcW w:w="879" w:type="dxa"/>
            <w:tcBorders>
              <w:top w:val="nil"/>
              <w:left w:val="nil"/>
              <w:bottom w:val="single" w:sz="4" w:space="0" w:color="auto"/>
              <w:right w:val="single" w:sz="4" w:space="0" w:color="auto"/>
            </w:tcBorders>
            <w:shd w:val="clear" w:color="auto" w:fill="auto"/>
            <w:noWrap/>
            <w:vAlign w:val="center"/>
            <w:hideMark/>
          </w:tcPr>
          <w:p w14:paraId="1E4DD499" w14:textId="77777777" w:rsidR="00117702" w:rsidRPr="00117702" w:rsidRDefault="00117702" w:rsidP="00117702">
            <w:pPr>
              <w:jc w:val="center"/>
              <w:rPr>
                <w:rFonts w:ascii="Arial Narrow" w:hAnsi="Arial Narrow" w:cs="Arial"/>
                <w:spacing w:val="0"/>
                <w:sz w:val="16"/>
                <w:szCs w:val="16"/>
                <w:lang w:eastAsia="es-CO"/>
              </w:rPr>
            </w:pPr>
            <w:r w:rsidRPr="00117702">
              <w:rPr>
                <w:rFonts w:ascii="Arial Narrow" w:hAnsi="Arial Narrow" w:cs="Arial"/>
                <w:spacing w:val="0"/>
                <w:sz w:val="16"/>
                <w:szCs w:val="16"/>
                <w:lang w:eastAsia="es-CO"/>
              </w:rPr>
              <w:t>901225715</w:t>
            </w:r>
          </w:p>
        </w:tc>
        <w:tc>
          <w:tcPr>
            <w:tcW w:w="5742" w:type="dxa"/>
            <w:tcBorders>
              <w:top w:val="nil"/>
              <w:left w:val="nil"/>
              <w:bottom w:val="single" w:sz="4" w:space="0" w:color="auto"/>
              <w:right w:val="single" w:sz="4" w:space="0" w:color="auto"/>
            </w:tcBorders>
            <w:shd w:val="clear" w:color="auto" w:fill="auto"/>
            <w:vAlign w:val="center"/>
            <w:hideMark/>
          </w:tcPr>
          <w:p w14:paraId="2AE1C0EF"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EMPRESA COMERCIALIZADORA DE ENERGÍA ELÉCTRICA DE LA COSTA</w:t>
            </w:r>
          </w:p>
        </w:tc>
        <w:tc>
          <w:tcPr>
            <w:tcW w:w="851" w:type="dxa"/>
            <w:tcBorders>
              <w:top w:val="nil"/>
              <w:left w:val="nil"/>
              <w:bottom w:val="single" w:sz="4" w:space="0" w:color="auto"/>
              <w:right w:val="single" w:sz="4" w:space="0" w:color="auto"/>
            </w:tcBorders>
            <w:shd w:val="clear" w:color="auto" w:fill="auto"/>
            <w:noWrap/>
            <w:vAlign w:val="center"/>
            <w:hideMark/>
          </w:tcPr>
          <w:p w14:paraId="31B35203"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OPERATIVA</w:t>
            </w:r>
          </w:p>
        </w:tc>
        <w:tc>
          <w:tcPr>
            <w:tcW w:w="850" w:type="dxa"/>
            <w:tcBorders>
              <w:top w:val="nil"/>
              <w:left w:val="nil"/>
              <w:bottom w:val="single" w:sz="4" w:space="0" w:color="auto"/>
              <w:right w:val="single" w:sz="4" w:space="0" w:color="auto"/>
            </w:tcBorders>
            <w:shd w:val="clear" w:color="auto" w:fill="auto"/>
            <w:noWrap/>
            <w:vAlign w:val="center"/>
            <w:hideMark/>
          </w:tcPr>
          <w:p w14:paraId="475E17FA"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EN</w:t>
            </w:r>
          </w:p>
        </w:tc>
      </w:tr>
      <w:tr w:rsidR="00117702" w:rsidRPr="00117702" w14:paraId="50C4A127" w14:textId="77777777" w:rsidTr="00C23C88">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1F0E0E36" w14:textId="77777777" w:rsidR="00117702" w:rsidRPr="00117702" w:rsidRDefault="00117702" w:rsidP="00117702">
            <w:pPr>
              <w:jc w:val="right"/>
              <w:rPr>
                <w:rFonts w:ascii="Arial Narrow" w:hAnsi="Arial Narrow" w:cs="Arial"/>
                <w:color w:val="000000"/>
                <w:spacing w:val="0"/>
                <w:sz w:val="16"/>
                <w:szCs w:val="16"/>
                <w:lang w:eastAsia="es-CO"/>
              </w:rPr>
            </w:pPr>
            <w:r w:rsidRPr="00117702">
              <w:rPr>
                <w:rFonts w:ascii="Arial Narrow" w:hAnsi="Arial Narrow" w:cs="Arial"/>
                <w:color w:val="000000"/>
                <w:spacing w:val="0"/>
                <w:sz w:val="16"/>
                <w:szCs w:val="16"/>
                <w:lang w:eastAsia="es-CO"/>
              </w:rPr>
              <w:lastRenderedPageBreak/>
              <w:t>49</w:t>
            </w:r>
          </w:p>
        </w:tc>
        <w:tc>
          <w:tcPr>
            <w:tcW w:w="879" w:type="dxa"/>
            <w:tcBorders>
              <w:top w:val="nil"/>
              <w:left w:val="nil"/>
              <w:bottom w:val="single" w:sz="4" w:space="0" w:color="auto"/>
              <w:right w:val="single" w:sz="4" w:space="0" w:color="auto"/>
            </w:tcBorders>
            <w:shd w:val="clear" w:color="auto" w:fill="auto"/>
            <w:noWrap/>
            <w:vAlign w:val="center"/>
            <w:hideMark/>
          </w:tcPr>
          <w:p w14:paraId="79440129" w14:textId="77777777" w:rsidR="00117702" w:rsidRPr="00117702" w:rsidRDefault="00117702" w:rsidP="00117702">
            <w:pPr>
              <w:jc w:val="center"/>
              <w:rPr>
                <w:rFonts w:ascii="Arial Narrow" w:hAnsi="Arial Narrow" w:cs="Arial"/>
                <w:spacing w:val="0"/>
                <w:sz w:val="16"/>
                <w:szCs w:val="16"/>
                <w:lang w:eastAsia="es-CO"/>
              </w:rPr>
            </w:pPr>
            <w:r w:rsidRPr="00117702">
              <w:rPr>
                <w:rFonts w:ascii="Arial Narrow" w:hAnsi="Arial Narrow" w:cs="Arial"/>
                <w:spacing w:val="0"/>
                <w:sz w:val="16"/>
                <w:szCs w:val="16"/>
                <w:lang w:eastAsia="es-CO"/>
              </w:rPr>
              <w:t>900646156</w:t>
            </w:r>
          </w:p>
        </w:tc>
        <w:tc>
          <w:tcPr>
            <w:tcW w:w="5742" w:type="dxa"/>
            <w:tcBorders>
              <w:top w:val="nil"/>
              <w:left w:val="nil"/>
              <w:bottom w:val="single" w:sz="4" w:space="0" w:color="auto"/>
              <w:right w:val="single" w:sz="4" w:space="0" w:color="auto"/>
            </w:tcBorders>
            <w:shd w:val="clear" w:color="auto" w:fill="auto"/>
            <w:vAlign w:val="center"/>
            <w:hideMark/>
          </w:tcPr>
          <w:p w14:paraId="40ED700A" w14:textId="77777777" w:rsidR="00117702" w:rsidRPr="00117702" w:rsidRDefault="00117702" w:rsidP="00117702">
            <w:pPr>
              <w:jc w:val="left"/>
              <w:rPr>
                <w:rFonts w:ascii="Arial Narrow" w:hAnsi="Arial Narrow" w:cs="Arial"/>
                <w:color w:val="000000"/>
                <w:spacing w:val="0"/>
                <w:sz w:val="16"/>
                <w:szCs w:val="16"/>
                <w:lang w:eastAsia="es-CO"/>
              </w:rPr>
            </w:pPr>
            <w:r w:rsidRPr="00117702">
              <w:rPr>
                <w:rFonts w:ascii="Arial Narrow" w:hAnsi="Arial Narrow" w:cs="Arial"/>
                <w:color w:val="000000"/>
                <w:spacing w:val="0"/>
                <w:sz w:val="16"/>
                <w:szCs w:val="16"/>
                <w:lang w:eastAsia="es-CO"/>
              </w:rPr>
              <w:t>TRAFIGURA MARKETING COLOMBIA SAS ESP</w:t>
            </w:r>
          </w:p>
        </w:tc>
        <w:tc>
          <w:tcPr>
            <w:tcW w:w="851" w:type="dxa"/>
            <w:tcBorders>
              <w:top w:val="nil"/>
              <w:left w:val="nil"/>
              <w:bottom w:val="single" w:sz="4" w:space="0" w:color="auto"/>
              <w:right w:val="single" w:sz="4" w:space="0" w:color="auto"/>
            </w:tcBorders>
            <w:shd w:val="clear" w:color="auto" w:fill="auto"/>
            <w:noWrap/>
            <w:vAlign w:val="center"/>
            <w:hideMark/>
          </w:tcPr>
          <w:p w14:paraId="6FF00A12" w14:textId="77777777" w:rsidR="00117702" w:rsidRPr="00117702" w:rsidRDefault="00117702" w:rsidP="00117702">
            <w:pPr>
              <w:jc w:val="left"/>
              <w:rPr>
                <w:rFonts w:ascii="Arial Narrow" w:hAnsi="Arial Narrow" w:cs="Arial"/>
                <w:color w:val="000000"/>
                <w:spacing w:val="0"/>
                <w:sz w:val="16"/>
                <w:szCs w:val="16"/>
                <w:lang w:eastAsia="es-CO"/>
              </w:rPr>
            </w:pPr>
            <w:r w:rsidRPr="00117702">
              <w:rPr>
                <w:rFonts w:ascii="Arial Narrow" w:hAnsi="Arial Narrow" w:cs="Arial"/>
                <w:color w:val="000000"/>
                <w:spacing w:val="0"/>
                <w:sz w:val="16"/>
                <w:szCs w:val="16"/>
                <w:lang w:eastAsia="es-CO"/>
              </w:rPr>
              <w:t>OPERATIVA</w:t>
            </w:r>
          </w:p>
        </w:tc>
        <w:tc>
          <w:tcPr>
            <w:tcW w:w="850" w:type="dxa"/>
            <w:tcBorders>
              <w:top w:val="nil"/>
              <w:left w:val="nil"/>
              <w:bottom w:val="single" w:sz="4" w:space="0" w:color="auto"/>
              <w:right w:val="single" w:sz="4" w:space="0" w:color="auto"/>
            </w:tcBorders>
            <w:shd w:val="clear" w:color="auto" w:fill="auto"/>
            <w:noWrap/>
            <w:vAlign w:val="center"/>
            <w:hideMark/>
          </w:tcPr>
          <w:p w14:paraId="66BF3798" w14:textId="77777777" w:rsidR="00117702" w:rsidRPr="00117702" w:rsidRDefault="00117702" w:rsidP="00117702">
            <w:pPr>
              <w:jc w:val="left"/>
              <w:rPr>
                <w:rFonts w:ascii="Arial Narrow" w:hAnsi="Arial Narrow" w:cs="Arial"/>
                <w:color w:val="000000"/>
                <w:spacing w:val="0"/>
                <w:sz w:val="16"/>
                <w:szCs w:val="16"/>
                <w:lang w:eastAsia="es-CO"/>
              </w:rPr>
            </w:pPr>
            <w:r w:rsidRPr="00117702">
              <w:rPr>
                <w:rFonts w:ascii="Arial Narrow" w:hAnsi="Arial Narrow" w:cs="Arial"/>
                <w:color w:val="000000"/>
                <w:spacing w:val="0"/>
                <w:sz w:val="16"/>
                <w:szCs w:val="16"/>
                <w:lang w:eastAsia="es-CO"/>
              </w:rPr>
              <w:t>GN</w:t>
            </w:r>
          </w:p>
        </w:tc>
      </w:tr>
      <w:tr w:rsidR="00117702" w:rsidRPr="00117702" w14:paraId="07208038" w14:textId="77777777" w:rsidTr="00C23C88">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22673454" w14:textId="77777777" w:rsidR="00117702" w:rsidRPr="00117702" w:rsidRDefault="00117702" w:rsidP="00117702">
            <w:pPr>
              <w:jc w:val="right"/>
              <w:rPr>
                <w:rFonts w:ascii="Arial Narrow" w:hAnsi="Arial Narrow" w:cs="Arial"/>
                <w:color w:val="000000"/>
                <w:spacing w:val="0"/>
                <w:sz w:val="16"/>
                <w:szCs w:val="16"/>
                <w:lang w:eastAsia="es-CO"/>
              </w:rPr>
            </w:pPr>
            <w:r w:rsidRPr="00117702">
              <w:rPr>
                <w:rFonts w:ascii="Arial Narrow" w:hAnsi="Arial Narrow" w:cs="Arial"/>
                <w:color w:val="000000"/>
                <w:spacing w:val="0"/>
                <w:sz w:val="16"/>
                <w:szCs w:val="16"/>
                <w:lang w:eastAsia="es-CO"/>
              </w:rPr>
              <w:t>50</w:t>
            </w:r>
          </w:p>
        </w:tc>
        <w:tc>
          <w:tcPr>
            <w:tcW w:w="879" w:type="dxa"/>
            <w:tcBorders>
              <w:top w:val="nil"/>
              <w:left w:val="nil"/>
              <w:bottom w:val="single" w:sz="4" w:space="0" w:color="auto"/>
              <w:right w:val="single" w:sz="4" w:space="0" w:color="auto"/>
            </w:tcBorders>
            <w:shd w:val="clear" w:color="auto" w:fill="auto"/>
            <w:noWrap/>
            <w:vAlign w:val="center"/>
            <w:hideMark/>
          </w:tcPr>
          <w:p w14:paraId="6C4F4837" w14:textId="77777777" w:rsidR="00117702" w:rsidRPr="00117702" w:rsidRDefault="00117702" w:rsidP="00117702">
            <w:pPr>
              <w:jc w:val="center"/>
              <w:rPr>
                <w:rFonts w:ascii="Arial Narrow" w:hAnsi="Arial Narrow" w:cs="Arial"/>
                <w:spacing w:val="0"/>
                <w:sz w:val="16"/>
                <w:szCs w:val="16"/>
                <w:lang w:eastAsia="es-CO"/>
              </w:rPr>
            </w:pPr>
            <w:r w:rsidRPr="00117702">
              <w:rPr>
                <w:rFonts w:ascii="Arial Narrow" w:hAnsi="Arial Narrow" w:cs="Arial"/>
                <w:spacing w:val="0"/>
                <w:sz w:val="16"/>
                <w:szCs w:val="16"/>
                <w:lang w:eastAsia="es-CO"/>
              </w:rPr>
              <w:t>901280981</w:t>
            </w:r>
          </w:p>
        </w:tc>
        <w:tc>
          <w:tcPr>
            <w:tcW w:w="5742" w:type="dxa"/>
            <w:tcBorders>
              <w:top w:val="nil"/>
              <w:left w:val="nil"/>
              <w:bottom w:val="single" w:sz="4" w:space="0" w:color="auto"/>
              <w:right w:val="single" w:sz="4" w:space="0" w:color="auto"/>
            </w:tcBorders>
            <w:shd w:val="clear" w:color="auto" w:fill="auto"/>
            <w:vAlign w:val="center"/>
            <w:hideMark/>
          </w:tcPr>
          <w:p w14:paraId="38924DAF" w14:textId="77777777" w:rsidR="00117702" w:rsidRPr="00117702" w:rsidRDefault="00117702" w:rsidP="00117702">
            <w:pPr>
              <w:jc w:val="left"/>
              <w:rPr>
                <w:rFonts w:ascii="Arial Narrow" w:hAnsi="Arial Narrow" w:cs="Arial"/>
                <w:color w:val="000000"/>
                <w:spacing w:val="0"/>
                <w:sz w:val="16"/>
                <w:szCs w:val="16"/>
                <w:lang w:eastAsia="es-CO"/>
              </w:rPr>
            </w:pPr>
            <w:r w:rsidRPr="00117702">
              <w:rPr>
                <w:rFonts w:ascii="Arial Narrow" w:hAnsi="Arial Narrow" w:cs="Arial"/>
                <w:color w:val="000000"/>
                <w:spacing w:val="0"/>
                <w:sz w:val="16"/>
                <w:szCs w:val="16"/>
                <w:lang w:eastAsia="es-CO"/>
              </w:rPr>
              <w:t>CELSIA TOLIMA S.A. E.S.P.</w:t>
            </w:r>
          </w:p>
        </w:tc>
        <w:tc>
          <w:tcPr>
            <w:tcW w:w="851" w:type="dxa"/>
            <w:tcBorders>
              <w:top w:val="nil"/>
              <w:left w:val="nil"/>
              <w:bottom w:val="single" w:sz="4" w:space="0" w:color="auto"/>
              <w:right w:val="single" w:sz="4" w:space="0" w:color="auto"/>
            </w:tcBorders>
            <w:shd w:val="clear" w:color="auto" w:fill="auto"/>
            <w:noWrap/>
            <w:vAlign w:val="center"/>
            <w:hideMark/>
          </w:tcPr>
          <w:p w14:paraId="5FBAF509" w14:textId="77777777" w:rsidR="00117702" w:rsidRPr="00117702" w:rsidRDefault="00117702" w:rsidP="00117702">
            <w:pPr>
              <w:jc w:val="left"/>
              <w:rPr>
                <w:rFonts w:ascii="Arial Narrow" w:hAnsi="Arial Narrow" w:cs="Arial"/>
                <w:color w:val="000000"/>
                <w:spacing w:val="0"/>
                <w:sz w:val="16"/>
                <w:szCs w:val="16"/>
                <w:lang w:eastAsia="es-CO"/>
              </w:rPr>
            </w:pPr>
            <w:r w:rsidRPr="00117702">
              <w:rPr>
                <w:rFonts w:ascii="Arial Narrow" w:hAnsi="Arial Narrow" w:cs="Arial"/>
                <w:color w:val="000000"/>
                <w:spacing w:val="0"/>
                <w:sz w:val="16"/>
                <w:szCs w:val="16"/>
                <w:lang w:eastAsia="es-CO"/>
              </w:rPr>
              <w:t>OPERATIVA</w:t>
            </w:r>
          </w:p>
        </w:tc>
        <w:tc>
          <w:tcPr>
            <w:tcW w:w="850" w:type="dxa"/>
            <w:tcBorders>
              <w:top w:val="nil"/>
              <w:left w:val="nil"/>
              <w:bottom w:val="single" w:sz="4" w:space="0" w:color="auto"/>
              <w:right w:val="single" w:sz="4" w:space="0" w:color="auto"/>
            </w:tcBorders>
            <w:shd w:val="clear" w:color="auto" w:fill="auto"/>
            <w:noWrap/>
            <w:vAlign w:val="center"/>
            <w:hideMark/>
          </w:tcPr>
          <w:p w14:paraId="22573888" w14:textId="77777777" w:rsidR="00117702" w:rsidRPr="00117702" w:rsidRDefault="00117702" w:rsidP="00117702">
            <w:pPr>
              <w:jc w:val="left"/>
              <w:rPr>
                <w:rFonts w:ascii="Arial Narrow" w:hAnsi="Arial Narrow" w:cs="Arial"/>
                <w:color w:val="000000"/>
                <w:spacing w:val="0"/>
                <w:sz w:val="16"/>
                <w:szCs w:val="16"/>
                <w:lang w:eastAsia="es-CO"/>
              </w:rPr>
            </w:pPr>
            <w:r w:rsidRPr="00117702">
              <w:rPr>
                <w:rFonts w:ascii="Arial Narrow" w:hAnsi="Arial Narrow" w:cs="Arial"/>
                <w:color w:val="000000"/>
                <w:spacing w:val="0"/>
                <w:sz w:val="16"/>
                <w:szCs w:val="16"/>
                <w:lang w:eastAsia="es-CO"/>
              </w:rPr>
              <w:t>EN</w:t>
            </w:r>
          </w:p>
        </w:tc>
      </w:tr>
      <w:tr w:rsidR="00117702" w:rsidRPr="00117702" w14:paraId="6ACBD209" w14:textId="77777777" w:rsidTr="00C23C88">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04E38A69" w14:textId="77777777" w:rsidR="00117702" w:rsidRPr="00117702" w:rsidRDefault="00117702" w:rsidP="00117702">
            <w:pPr>
              <w:jc w:val="right"/>
              <w:rPr>
                <w:rFonts w:ascii="Arial Narrow" w:hAnsi="Arial Narrow" w:cs="Arial"/>
                <w:color w:val="000000"/>
                <w:spacing w:val="0"/>
                <w:sz w:val="16"/>
                <w:szCs w:val="16"/>
                <w:lang w:eastAsia="es-CO"/>
              </w:rPr>
            </w:pPr>
            <w:r w:rsidRPr="00117702">
              <w:rPr>
                <w:rFonts w:ascii="Arial Narrow" w:hAnsi="Arial Narrow" w:cs="Arial"/>
                <w:color w:val="000000"/>
                <w:spacing w:val="0"/>
                <w:sz w:val="16"/>
                <w:szCs w:val="16"/>
                <w:lang w:eastAsia="es-CO"/>
              </w:rPr>
              <w:t>51</w:t>
            </w:r>
          </w:p>
        </w:tc>
        <w:tc>
          <w:tcPr>
            <w:tcW w:w="879" w:type="dxa"/>
            <w:tcBorders>
              <w:top w:val="nil"/>
              <w:left w:val="nil"/>
              <w:bottom w:val="single" w:sz="4" w:space="0" w:color="auto"/>
              <w:right w:val="single" w:sz="4" w:space="0" w:color="auto"/>
            </w:tcBorders>
            <w:shd w:val="clear" w:color="auto" w:fill="auto"/>
            <w:noWrap/>
            <w:vAlign w:val="center"/>
            <w:hideMark/>
          </w:tcPr>
          <w:p w14:paraId="28419C1D" w14:textId="77777777" w:rsidR="00117702" w:rsidRPr="00117702" w:rsidRDefault="00117702" w:rsidP="00117702">
            <w:pPr>
              <w:jc w:val="center"/>
              <w:rPr>
                <w:rFonts w:ascii="Arial Narrow" w:hAnsi="Arial Narrow" w:cs="Arial"/>
                <w:spacing w:val="0"/>
                <w:sz w:val="16"/>
                <w:szCs w:val="16"/>
                <w:lang w:eastAsia="es-CO"/>
              </w:rPr>
            </w:pPr>
            <w:r w:rsidRPr="00117702">
              <w:rPr>
                <w:rFonts w:ascii="Arial Narrow" w:hAnsi="Arial Narrow" w:cs="Arial"/>
                <w:spacing w:val="0"/>
                <w:sz w:val="16"/>
                <w:szCs w:val="16"/>
                <w:lang w:eastAsia="es-CO"/>
              </w:rPr>
              <w:t>901235160</w:t>
            </w:r>
          </w:p>
        </w:tc>
        <w:tc>
          <w:tcPr>
            <w:tcW w:w="5742" w:type="dxa"/>
            <w:tcBorders>
              <w:top w:val="nil"/>
              <w:left w:val="nil"/>
              <w:bottom w:val="single" w:sz="4" w:space="0" w:color="auto"/>
              <w:right w:val="single" w:sz="4" w:space="0" w:color="auto"/>
            </w:tcBorders>
            <w:shd w:val="clear" w:color="auto" w:fill="auto"/>
            <w:vAlign w:val="center"/>
            <w:hideMark/>
          </w:tcPr>
          <w:p w14:paraId="780EC053"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ENERCHOCO S.A.S E.S.P</w:t>
            </w:r>
          </w:p>
        </w:tc>
        <w:tc>
          <w:tcPr>
            <w:tcW w:w="851" w:type="dxa"/>
            <w:tcBorders>
              <w:top w:val="nil"/>
              <w:left w:val="nil"/>
              <w:bottom w:val="single" w:sz="4" w:space="0" w:color="auto"/>
              <w:right w:val="single" w:sz="4" w:space="0" w:color="auto"/>
            </w:tcBorders>
            <w:shd w:val="clear" w:color="auto" w:fill="auto"/>
            <w:noWrap/>
            <w:vAlign w:val="center"/>
            <w:hideMark/>
          </w:tcPr>
          <w:p w14:paraId="68F52E68"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OPERATIVA</w:t>
            </w:r>
          </w:p>
        </w:tc>
        <w:tc>
          <w:tcPr>
            <w:tcW w:w="850" w:type="dxa"/>
            <w:tcBorders>
              <w:top w:val="nil"/>
              <w:left w:val="nil"/>
              <w:bottom w:val="single" w:sz="4" w:space="0" w:color="auto"/>
              <w:right w:val="single" w:sz="4" w:space="0" w:color="auto"/>
            </w:tcBorders>
            <w:shd w:val="clear" w:color="auto" w:fill="auto"/>
            <w:noWrap/>
            <w:vAlign w:val="center"/>
            <w:hideMark/>
          </w:tcPr>
          <w:p w14:paraId="2102282C"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EN</w:t>
            </w:r>
          </w:p>
        </w:tc>
      </w:tr>
      <w:tr w:rsidR="00117702" w:rsidRPr="00117702" w14:paraId="7DEF2333" w14:textId="77777777" w:rsidTr="00C23C88">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284589FF" w14:textId="77777777" w:rsidR="00117702" w:rsidRPr="00117702" w:rsidRDefault="00117702" w:rsidP="00117702">
            <w:pPr>
              <w:jc w:val="right"/>
              <w:rPr>
                <w:rFonts w:ascii="Arial Narrow" w:hAnsi="Arial Narrow" w:cs="Arial"/>
                <w:color w:val="000000"/>
                <w:spacing w:val="0"/>
                <w:sz w:val="16"/>
                <w:szCs w:val="16"/>
                <w:lang w:eastAsia="es-CO"/>
              </w:rPr>
            </w:pPr>
            <w:r w:rsidRPr="00117702">
              <w:rPr>
                <w:rFonts w:ascii="Arial Narrow" w:hAnsi="Arial Narrow" w:cs="Arial"/>
                <w:color w:val="000000"/>
                <w:spacing w:val="0"/>
                <w:sz w:val="16"/>
                <w:szCs w:val="16"/>
                <w:lang w:eastAsia="es-CO"/>
              </w:rPr>
              <w:t>52</w:t>
            </w:r>
          </w:p>
        </w:tc>
        <w:tc>
          <w:tcPr>
            <w:tcW w:w="879" w:type="dxa"/>
            <w:tcBorders>
              <w:top w:val="nil"/>
              <w:left w:val="nil"/>
              <w:bottom w:val="single" w:sz="4" w:space="0" w:color="auto"/>
              <w:right w:val="single" w:sz="4" w:space="0" w:color="auto"/>
            </w:tcBorders>
            <w:shd w:val="clear" w:color="auto" w:fill="auto"/>
            <w:noWrap/>
            <w:vAlign w:val="center"/>
            <w:hideMark/>
          </w:tcPr>
          <w:p w14:paraId="0ECBD6AE" w14:textId="77777777" w:rsidR="00117702" w:rsidRPr="00117702" w:rsidRDefault="00117702" w:rsidP="00117702">
            <w:pPr>
              <w:jc w:val="center"/>
              <w:rPr>
                <w:rFonts w:ascii="Arial Narrow" w:hAnsi="Arial Narrow" w:cs="Arial"/>
                <w:spacing w:val="0"/>
                <w:sz w:val="16"/>
                <w:szCs w:val="16"/>
                <w:lang w:eastAsia="es-CO"/>
              </w:rPr>
            </w:pPr>
            <w:r w:rsidRPr="00117702">
              <w:rPr>
                <w:rFonts w:ascii="Arial Narrow" w:hAnsi="Arial Narrow" w:cs="Arial"/>
                <w:spacing w:val="0"/>
                <w:sz w:val="16"/>
                <w:szCs w:val="16"/>
                <w:lang w:eastAsia="es-CO"/>
              </w:rPr>
              <w:t>900654403</w:t>
            </w:r>
          </w:p>
        </w:tc>
        <w:tc>
          <w:tcPr>
            <w:tcW w:w="5742" w:type="dxa"/>
            <w:tcBorders>
              <w:top w:val="nil"/>
              <w:left w:val="nil"/>
              <w:bottom w:val="single" w:sz="4" w:space="0" w:color="auto"/>
              <w:right w:val="single" w:sz="4" w:space="0" w:color="auto"/>
            </w:tcBorders>
            <w:shd w:val="clear" w:color="auto" w:fill="auto"/>
            <w:vAlign w:val="center"/>
            <w:hideMark/>
          </w:tcPr>
          <w:p w14:paraId="3CF778EC"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VOLTAJE EMPRESARIAL SAS ESP</w:t>
            </w:r>
          </w:p>
        </w:tc>
        <w:tc>
          <w:tcPr>
            <w:tcW w:w="851" w:type="dxa"/>
            <w:tcBorders>
              <w:top w:val="nil"/>
              <w:left w:val="nil"/>
              <w:bottom w:val="single" w:sz="4" w:space="0" w:color="auto"/>
              <w:right w:val="single" w:sz="4" w:space="0" w:color="auto"/>
            </w:tcBorders>
            <w:shd w:val="clear" w:color="auto" w:fill="auto"/>
            <w:noWrap/>
            <w:vAlign w:val="center"/>
            <w:hideMark/>
          </w:tcPr>
          <w:p w14:paraId="7CE6D9E9"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OPERATIVA</w:t>
            </w:r>
          </w:p>
        </w:tc>
        <w:tc>
          <w:tcPr>
            <w:tcW w:w="850" w:type="dxa"/>
            <w:tcBorders>
              <w:top w:val="nil"/>
              <w:left w:val="nil"/>
              <w:bottom w:val="single" w:sz="4" w:space="0" w:color="auto"/>
              <w:right w:val="single" w:sz="4" w:space="0" w:color="auto"/>
            </w:tcBorders>
            <w:shd w:val="clear" w:color="auto" w:fill="auto"/>
            <w:noWrap/>
            <w:vAlign w:val="center"/>
            <w:hideMark/>
          </w:tcPr>
          <w:p w14:paraId="3F42BA3A"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EN</w:t>
            </w:r>
          </w:p>
        </w:tc>
      </w:tr>
      <w:tr w:rsidR="00117702" w:rsidRPr="00117702" w14:paraId="60CAC695" w14:textId="77777777" w:rsidTr="00C23C88">
        <w:trPr>
          <w:trHeight w:val="29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5A265D74" w14:textId="77777777" w:rsidR="00117702" w:rsidRPr="00117702" w:rsidRDefault="00117702" w:rsidP="00117702">
            <w:pPr>
              <w:jc w:val="right"/>
              <w:rPr>
                <w:rFonts w:ascii="Arial Narrow" w:hAnsi="Arial Narrow" w:cs="Arial"/>
                <w:color w:val="000000"/>
                <w:spacing w:val="0"/>
                <w:sz w:val="16"/>
                <w:szCs w:val="16"/>
                <w:lang w:eastAsia="es-CO"/>
              </w:rPr>
            </w:pPr>
            <w:r w:rsidRPr="00117702">
              <w:rPr>
                <w:rFonts w:ascii="Arial Narrow" w:hAnsi="Arial Narrow" w:cs="Arial"/>
                <w:color w:val="000000"/>
                <w:spacing w:val="0"/>
                <w:sz w:val="16"/>
                <w:szCs w:val="16"/>
                <w:lang w:eastAsia="es-CO"/>
              </w:rPr>
              <w:t>53</w:t>
            </w:r>
          </w:p>
        </w:tc>
        <w:tc>
          <w:tcPr>
            <w:tcW w:w="879" w:type="dxa"/>
            <w:tcBorders>
              <w:top w:val="nil"/>
              <w:left w:val="nil"/>
              <w:bottom w:val="single" w:sz="4" w:space="0" w:color="auto"/>
              <w:right w:val="single" w:sz="4" w:space="0" w:color="auto"/>
            </w:tcBorders>
            <w:shd w:val="clear" w:color="auto" w:fill="auto"/>
            <w:noWrap/>
            <w:vAlign w:val="center"/>
            <w:hideMark/>
          </w:tcPr>
          <w:p w14:paraId="0CDC03C9" w14:textId="77777777" w:rsidR="00117702" w:rsidRPr="00117702" w:rsidRDefault="00117702" w:rsidP="00117702">
            <w:pPr>
              <w:jc w:val="center"/>
              <w:rPr>
                <w:rFonts w:ascii="Arial Narrow" w:hAnsi="Arial Narrow" w:cs="Arial"/>
                <w:spacing w:val="0"/>
                <w:sz w:val="16"/>
                <w:szCs w:val="16"/>
                <w:lang w:eastAsia="es-CO"/>
              </w:rPr>
            </w:pPr>
            <w:r w:rsidRPr="00117702">
              <w:rPr>
                <w:rFonts w:ascii="Arial Narrow" w:hAnsi="Arial Narrow" w:cs="Arial"/>
                <w:spacing w:val="0"/>
                <w:sz w:val="16"/>
                <w:szCs w:val="16"/>
                <w:lang w:eastAsia="es-CO"/>
              </w:rPr>
              <w:t>900584846</w:t>
            </w:r>
          </w:p>
        </w:tc>
        <w:tc>
          <w:tcPr>
            <w:tcW w:w="5742" w:type="dxa"/>
            <w:tcBorders>
              <w:top w:val="nil"/>
              <w:left w:val="nil"/>
              <w:bottom w:val="single" w:sz="4" w:space="0" w:color="auto"/>
              <w:right w:val="single" w:sz="4" w:space="0" w:color="auto"/>
            </w:tcBorders>
            <w:shd w:val="clear" w:color="auto" w:fill="auto"/>
            <w:vAlign w:val="center"/>
            <w:hideMark/>
          </w:tcPr>
          <w:p w14:paraId="6F89E4EC"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HIDROELECTRICA BARRANCAS S.A.S E.S.P</w:t>
            </w:r>
          </w:p>
        </w:tc>
        <w:tc>
          <w:tcPr>
            <w:tcW w:w="851" w:type="dxa"/>
            <w:tcBorders>
              <w:top w:val="nil"/>
              <w:left w:val="nil"/>
              <w:bottom w:val="single" w:sz="4" w:space="0" w:color="auto"/>
              <w:right w:val="single" w:sz="4" w:space="0" w:color="auto"/>
            </w:tcBorders>
            <w:shd w:val="clear" w:color="auto" w:fill="auto"/>
            <w:noWrap/>
            <w:vAlign w:val="center"/>
            <w:hideMark/>
          </w:tcPr>
          <w:p w14:paraId="182026B3"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OPERATIVA</w:t>
            </w:r>
          </w:p>
        </w:tc>
        <w:tc>
          <w:tcPr>
            <w:tcW w:w="850" w:type="dxa"/>
            <w:tcBorders>
              <w:top w:val="nil"/>
              <w:left w:val="nil"/>
              <w:bottom w:val="single" w:sz="4" w:space="0" w:color="auto"/>
              <w:right w:val="single" w:sz="4" w:space="0" w:color="auto"/>
            </w:tcBorders>
            <w:shd w:val="clear" w:color="auto" w:fill="auto"/>
            <w:noWrap/>
            <w:vAlign w:val="center"/>
            <w:hideMark/>
          </w:tcPr>
          <w:p w14:paraId="24796956" w14:textId="77777777" w:rsidR="00117702" w:rsidRPr="00117702" w:rsidRDefault="00117702" w:rsidP="00117702">
            <w:pPr>
              <w:jc w:val="left"/>
              <w:rPr>
                <w:rFonts w:ascii="Arial Narrow" w:hAnsi="Arial Narrow" w:cs="Arial"/>
                <w:spacing w:val="0"/>
                <w:sz w:val="16"/>
                <w:szCs w:val="16"/>
                <w:lang w:eastAsia="es-CO"/>
              </w:rPr>
            </w:pPr>
            <w:r w:rsidRPr="00117702">
              <w:rPr>
                <w:rFonts w:ascii="Arial Narrow" w:hAnsi="Arial Narrow" w:cs="Arial"/>
                <w:spacing w:val="0"/>
                <w:sz w:val="16"/>
                <w:szCs w:val="16"/>
                <w:lang w:eastAsia="es-CO"/>
              </w:rPr>
              <w:t>EN</w:t>
            </w:r>
          </w:p>
        </w:tc>
      </w:tr>
    </w:tbl>
    <w:p w14:paraId="1F544B2A" w14:textId="77777777" w:rsidR="00C23C88" w:rsidRDefault="00C23C88" w:rsidP="00C23C88">
      <w:pPr>
        <w:pStyle w:val="Ttulo10"/>
        <w:spacing w:before="0" w:after="0"/>
        <w:ind w:left="720"/>
        <w:jc w:val="both"/>
        <w:rPr>
          <w:sz w:val="22"/>
          <w:szCs w:val="22"/>
        </w:rPr>
      </w:pPr>
      <w:bookmarkStart w:id="52" w:name="_Toc88126856"/>
    </w:p>
    <w:p w14:paraId="726BF428" w14:textId="7416875F" w:rsidR="004217E9" w:rsidRPr="001C63E6" w:rsidRDefault="004217E9" w:rsidP="004217E9">
      <w:pPr>
        <w:pStyle w:val="Ttulo10"/>
        <w:numPr>
          <w:ilvl w:val="0"/>
          <w:numId w:val="37"/>
        </w:numPr>
        <w:spacing w:before="0" w:after="0"/>
        <w:rPr>
          <w:sz w:val="22"/>
          <w:szCs w:val="22"/>
        </w:rPr>
      </w:pPr>
      <w:r>
        <w:rPr>
          <w:sz w:val="22"/>
          <w:szCs w:val="22"/>
        </w:rPr>
        <w:t>LIQUIDACIÓN CONTRIBUCIÓN ESPECIAL PARA LA VIGENCIA 2021</w:t>
      </w:r>
      <w:bookmarkEnd w:id="52"/>
    </w:p>
    <w:p w14:paraId="7955CECA" w14:textId="6BEB20AE" w:rsidR="004217E9" w:rsidRDefault="004217E9" w:rsidP="00197ED5">
      <w:pPr>
        <w:rPr>
          <w:rFonts w:cs="Arial"/>
          <w:sz w:val="22"/>
          <w:szCs w:val="22"/>
        </w:rPr>
      </w:pPr>
    </w:p>
    <w:p w14:paraId="22178350" w14:textId="29B433A4" w:rsidR="004217E9" w:rsidRPr="00BB14CB" w:rsidRDefault="004217E9" w:rsidP="004217E9">
      <w:pPr>
        <w:pStyle w:val="Subttulo"/>
        <w:numPr>
          <w:ilvl w:val="1"/>
          <w:numId w:val="37"/>
        </w:numPr>
        <w:spacing w:after="0"/>
        <w:ind w:left="357" w:hanging="357"/>
        <w:jc w:val="left"/>
        <w:rPr>
          <w:b/>
          <w:bCs/>
          <w:sz w:val="22"/>
          <w:szCs w:val="22"/>
        </w:rPr>
      </w:pPr>
      <w:bookmarkStart w:id="53" w:name="_Toc88126857"/>
      <w:r>
        <w:rPr>
          <w:b/>
          <w:bCs/>
          <w:sz w:val="22"/>
          <w:szCs w:val="22"/>
        </w:rPr>
        <w:t>PRESUPUESTO NETO ENERGÍA Y GAS COMBUSTIBLE VIGENCIA 2021</w:t>
      </w:r>
      <w:bookmarkEnd w:id="53"/>
    </w:p>
    <w:p w14:paraId="36519272" w14:textId="77777777" w:rsidR="004217E9" w:rsidRDefault="004217E9" w:rsidP="00197ED5">
      <w:pPr>
        <w:rPr>
          <w:rFonts w:cs="Arial"/>
          <w:sz w:val="22"/>
          <w:szCs w:val="22"/>
        </w:rPr>
      </w:pPr>
    </w:p>
    <w:p w14:paraId="04DB153A" w14:textId="34EA492C" w:rsidR="00A43221" w:rsidRDefault="00A43221" w:rsidP="00C83840">
      <w:pPr>
        <w:rPr>
          <w:rFonts w:cs="Arial"/>
          <w:sz w:val="22"/>
          <w:szCs w:val="22"/>
        </w:rPr>
      </w:pPr>
      <w:r w:rsidRPr="00A43221">
        <w:rPr>
          <w:rFonts w:cs="Arial"/>
          <w:sz w:val="22"/>
          <w:szCs w:val="22"/>
        </w:rPr>
        <w:t>La apropiaci</w:t>
      </w:r>
      <w:r w:rsidR="00AA2A0F">
        <w:rPr>
          <w:rFonts w:cs="Arial"/>
          <w:sz w:val="22"/>
          <w:szCs w:val="22"/>
        </w:rPr>
        <w:t xml:space="preserve">ón </w:t>
      </w:r>
      <w:r w:rsidRPr="00A43221">
        <w:rPr>
          <w:rFonts w:cs="Arial"/>
          <w:sz w:val="22"/>
          <w:szCs w:val="22"/>
        </w:rPr>
        <w:t xml:space="preserve">presupuestal de la CREG para la vigencia fiscal 2021, fueron establecidas en la suma de TREINTA Y SIETE MIL SETECIENTOS MILLONES </w:t>
      </w:r>
      <w:r w:rsidR="00434606">
        <w:rPr>
          <w:rFonts w:cs="Arial"/>
          <w:sz w:val="22"/>
          <w:szCs w:val="22"/>
        </w:rPr>
        <w:t>NOVE</w:t>
      </w:r>
      <w:r w:rsidRPr="00A43221">
        <w:rPr>
          <w:rFonts w:cs="Arial"/>
          <w:sz w:val="22"/>
          <w:szCs w:val="22"/>
        </w:rPr>
        <w:t xml:space="preserve">CIENTOS </w:t>
      </w:r>
      <w:r w:rsidR="00391158">
        <w:rPr>
          <w:rFonts w:cs="Arial"/>
          <w:sz w:val="22"/>
          <w:szCs w:val="22"/>
        </w:rPr>
        <w:t>TREIN</w:t>
      </w:r>
      <w:r w:rsidR="00391158" w:rsidRPr="00A43221">
        <w:rPr>
          <w:rFonts w:cs="Arial"/>
          <w:sz w:val="22"/>
          <w:szCs w:val="22"/>
        </w:rPr>
        <w:t xml:space="preserve">TA </w:t>
      </w:r>
      <w:r w:rsidRPr="00A43221">
        <w:rPr>
          <w:rFonts w:cs="Arial"/>
          <w:sz w:val="22"/>
          <w:szCs w:val="22"/>
        </w:rPr>
        <w:t xml:space="preserve">Y OCHO MIL PESOS M/CTE </w:t>
      </w:r>
      <w:r w:rsidR="00434606">
        <w:rPr>
          <w:rFonts w:cs="Arial"/>
          <w:sz w:val="22"/>
          <w:szCs w:val="22"/>
        </w:rPr>
        <w:t>(</w:t>
      </w:r>
      <w:r w:rsidRPr="00A43221">
        <w:rPr>
          <w:rFonts w:cs="Arial"/>
          <w:sz w:val="22"/>
          <w:szCs w:val="22"/>
        </w:rPr>
        <w:t>$37</w:t>
      </w:r>
      <w:r w:rsidR="00434606">
        <w:rPr>
          <w:rFonts w:cs="Arial"/>
          <w:sz w:val="22"/>
          <w:szCs w:val="22"/>
        </w:rPr>
        <w:t>.</w:t>
      </w:r>
      <w:r w:rsidRPr="00A43221">
        <w:rPr>
          <w:rFonts w:cs="Arial"/>
          <w:sz w:val="22"/>
          <w:szCs w:val="22"/>
        </w:rPr>
        <w:t>700</w:t>
      </w:r>
      <w:r w:rsidR="00434606">
        <w:rPr>
          <w:rFonts w:cs="Arial"/>
          <w:sz w:val="22"/>
          <w:szCs w:val="22"/>
        </w:rPr>
        <w:t>.</w:t>
      </w:r>
      <w:r w:rsidRPr="00A43221">
        <w:rPr>
          <w:rFonts w:cs="Arial"/>
          <w:sz w:val="22"/>
          <w:szCs w:val="22"/>
        </w:rPr>
        <w:t>938</w:t>
      </w:r>
      <w:r w:rsidR="00434606">
        <w:rPr>
          <w:rFonts w:cs="Arial"/>
          <w:sz w:val="22"/>
          <w:szCs w:val="22"/>
        </w:rPr>
        <w:t>.</w:t>
      </w:r>
      <w:r w:rsidRPr="00A43221">
        <w:rPr>
          <w:rFonts w:cs="Arial"/>
          <w:sz w:val="22"/>
          <w:szCs w:val="22"/>
        </w:rPr>
        <w:t>000</w:t>
      </w:r>
      <w:r w:rsidR="00434606">
        <w:rPr>
          <w:rFonts w:cs="Arial"/>
          <w:sz w:val="22"/>
          <w:szCs w:val="22"/>
        </w:rPr>
        <w:t>)</w:t>
      </w:r>
      <w:r w:rsidRPr="00A43221">
        <w:rPr>
          <w:rFonts w:cs="Arial"/>
          <w:sz w:val="22"/>
          <w:szCs w:val="22"/>
        </w:rPr>
        <w:t xml:space="preserve"> en el anexo del Decreto de liquidación del Presupuesto General de la Nación N° 1805 de diciembre 31 de 2020, valor que debe ser cubierto con el recaudo de la contribución especial de que trata el artículo 85 de la Ley 142 de 1994, en un valor neto depurado como presupuesto base de contribución especial 2021 por valor de: TREINTA Y DOS MIL QUINIENTOS CINCO MILLONES SETECIENTOS CUARENTA Y DOS MIL NOVECIENTOS TREINTA Y DOS PESOS M/CTE. ($32</w:t>
      </w:r>
      <w:r w:rsidR="00391158">
        <w:rPr>
          <w:rFonts w:cs="Arial"/>
          <w:sz w:val="22"/>
          <w:szCs w:val="22"/>
        </w:rPr>
        <w:t>.</w:t>
      </w:r>
      <w:r w:rsidRPr="00A43221">
        <w:rPr>
          <w:rFonts w:cs="Arial"/>
          <w:sz w:val="22"/>
          <w:szCs w:val="22"/>
        </w:rPr>
        <w:t>505</w:t>
      </w:r>
      <w:r w:rsidR="00391158">
        <w:rPr>
          <w:rFonts w:cs="Arial"/>
          <w:sz w:val="22"/>
          <w:szCs w:val="22"/>
        </w:rPr>
        <w:t>.</w:t>
      </w:r>
      <w:r w:rsidRPr="00A43221">
        <w:rPr>
          <w:rFonts w:cs="Arial"/>
          <w:sz w:val="22"/>
          <w:szCs w:val="22"/>
        </w:rPr>
        <w:t>742</w:t>
      </w:r>
      <w:r w:rsidR="00391158">
        <w:rPr>
          <w:rFonts w:cs="Arial"/>
          <w:sz w:val="22"/>
          <w:szCs w:val="22"/>
        </w:rPr>
        <w:t>.</w:t>
      </w:r>
      <w:r w:rsidRPr="00A43221">
        <w:rPr>
          <w:rFonts w:cs="Arial"/>
          <w:sz w:val="22"/>
          <w:szCs w:val="22"/>
        </w:rPr>
        <w:t>932), detallado a continuación:</w:t>
      </w:r>
    </w:p>
    <w:p w14:paraId="1B05EC69" w14:textId="0F99598A" w:rsidR="005105DF" w:rsidRDefault="005105DF" w:rsidP="00C83840">
      <w:pPr>
        <w:rPr>
          <w:rFonts w:cs="Arial"/>
          <w:sz w:val="22"/>
          <w:szCs w:val="22"/>
        </w:rPr>
      </w:pPr>
    </w:p>
    <w:tbl>
      <w:tblPr>
        <w:tblW w:w="8779" w:type="dxa"/>
        <w:jc w:val="right"/>
        <w:tblCellMar>
          <w:left w:w="70" w:type="dxa"/>
          <w:right w:w="70" w:type="dxa"/>
        </w:tblCellMar>
        <w:tblLook w:val="04A0" w:firstRow="1" w:lastRow="0" w:firstColumn="1" w:lastColumn="0" w:noHBand="0" w:noVBand="1"/>
      </w:tblPr>
      <w:tblGrid>
        <w:gridCol w:w="1140"/>
        <w:gridCol w:w="960"/>
        <w:gridCol w:w="5261"/>
        <w:gridCol w:w="1418"/>
      </w:tblGrid>
      <w:tr w:rsidR="00A902AB" w:rsidRPr="00871D8D" w14:paraId="7B0383A3" w14:textId="77777777" w:rsidTr="00871D8D">
        <w:trPr>
          <w:trHeight w:val="300"/>
          <w:tblHeader/>
          <w:jc w:val="right"/>
        </w:trPr>
        <w:tc>
          <w:tcPr>
            <w:tcW w:w="1140" w:type="dxa"/>
            <w:tcBorders>
              <w:top w:val="nil"/>
              <w:left w:val="single" w:sz="8" w:space="0" w:color="0070C0"/>
              <w:bottom w:val="single" w:sz="8" w:space="0" w:color="0070C0"/>
              <w:right w:val="single" w:sz="8" w:space="0" w:color="0070C0"/>
            </w:tcBorders>
            <w:shd w:val="clear" w:color="000000" w:fill="002060"/>
            <w:noWrap/>
            <w:vAlign w:val="center"/>
            <w:hideMark/>
          </w:tcPr>
          <w:p w14:paraId="08113EA5" w14:textId="77777777" w:rsidR="00A902AB" w:rsidRPr="00871D8D" w:rsidRDefault="00A902AB" w:rsidP="00A902AB">
            <w:pPr>
              <w:jc w:val="center"/>
              <w:rPr>
                <w:rFonts w:ascii="Arial Narrow" w:hAnsi="Arial Narrow" w:cs="Calibri"/>
                <w:b/>
                <w:bCs/>
                <w:color w:val="FFFFFF"/>
                <w:spacing w:val="0"/>
                <w:sz w:val="18"/>
                <w:szCs w:val="18"/>
                <w:lang w:eastAsia="es-CO"/>
              </w:rPr>
            </w:pPr>
            <w:r w:rsidRPr="00871D8D">
              <w:rPr>
                <w:rFonts w:ascii="Arial Narrow" w:hAnsi="Arial Narrow" w:cs="Calibri"/>
                <w:b/>
                <w:bCs/>
                <w:color w:val="FFFFFF"/>
                <w:spacing w:val="0"/>
                <w:sz w:val="18"/>
                <w:szCs w:val="18"/>
                <w:lang w:eastAsia="es-CO"/>
              </w:rPr>
              <w:t xml:space="preserve">RUBRO </w:t>
            </w:r>
          </w:p>
        </w:tc>
        <w:tc>
          <w:tcPr>
            <w:tcW w:w="960" w:type="dxa"/>
            <w:tcBorders>
              <w:top w:val="nil"/>
              <w:left w:val="nil"/>
              <w:bottom w:val="single" w:sz="8" w:space="0" w:color="0070C0"/>
              <w:right w:val="single" w:sz="8" w:space="0" w:color="0070C0"/>
            </w:tcBorders>
            <w:shd w:val="clear" w:color="000000" w:fill="002060"/>
            <w:noWrap/>
            <w:vAlign w:val="center"/>
            <w:hideMark/>
          </w:tcPr>
          <w:p w14:paraId="189CE735" w14:textId="77777777" w:rsidR="00A902AB" w:rsidRPr="00871D8D" w:rsidRDefault="00A902AB" w:rsidP="00A902AB">
            <w:pPr>
              <w:jc w:val="center"/>
              <w:rPr>
                <w:rFonts w:ascii="Arial Narrow" w:hAnsi="Arial Narrow" w:cs="Calibri"/>
                <w:b/>
                <w:bCs/>
                <w:color w:val="FFFFFF"/>
                <w:spacing w:val="0"/>
                <w:sz w:val="18"/>
                <w:szCs w:val="18"/>
                <w:lang w:eastAsia="es-CO"/>
              </w:rPr>
            </w:pPr>
            <w:r w:rsidRPr="00871D8D">
              <w:rPr>
                <w:rFonts w:ascii="Arial Narrow" w:hAnsi="Arial Narrow" w:cs="Calibri"/>
                <w:b/>
                <w:bCs/>
                <w:color w:val="FFFFFF"/>
                <w:spacing w:val="0"/>
                <w:sz w:val="18"/>
                <w:szCs w:val="18"/>
                <w:lang w:eastAsia="es-CO"/>
              </w:rPr>
              <w:t xml:space="preserve">RECURSO </w:t>
            </w:r>
          </w:p>
        </w:tc>
        <w:tc>
          <w:tcPr>
            <w:tcW w:w="5261" w:type="dxa"/>
            <w:tcBorders>
              <w:top w:val="nil"/>
              <w:left w:val="nil"/>
              <w:bottom w:val="single" w:sz="8" w:space="0" w:color="0070C0"/>
              <w:right w:val="single" w:sz="8" w:space="0" w:color="0070C0"/>
            </w:tcBorders>
            <w:shd w:val="clear" w:color="000000" w:fill="002060"/>
            <w:noWrap/>
            <w:vAlign w:val="center"/>
            <w:hideMark/>
          </w:tcPr>
          <w:p w14:paraId="565E969F" w14:textId="77777777" w:rsidR="00A902AB" w:rsidRPr="00871D8D" w:rsidRDefault="00A902AB" w:rsidP="00A902AB">
            <w:pPr>
              <w:jc w:val="center"/>
              <w:rPr>
                <w:rFonts w:ascii="Arial Narrow" w:hAnsi="Arial Narrow" w:cs="Calibri"/>
                <w:b/>
                <w:bCs/>
                <w:color w:val="FFFFFF"/>
                <w:spacing w:val="0"/>
                <w:sz w:val="18"/>
                <w:szCs w:val="18"/>
                <w:lang w:eastAsia="es-CO"/>
              </w:rPr>
            </w:pPr>
            <w:r w:rsidRPr="00871D8D">
              <w:rPr>
                <w:rFonts w:ascii="Arial Narrow" w:hAnsi="Arial Narrow" w:cs="Calibri"/>
                <w:b/>
                <w:bCs/>
                <w:color w:val="FFFFFF"/>
                <w:spacing w:val="0"/>
                <w:sz w:val="18"/>
                <w:szCs w:val="18"/>
                <w:lang w:eastAsia="es-CO"/>
              </w:rPr>
              <w:t xml:space="preserve">CONCEPTO </w:t>
            </w:r>
          </w:p>
        </w:tc>
        <w:tc>
          <w:tcPr>
            <w:tcW w:w="1418" w:type="dxa"/>
            <w:tcBorders>
              <w:top w:val="nil"/>
              <w:left w:val="nil"/>
              <w:bottom w:val="single" w:sz="8" w:space="0" w:color="0070C0"/>
              <w:right w:val="single" w:sz="8" w:space="0" w:color="0070C0"/>
            </w:tcBorders>
            <w:shd w:val="clear" w:color="000000" w:fill="002060"/>
            <w:noWrap/>
            <w:vAlign w:val="center"/>
            <w:hideMark/>
          </w:tcPr>
          <w:p w14:paraId="05C53EB6" w14:textId="77777777" w:rsidR="00A902AB" w:rsidRPr="00871D8D" w:rsidRDefault="00A902AB" w:rsidP="00A902AB">
            <w:pPr>
              <w:jc w:val="center"/>
              <w:rPr>
                <w:rFonts w:ascii="Arial Narrow" w:hAnsi="Arial Narrow" w:cs="Calibri"/>
                <w:b/>
                <w:bCs/>
                <w:color w:val="FFFFFF"/>
                <w:spacing w:val="0"/>
                <w:sz w:val="18"/>
                <w:szCs w:val="18"/>
                <w:lang w:eastAsia="es-CO"/>
              </w:rPr>
            </w:pPr>
            <w:r w:rsidRPr="00871D8D">
              <w:rPr>
                <w:rFonts w:ascii="Arial Narrow" w:hAnsi="Arial Narrow" w:cs="Calibri"/>
                <w:b/>
                <w:bCs/>
                <w:color w:val="FFFFFF"/>
                <w:spacing w:val="0"/>
                <w:sz w:val="18"/>
                <w:szCs w:val="18"/>
                <w:lang w:eastAsia="es-CO"/>
              </w:rPr>
              <w:t>VALOR</w:t>
            </w:r>
          </w:p>
        </w:tc>
      </w:tr>
      <w:tr w:rsidR="00A902AB" w:rsidRPr="00871D8D" w14:paraId="6834917C" w14:textId="77777777" w:rsidTr="00871D8D">
        <w:trPr>
          <w:trHeight w:val="300"/>
          <w:jc w:val="right"/>
        </w:trPr>
        <w:tc>
          <w:tcPr>
            <w:tcW w:w="1140" w:type="dxa"/>
            <w:tcBorders>
              <w:top w:val="nil"/>
              <w:left w:val="single" w:sz="8" w:space="0" w:color="0070C0"/>
              <w:bottom w:val="single" w:sz="8" w:space="0" w:color="0070C0"/>
              <w:right w:val="single" w:sz="8" w:space="0" w:color="0070C0"/>
            </w:tcBorders>
            <w:shd w:val="clear" w:color="000000" w:fill="8497B0"/>
            <w:noWrap/>
            <w:vAlign w:val="center"/>
            <w:hideMark/>
          </w:tcPr>
          <w:p w14:paraId="50DDF4E8" w14:textId="77777777" w:rsidR="00A902AB" w:rsidRPr="00871D8D" w:rsidRDefault="00A902AB" w:rsidP="00A902AB">
            <w:pPr>
              <w:jc w:val="center"/>
              <w:rPr>
                <w:rFonts w:ascii="Arial Narrow" w:hAnsi="Arial Narrow" w:cs="Calibri"/>
                <w:b/>
                <w:bCs/>
                <w:color w:val="FFFFFF"/>
                <w:spacing w:val="0"/>
                <w:sz w:val="18"/>
                <w:szCs w:val="18"/>
                <w:lang w:eastAsia="es-CO"/>
              </w:rPr>
            </w:pPr>
            <w:r w:rsidRPr="00871D8D">
              <w:rPr>
                <w:rFonts w:ascii="Arial Narrow" w:hAnsi="Arial Narrow" w:cs="Calibri"/>
                <w:b/>
                <w:bCs/>
                <w:color w:val="FFFFFF"/>
                <w:spacing w:val="0"/>
                <w:sz w:val="18"/>
                <w:szCs w:val="18"/>
                <w:lang w:eastAsia="es-CO"/>
              </w:rPr>
              <w:t>A</w:t>
            </w:r>
          </w:p>
        </w:tc>
        <w:tc>
          <w:tcPr>
            <w:tcW w:w="960" w:type="dxa"/>
            <w:tcBorders>
              <w:top w:val="nil"/>
              <w:left w:val="nil"/>
              <w:bottom w:val="single" w:sz="8" w:space="0" w:color="0070C0"/>
              <w:right w:val="single" w:sz="8" w:space="0" w:color="0070C0"/>
            </w:tcBorders>
            <w:shd w:val="clear" w:color="000000" w:fill="8497B0"/>
            <w:noWrap/>
            <w:vAlign w:val="center"/>
            <w:hideMark/>
          </w:tcPr>
          <w:p w14:paraId="6E094950" w14:textId="77777777" w:rsidR="00A902AB" w:rsidRPr="00871D8D" w:rsidRDefault="00A902AB" w:rsidP="00A902AB">
            <w:pPr>
              <w:jc w:val="center"/>
              <w:rPr>
                <w:rFonts w:ascii="Arial Narrow" w:hAnsi="Arial Narrow" w:cs="Calibri"/>
                <w:b/>
                <w:bCs/>
                <w:color w:val="FFFFFF"/>
                <w:spacing w:val="0"/>
                <w:sz w:val="18"/>
                <w:szCs w:val="18"/>
                <w:lang w:eastAsia="es-CO"/>
              </w:rPr>
            </w:pPr>
            <w:r w:rsidRPr="00871D8D">
              <w:rPr>
                <w:rFonts w:ascii="Arial Narrow" w:hAnsi="Arial Narrow" w:cs="Calibri"/>
                <w:b/>
                <w:bCs/>
                <w:color w:val="FFFFFF"/>
                <w:spacing w:val="0"/>
                <w:sz w:val="18"/>
                <w:szCs w:val="18"/>
                <w:lang w:eastAsia="es-CO"/>
              </w:rPr>
              <w:t> </w:t>
            </w:r>
          </w:p>
        </w:tc>
        <w:tc>
          <w:tcPr>
            <w:tcW w:w="5261" w:type="dxa"/>
            <w:tcBorders>
              <w:top w:val="nil"/>
              <w:left w:val="nil"/>
              <w:bottom w:val="single" w:sz="8" w:space="0" w:color="0070C0"/>
              <w:right w:val="single" w:sz="8" w:space="0" w:color="0070C0"/>
            </w:tcBorders>
            <w:shd w:val="clear" w:color="000000" w:fill="8497B0"/>
            <w:noWrap/>
            <w:vAlign w:val="center"/>
            <w:hideMark/>
          </w:tcPr>
          <w:p w14:paraId="754E6484" w14:textId="77777777" w:rsidR="00A902AB" w:rsidRPr="00871D8D" w:rsidRDefault="00A902AB" w:rsidP="00A902AB">
            <w:pPr>
              <w:jc w:val="center"/>
              <w:rPr>
                <w:rFonts w:ascii="Arial Narrow" w:hAnsi="Arial Narrow" w:cs="Calibri"/>
                <w:b/>
                <w:bCs/>
                <w:color w:val="FFFFFF"/>
                <w:spacing w:val="0"/>
                <w:sz w:val="18"/>
                <w:szCs w:val="18"/>
                <w:lang w:eastAsia="es-CO"/>
              </w:rPr>
            </w:pPr>
            <w:r w:rsidRPr="00871D8D">
              <w:rPr>
                <w:rFonts w:ascii="Arial Narrow" w:hAnsi="Arial Narrow" w:cs="Calibri"/>
                <w:b/>
                <w:bCs/>
                <w:color w:val="FFFFFF"/>
                <w:spacing w:val="0"/>
                <w:sz w:val="18"/>
                <w:szCs w:val="18"/>
                <w:lang w:eastAsia="es-CO"/>
              </w:rPr>
              <w:t xml:space="preserve">GASTOS DE FUNCIONAMIENTO </w:t>
            </w:r>
          </w:p>
        </w:tc>
        <w:tc>
          <w:tcPr>
            <w:tcW w:w="1418" w:type="dxa"/>
            <w:tcBorders>
              <w:top w:val="nil"/>
              <w:left w:val="nil"/>
              <w:bottom w:val="single" w:sz="8" w:space="0" w:color="0070C0"/>
              <w:right w:val="single" w:sz="8" w:space="0" w:color="0070C0"/>
            </w:tcBorders>
            <w:shd w:val="clear" w:color="000000" w:fill="8497B0"/>
            <w:noWrap/>
            <w:vAlign w:val="center"/>
            <w:hideMark/>
          </w:tcPr>
          <w:p w14:paraId="5B730FDE" w14:textId="46106571" w:rsidR="00A902AB" w:rsidRPr="00871D8D" w:rsidRDefault="00A902AB" w:rsidP="00A902AB">
            <w:pPr>
              <w:jc w:val="right"/>
              <w:rPr>
                <w:rFonts w:ascii="Arial Narrow" w:hAnsi="Arial Narrow" w:cs="Calibri"/>
                <w:b/>
                <w:bCs/>
                <w:color w:val="FFFFFF"/>
                <w:spacing w:val="0"/>
                <w:sz w:val="18"/>
                <w:szCs w:val="18"/>
                <w:lang w:eastAsia="es-CO"/>
              </w:rPr>
            </w:pPr>
            <w:r w:rsidRPr="00871D8D">
              <w:rPr>
                <w:rFonts w:ascii="Arial Narrow" w:hAnsi="Arial Narrow" w:cs="Calibri"/>
                <w:b/>
                <w:bCs/>
                <w:color w:val="FFFFFF"/>
                <w:spacing w:val="0"/>
                <w:sz w:val="18"/>
                <w:szCs w:val="18"/>
                <w:lang w:eastAsia="es-CO"/>
              </w:rPr>
              <w:t>$ 24</w:t>
            </w:r>
            <w:r w:rsidR="003C462E" w:rsidRPr="00871D8D">
              <w:rPr>
                <w:rFonts w:ascii="Arial Narrow" w:hAnsi="Arial Narrow" w:cs="Calibri"/>
                <w:b/>
                <w:bCs/>
                <w:color w:val="FFFFFF"/>
                <w:spacing w:val="0"/>
                <w:sz w:val="18"/>
                <w:szCs w:val="18"/>
                <w:lang w:eastAsia="es-CO"/>
              </w:rPr>
              <w:t>.</w:t>
            </w:r>
            <w:r w:rsidRPr="00871D8D">
              <w:rPr>
                <w:rFonts w:ascii="Arial Narrow" w:hAnsi="Arial Narrow" w:cs="Calibri"/>
                <w:b/>
                <w:bCs/>
                <w:color w:val="FFFFFF"/>
                <w:spacing w:val="0"/>
                <w:sz w:val="18"/>
                <w:szCs w:val="18"/>
                <w:lang w:eastAsia="es-CO"/>
              </w:rPr>
              <w:t>500</w:t>
            </w:r>
            <w:r w:rsidR="003C462E" w:rsidRPr="00871D8D">
              <w:rPr>
                <w:rFonts w:ascii="Arial Narrow" w:hAnsi="Arial Narrow" w:cs="Calibri"/>
                <w:b/>
                <w:bCs/>
                <w:color w:val="FFFFFF"/>
                <w:spacing w:val="0"/>
                <w:sz w:val="18"/>
                <w:szCs w:val="18"/>
                <w:lang w:eastAsia="es-CO"/>
              </w:rPr>
              <w:t>.</w:t>
            </w:r>
            <w:r w:rsidRPr="00871D8D">
              <w:rPr>
                <w:rFonts w:ascii="Arial Narrow" w:hAnsi="Arial Narrow" w:cs="Calibri"/>
                <w:b/>
                <w:bCs/>
                <w:color w:val="FFFFFF"/>
                <w:spacing w:val="0"/>
                <w:sz w:val="18"/>
                <w:szCs w:val="18"/>
                <w:lang w:eastAsia="es-CO"/>
              </w:rPr>
              <w:t>938</w:t>
            </w:r>
            <w:r w:rsidR="003C462E" w:rsidRPr="00871D8D">
              <w:rPr>
                <w:rFonts w:ascii="Arial Narrow" w:hAnsi="Arial Narrow" w:cs="Calibri"/>
                <w:b/>
                <w:bCs/>
                <w:color w:val="FFFFFF"/>
                <w:spacing w:val="0"/>
                <w:sz w:val="18"/>
                <w:szCs w:val="18"/>
                <w:lang w:eastAsia="es-CO"/>
              </w:rPr>
              <w:t>.</w:t>
            </w:r>
            <w:r w:rsidRPr="00871D8D">
              <w:rPr>
                <w:rFonts w:ascii="Arial Narrow" w:hAnsi="Arial Narrow" w:cs="Calibri"/>
                <w:b/>
                <w:bCs/>
                <w:color w:val="FFFFFF"/>
                <w:spacing w:val="0"/>
                <w:sz w:val="18"/>
                <w:szCs w:val="18"/>
                <w:lang w:eastAsia="es-CO"/>
              </w:rPr>
              <w:t>000</w:t>
            </w:r>
          </w:p>
        </w:tc>
      </w:tr>
      <w:tr w:rsidR="00A902AB" w:rsidRPr="00871D8D" w14:paraId="10D471BB" w14:textId="77777777" w:rsidTr="00871D8D">
        <w:trPr>
          <w:trHeight w:val="300"/>
          <w:jc w:val="right"/>
        </w:trPr>
        <w:tc>
          <w:tcPr>
            <w:tcW w:w="1140" w:type="dxa"/>
            <w:tcBorders>
              <w:top w:val="nil"/>
              <w:left w:val="single" w:sz="8" w:space="0" w:color="0070C0"/>
              <w:bottom w:val="single" w:sz="8" w:space="0" w:color="0070C0"/>
              <w:right w:val="single" w:sz="8" w:space="0" w:color="0070C0"/>
            </w:tcBorders>
            <w:shd w:val="clear" w:color="auto" w:fill="auto"/>
            <w:noWrap/>
            <w:vAlign w:val="center"/>
            <w:hideMark/>
          </w:tcPr>
          <w:p w14:paraId="43BE3A15" w14:textId="77777777" w:rsidR="00A902AB" w:rsidRPr="00871D8D" w:rsidRDefault="00A902AB" w:rsidP="00A902AB">
            <w:pPr>
              <w:jc w:val="center"/>
              <w:rPr>
                <w:rFonts w:ascii="Arial Narrow" w:hAnsi="Arial Narrow" w:cs="Calibri"/>
                <w:color w:val="000000"/>
                <w:spacing w:val="0"/>
                <w:sz w:val="18"/>
                <w:szCs w:val="18"/>
                <w:lang w:eastAsia="es-CO"/>
              </w:rPr>
            </w:pPr>
            <w:r w:rsidRPr="00871D8D">
              <w:rPr>
                <w:rFonts w:ascii="Arial Narrow" w:hAnsi="Arial Narrow" w:cs="Calibri"/>
                <w:color w:val="000000"/>
                <w:spacing w:val="0"/>
                <w:sz w:val="18"/>
                <w:szCs w:val="18"/>
                <w:lang w:eastAsia="es-CO"/>
              </w:rPr>
              <w:t>A-01</w:t>
            </w:r>
          </w:p>
        </w:tc>
        <w:tc>
          <w:tcPr>
            <w:tcW w:w="960" w:type="dxa"/>
            <w:tcBorders>
              <w:top w:val="nil"/>
              <w:left w:val="nil"/>
              <w:bottom w:val="single" w:sz="8" w:space="0" w:color="0070C0"/>
              <w:right w:val="single" w:sz="8" w:space="0" w:color="0070C0"/>
            </w:tcBorders>
            <w:shd w:val="clear" w:color="auto" w:fill="auto"/>
            <w:noWrap/>
            <w:vAlign w:val="center"/>
            <w:hideMark/>
          </w:tcPr>
          <w:p w14:paraId="73C71104" w14:textId="77777777" w:rsidR="00A902AB" w:rsidRPr="00871D8D" w:rsidRDefault="00A902AB" w:rsidP="00A902AB">
            <w:pPr>
              <w:jc w:val="center"/>
              <w:rPr>
                <w:rFonts w:ascii="Arial Narrow" w:hAnsi="Arial Narrow" w:cs="Calibri"/>
                <w:color w:val="000000"/>
                <w:spacing w:val="0"/>
                <w:sz w:val="18"/>
                <w:szCs w:val="18"/>
                <w:lang w:eastAsia="es-CO"/>
              </w:rPr>
            </w:pPr>
            <w:r w:rsidRPr="00871D8D">
              <w:rPr>
                <w:rFonts w:ascii="Arial Narrow" w:hAnsi="Arial Narrow" w:cs="Calibri"/>
                <w:color w:val="000000"/>
                <w:spacing w:val="0"/>
                <w:sz w:val="18"/>
                <w:szCs w:val="18"/>
                <w:lang w:eastAsia="es-CO"/>
              </w:rPr>
              <w:t>16</w:t>
            </w:r>
          </w:p>
        </w:tc>
        <w:tc>
          <w:tcPr>
            <w:tcW w:w="5261" w:type="dxa"/>
            <w:tcBorders>
              <w:top w:val="nil"/>
              <w:left w:val="nil"/>
              <w:bottom w:val="single" w:sz="8" w:space="0" w:color="0070C0"/>
              <w:right w:val="single" w:sz="8" w:space="0" w:color="0070C0"/>
            </w:tcBorders>
            <w:shd w:val="clear" w:color="auto" w:fill="auto"/>
            <w:noWrap/>
            <w:vAlign w:val="center"/>
            <w:hideMark/>
          </w:tcPr>
          <w:p w14:paraId="36E4BB0B" w14:textId="77777777" w:rsidR="00A902AB" w:rsidRPr="00871D8D" w:rsidRDefault="00A902AB" w:rsidP="00A902AB">
            <w:pPr>
              <w:jc w:val="left"/>
              <w:rPr>
                <w:rFonts w:ascii="Arial Narrow" w:hAnsi="Arial Narrow" w:cs="Calibri"/>
                <w:color w:val="000000"/>
                <w:spacing w:val="0"/>
                <w:sz w:val="18"/>
                <w:szCs w:val="18"/>
                <w:lang w:eastAsia="es-CO"/>
              </w:rPr>
            </w:pPr>
            <w:r w:rsidRPr="00871D8D">
              <w:rPr>
                <w:rFonts w:ascii="Arial Narrow" w:hAnsi="Arial Narrow" w:cs="Calibri"/>
                <w:color w:val="000000"/>
                <w:spacing w:val="0"/>
                <w:sz w:val="18"/>
                <w:szCs w:val="18"/>
                <w:lang w:eastAsia="es-CO"/>
              </w:rPr>
              <w:t xml:space="preserve">GASTOS DE PERSONAL </w:t>
            </w:r>
          </w:p>
        </w:tc>
        <w:tc>
          <w:tcPr>
            <w:tcW w:w="1418" w:type="dxa"/>
            <w:tcBorders>
              <w:top w:val="nil"/>
              <w:left w:val="nil"/>
              <w:bottom w:val="single" w:sz="8" w:space="0" w:color="0070C0"/>
              <w:right w:val="single" w:sz="8" w:space="0" w:color="0070C0"/>
            </w:tcBorders>
            <w:shd w:val="clear" w:color="auto" w:fill="auto"/>
            <w:noWrap/>
            <w:vAlign w:val="center"/>
            <w:hideMark/>
          </w:tcPr>
          <w:p w14:paraId="7FE860BF" w14:textId="1861E63E" w:rsidR="00A902AB" w:rsidRPr="00871D8D" w:rsidRDefault="00A902AB" w:rsidP="00A902AB">
            <w:pPr>
              <w:jc w:val="right"/>
              <w:rPr>
                <w:rFonts w:ascii="Arial Narrow" w:hAnsi="Arial Narrow" w:cs="Calibri"/>
                <w:color w:val="000000"/>
                <w:spacing w:val="0"/>
                <w:sz w:val="18"/>
                <w:szCs w:val="18"/>
                <w:lang w:eastAsia="es-CO"/>
              </w:rPr>
            </w:pPr>
            <w:r w:rsidRPr="00871D8D">
              <w:rPr>
                <w:rFonts w:ascii="Arial Narrow" w:hAnsi="Arial Narrow" w:cs="Calibri"/>
                <w:color w:val="000000"/>
                <w:spacing w:val="0"/>
                <w:sz w:val="18"/>
                <w:szCs w:val="18"/>
                <w:lang w:eastAsia="es-CO"/>
              </w:rPr>
              <w:t>$ 17</w:t>
            </w:r>
            <w:r w:rsidR="003C462E" w:rsidRPr="00871D8D">
              <w:rPr>
                <w:rFonts w:ascii="Arial Narrow" w:hAnsi="Arial Narrow" w:cs="Calibri"/>
                <w:color w:val="000000"/>
                <w:spacing w:val="0"/>
                <w:sz w:val="18"/>
                <w:szCs w:val="18"/>
                <w:lang w:eastAsia="es-CO"/>
              </w:rPr>
              <w:t>.</w:t>
            </w:r>
            <w:r w:rsidRPr="00871D8D">
              <w:rPr>
                <w:rFonts w:ascii="Arial Narrow" w:hAnsi="Arial Narrow" w:cs="Calibri"/>
                <w:color w:val="000000"/>
                <w:spacing w:val="0"/>
                <w:sz w:val="18"/>
                <w:szCs w:val="18"/>
                <w:lang w:eastAsia="es-CO"/>
              </w:rPr>
              <w:t>564</w:t>
            </w:r>
            <w:r w:rsidR="003C462E" w:rsidRPr="00871D8D">
              <w:rPr>
                <w:rFonts w:ascii="Arial Narrow" w:hAnsi="Arial Narrow" w:cs="Calibri"/>
                <w:color w:val="000000"/>
                <w:spacing w:val="0"/>
                <w:sz w:val="18"/>
                <w:szCs w:val="18"/>
                <w:lang w:eastAsia="es-CO"/>
              </w:rPr>
              <w:t>.</w:t>
            </w:r>
            <w:r w:rsidRPr="00871D8D">
              <w:rPr>
                <w:rFonts w:ascii="Arial Narrow" w:hAnsi="Arial Narrow" w:cs="Calibri"/>
                <w:color w:val="000000"/>
                <w:spacing w:val="0"/>
                <w:sz w:val="18"/>
                <w:szCs w:val="18"/>
                <w:lang w:eastAsia="es-CO"/>
              </w:rPr>
              <w:t>711</w:t>
            </w:r>
            <w:r w:rsidR="003C462E" w:rsidRPr="00871D8D">
              <w:rPr>
                <w:rFonts w:ascii="Arial Narrow" w:hAnsi="Arial Narrow" w:cs="Calibri"/>
                <w:color w:val="000000"/>
                <w:spacing w:val="0"/>
                <w:sz w:val="18"/>
                <w:szCs w:val="18"/>
                <w:lang w:eastAsia="es-CO"/>
              </w:rPr>
              <w:t>.</w:t>
            </w:r>
            <w:r w:rsidRPr="00871D8D">
              <w:rPr>
                <w:rFonts w:ascii="Arial Narrow" w:hAnsi="Arial Narrow" w:cs="Calibri"/>
                <w:color w:val="000000"/>
                <w:spacing w:val="0"/>
                <w:sz w:val="18"/>
                <w:szCs w:val="18"/>
                <w:lang w:eastAsia="es-CO"/>
              </w:rPr>
              <w:t>000</w:t>
            </w:r>
          </w:p>
        </w:tc>
      </w:tr>
      <w:tr w:rsidR="00A902AB" w:rsidRPr="00871D8D" w14:paraId="4AC64CD8" w14:textId="77777777" w:rsidTr="00871D8D">
        <w:trPr>
          <w:trHeight w:val="300"/>
          <w:jc w:val="right"/>
        </w:trPr>
        <w:tc>
          <w:tcPr>
            <w:tcW w:w="1140" w:type="dxa"/>
            <w:tcBorders>
              <w:top w:val="nil"/>
              <w:left w:val="single" w:sz="8" w:space="0" w:color="0070C0"/>
              <w:bottom w:val="single" w:sz="8" w:space="0" w:color="0070C0"/>
              <w:right w:val="single" w:sz="8" w:space="0" w:color="0070C0"/>
            </w:tcBorders>
            <w:shd w:val="clear" w:color="auto" w:fill="auto"/>
            <w:noWrap/>
            <w:vAlign w:val="center"/>
            <w:hideMark/>
          </w:tcPr>
          <w:p w14:paraId="411BCD9A" w14:textId="77777777" w:rsidR="00A902AB" w:rsidRPr="00871D8D" w:rsidRDefault="00A902AB" w:rsidP="00A902AB">
            <w:pPr>
              <w:jc w:val="center"/>
              <w:rPr>
                <w:rFonts w:ascii="Arial Narrow" w:hAnsi="Arial Narrow" w:cs="Calibri"/>
                <w:color w:val="000000"/>
                <w:spacing w:val="0"/>
                <w:sz w:val="18"/>
                <w:szCs w:val="18"/>
                <w:lang w:eastAsia="es-CO"/>
              </w:rPr>
            </w:pPr>
            <w:r w:rsidRPr="00871D8D">
              <w:rPr>
                <w:rFonts w:ascii="Arial Narrow" w:hAnsi="Arial Narrow" w:cs="Calibri"/>
                <w:color w:val="000000"/>
                <w:spacing w:val="0"/>
                <w:sz w:val="18"/>
                <w:szCs w:val="18"/>
                <w:lang w:eastAsia="es-CO"/>
              </w:rPr>
              <w:t>A-02</w:t>
            </w:r>
          </w:p>
        </w:tc>
        <w:tc>
          <w:tcPr>
            <w:tcW w:w="960" w:type="dxa"/>
            <w:tcBorders>
              <w:top w:val="nil"/>
              <w:left w:val="nil"/>
              <w:bottom w:val="single" w:sz="8" w:space="0" w:color="0070C0"/>
              <w:right w:val="single" w:sz="8" w:space="0" w:color="0070C0"/>
            </w:tcBorders>
            <w:shd w:val="clear" w:color="auto" w:fill="auto"/>
            <w:noWrap/>
            <w:vAlign w:val="center"/>
            <w:hideMark/>
          </w:tcPr>
          <w:p w14:paraId="62AB6F66" w14:textId="77777777" w:rsidR="00A902AB" w:rsidRPr="00871D8D" w:rsidRDefault="00A902AB" w:rsidP="00A902AB">
            <w:pPr>
              <w:jc w:val="center"/>
              <w:rPr>
                <w:rFonts w:ascii="Arial Narrow" w:hAnsi="Arial Narrow" w:cs="Calibri"/>
                <w:color w:val="000000"/>
                <w:spacing w:val="0"/>
                <w:sz w:val="18"/>
                <w:szCs w:val="18"/>
                <w:lang w:eastAsia="es-CO"/>
              </w:rPr>
            </w:pPr>
            <w:r w:rsidRPr="00871D8D">
              <w:rPr>
                <w:rFonts w:ascii="Arial Narrow" w:hAnsi="Arial Narrow" w:cs="Calibri"/>
                <w:color w:val="000000"/>
                <w:spacing w:val="0"/>
                <w:sz w:val="18"/>
                <w:szCs w:val="18"/>
                <w:lang w:eastAsia="es-CO"/>
              </w:rPr>
              <w:t>16</w:t>
            </w:r>
          </w:p>
        </w:tc>
        <w:tc>
          <w:tcPr>
            <w:tcW w:w="5261" w:type="dxa"/>
            <w:tcBorders>
              <w:top w:val="nil"/>
              <w:left w:val="nil"/>
              <w:bottom w:val="single" w:sz="8" w:space="0" w:color="0070C0"/>
              <w:right w:val="single" w:sz="8" w:space="0" w:color="0070C0"/>
            </w:tcBorders>
            <w:shd w:val="clear" w:color="auto" w:fill="auto"/>
            <w:noWrap/>
            <w:vAlign w:val="center"/>
            <w:hideMark/>
          </w:tcPr>
          <w:p w14:paraId="65DD8FD1" w14:textId="77777777" w:rsidR="00A902AB" w:rsidRPr="00871D8D" w:rsidRDefault="00A902AB" w:rsidP="00A902AB">
            <w:pPr>
              <w:jc w:val="left"/>
              <w:rPr>
                <w:rFonts w:ascii="Arial Narrow" w:hAnsi="Arial Narrow" w:cs="Calibri"/>
                <w:color w:val="000000"/>
                <w:spacing w:val="0"/>
                <w:sz w:val="18"/>
                <w:szCs w:val="18"/>
                <w:lang w:eastAsia="es-CO"/>
              </w:rPr>
            </w:pPr>
            <w:r w:rsidRPr="00871D8D">
              <w:rPr>
                <w:rFonts w:ascii="Arial Narrow" w:hAnsi="Arial Narrow" w:cs="Calibri"/>
                <w:color w:val="000000"/>
                <w:spacing w:val="0"/>
                <w:sz w:val="18"/>
                <w:szCs w:val="18"/>
                <w:lang w:eastAsia="es-CO"/>
              </w:rPr>
              <w:t>ADQUISICION DE BIENES Y SERVICIOS</w:t>
            </w:r>
          </w:p>
        </w:tc>
        <w:tc>
          <w:tcPr>
            <w:tcW w:w="1418" w:type="dxa"/>
            <w:tcBorders>
              <w:top w:val="nil"/>
              <w:left w:val="nil"/>
              <w:bottom w:val="single" w:sz="8" w:space="0" w:color="0070C0"/>
              <w:right w:val="single" w:sz="8" w:space="0" w:color="0070C0"/>
            </w:tcBorders>
            <w:shd w:val="clear" w:color="auto" w:fill="auto"/>
            <w:noWrap/>
            <w:vAlign w:val="center"/>
            <w:hideMark/>
          </w:tcPr>
          <w:p w14:paraId="7FE3371D" w14:textId="4434C850" w:rsidR="00A902AB" w:rsidRPr="00871D8D" w:rsidRDefault="00A902AB" w:rsidP="00A902AB">
            <w:pPr>
              <w:jc w:val="right"/>
              <w:rPr>
                <w:rFonts w:ascii="Arial Narrow" w:hAnsi="Arial Narrow" w:cs="Calibri"/>
                <w:color w:val="000000"/>
                <w:spacing w:val="0"/>
                <w:sz w:val="18"/>
                <w:szCs w:val="18"/>
                <w:lang w:eastAsia="es-CO"/>
              </w:rPr>
            </w:pPr>
            <w:r w:rsidRPr="00871D8D">
              <w:rPr>
                <w:rFonts w:ascii="Arial Narrow" w:hAnsi="Arial Narrow" w:cs="Calibri"/>
                <w:color w:val="000000"/>
                <w:spacing w:val="0"/>
                <w:sz w:val="18"/>
                <w:szCs w:val="18"/>
                <w:lang w:eastAsia="es-CO"/>
              </w:rPr>
              <w:t>$ 3</w:t>
            </w:r>
            <w:r w:rsidR="003C462E" w:rsidRPr="00871D8D">
              <w:rPr>
                <w:rFonts w:ascii="Arial Narrow" w:hAnsi="Arial Narrow" w:cs="Calibri"/>
                <w:color w:val="000000"/>
                <w:spacing w:val="0"/>
                <w:sz w:val="18"/>
                <w:szCs w:val="18"/>
                <w:lang w:eastAsia="es-CO"/>
              </w:rPr>
              <w:t>.</w:t>
            </w:r>
            <w:r w:rsidRPr="00871D8D">
              <w:rPr>
                <w:rFonts w:ascii="Arial Narrow" w:hAnsi="Arial Narrow" w:cs="Calibri"/>
                <w:color w:val="000000"/>
                <w:spacing w:val="0"/>
                <w:sz w:val="18"/>
                <w:szCs w:val="18"/>
                <w:lang w:eastAsia="es-CO"/>
              </w:rPr>
              <w:t>516</w:t>
            </w:r>
            <w:r w:rsidR="003C462E" w:rsidRPr="00871D8D">
              <w:rPr>
                <w:rFonts w:ascii="Arial Narrow" w:hAnsi="Arial Narrow" w:cs="Calibri"/>
                <w:color w:val="000000"/>
                <w:spacing w:val="0"/>
                <w:sz w:val="18"/>
                <w:szCs w:val="18"/>
                <w:lang w:eastAsia="es-CO"/>
              </w:rPr>
              <w:t>.</w:t>
            </w:r>
            <w:r w:rsidRPr="00871D8D">
              <w:rPr>
                <w:rFonts w:ascii="Arial Narrow" w:hAnsi="Arial Narrow" w:cs="Calibri"/>
                <w:color w:val="000000"/>
                <w:spacing w:val="0"/>
                <w:sz w:val="18"/>
                <w:szCs w:val="18"/>
                <w:lang w:eastAsia="es-CO"/>
              </w:rPr>
              <w:t>910</w:t>
            </w:r>
            <w:r w:rsidR="003C462E" w:rsidRPr="00871D8D">
              <w:rPr>
                <w:rFonts w:ascii="Arial Narrow" w:hAnsi="Arial Narrow" w:cs="Calibri"/>
                <w:color w:val="000000"/>
                <w:spacing w:val="0"/>
                <w:sz w:val="18"/>
                <w:szCs w:val="18"/>
                <w:lang w:eastAsia="es-CO"/>
              </w:rPr>
              <w:t>.</w:t>
            </w:r>
            <w:r w:rsidRPr="00871D8D">
              <w:rPr>
                <w:rFonts w:ascii="Arial Narrow" w:hAnsi="Arial Narrow" w:cs="Calibri"/>
                <w:color w:val="000000"/>
                <w:spacing w:val="0"/>
                <w:sz w:val="18"/>
                <w:szCs w:val="18"/>
                <w:lang w:eastAsia="es-CO"/>
              </w:rPr>
              <w:t>000</w:t>
            </w:r>
          </w:p>
        </w:tc>
      </w:tr>
      <w:tr w:rsidR="00A902AB" w:rsidRPr="00871D8D" w14:paraId="25CD1E6B" w14:textId="77777777" w:rsidTr="00871D8D">
        <w:trPr>
          <w:trHeight w:val="300"/>
          <w:jc w:val="right"/>
        </w:trPr>
        <w:tc>
          <w:tcPr>
            <w:tcW w:w="1140" w:type="dxa"/>
            <w:tcBorders>
              <w:top w:val="nil"/>
              <w:left w:val="single" w:sz="8" w:space="0" w:color="0070C0"/>
              <w:bottom w:val="single" w:sz="8" w:space="0" w:color="0070C0"/>
              <w:right w:val="single" w:sz="8" w:space="0" w:color="0070C0"/>
            </w:tcBorders>
            <w:shd w:val="clear" w:color="auto" w:fill="auto"/>
            <w:noWrap/>
            <w:vAlign w:val="center"/>
            <w:hideMark/>
          </w:tcPr>
          <w:p w14:paraId="347ED74E" w14:textId="77777777" w:rsidR="00A902AB" w:rsidRPr="00871D8D" w:rsidRDefault="00A902AB" w:rsidP="00A902AB">
            <w:pPr>
              <w:jc w:val="center"/>
              <w:rPr>
                <w:rFonts w:ascii="Arial Narrow" w:hAnsi="Arial Narrow" w:cs="Calibri"/>
                <w:color w:val="000000"/>
                <w:spacing w:val="0"/>
                <w:sz w:val="18"/>
                <w:szCs w:val="18"/>
                <w:lang w:eastAsia="es-CO"/>
              </w:rPr>
            </w:pPr>
            <w:r w:rsidRPr="00871D8D">
              <w:rPr>
                <w:rFonts w:ascii="Arial Narrow" w:hAnsi="Arial Narrow" w:cs="Calibri"/>
                <w:color w:val="000000"/>
                <w:spacing w:val="0"/>
                <w:sz w:val="18"/>
                <w:szCs w:val="18"/>
                <w:lang w:eastAsia="es-CO"/>
              </w:rPr>
              <w:t>A-03</w:t>
            </w:r>
          </w:p>
        </w:tc>
        <w:tc>
          <w:tcPr>
            <w:tcW w:w="960" w:type="dxa"/>
            <w:tcBorders>
              <w:top w:val="nil"/>
              <w:left w:val="nil"/>
              <w:bottom w:val="single" w:sz="8" w:space="0" w:color="0070C0"/>
              <w:right w:val="single" w:sz="8" w:space="0" w:color="0070C0"/>
            </w:tcBorders>
            <w:shd w:val="clear" w:color="auto" w:fill="auto"/>
            <w:noWrap/>
            <w:vAlign w:val="center"/>
            <w:hideMark/>
          </w:tcPr>
          <w:p w14:paraId="0116A734" w14:textId="77777777" w:rsidR="00A902AB" w:rsidRPr="00871D8D" w:rsidRDefault="00A902AB" w:rsidP="00A902AB">
            <w:pPr>
              <w:jc w:val="center"/>
              <w:rPr>
                <w:rFonts w:ascii="Arial Narrow" w:hAnsi="Arial Narrow" w:cs="Calibri"/>
                <w:color w:val="000000"/>
                <w:spacing w:val="0"/>
                <w:sz w:val="18"/>
                <w:szCs w:val="18"/>
                <w:lang w:eastAsia="es-CO"/>
              </w:rPr>
            </w:pPr>
            <w:r w:rsidRPr="00871D8D">
              <w:rPr>
                <w:rFonts w:ascii="Arial Narrow" w:hAnsi="Arial Narrow" w:cs="Calibri"/>
                <w:color w:val="000000"/>
                <w:spacing w:val="0"/>
                <w:sz w:val="18"/>
                <w:szCs w:val="18"/>
                <w:lang w:eastAsia="es-CO"/>
              </w:rPr>
              <w:t>16</w:t>
            </w:r>
          </w:p>
        </w:tc>
        <w:tc>
          <w:tcPr>
            <w:tcW w:w="5261" w:type="dxa"/>
            <w:tcBorders>
              <w:top w:val="nil"/>
              <w:left w:val="nil"/>
              <w:bottom w:val="single" w:sz="8" w:space="0" w:color="0070C0"/>
              <w:right w:val="single" w:sz="8" w:space="0" w:color="0070C0"/>
            </w:tcBorders>
            <w:shd w:val="clear" w:color="auto" w:fill="auto"/>
            <w:noWrap/>
            <w:vAlign w:val="center"/>
            <w:hideMark/>
          </w:tcPr>
          <w:p w14:paraId="5D191D87" w14:textId="77777777" w:rsidR="00A902AB" w:rsidRPr="00871D8D" w:rsidRDefault="00A902AB" w:rsidP="00A902AB">
            <w:pPr>
              <w:jc w:val="left"/>
              <w:rPr>
                <w:rFonts w:ascii="Arial Narrow" w:hAnsi="Arial Narrow" w:cs="Calibri"/>
                <w:color w:val="000000"/>
                <w:spacing w:val="0"/>
                <w:sz w:val="18"/>
                <w:szCs w:val="18"/>
                <w:lang w:eastAsia="es-CO"/>
              </w:rPr>
            </w:pPr>
            <w:r w:rsidRPr="00871D8D">
              <w:rPr>
                <w:rFonts w:ascii="Arial Narrow" w:hAnsi="Arial Narrow" w:cs="Calibri"/>
                <w:color w:val="000000"/>
                <w:spacing w:val="0"/>
                <w:sz w:val="18"/>
                <w:szCs w:val="18"/>
                <w:lang w:eastAsia="es-CO"/>
              </w:rPr>
              <w:t xml:space="preserve">TRANSFERENCIAS CORRIENTES </w:t>
            </w:r>
          </w:p>
        </w:tc>
        <w:tc>
          <w:tcPr>
            <w:tcW w:w="1418" w:type="dxa"/>
            <w:tcBorders>
              <w:top w:val="nil"/>
              <w:left w:val="nil"/>
              <w:bottom w:val="single" w:sz="8" w:space="0" w:color="0070C0"/>
              <w:right w:val="single" w:sz="8" w:space="0" w:color="0070C0"/>
            </w:tcBorders>
            <w:shd w:val="clear" w:color="auto" w:fill="auto"/>
            <w:noWrap/>
            <w:vAlign w:val="center"/>
            <w:hideMark/>
          </w:tcPr>
          <w:p w14:paraId="278EA142" w14:textId="1B4820B9" w:rsidR="00A902AB" w:rsidRPr="00871D8D" w:rsidRDefault="00A902AB" w:rsidP="00A902AB">
            <w:pPr>
              <w:jc w:val="right"/>
              <w:rPr>
                <w:rFonts w:ascii="Arial Narrow" w:hAnsi="Arial Narrow" w:cs="Calibri"/>
                <w:color w:val="000000"/>
                <w:spacing w:val="0"/>
                <w:sz w:val="18"/>
                <w:szCs w:val="18"/>
                <w:lang w:eastAsia="es-CO"/>
              </w:rPr>
            </w:pPr>
            <w:r w:rsidRPr="00871D8D">
              <w:rPr>
                <w:rFonts w:ascii="Arial Narrow" w:hAnsi="Arial Narrow" w:cs="Calibri"/>
                <w:color w:val="000000"/>
                <w:spacing w:val="0"/>
                <w:sz w:val="18"/>
                <w:szCs w:val="18"/>
                <w:lang w:eastAsia="es-CO"/>
              </w:rPr>
              <w:t>$ 3</w:t>
            </w:r>
            <w:r w:rsidR="003C462E" w:rsidRPr="00871D8D">
              <w:rPr>
                <w:rFonts w:ascii="Arial Narrow" w:hAnsi="Arial Narrow" w:cs="Calibri"/>
                <w:color w:val="000000"/>
                <w:spacing w:val="0"/>
                <w:sz w:val="18"/>
                <w:szCs w:val="18"/>
                <w:lang w:eastAsia="es-CO"/>
              </w:rPr>
              <w:t>.</w:t>
            </w:r>
            <w:r w:rsidRPr="00871D8D">
              <w:rPr>
                <w:rFonts w:ascii="Arial Narrow" w:hAnsi="Arial Narrow" w:cs="Calibri"/>
                <w:color w:val="000000"/>
                <w:spacing w:val="0"/>
                <w:sz w:val="18"/>
                <w:szCs w:val="18"/>
                <w:lang w:eastAsia="es-CO"/>
              </w:rPr>
              <w:t>252</w:t>
            </w:r>
            <w:r w:rsidR="003C462E" w:rsidRPr="00871D8D">
              <w:rPr>
                <w:rFonts w:ascii="Arial Narrow" w:hAnsi="Arial Narrow" w:cs="Calibri"/>
                <w:color w:val="000000"/>
                <w:spacing w:val="0"/>
                <w:sz w:val="18"/>
                <w:szCs w:val="18"/>
                <w:lang w:eastAsia="es-CO"/>
              </w:rPr>
              <w:t>.</w:t>
            </w:r>
            <w:r w:rsidRPr="00871D8D">
              <w:rPr>
                <w:rFonts w:ascii="Arial Narrow" w:hAnsi="Arial Narrow" w:cs="Calibri"/>
                <w:color w:val="000000"/>
                <w:spacing w:val="0"/>
                <w:sz w:val="18"/>
                <w:szCs w:val="18"/>
                <w:lang w:eastAsia="es-CO"/>
              </w:rPr>
              <w:t>736</w:t>
            </w:r>
            <w:r w:rsidR="003C462E" w:rsidRPr="00871D8D">
              <w:rPr>
                <w:rFonts w:ascii="Arial Narrow" w:hAnsi="Arial Narrow" w:cs="Calibri"/>
                <w:color w:val="000000"/>
                <w:spacing w:val="0"/>
                <w:sz w:val="18"/>
                <w:szCs w:val="18"/>
                <w:lang w:eastAsia="es-CO"/>
              </w:rPr>
              <w:t>.</w:t>
            </w:r>
            <w:r w:rsidRPr="00871D8D">
              <w:rPr>
                <w:rFonts w:ascii="Arial Narrow" w:hAnsi="Arial Narrow" w:cs="Calibri"/>
                <w:color w:val="000000"/>
                <w:spacing w:val="0"/>
                <w:sz w:val="18"/>
                <w:szCs w:val="18"/>
                <w:lang w:eastAsia="es-CO"/>
              </w:rPr>
              <w:t>000</w:t>
            </w:r>
          </w:p>
        </w:tc>
      </w:tr>
      <w:tr w:rsidR="00A902AB" w:rsidRPr="00871D8D" w14:paraId="6F35D6F3" w14:textId="77777777" w:rsidTr="00871D8D">
        <w:trPr>
          <w:trHeight w:val="300"/>
          <w:jc w:val="right"/>
        </w:trPr>
        <w:tc>
          <w:tcPr>
            <w:tcW w:w="1140" w:type="dxa"/>
            <w:tcBorders>
              <w:top w:val="nil"/>
              <w:left w:val="single" w:sz="8" w:space="0" w:color="0070C0"/>
              <w:bottom w:val="single" w:sz="8" w:space="0" w:color="0070C0"/>
              <w:right w:val="single" w:sz="8" w:space="0" w:color="0070C0"/>
            </w:tcBorders>
            <w:shd w:val="clear" w:color="auto" w:fill="auto"/>
            <w:noWrap/>
            <w:vAlign w:val="center"/>
            <w:hideMark/>
          </w:tcPr>
          <w:p w14:paraId="4914C69D" w14:textId="77777777" w:rsidR="00A902AB" w:rsidRPr="00871D8D" w:rsidRDefault="00A902AB" w:rsidP="00A902AB">
            <w:pPr>
              <w:jc w:val="center"/>
              <w:rPr>
                <w:rFonts w:ascii="Arial Narrow" w:hAnsi="Arial Narrow" w:cs="Calibri"/>
                <w:color w:val="000000"/>
                <w:spacing w:val="0"/>
                <w:sz w:val="18"/>
                <w:szCs w:val="18"/>
                <w:lang w:eastAsia="es-CO"/>
              </w:rPr>
            </w:pPr>
            <w:r w:rsidRPr="00871D8D">
              <w:rPr>
                <w:rFonts w:ascii="Arial Narrow" w:hAnsi="Arial Narrow" w:cs="Calibri"/>
                <w:color w:val="000000"/>
                <w:spacing w:val="0"/>
                <w:sz w:val="18"/>
                <w:szCs w:val="18"/>
                <w:lang w:eastAsia="es-CO"/>
              </w:rPr>
              <w:t>A-08</w:t>
            </w:r>
          </w:p>
        </w:tc>
        <w:tc>
          <w:tcPr>
            <w:tcW w:w="960" w:type="dxa"/>
            <w:tcBorders>
              <w:top w:val="nil"/>
              <w:left w:val="nil"/>
              <w:bottom w:val="single" w:sz="8" w:space="0" w:color="0070C0"/>
              <w:right w:val="single" w:sz="8" w:space="0" w:color="0070C0"/>
            </w:tcBorders>
            <w:shd w:val="clear" w:color="auto" w:fill="auto"/>
            <w:noWrap/>
            <w:vAlign w:val="center"/>
            <w:hideMark/>
          </w:tcPr>
          <w:p w14:paraId="3D144369" w14:textId="77777777" w:rsidR="00A902AB" w:rsidRPr="00871D8D" w:rsidRDefault="00A902AB" w:rsidP="00A902AB">
            <w:pPr>
              <w:jc w:val="center"/>
              <w:rPr>
                <w:rFonts w:ascii="Arial Narrow" w:hAnsi="Arial Narrow" w:cs="Calibri"/>
                <w:color w:val="000000"/>
                <w:spacing w:val="0"/>
                <w:sz w:val="18"/>
                <w:szCs w:val="18"/>
                <w:lang w:eastAsia="es-CO"/>
              </w:rPr>
            </w:pPr>
            <w:r w:rsidRPr="00871D8D">
              <w:rPr>
                <w:rFonts w:ascii="Arial Narrow" w:hAnsi="Arial Narrow" w:cs="Calibri"/>
                <w:color w:val="000000"/>
                <w:spacing w:val="0"/>
                <w:sz w:val="18"/>
                <w:szCs w:val="18"/>
                <w:lang w:eastAsia="es-CO"/>
              </w:rPr>
              <w:t>16</w:t>
            </w:r>
          </w:p>
        </w:tc>
        <w:tc>
          <w:tcPr>
            <w:tcW w:w="5261" w:type="dxa"/>
            <w:tcBorders>
              <w:top w:val="nil"/>
              <w:left w:val="nil"/>
              <w:bottom w:val="single" w:sz="8" w:space="0" w:color="0070C0"/>
              <w:right w:val="single" w:sz="8" w:space="0" w:color="0070C0"/>
            </w:tcBorders>
            <w:shd w:val="clear" w:color="auto" w:fill="auto"/>
            <w:vAlign w:val="center"/>
            <w:hideMark/>
          </w:tcPr>
          <w:p w14:paraId="4D6AECD5" w14:textId="77777777" w:rsidR="00A902AB" w:rsidRPr="00871D8D" w:rsidRDefault="00A902AB" w:rsidP="00A902AB">
            <w:pPr>
              <w:jc w:val="left"/>
              <w:rPr>
                <w:rFonts w:ascii="Arial Narrow" w:hAnsi="Arial Narrow" w:cs="Calibri"/>
                <w:color w:val="000000"/>
                <w:spacing w:val="0"/>
                <w:sz w:val="18"/>
                <w:szCs w:val="18"/>
                <w:lang w:eastAsia="es-CO"/>
              </w:rPr>
            </w:pPr>
            <w:r w:rsidRPr="00871D8D">
              <w:rPr>
                <w:rFonts w:ascii="Arial Narrow" w:hAnsi="Arial Narrow" w:cs="Calibri"/>
                <w:color w:val="000000"/>
                <w:spacing w:val="0"/>
                <w:sz w:val="18"/>
                <w:szCs w:val="18"/>
                <w:lang w:eastAsia="es-CO"/>
              </w:rPr>
              <w:t xml:space="preserve">GASTOS POR TRIBUTOS, MULTAS, SANCIONES E INTERESES DE MORA </w:t>
            </w:r>
          </w:p>
        </w:tc>
        <w:tc>
          <w:tcPr>
            <w:tcW w:w="1418" w:type="dxa"/>
            <w:tcBorders>
              <w:top w:val="nil"/>
              <w:left w:val="nil"/>
              <w:bottom w:val="single" w:sz="8" w:space="0" w:color="0070C0"/>
              <w:right w:val="single" w:sz="8" w:space="0" w:color="0070C0"/>
            </w:tcBorders>
            <w:shd w:val="clear" w:color="auto" w:fill="auto"/>
            <w:noWrap/>
            <w:vAlign w:val="center"/>
            <w:hideMark/>
          </w:tcPr>
          <w:p w14:paraId="1A0C917B" w14:textId="10645B8A" w:rsidR="00A902AB" w:rsidRPr="00871D8D" w:rsidRDefault="00A902AB" w:rsidP="00A902AB">
            <w:pPr>
              <w:jc w:val="right"/>
              <w:rPr>
                <w:rFonts w:ascii="Arial Narrow" w:hAnsi="Arial Narrow" w:cs="Calibri"/>
                <w:color w:val="000000"/>
                <w:spacing w:val="0"/>
                <w:sz w:val="18"/>
                <w:szCs w:val="18"/>
                <w:lang w:eastAsia="es-CO"/>
              </w:rPr>
            </w:pPr>
            <w:r w:rsidRPr="00871D8D">
              <w:rPr>
                <w:rFonts w:ascii="Arial Narrow" w:hAnsi="Arial Narrow" w:cs="Calibri"/>
                <w:color w:val="000000"/>
                <w:spacing w:val="0"/>
                <w:sz w:val="18"/>
                <w:szCs w:val="18"/>
                <w:lang w:eastAsia="es-CO"/>
              </w:rPr>
              <w:t>$ 166</w:t>
            </w:r>
            <w:r w:rsidR="003C462E" w:rsidRPr="00871D8D">
              <w:rPr>
                <w:rFonts w:ascii="Arial Narrow" w:hAnsi="Arial Narrow" w:cs="Calibri"/>
                <w:color w:val="000000"/>
                <w:spacing w:val="0"/>
                <w:sz w:val="18"/>
                <w:szCs w:val="18"/>
                <w:lang w:eastAsia="es-CO"/>
              </w:rPr>
              <w:t>.</w:t>
            </w:r>
            <w:r w:rsidRPr="00871D8D">
              <w:rPr>
                <w:rFonts w:ascii="Arial Narrow" w:hAnsi="Arial Narrow" w:cs="Calibri"/>
                <w:color w:val="000000"/>
                <w:spacing w:val="0"/>
                <w:sz w:val="18"/>
                <w:szCs w:val="18"/>
                <w:lang w:eastAsia="es-CO"/>
              </w:rPr>
              <w:t>581</w:t>
            </w:r>
            <w:r w:rsidR="003C462E" w:rsidRPr="00871D8D">
              <w:rPr>
                <w:rFonts w:ascii="Arial Narrow" w:hAnsi="Arial Narrow" w:cs="Calibri"/>
                <w:color w:val="000000"/>
                <w:spacing w:val="0"/>
                <w:sz w:val="18"/>
                <w:szCs w:val="18"/>
                <w:lang w:eastAsia="es-CO"/>
              </w:rPr>
              <w:t>.</w:t>
            </w:r>
            <w:r w:rsidRPr="00871D8D">
              <w:rPr>
                <w:rFonts w:ascii="Arial Narrow" w:hAnsi="Arial Narrow" w:cs="Calibri"/>
                <w:color w:val="000000"/>
                <w:spacing w:val="0"/>
                <w:sz w:val="18"/>
                <w:szCs w:val="18"/>
                <w:lang w:eastAsia="es-CO"/>
              </w:rPr>
              <w:t>000</w:t>
            </w:r>
          </w:p>
        </w:tc>
      </w:tr>
      <w:tr w:rsidR="00A902AB" w:rsidRPr="00871D8D" w14:paraId="6B971286" w14:textId="77777777" w:rsidTr="00871D8D">
        <w:trPr>
          <w:trHeight w:val="300"/>
          <w:jc w:val="right"/>
        </w:trPr>
        <w:tc>
          <w:tcPr>
            <w:tcW w:w="1140" w:type="dxa"/>
            <w:tcBorders>
              <w:top w:val="nil"/>
              <w:left w:val="single" w:sz="8" w:space="0" w:color="0070C0"/>
              <w:bottom w:val="single" w:sz="8" w:space="0" w:color="0070C0"/>
              <w:right w:val="single" w:sz="8" w:space="0" w:color="0070C0"/>
            </w:tcBorders>
            <w:shd w:val="clear" w:color="000000" w:fill="8497B0"/>
            <w:noWrap/>
            <w:vAlign w:val="center"/>
            <w:hideMark/>
          </w:tcPr>
          <w:p w14:paraId="7F841C1D" w14:textId="77777777" w:rsidR="00A902AB" w:rsidRPr="00871D8D" w:rsidRDefault="00A902AB" w:rsidP="00A902AB">
            <w:pPr>
              <w:jc w:val="center"/>
              <w:rPr>
                <w:rFonts w:ascii="Arial Narrow" w:hAnsi="Arial Narrow" w:cs="Calibri"/>
                <w:b/>
                <w:bCs/>
                <w:color w:val="FFFFFF"/>
                <w:spacing w:val="0"/>
                <w:sz w:val="18"/>
                <w:szCs w:val="18"/>
                <w:lang w:eastAsia="es-CO"/>
              </w:rPr>
            </w:pPr>
            <w:r w:rsidRPr="00871D8D">
              <w:rPr>
                <w:rFonts w:ascii="Arial Narrow" w:hAnsi="Arial Narrow" w:cs="Calibri"/>
                <w:b/>
                <w:bCs/>
                <w:color w:val="FFFFFF"/>
                <w:spacing w:val="0"/>
                <w:sz w:val="18"/>
                <w:szCs w:val="18"/>
                <w:lang w:eastAsia="es-CO"/>
              </w:rPr>
              <w:t>C</w:t>
            </w:r>
          </w:p>
        </w:tc>
        <w:tc>
          <w:tcPr>
            <w:tcW w:w="960" w:type="dxa"/>
            <w:tcBorders>
              <w:top w:val="nil"/>
              <w:left w:val="nil"/>
              <w:bottom w:val="single" w:sz="8" w:space="0" w:color="0070C0"/>
              <w:right w:val="single" w:sz="8" w:space="0" w:color="0070C0"/>
            </w:tcBorders>
            <w:shd w:val="clear" w:color="000000" w:fill="8497B0"/>
            <w:noWrap/>
            <w:vAlign w:val="center"/>
            <w:hideMark/>
          </w:tcPr>
          <w:p w14:paraId="0A377DD9" w14:textId="77777777" w:rsidR="00A902AB" w:rsidRPr="00871D8D" w:rsidRDefault="00A902AB" w:rsidP="00A902AB">
            <w:pPr>
              <w:jc w:val="center"/>
              <w:rPr>
                <w:rFonts w:ascii="Arial Narrow" w:hAnsi="Arial Narrow" w:cs="Calibri"/>
                <w:b/>
                <w:bCs/>
                <w:color w:val="FFFFFF"/>
                <w:spacing w:val="0"/>
                <w:sz w:val="18"/>
                <w:szCs w:val="18"/>
                <w:lang w:eastAsia="es-CO"/>
              </w:rPr>
            </w:pPr>
            <w:r w:rsidRPr="00871D8D">
              <w:rPr>
                <w:rFonts w:ascii="Arial Narrow" w:hAnsi="Arial Narrow" w:cs="Calibri"/>
                <w:b/>
                <w:bCs/>
                <w:color w:val="FFFFFF"/>
                <w:spacing w:val="0"/>
                <w:sz w:val="18"/>
                <w:szCs w:val="18"/>
                <w:lang w:eastAsia="es-CO"/>
              </w:rPr>
              <w:t> </w:t>
            </w:r>
          </w:p>
        </w:tc>
        <w:tc>
          <w:tcPr>
            <w:tcW w:w="5261" w:type="dxa"/>
            <w:tcBorders>
              <w:top w:val="nil"/>
              <w:left w:val="nil"/>
              <w:bottom w:val="single" w:sz="8" w:space="0" w:color="0070C0"/>
              <w:right w:val="single" w:sz="8" w:space="0" w:color="0070C0"/>
            </w:tcBorders>
            <w:shd w:val="clear" w:color="000000" w:fill="8497B0"/>
            <w:noWrap/>
            <w:vAlign w:val="center"/>
            <w:hideMark/>
          </w:tcPr>
          <w:p w14:paraId="0DE3A44F" w14:textId="77777777" w:rsidR="00A902AB" w:rsidRPr="00871D8D" w:rsidRDefault="00A902AB" w:rsidP="00A902AB">
            <w:pPr>
              <w:jc w:val="center"/>
              <w:rPr>
                <w:rFonts w:ascii="Arial Narrow" w:hAnsi="Arial Narrow" w:cs="Calibri"/>
                <w:b/>
                <w:bCs/>
                <w:color w:val="FFFFFF"/>
                <w:spacing w:val="0"/>
                <w:sz w:val="18"/>
                <w:szCs w:val="18"/>
                <w:lang w:eastAsia="es-CO"/>
              </w:rPr>
            </w:pPr>
            <w:r w:rsidRPr="00871D8D">
              <w:rPr>
                <w:rFonts w:ascii="Arial Narrow" w:hAnsi="Arial Narrow" w:cs="Calibri"/>
                <w:b/>
                <w:bCs/>
                <w:color w:val="FFFFFF"/>
                <w:spacing w:val="0"/>
                <w:sz w:val="18"/>
                <w:szCs w:val="18"/>
                <w:lang w:eastAsia="es-CO"/>
              </w:rPr>
              <w:t xml:space="preserve">INVERSION </w:t>
            </w:r>
          </w:p>
        </w:tc>
        <w:tc>
          <w:tcPr>
            <w:tcW w:w="1418" w:type="dxa"/>
            <w:tcBorders>
              <w:top w:val="nil"/>
              <w:left w:val="nil"/>
              <w:bottom w:val="single" w:sz="8" w:space="0" w:color="0070C0"/>
              <w:right w:val="single" w:sz="8" w:space="0" w:color="0070C0"/>
            </w:tcBorders>
            <w:shd w:val="clear" w:color="000000" w:fill="8497B0"/>
            <w:noWrap/>
            <w:vAlign w:val="center"/>
            <w:hideMark/>
          </w:tcPr>
          <w:p w14:paraId="71232032" w14:textId="202CFA18" w:rsidR="00A902AB" w:rsidRPr="00871D8D" w:rsidRDefault="00A902AB" w:rsidP="00A902AB">
            <w:pPr>
              <w:jc w:val="right"/>
              <w:rPr>
                <w:rFonts w:ascii="Arial Narrow" w:hAnsi="Arial Narrow" w:cs="Calibri"/>
                <w:b/>
                <w:bCs/>
                <w:color w:val="FFFFFF"/>
                <w:spacing w:val="0"/>
                <w:sz w:val="18"/>
                <w:szCs w:val="18"/>
                <w:lang w:eastAsia="es-CO"/>
              </w:rPr>
            </w:pPr>
            <w:r w:rsidRPr="00871D8D">
              <w:rPr>
                <w:rFonts w:ascii="Arial Narrow" w:hAnsi="Arial Narrow" w:cs="Calibri"/>
                <w:b/>
                <w:bCs/>
                <w:color w:val="FFFFFF"/>
                <w:spacing w:val="0"/>
                <w:sz w:val="18"/>
                <w:szCs w:val="18"/>
                <w:lang w:eastAsia="es-CO"/>
              </w:rPr>
              <w:t>$ 13</w:t>
            </w:r>
            <w:r w:rsidR="003C462E" w:rsidRPr="00871D8D">
              <w:rPr>
                <w:rFonts w:ascii="Arial Narrow" w:hAnsi="Arial Narrow" w:cs="Calibri"/>
                <w:b/>
                <w:bCs/>
                <w:color w:val="FFFFFF"/>
                <w:spacing w:val="0"/>
                <w:sz w:val="18"/>
                <w:szCs w:val="18"/>
                <w:lang w:eastAsia="es-CO"/>
              </w:rPr>
              <w:t>.</w:t>
            </w:r>
            <w:r w:rsidRPr="00871D8D">
              <w:rPr>
                <w:rFonts w:ascii="Arial Narrow" w:hAnsi="Arial Narrow" w:cs="Calibri"/>
                <w:b/>
                <w:bCs/>
                <w:color w:val="FFFFFF"/>
                <w:spacing w:val="0"/>
                <w:sz w:val="18"/>
                <w:szCs w:val="18"/>
                <w:lang w:eastAsia="es-CO"/>
              </w:rPr>
              <w:t>200</w:t>
            </w:r>
            <w:r w:rsidR="003C462E" w:rsidRPr="00871D8D">
              <w:rPr>
                <w:rFonts w:ascii="Arial Narrow" w:hAnsi="Arial Narrow" w:cs="Calibri"/>
                <w:b/>
                <w:bCs/>
                <w:color w:val="FFFFFF"/>
                <w:spacing w:val="0"/>
                <w:sz w:val="18"/>
                <w:szCs w:val="18"/>
                <w:lang w:eastAsia="es-CO"/>
              </w:rPr>
              <w:t>.</w:t>
            </w:r>
            <w:r w:rsidRPr="00871D8D">
              <w:rPr>
                <w:rFonts w:ascii="Arial Narrow" w:hAnsi="Arial Narrow" w:cs="Calibri"/>
                <w:b/>
                <w:bCs/>
                <w:color w:val="FFFFFF"/>
                <w:spacing w:val="0"/>
                <w:sz w:val="18"/>
                <w:szCs w:val="18"/>
                <w:lang w:eastAsia="es-CO"/>
              </w:rPr>
              <w:t>000</w:t>
            </w:r>
            <w:r w:rsidR="003C462E" w:rsidRPr="00871D8D">
              <w:rPr>
                <w:rFonts w:ascii="Arial Narrow" w:hAnsi="Arial Narrow" w:cs="Calibri"/>
                <w:b/>
                <w:bCs/>
                <w:color w:val="FFFFFF"/>
                <w:spacing w:val="0"/>
                <w:sz w:val="18"/>
                <w:szCs w:val="18"/>
                <w:lang w:eastAsia="es-CO"/>
              </w:rPr>
              <w:t>.</w:t>
            </w:r>
            <w:r w:rsidRPr="00871D8D">
              <w:rPr>
                <w:rFonts w:ascii="Arial Narrow" w:hAnsi="Arial Narrow" w:cs="Calibri"/>
                <w:b/>
                <w:bCs/>
                <w:color w:val="FFFFFF"/>
                <w:spacing w:val="0"/>
                <w:sz w:val="18"/>
                <w:szCs w:val="18"/>
                <w:lang w:eastAsia="es-CO"/>
              </w:rPr>
              <w:t>000</w:t>
            </w:r>
          </w:p>
        </w:tc>
      </w:tr>
      <w:tr w:rsidR="00A902AB" w:rsidRPr="00871D8D" w14:paraId="4F43F662" w14:textId="77777777" w:rsidTr="00871D8D">
        <w:trPr>
          <w:trHeight w:val="360"/>
          <w:jc w:val="right"/>
        </w:trPr>
        <w:tc>
          <w:tcPr>
            <w:tcW w:w="1140" w:type="dxa"/>
            <w:tcBorders>
              <w:top w:val="nil"/>
              <w:left w:val="single" w:sz="8" w:space="0" w:color="0070C0"/>
              <w:bottom w:val="single" w:sz="8" w:space="0" w:color="0070C0"/>
              <w:right w:val="single" w:sz="8" w:space="0" w:color="0070C0"/>
            </w:tcBorders>
            <w:shd w:val="clear" w:color="auto" w:fill="auto"/>
            <w:noWrap/>
            <w:vAlign w:val="center"/>
            <w:hideMark/>
          </w:tcPr>
          <w:p w14:paraId="1DAEA255" w14:textId="77777777" w:rsidR="00A902AB" w:rsidRPr="00871D8D" w:rsidRDefault="00A902AB" w:rsidP="00A902AB">
            <w:pPr>
              <w:jc w:val="center"/>
              <w:rPr>
                <w:rFonts w:ascii="Arial Narrow" w:hAnsi="Arial Narrow" w:cs="Calibri"/>
                <w:color w:val="000000"/>
                <w:spacing w:val="0"/>
                <w:sz w:val="18"/>
                <w:szCs w:val="18"/>
                <w:lang w:eastAsia="es-CO"/>
              </w:rPr>
            </w:pPr>
            <w:r w:rsidRPr="00871D8D">
              <w:rPr>
                <w:rFonts w:ascii="Arial Narrow" w:hAnsi="Arial Narrow" w:cs="Calibri"/>
                <w:color w:val="000000"/>
                <w:spacing w:val="0"/>
                <w:sz w:val="18"/>
                <w:szCs w:val="18"/>
                <w:lang w:eastAsia="es-CO"/>
              </w:rPr>
              <w:t>2199-1900-4</w:t>
            </w:r>
          </w:p>
        </w:tc>
        <w:tc>
          <w:tcPr>
            <w:tcW w:w="960" w:type="dxa"/>
            <w:tcBorders>
              <w:top w:val="nil"/>
              <w:left w:val="nil"/>
              <w:bottom w:val="single" w:sz="8" w:space="0" w:color="0070C0"/>
              <w:right w:val="single" w:sz="8" w:space="0" w:color="0070C0"/>
            </w:tcBorders>
            <w:shd w:val="clear" w:color="auto" w:fill="auto"/>
            <w:noWrap/>
            <w:vAlign w:val="center"/>
            <w:hideMark/>
          </w:tcPr>
          <w:p w14:paraId="4F964FE6" w14:textId="77777777" w:rsidR="00A902AB" w:rsidRPr="00871D8D" w:rsidRDefault="00A902AB" w:rsidP="00A902AB">
            <w:pPr>
              <w:jc w:val="center"/>
              <w:rPr>
                <w:rFonts w:ascii="Arial Narrow" w:hAnsi="Arial Narrow" w:cs="Calibri"/>
                <w:color w:val="000000"/>
                <w:spacing w:val="0"/>
                <w:sz w:val="18"/>
                <w:szCs w:val="18"/>
                <w:lang w:eastAsia="es-CO"/>
              </w:rPr>
            </w:pPr>
            <w:r w:rsidRPr="00871D8D">
              <w:rPr>
                <w:rFonts w:ascii="Arial Narrow" w:hAnsi="Arial Narrow" w:cs="Calibri"/>
                <w:color w:val="000000"/>
                <w:spacing w:val="0"/>
                <w:sz w:val="18"/>
                <w:szCs w:val="18"/>
                <w:lang w:eastAsia="es-CO"/>
              </w:rPr>
              <w:t>16</w:t>
            </w:r>
          </w:p>
        </w:tc>
        <w:tc>
          <w:tcPr>
            <w:tcW w:w="5261" w:type="dxa"/>
            <w:tcBorders>
              <w:top w:val="nil"/>
              <w:left w:val="nil"/>
              <w:bottom w:val="single" w:sz="8" w:space="0" w:color="0070C0"/>
              <w:right w:val="single" w:sz="8" w:space="0" w:color="0070C0"/>
            </w:tcBorders>
            <w:shd w:val="clear" w:color="auto" w:fill="auto"/>
            <w:vAlign w:val="center"/>
            <w:hideMark/>
          </w:tcPr>
          <w:p w14:paraId="54840D29" w14:textId="77777777" w:rsidR="00A902AB" w:rsidRPr="00871D8D" w:rsidRDefault="00A902AB" w:rsidP="00A902AB">
            <w:pPr>
              <w:jc w:val="left"/>
              <w:rPr>
                <w:rFonts w:ascii="Arial Narrow" w:hAnsi="Arial Narrow" w:cs="Calibri"/>
                <w:color w:val="000000"/>
                <w:spacing w:val="0"/>
                <w:sz w:val="18"/>
                <w:szCs w:val="18"/>
                <w:lang w:eastAsia="es-CO"/>
              </w:rPr>
            </w:pPr>
            <w:r w:rsidRPr="00871D8D">
              <w:rPr>
                <w:rFonts w:ascii="Arial Narrow" w:hAnsi="Arial Narrow" w:cs="Calibri"/>
                <w:color w:val="000000"/>
                <w:spacing w:val="0"/>
                <w:sz w:val="18"/>
                <w:szCs w:val="18"/>
                <w:lang w:eastAsia="es-CO"/>
              </w:rPr>
              <w:t>MEJORAMIENTO Y MODERNIZACION DE LAS TIC´S DE LA CREG A NIVEL NACIONAL.</w:t>
            </w:r>
          </w:p>
        </w:tc>
        <w:tc>
          <w:tcPr>
            <w:tcW w:w="1418" w:type="dxa"/>
            <w:tcBorders>
              <w:top w:val="nil"/>
              <w:left w:val="nil"/>
              <w:bottom w:val="single" w:sz="8" w:space="0" w:color="0070C0"/>
              <w:right w:val="single" w:sz="8" w:space="0" w:color="0070C0"/>
            </w:tcBorders>
            <w:shd w:val="clear" w:color="auto" w:fill="auto"/>
            <w:noWrap/>
            <w:vAlign w:val="center"/>
            <w:hideMark/>
          </w:tcPr>
          <w:p w14:paraId="68F9B93B" w14:textId="55BAD835" w:rsidR="00A902AB" w:rsidRPr="00871D8D" w:rsidRDefault="00A902AB" w:rsidP="00A902AB">
            <w:pPr>
              <w:jc w:val="right"/>
              <w:rPr>
                <w:rFonts w:ascii="Arial Narrow" w:hAnsi="Arial Narrow" w:cs="Calibri"/>
                <w:color w:val="000000"/>
                <w:spacing w:val="0"/>
                <w:sz w:val="18"/>
                <w:szCs w:val="18"/>
                <w:lang w:eastAsia="es-CO"/>
              </w:rPr>
            </w:pPr>
            <w:r w:rsidRPr="00871D8D">
              <w:rPr>
                <w:rFonts w:ascii="Arial Narrow" w:hAnsi="Arial Narrow" w:cs="Calibri"/>
                <w:color w:val="000000"/>
                <w:spacing w:val="0"/>
                <w:sz w:val="18"/>
                <w:szCs w:val="18"/>
                <w:lang w:eastAsia="es-CO"/>
              </w:rPr>
              <w:t>$ 2</w:t>
            </w:r>
            <w:r w:rsidR="003C462E" w:rsidRPr="00871D8D">
              <w:rPr>
                <w:rFonts w:ascii="Arial Narrow" w:hAnsi="Arial Narrow" w:cs="Calibri"/>
                <w:color w:val="000000"/>
                <w:spacing w:val="0"/>
                <w:sz w:val="18"/>
                <w:szCs w:val="18"/>
                <w:lang w:eastAsia="es-CO"/>
              </w:rPr>
              <w:t>.</w:t>
            </w:r>
            <w:r w:rsidRPr="00871D8D">
              <w:rPr>
                <w:rFonts w:ascii="Arial Narrow" w:hAnsi="Arial Narrow" w:cs="Calibri"/>
                <w:color w:val="000000"/>
                <w:spacing w:val="0"/>
                <w:sz w:val="18"/>
                <w:szCs w:val="18"/>
                <w:lang w:eastAsia="es-CO"/>
              </w:rPr>
              <w:t>732</w:t>
            </w:r>
            <w:r w:rsidR="003C462E" w:rsidRPr="00871D8D">
              <w:rPr>
                <w:rFonts w:ascii="Arial Narrow" w:hAnsi="Arial Narrow" w:cs="Calibri"/>
                <w:color w:val="000000"/>
                <w:spacing w:val="0"/>
                <w:sz w:val="18"/>
                <w:szCs w:val="18"/>
                <w:lang w:eastAsia="es-CO"/>
              </w:rPr>
              <w:t>.</w:t>
            </w:r>
            <w:r w:rsidRPr="00871D8D">
              <w:rPr>
                <w:rFonts w:ascii="Arial Narrow" w:hAnsi="Arial Narrow" w:cs="Calibri"/>
                <w:color w:val="000000"/>
                <w:spacing w:val="0"/>
                <w:sz w:val="18"/>
                <w:szCs w:val="18"/>
                <w:lang w:eastAsia="es-CO"/>
              </w:rPr>
              <w:t>266</w:t>
            </w:r>
            <w:r w:rsidR="003C462E" w:rsidRPr="00871D8D">
              <w:rPr>
                <w:rFonts w:ascii="Arial Narrow" w:hAnsi="Arial Narrow" w:cs="Calibri"/>
                <w:color w:val="000000"/>
                <w:spacing w:val="0"/>
                <w:sz w:val="18"/>
                <w:szCs w:val="18"/>
                <w:lang w:eastAsia="es-CO"/>
              </w:rPr>
              <w:t>.</w:t>
            </w:r>
            <w:r w:rsidRPr="00871D8D">
              <w:rPr>
                <w:rFonts w:ascii="Arial Narrow" w:hAnsi="Arial Narrow" w:cs="Calibri"/>
                <w:color w:val="000000"/>
                <w:spacing w:val="0"/>
                <w:sz w:val="18"/>
                <w:szCs w:val="18"/>
                <w:lang w:eastAsia="es-CO"/>
              </w:rPr>
              <w:t>667</w:t>
            </w:r>
          </w:p>
        </w:tc>
      </w:tr>
      <w:tr w:rsidR="00A902AB" w:rsidRPr="00871D8D" w14:paraId="33CC9C91" w14:textId="77777777" w:rsidTr="00871D8D">
        <w:trPr>
          <w:trHeight w:val="530"/>
          <w:jc w:val="right"/>
        </w:trPr>
        <w:tc>
          <w:tcPr>
            <w:tcW w:w="1140" w:type="dxa"/>
            <w:tcBorders>
              <w:top w:val="nil"/>
              <w:left w:val="single" w:sz="8" w:space="0" w:color="0070C0"/>
              <w:bottom w:val="single" w:sz="8" w:space="0" w:color="0070C0"/>
              <w:right w:val="single" w:sz="8" w:space="0" w:color="0070C0"/>
            </w:tcBorders>
            <w:shd w:val="clear" w:color="auto" w:fill="auto"/>
            <w:noWrap/>
            <w:vAlign w:val="center"/>
            <w:hideMark/>
          </w:tcPr>
          <w:p w14:paraId="7D4FE14B" w14:textId="77777777" w:rsidR="00A902AB" w:rsidRPr="00871D8D" w:rsidRDefault="00A902AB" w:rsidP="00A902AB">
            <w:pPr>
              <w:jc w:val="center"/>
              <w:rPr>
                <w:rFonts w:ascii="Arial Narrow" w:hAnsi="Arial Narrow" w:cs="Calibri"/>
                <w:color w:val="000000"/>
                <w:spacing w:val="0"/>
                <w:sz w:val="18"/>
                <w:szCs w:val="18"/>
                <w:lang w:eastAsia="es-CO"/>
              </w:rPr>
            </w:pPr>
            <w:r w:rsidRPr="00871D8D">
              <w:rPr>
                <w:rFonts w:ascii="Arial Narrow" w:hAnsi="Arial Narrow" w:cs="Calibri"/>
                <w:color w:val="000000"/>
                <w:spacing w:val="0"/>
                <w:sz w:val="18"/>
                <w:szCs w:val="18"/>
                <w:lang w:eastAsia="es-CO"/>
              </w:rPr>
              <w:t>2199-1900-3</w:t>
            </w:r>
          </w:p>
        </w:tc>
        <w:tc>
          <w:tcPr>
            <w:tcW w:w="960" w:type="dxa"/>
            <w:tcBorders>
              <w:top w:val="nil"/>
              <w:left w:val="nil"/>
              <w:bottom w:val="single" w:sz="8" w:space="0" w:color="0070C0"/>
              <w:right w:val="single" w:sz="8" w:space="0" w:color="0070C0"/>
            </w:tcBorders>
            <w:shd w:val="clear" w:color="auto" w:fill="auto"/>
            <w:noWrap/>
            <w:vAlign w:val="center"/>
            <w:hideMark/>
          </w:tcPr>
          <w:p w14:paraId="7C82F653" w14:textId="77777777" w:rsidR="00A902AB" w:rsidRPr="00871D8D" w:rsidRDefault="00A902AB" w:rsidP="00A902AB">
            <w:pPr>
              <w:jc w:val="center"/>
              <w:rPr>
                <w:rFonts w:ascii="Arial Narrow" w:hAnsi="Arial Narrow" w:cs="Calibri"/>
                <w:color w:val="000000"/>
                <w:spacing w:val="0"/>
                <w:sz w:val="18"/>
                <w:szCs w:val="18"/>
                <w:lang w:eastAsia="es-CO"/>
              </w:rPr>
            </w:pPr>
            <w:r w:rsidRPr="00871D8D">
              <w:rPr>
                <w:rFonts w:ascii="Arial Narrow" w:hAnsi="Arial Narrow" w:cs="Calibri"/>
                <w:color w:val="000000"/>
                <w:spacing w:val="0"/>
                <w:sz w:val="18"/>
                <w:szCs w:val="18"/>
                <w:lang w:eastAsia="es-CO"/>
              </w:rPr>
              <w:t>16</w:t>
            </w:r>
          </w:p>
        </w:tc>
        <w:tc>
          <w:tcPr>
            <w:tcW w:w="5261" w:type="dxa"/>
            <w:tcBorders>
              <w:top w:val="nil"/>
              <w:left w:val="nil"/>
              <w:bottom w:val="single" w:sz="8" w:space="0" w:color="0070C0"/>
              <w:right w:val="single" w:sz="8" w:space="0" w:color="0070C0"/>
            </w:tcBorders>
            <w:shd w:val="clear" w:color="auto" w:fill="auto"/>
            <w:vAlign w:val="center"/>
            <w:hideMark/>
          </w:tcPr>
          <w:p w14:paraId="4730C690" w14:textId="77777777" w:rsidR="00A902AB" w:rsidRPr="00871D8D" w:rsidRDefault="00A902AB" w:rsidP="00A902AB">
            <w:pPr>
              <w:jc w:val="left"/>
              <w:rPr>
                <w:rFonts w:ascii="Arial Narrow" w:hAnsi="Arial Narrow" w:cs="Calibri"/>
                <w:color w:val="000000"/>
                <w:spacing w:val="0"/>
                <w:sz w:val="18"/>
                <w:szCs w:val="18"/>
                <w:lang w:eastAsia="es-CO"/>
              </w:rPr>
            </w:pPr>
            <w:r w:rsidRPr="00871D8D">
              <w:rPr>
                <w:rFonts w:ascii="Arial Narrow" w:hAnsi="Arial Narrow" w:cs="Calibri"/>
                <w:color w:val="000000"/>
                <w:spacing w:val="0"/>
                <w:sz w:val="18"/>
                <w:szCs w:val="18"/>
                <w:lang w:eastAsia="es-CO"/>
              </w:rPr>
              <w:t xml:space="preserve">FORTALECIMIENTO INSTITUCIONAL A PARTIR DEL APRENDIZAJE ORGANIZACIONAL A NIVEL NACIONAL. </w:t>
            </w:r>
          </w:p>
        </w:tc>
        <w:tc>
          <w:tcPr>
            <w:tcW w:w="1418" w:type="dxa"/>
            <w:tcBorders>
              <w:top w:val="nil"/>
              <w:left w:val="nil"/>
              <w:bottom w:val="single" w:sz="8" w:space="0" w:color="0070C0"/>
              <w:right w:val="single" w:sz="8" w:space="0" w:color="0070C0"/>
            </w:tcBorders>
            <w:shd w:val="clear" w:color="auto" w:fill="auto"/>
            <w:noWrap/>
            <w:vAlign w:val="center"/>
            <w:hideMark/>
          </w:tcPr>
          <w:p w14:paraId="353E5842" w14:textId="53CB3A7B" w:rsidR="00A902AB" w:rsidRPr="00871D8D" w:rsidRDefault="00A902AB" w:rsidP="00A902AB">
            <w:pPr>
              <w:jc w:val="right"/>
              <w:rPr>
                <w:rFonts w:ascii="Arial Narrow" w:hAnsi="Arial Narrow" w:cs="Calibri"/>
                <w:color w:val="000000"/>
                <w:spacing w:val="0"/>
                <w:sz w:val="18"/>
                <w:szCs w:val="18"/>
                <w:lang w:eastAsia="es-CO"/>
              </w:rPr>
            </w:pPr>
            <w:r w:rsidRPr="00871D8D">
              <w:rPr>
                <w:rFonts w:ascii="Arial Narrow" w:hAnsi="Arial Narrow" w:cs="Calibri"/>
                <w:color w:val="000000"/>
                <w:spacing w:val="0"/>
                <w:sz w:val="18"/>
                <w:szCs w:val="18"/>
                <w:lang w:eastAsia="es-CO"/>
              </w:rPr>
              <w:t>$ 240</w:t>
            </w:r>
            <w:r w:rsidR="003C462E" w:rsidRPr="00871D8D">
              <w:rPr>
                <w:rFonts w:ascii="Arial Narrow" w:hAnsi="Arial Narrow" w:cs="Calibri"/>
                <w:color w:val="000000"/>
                <w:spacing w:val="0"/>
                <w:sz w:val="18"/>
                <w:szCs w:val="18"/>
                <w:lang w:eastAsia="es-CO"/>
              </w:rPr>
              <w:t>.</w:t>
            </w:r>
            <w:r w:rsidRPr="00871D8D">
              <w:rPr>
                <w:rFonts w:ascii="Arial Narrow" w:hAnsi="Arial Narrow" w:cs="Calibri"/>
                <w:color w:val="000000"/>
                <w:spacing w:val="0"/>
                <w:sz w:val="18"/>
                <w:szCs w:val="18"/>
                <w:lang w:eastAsia="es-CO"/>
              </w:rPr>
              <w:t>366</w:t>
            </w:r>
            <w:r w:rsidR="003C462E" w:rsidRPr="00871D8D">
              <w:rPr>
                <w:rFonts w:ascii="Arial Narrow" w:hAnsi="Arial Narrow" w:cs="Calibri"/>
                <w:color w:val="000000"/>
                <w:spacing w:val="0"/>
                <w:sz w:val="18"/>
                <w:szCs w:val="18"/>
                <w:lang w:eastAsia="es-CO"/>
              </w:rPr>
              <w:t>.</w:t>
            </w:r>
            <w:r w:rsidRPr="00871D8D">
              <w:rPr>
                <w:rFonts w:ascii="Arial Narrow" w:hAnsi="Arial Narrow" w:cs="Calibri"/>
                <w:color w:val="000000"/>
                <w:spacing w:val="0"/>
                <w:sz w:val="18"/>
                <w:szCs w:val="18"/>
                <w:lang w:eastAsia="es-CO"/>
              </w:rPr>
              <w:t>667</w:t>
            </w:r>
          </w:p>
        </w:tc>
      </w:tr>
      <w:tr w:rsidR="00A902AB" w:rsidRPr="00871D8D" w14:paraId="7DD5B005" w14:textId="77777777" w:rsidTr="00871D8D">
        <w:trPr>
          <w:trHeight w:val="790"/>
          <w:jc w:val="right"/>
        </w:trPr>
        <w:tc>
          <w:tcPr>
            <w:tcW w:w="1140" w:type="dxa"/>
            <w:tcBorders>
              <w:top w:val="nil"/>
              <w:left w:val="single" w:sz="8" w:space="0" w:color="0070C0"/>
              <w:bottom w:val="single" w:sz="8" w:space="0" w:color="0070C0"/>
              <w:right w:val="single" w:sz="8" w:space="0" w:color="0070C0"/>
            </w:tcBorders>
            <w:shd w:val="clear" w:color="auto" w:fill="auto"/>
            <w:noWrap/>
            <w:vAlign w:val="center"/>
            <w:hideMark/>
          </w:tcPr>
          <w:p w14:paraId="4B9F302E" w14:textId="77777777" w:rsidR="00A902AB" w:rsidRPr="00871D8D" w:rsidRDefault="00A902AB" w:rsidP="00A902AB">
            <w:pPr>
              <w:jc w:val="center"/>
              <w:rPr>
                <w:rFonts w:ascii="Arial Narrow" w:hAnsi="Arial Narrow" w:cs="Calibri"/>
                <w:color w:val="000000"/>
                <w:spacing w:val="0"/>
                <w:sz w:val="18"/>
                <w:szCs w:val="18"/>
                <w:lang w:eastAsia="es-CO"/>
              </w:rPr>
            </w:pPr>
            <w:r w:rsidRPr="00871D8D">
              <w:rPr>
                <w:rFonts w:ascii="Arial Narrow" w:hAnsi="Arial Narrow" w:cs="Calibri"/>
                <w:color w:val="000000"/>
                <w:spacing w:val="0"/>
                <w:sz w:val="18"/>
                <w:szCs w:val="18"/>
                <w:lang w:eastAsia="es-CO"/>
              </w:rPr>
              <w:t>2106-1900-6</w:t>
            </w:r>
          </w:p>
        </w:tc>
        <w:tc>
          <w:tcPr>
            <w:tcW w:w="960" w:type="dxa"/>
            <w:tcBorders>
              <w:top w:val="nil"/>
              <w:left w:val="nil"/>
              <w:bottom w:val="single" w:sz="8" w:space="0" w:color="0070C0"/>
              <w:right w:val="single" w:sz="8" w:space="0" w:color="0070C0"/>
            </w:tcBorders>
            <w:shd w:val="clear" w:color="auto" w:fill="auto"/>
            <w:noWrap/>
            <w:vAlign w:val="center"/>
            <w:hideMark/>
          </w:tcPr>
          <w:p w14:paraId="350835D2" w14:textId="77777777" w:rsidR="00A902AB" w:rsidRPr="00871D8D" w:rsidRDefault="00A902AB" w:rsidP="00A902AB">
            <w:pPr>
              <w:jc w:val="center"/>
              <w:rPr>
                <w:rFonts w:ascii="Arial Narrow" w:hAnsi="Arial Narrow" w:cs="Calibri"/>
                <w:color w:val="000000"/>
                <w:spacing w:val="0"/>
                <w:sz w:val="18"/>
                <w:szCs w:val="18"/>
                <w:lang w:eastAsia="es-CO"/>
              </w:rPr>
            </w:pPr>
            <w:r w:rsidRPr="00871D8D">
              <w:rPr>
                <w:rFonts w:ascii="Arial Narrow" w:hAnsi="Arial Narrow" w:cs="Calibri"/>
                <w:color w:val="000000"/>
                <w:spacing w:val="0"/>
                <w:sz w:val="18"/>
                <w:szCs w:val="18"/>
                <w:lang w:eastAsia="es-CO"/>
              </w:rPr>
              <w:t>16</w:t>
            </w:r>
          </w:p>
        </w:tc>
        <w:tc>
          <w:tcPr>
            <w:tcW w:w="5261" w:type="dxa"/>
            <w:tcBorders>
              <w:top w:val="nil"/>
              <w:left w:val="nil"/>
              <w:bottom w:val="single" w:sz="8" w:space="0" w:color="0070C0"/>
              <w:right w:val="single" w:sz="8" w:space="0" w:color="0070C0"/>
            </w:tcBorders>
            <w:shd w:val="clear" w:color="auto" w:fill="auto"/>
            <w:vAlign w:val="center"/>
            <w:hideMark/>
          </w:tcPr>
          <w:p w14:paraId="17057C5A" w14:textId="77777777" w:rsidR="00A902AB" w:rsidRPr="00871D8D" w:rsidRDefault="00A902AB" w:rsidP="00A902AB">
            <w:pPr>
              <w:jc w:val="left"/>
              <w:rPr>
                <w:rFonts w:ascii="Arial Narrow" w:hAnsi="Arial Narrow" w:cs="Calibri"/>
                <w:color w:val="000000"/>
                <w:spacing w:val="0"/>
                <w:sz w:val="18"/>
                <w:szCs w:val="18"/>
                <w:lang w:eastAsia="es-CO"/>
              </w:rPr>
            </w:pPr>
            <w:r w:rsidRPr="00871D8D">
              <w:rPr>
                <w:rFonts w:ascii="Arial Narrow" w:hAnsi="Arial Narrow" w:cs="Calibri"/>
                <w:color w:val="000000"/>
                <w:spacing w:val="0"/>
                <w:sz w:val="18"/>
                <w:szCs w:val="18"/>
                <w:lang w:eastAsia="es-CO"/>
              </w:rPr>
              <w:t>ESTUDIOS Y ANÁLISIS PARA LA ADOPCIÓN DE MEDIDAS REGULATORIAS REQUERIDAS POR LOS SECTORES DE ENERGÍA ELÉCTRICA, GAS COMBUSTIBLE Y COMBUSTIBLES LÍQUIDOS A NIVEL NACIONAL.</w:t>
            </w:r>
          </w:p>
        </w:tc>
        <w:tc>
          <w:tcPr>
            <w:tcW w:w="1418" w:type="dxa"/>
            <w:tcBorders>
              <w:top w:val="nil"/>
              <w:left w:val="nil"/>
              <w:bottom w:val="single" w:sz="8" w:space="0" w:color="0070C0"/>
              <w:right w:val="single" w:sz="8" w:space="0" w:color="0070C0"/>
            </w:tcBorders>
            <w:shd w:val="clear" w:color="auto" w:fill="auto"/>
            <w:noWrap/>
            <w:vAlign w:val="center"/>
            <w:hideMark/>
          </w:tcPr>
          <w:p w14:paraId="488051FA" w14:textId="4ED6082E" w:rsidR="00A902AB" w:rsidRPr="00871D8D" w:rsidRDefault="00A902AB" w:rsidP="00A902AB">
            <w:pPr>
              <w:jc w:val="right"/>
              <w:rPr>
                <w:rFonts w:ascii="Arial Narrow" w:hAnsi="Arial Narrow" w:cs="Calibri"/>
                <w:color w:val="000000"/>
                <w:spacing w:val="0"/>
                <w:sz w:val="18"/>
                <w:szCs w:val="18"/>
                <w:lang w:eastAsia="es-CO"/>
              </w:rPr>
            </w:pPr>
            <w:r w:rsidRPr="00871D8D">
              <w:rPr>
                <w:rFonts w:ascii="Arial Narrow" w:hAnsi="Arial Narrow" w:cs="Calibri"/>
                <w:color w:val="000000"/>
                <w:spacing w:val="0"/>
                <w:sz w:val="18"/>
                <w:szCs w:val="18"/>
                <w:lang w:eastAsia="es-CO"/>
              </w:rPr>
              <w:t>$ 9</w:t>
            </w:r>
            <w:r w:rsidR="003C462E" w:rsidRPr="00871D8D">
              <w:rPr>
                <w:rFonts w:ascii="Arial Narrow" w:hAnsi="Arial Narrow" w:cs="Calibri"/>
                <w:color w:val="000000"/>
                <w:spacing w:val="0"/>
                <w:sz w:val="18"/>
                <w:szCs w:val="18"/>
                <w:lang w:eastAsia="es-CO"/>
              </w:rPr>
              <w:t>.</w:t>
            </w:r>
            <w:r w:rsidRPr="00871D8D">
              <w:rPr>
                <w:rFonts w:ascii="Arial Narrow" w:hAnsi="Arial Narrow" w:cs="Calibri"/>
                <w:color w:val="000000"/>
                <w:spacing w:val="0"/>
                <w:sz w:val="18"/>
                <w:szCs w:val="18"/>
                <w:lang w:eastAsia="es-CO"/>
              </w:rPr>
              <w:t>867</w:t>
            </w:r>
            <w:r w:rsidR="003C462E" w:rsidRPr="00871D8D">
              <w:rPr>
                <w:rFonts w:ascii="Arial Narrow" w:hAnsi="Arial Narrow" w:cs="Calibri"/>
                <w:color w:val="000000"/>
                <w:spacing w:val="0"/>
                <w:sz w:val="18"/>
                <w:szCs w:val="18"/>
                <w:lang w:eastAsia="es-CO"/>
              </w:rPr>
              <w:t>.</w:t>
            </w:r>
            <w:r w:rsidRPr="00871D8D">
              <w:rPr>
                <w:rFonts w:ascii="Arial Narrow" w:hAnsi="Arial Narrow" w:cs="Calibri"/>
                <w:color w:val="000000"/>
                <w:spacing w:val="0"/>
                <w:sz w:val="18"/>
                <w:szCs w:val="18"/>
                <w:lang w:eastAsia="es-CO"/>
              </w:rPr>
              <w:t>000</w:t>
            </w:r>
            <w:r w:rsidR="003C462E" w:rsidRPr="00871D8D">
              <w:rPr>
                <w:rFonts w:ascii="Arial Narrow" w:hAnsi="Arial Narrow" w:cs="Calibri"/>
                <w:color w:val="000000"/>
                <w:spacing w:val="0"/>
                <w:sz w:val="18"/>
                <w:szCs w:val="18"/>
                <w:lang w:eastAsia="es-CO"/>
              </w:rPr>
              <w:t>.</w:t>
            </w:r>
            <w:r w:rsidRPr="00871D8D">
              <w:rPr>
                <w:rFonts w:ascii="Arial Narrow" w:hAnsi="Arial Narrow" w:cs="Calibri"/>
                <w:color w:val="000000"/>
                <w:spacing w:val="0"/>
                <w:sz w:val="18"/>
                <w:szCs w:val="18"/>
                <w:lang w:eastAsia="es-CO"/>
              </w:rPr>
              <w:t>000</w:t>
            </w:r>
          </w:p>
        </w:tc>
      </w:tr>
      <w:tr w:rsidR="00A902AB" w:rsidRPr="00871D8D" w14:paraId="2CAF157E" w14:textId="77777777" w:rsidTr="00871D8D">
        <w:trPr>
          <w:trHeight w:val="300"/>
          <w:jc w:val="right"/>
        </w:trPr>
        <w:tc>
          <w:tcPr>
            <w:tcW w:w="1140" w:type="dxa"/>
            <w:tcBorders>
              <w:top w:val="nil"/>
              <w:left w:val="single" w:sz="8" w:space="0" w:color="0070C0"/>
              <w:bottom w:val="single" w:sz="8" w:space="0" w:color="0070C0"/>
              <w:right w:val="single" w:sz="8" w:space="0" w:color="0070C0"/>
            </w:tcBorders>
            <w:shd w:val="clear" w:color="auto" w:fill="auto"/>
            <w:noWrap/>
            <w:vAlign w:val="center"/>
            <w:hideMark/>
          </w:tcPr>
          <w:p w14:paraId="09CEA59B" w14:textId="77777777" w:rsidR="00A902AB" w:rsidRPr="00871D8D" w:rsidRDefault="00A902AB" w:rsidP="00A902AB">
            <w:pPr>
              <w:jc w:val="center"/>
              <w:rPr>
                <w:rFonts w:ascii="Arial Narrow" w:hAnsi="Arial Narrow" w:cs="Calibri"/>
                <w:color w:val="000000"/>
                <w:spacing w:val="0"/>
                <w:sz w:val="18"/>
                <w:szCs w:val="18"/>
                <w:lang w:eastAsia="es-CO"/>
              </w:rPr>
            </w:pPr>
            <w:r w:rsidRPr="00871D8D">
              <w:rPr>
                <w:rFonts w:ascii="Arial Narrow" w:hAnsi="Arial Narrow" w:cs="Calibri"/>
                <w:color w:val="000000"/>
                <w:spacing w:val="0"/>
                <w:sz w:val="18"/>
                <w:szCs w:val="18"/>
                <w:lang w:eastAsia="es-CO"/>
              </w:rPr>
              <w:t>2106-1900-4</w:t>
            </w:r>
          </w:p>
        </w:tc>
        <w:tc>
          <w:tcPr>
            <w:tcW w:w="960" w:type="dxa"/>
            <w:tcBorders>
              <w:top w:val="nil"/>
              <w:left w:val="nil"/>
              <w:bottom w:val="single" w:sz="8" w:space="0" w:color="0070C0"/>
              <w:right w:val="single" w:sz="8" w:space="0" w:color="0070C0"/>
            </w:tcBorders>
            <w:shd w:val="clear" w:color="auto" w:fill="auto"/>
            <w:noWrap/>
            <w:vAlign w:val="center"/>
            <w:hideMark/>
          </w:tcPr>
          <w:p w14:paraId="57B3F377" w14:textId="77777777" w:rsidR="00A902AB" w:rsidRPr="00871D8D" w:rsidRDefault="00A902AB" w:rsidP="00A902AB">
            <w:pPr>
              <w:jc w:val="center"/>
              <w:rPr>
                <w:rFonts w:ascii="Arial Narrow" w:hAnsi="Arial Narrow" w:cs="Calibri"/>
                <w:color w:val="000000"/>
                <w:spacing w:val="0"/>
                <w:sz w:val="18"/>
                <w:szCs w:val="18"/>
                <w:lang w:eastAsia="es-CO"/>
              </w:rPr>
            </w:pPr>
            <w:r w:rsidRPr="00871D8D">
              <w:rPr>
                <w:rFonts w:ascii="Arial Narrow" w:hAnsi="Arial Narrow" w:cs="Calibri"/>
                <w:color w:val="000000"/>
                <w:spacing w:val="0"/>
                <w:sz w:val="18"/>
                <w:szCs w:val="18"/>
                <w:lang w:eastAsia="es-CO"/>
              </w:rPr>
              <w:t>16</w:t>
            </w:r>
          </w:p>
        </w:tc>
        <w:tc>
          <w:tcPr>
            <w:tcW w:w="5261" w:type="dxa"/>
            <w:tcBorders>
              <w:top w:val="nil"/>
              <w:left w:val="nil"/>
              <w:bottom w:val="single" w:sz="8" w:space="0" w:color="0070C0"/>
              <w:right w:val="single" w:sz="8" w:space="0" w:color="0070C0"/>
            </w:tcBorders>
            <w:shd w:val="clear" w:color="auto" w:fill="auto"/>
            <w:vAlign w:val="center"/>
            <w:hideMark/>
          </w:tcPr>
          <w:p w14:paraId="2D8FF300" w14:textId="77777777" w:rsidR="00A902AB" w:rsidRPr="00871D8D" w:rsidRDefault="00A902AB" w:rsidP="00A902AB">
            <w:pPr>
              <w:jc w:val="left"/>
              <w:rPr>
                <w:rFonts w:ascii="Arial Narrow" w:hAnsi="Arial Narrow" w:cs="Calibri"/>
                <w:color w:val="000000"/>
                <w:spacing w:val="0"/>
                <w:sz w:val="18"/>
                <w:szCs w:val="18"/>
                <w:lang w:eastAsia="es-CO"/>
              </w:rPr>
            </w:pPr>
            <w:r w:rsidRPr="00871D8D">
              <w:rPr>
                <w:rFonts w:ascii="Arial Narrow" w:hAnsi="Arial Narrow" w:cs="Calibri"/>
                <w:color w:val="000000"/>
                <w:spacing w:val="0"/>
                <w:sz w:val="18"/>
                <w:szCs w:val="18"/>
                <w:lang w:eastAsia="es-CO"/>
              </w:rPr>
              <w:t>DIVULGACION DE LA REGULACION A LA CIUDADANIA A NIVEL NACIONAL.</w:t>
            </w:r>
          </w:p>
        </w:tc>
        <w:tc>
          <w:tcPr>
            <w:tcW w:w="1418" w:type="dxa"/>
            <w:tcBorders>
              <w:top w:val="nil"/>
              <w:left w:val="nil"/>
              <w:bottom w:val="single" w:sz="8" w:space="0" w:color="0070C0"/>
              <w:right w:val="single" w:sz="8" w:space="0" w:color="0070C0"/>
            </w:tcBorders>
            <w:shd w:val="clear" w:color="auto" w:fill="auto"/>
            <w:noWrap/>
            <w:vAlign w:val="center"/>
            <w:hideMark/>
          </w:tcPr>
          <w:p w14:paraId="066A0784" w14:textId="5FD18266" w:rsidR="00A902AB" w:rsidRPr="00871D8D" w:rsidRDefault="00A902AB" w:rsidP="00A902AB">
            <w:pPr>
              <w:jc w:val="right"/>
              <w:rPr>
                <w:rFonts w:ascii="Arial Narrow" w:hAnsi="Arial Narrow" w:cs="Calibri"/>
                <w:color w:val="000000"/>
                <w:spacing w:val="0"/>
                <w:sz w:val="18"/>
                <w:szCs w:val="18"/>
                <w:lang w:eastAsia="es-CO"/>
              </w:rPr>
            </w:pPr>
            <w:r w:rsidRPr="00871D8D">
              <w:rPr>
                <w:rFonts w:ascii="Arial Narrow" w:hAnsi="Arial Narrow" w:cs="Calibri"/>
                <w:color w:val="000000"/>
                <w:spacing w:val="0"/>
                <w:sz w:val="18"/>
                <w:szCs w:val="18"/>
                <w:lang w:eastAsia="es-CO"/>
              </w:rPr>
              <w:t>$ 360</w:t>
            </w:r>
            <w:r w:rsidR="003C462E" w:rsidRPr="00871D8D">
              <w:rPr>
                <w:rFonts w:ascii="Arial Narrow" w:hAnsi="Arial Narrow" w:cs="Calibri"/>
                <w:color w:val="000000"/>
                <w:spacing w:val="0"/>
                <w:sz w:val="18"/>
                <w:szCs w:val="18"/>
                <w:lang w:eastAsia="es-CO"/>
              </w:rPr>
              <w:t>.</w:t>
            </w:r>
            <w:r w:rsidRPr="00871D8D">
              <w:rPr>
                <w:rFonts w:ascii="Arial Narrow" w:hAnsi="Arial Narrow" w:cs="Calibri"/>
                <w:color w:val="000000"/>
                <w:spacing w:val="0"/>
                <w:sz w:val="18"/>
                <w:szCs w:val="18"/>
                <w:lang w:eastAsia="es-CO"/>
              </w:rPr>
              <w:t>366</w:t>
            </w:r>
            <w:r w:rsidR="003C462E" w:rsidRPr="00871D8D">
              <w:rPr>
                <w:rFonts w:ascii="Arial Narrow" w:hAnsi="Arial Narrow" w:cs="Calibri"/>
                <w:color w:val="000000"/>
                <w:spacing w:val="0"/>
                <w:sz w:val="18"/>
                <w:szCs w:val="18"/>
                <w:lang w:eastAsia="es-CO"/>
              </w:rPr>
              <w:t>.</w:t>
            </w:r>
            <w:r w:rsidRPr="00871D8D">
              <w:rPr>
                <w:rFonts w:ascii="Arial Narrow" w:hAnsi="Arial Narrow" w:cs="Calibri"/>
                <w:color w:val="000000"/>
                <w:spacing w:val="0"/>
                <w:sz w:val="18"/>
                <w:szCs w:val="18"/>
                <w:lang w:eastAsia="es-CO"/>
              </w:rPr>
              <w:t>666</w:t>
            </w:r>
          </w:p>
        </w:tc>
      </w:tr>
      <w:tr w:rsidR="00A902AB" w:rsidRPr="00871D8D" w14:paraId="7E334480" w14:textId="77777777" w:rsidTr="00871D8D">
        <w:trPr>
          <w:trHeight w:val="300"/>
          <w:jc w:val="right"/>
        </w:trPr>
        <w:tc>
          <w:tcPr>
            <w:tcW w:w="7361" w:type="dxa"/>
            <w:gridSpan w:val="3"/>
            <w:tcBorders>
              <w:top w:val="single" w:sz="8" w:space="0" w:color="0070C0"/>
              <w:left w:val="single" w:sz="8" w:space="0" w:color="0070C0"/>
              <w:bottom w:val="single" w:sz="8" w:space="0" w:color="auto"/>
              <w:right w:val="single" w:sz="8" w:space="0" w:color="000000"/>
            </w:tcBorders>
            <w:shd w:val="clear" w:color="auto" w:fill="E7E6E6" w:themeFill="background2"/>
            <w:noWrap/>
            <w:vAlign w:val="center"/>
            <w:hideMark/>
          </w:tcPr>
          <w:p w14:paraId="53D841A3" w14:textId="77777777" w:rsidR="00A902AB" w:rsidRPr="00871D8D" w:rsidRDefault="00A902AB" w:rsidP="00A902AB">
            <w:pPr>
              <w:jc w:val="right"/>
              <w:rPr>
                <w:rFonts w:ascii="Arial Narrow" w:hAnsi="Arial Narrow" w:cs="Calibri"/>
                <w:b/>
                <w:bCs/>
                <w:color w:val="000000"/>
                <w:spacing w:val="0"/>
                <w:sz w:val="18"/>
                <w:szCs w:val="18"/>
                <w:lang w:eastAsia="es-CO"/>
              </w:rPr>
            </w:pPr>
            <w:r w:rsidRPr="00871D8D">
              <w:rPr>
                <w:rFonts w:ascii="Arial Narrow" w:hAnsi="Arial Narrow" w:cs="Calibri"/>
                <w:b/>
                <w:bCs/>
                <w:color w:val="000000"/>
                <w:spacing w:val="0"/>
                <w:sz w:val="18"/>
                <w:szCs w:val="18"/>
                <w:lang w:eastAsia="es-CO"/>
              </w:rPr>
              <w:t xml:space="preserve">TOTAL PRESUPUESTO VIGENCIA 2021 </w:t>
            </w:r>
          </w:p>
        </w:tc>
        <w:tc>
          <w:tcPr>
            <w:tcW w:w="1418" w:type="dxa"/>
            <w:tcBorders>
              <w:top w:val="nil"/>
              <w:left w:val="nil"/>
              <w:bottom w:val="single" w:sz="8" w:space="0" w:color="auto"/>
              <w:right w:val="single" w:sz="8" w:space="0" w:color="0070C0"/>
            </w:tcBorders>
            <w:shd w:val="clear" w:color="auto" w:fill="E7E6E6" w:themeFill="background2"/>
            <w:noWrap/>
            <w:vAlign w:val="center"/>
            <w:hideMark/>
          </w:tcPr>
          <w:p w14:paraId="2A5AF344" w14:textId="1EFC3FD1" w:rsidR="00A902AB" w:rsidRPr="00871D8D" w:rsidRDefault="00A902AB" w:rsidP="00A902AB">
            <w:pPr>
              <w:jc w:val="right"/>
              <w:rPr>
                <w:rFonts w:ascii="Arial Narrow" w:hAnsi="Arial Narrow" w:cs="Calibri"/>
                <w:b/>
                <w:bCs/>
                <w:color w:val="000000"/>
                <w:spacing w:val="0"/>
                <w:sz w:val="18"/>
                <w:szCs w:val="18"/>
                <w:lang w:eastAsia="es-CO"/>
              </w:rPr>
            </w:pPr>
            <w:r w:rsidRPr="00871D8D">
              <w:rPr>
                <w:rFonts w:ascii="Arial Narrow" w:hAnsi="Arial Narrow" w:cs="Calibri"/>
                <w:b/>
                <w:bCs/>
                <w:color w:val="000000"/>
                <w:spacing w:val="0"/>
                <w:sz w:val="18"/>
                <w:szCs w:val="18"/>
                <w:lang w:eastAsia="es-CO"/>
              </w:rPr>
              <w:t>$ 37</w:t>
            </w:r>
            <w:r w:rsidR="003C462E" w:rsidRPr="00871D8D">
              <w:rPr>
                <w:rFonts w:ascii="Arial Narrow" w:hAnsi="Arial Narrow" w:cs="Calibri"/>
                <w:b/>
                <w:bCs/>
                <w:color w:val="000000"/>
                <w:spacing w:val="0"/>
                <w:sz w:val="18"/>
                <w:szCs w:val="18"/>
                <w:lang w:eastAsia="es-CO"/>
              </w:rPr>
              <w:t>.</w:t>
            </w:r>
            <w:r w:rsidRPr="00871D8D">
              <w:rPr>
                <w:rFonts w:ascii="Arial Narrow" w:hAnsi="Arial Narrow" w:cs="Calibri"/>
                <w:b/>
                <w:bCs/>
                <w:color w:val="000000"/>
                <w:spacing w:val="0"/>
                <w:sz w:val="18"/>
                <w:szCs w:val="18"/>
                <w:lang w:eastAsia="es-CO"/>
              </w:rPr>
              <w:t>700</w:t>
            </w:r>
            <w:r w:rsidR="003C462E" w:rsidRPr="00871D8D">
              <w:rPr>
                <w:rFonts w:ascii="Arial Narrow" w:hAnsi="Arial Narrow" w:cs="Calibri"/>
                <w:b/>
                <w:bCs/>
                <w:color w:val="000000"/>
                <w:spacing w:val="0"/>
                <w:sz w:val="18"/>
                <w:szCs w:val="18"/>
                <w:lang w:eastAsia="es-CO"/>
              </w:rPr>
              <w:t>.</w:t>
            </w:r>
            <w:r w:rsidRPr="00871D8D">
              <w:rPr>
                <w:rFonts w:ascii="Arial Narrow" w:hAnsi="Arial Narrow" w:cs="Calibri"/>
                <w:b/>
                <w:bCs/>
                <w:color w:val="000000"/>
                <w:spacing w:val="0"/>
                <w:sz w:val="18"/>
                <w:szCs w:val="18"/>
                <w:lang w:eastAsia="es-CO"/>
              </w:rPr>
              <w:t>938</w:t>
            </w:r>
            <w:r w:rsidR="003C462E" w:rsidRPr="00871D8D">
              <w:rPr>
                <w:rFonts w:ascii="Arial Narrow" w:hAnsi="Arial Narrow" w:cs="Calibri"/>
                <w:b/>
                <w:bCs/>
                <w:color w:val="000000"/>
                <w:spacing w:val="0"/>
                <w:sz w:val="18"/>
                <w:szCs w:val="18"/>
                <w:lang w:eastAsia="es-CO"/>
              </w:rPr>
              <w:t>.</w:t>
            </w:r>
            <w:r w:rsidRPr="00871D8D">
              <w:rPr>
                <w:rFonts w:ascii="Arial Narrow" w:hAnsi="Arial Narrow" w:cs="Calibri"/>
                <w:b/>
                <w:bCs/>
                <w:color w:val="000000"/>
                <w:spacing w:val="0"/>
                <w:sz w:val="18"/>
                <w:szCs w:val="18"/>
                <w:lang w:eastAsia="es-CO"/>
              </w:rPr>
              <w:t>000</w:t>
            </w:r>
          </w:p>
        </w:tc>
      </w:tr>
      <w:tr w:rsidR="00A902AB" w:rsidRPr="00871D8D" w14:paraId="6094E808" w14:textId="77777777" w:rsidTr="00871D8D">
        <w:trPr>
          <w:trHeight w:val="300"/>
          <w:jc w:val="right"/>
        </w:trPr>
        <w:tc>
          <w:tcPr>
            <w:tcW w:w="7361" w:type="dxa"/>
            <w:gridSpan w:val="3"/>
            <w:tcBorders>
              <w:top w:val="single" w:sz="8" w:space="0" w:color="auto"/>
              <w:left w:val="single" w:sz="8" w:space="0" w:color="0070C0"/>
              <w:bottom w:val="single" w:sz="8" w:space="0" w:color="0070C0"/>
              <w:right w:val="single" w:sz="8" w:space="0" w:color="0070C0"/>
            </w:tcBorders>
            <w:shd w:val="clear" w:color="auto" w:fill="auto"/>
            <w:noWrap/>
            <w:vAlign w:val="center"/>
            <w:hideMark/>
          </w:tcPr>
          <w:p w14:paraId="0FD7E9AD" w14:textId="77777777" w:rsidR="00A902AB" w:rsidRPr="00871D8D" w:rsidRDefault="00A902AB" w:rsidP="00A902AB">
            <w:pPr>
              <w:jc w:val="right"/>
              <w:rPr>
                <w:rFonts w:ascii="Arial Narrow" w:hAnsi="Arial Narrow" w:cs="Calibri"/>
                <w:color w:val="000000"/>
                <w:spacing w:val="0"/>
                <w:sz w:val="18"/>
                <w:szCs w:val="18"/>
                <w:lang w:eastAsia="es-CO"/>
              </w:rPr>
            </w:pPr>
            <w:r w:rsidRPr="00871D8D">
              <w:rPr>
                <w:rFonts w:ascii="Arial Narrow" w:hAnsi="Arial Narrow" w:cs="Calibri"/>
                <w:color w:val="000000"/>
                <w:spacing w:val="0"/>
                <w:sz w:val="18"/>
                <w:szCs w:val="18"/>
                <w:lang w:eastAsia="es-CO"/>
              </w:rPr>
              <w:t xml:space="preserve">Menos transferencia al fondo empresarial – SSPD </w:t>
            </w:r>
          </w:p>
        </w:tc>
        <w:tc>
          <w:tcPr>
            <w:tcW w:w="1418" w:type="dxa"/>
            <w:tcBorders>
              <w:top w:val="nil"/>
              <w:left w:val="nil"/>
              <w:bottom w:val="single" w:sz="8" w:space="0" w:color="0070C0"/>
              <w:right w:val="single" w:sz="8" w:space="0" w:color="0070C0"/>
            </w:tcBorders>
            <w:shd w:val="clear" w:color="auto" w:fill="auto"/>
            <w:noWrap/>
            <w:vAlign w:val="center"/>
            <w:hideMark/>
          </w:tcPr>
          <w:p w14:paraId="692C3908" w14:textId="43215E0E" w:rsidR="00A902AB" w:rsidRPr="00871D8D" w:rsidRDefault="00A902AB" w:rsidP="00A902AB">
            <w:pPr>
              <w:jc w:val="right"/>
              <w:rPr>
                <w:rFonts w:ascii="Arial Narrow" w:hAnsi="Arial Narrow" w:cs="Calibri"/>
                <w:color w:val="FF0000"/>
                <w:spacing w:val="0"/>
                <w:sz w:val="18"/>
                <w:szCs w:val="18"/>
                <w:lang w:eastAsia="es-CO"/>
              </w:rPr>
            </w:pPr>
            <w:r w:rsidRPr="00871D8D">
              <w:rPr>
                <w:rFonts w:ascii="Arial Narrow" w:hAnsi="Arial Narrow" w:cs="Calibri"/>
                <w:color w:val="FF0000"/>
                <w:spacing w:val="0"/>
                <w:sz w:val="18"/>
                <w:szCs w:val="18"/>
                <w:lang w:eastAsia="es-CO"/>
              </w:rPr>
              <w:t>($ 589</w:t>
            </w:r>
            <w:r w:rsidR="003C462E" w:rsidRPr="00871D8D">
              <w:rPr>
                <w:rFonts w:ascii="Arial Narrow" w:hAnsi="Arial Narrow" w:cs="Calibri"/>
                <w:color w:val="FF0000"/>
                <w:spacing w:val="0"/>
                <w:sz w:val="18"/>
                <w:szCs w:val="18"/>
                <w:lang w:eastAsia="es-CO"/>
              </w:rPr>
              <w:t>.</w:t>
            </w:r>
            <w:r w:rsidRPr="00871D8D">
              <w:rPr>
                <w:rFonts w:ascii="Arial Narrow" w:hAnsi="Arial Narrow" w:cs="Calibri"/>
                <w:color w:val="FF0000"/>
                <w:spacing w:val="0"/>
                <w:sz w:val="18"/>
                <w:szCs w:val="18"/>
                <w:lang w:eastAsia="es-CO"/>
              </w:rPr>
              <w:t>814</w:t>
            </w:r>
            <w:r w:rsidR="003C462E" w:rsidRPr="00871D8D">
              <w:rPr>
                <w:rFonts w:ascii="Arial Narrow" w:hAnsi="Arial Narrow" w:cs="Calibri"/>
                <w:color w:val="FF0000"/>
                <w:spacing w:val="0"/>
                <w:sz w:val="18"/>
                <w:szCs w:val="18"/>
                <w:lang w:eastAsia="es-CO"/>
              </w:rPr>
              <w:t>.</w:t>
            </w:r>
            <w:r w:rsidRPr="00871D8D">
              <w:rPr>
                <w:rFonts w:ascii="Arial Narrow" w:hAnsi="Arial Narrow" w:cs="Calibri"/>
                <w:color w:val="FF0000"/>
                <w:spacing w:val="0"/>
                <w:sz w:val="18"/>
                <w:szCs w:val="18"/>
                <w:lang w:eastAsia="es-CO"/>
              </w:rPr>
              <w:t>377)</w:t>
            </w:r>
          </w:p>
        </w:tc>
      </w:tr>
      <w:tr w:rsidR="00A902AB" w:rsidRPr="00871D8D" w14:paraId="2A3353F2" w14:textId="77777777" w:rsidTr="00871D8D">
        <w:trPr>
          <w:trHeight w:val="300"/>
          <w:jc w:val="right"/>
        </w:trPr>
        <w:tc>
          <w:tcPr>
            <w:tcW w:w="7361" w:type="dxa"/>
            <w:gridSpan w:val="3"/>
            <w:tcBorders>
              <w:top w:val="single" w:sz="8" w:space="0" w:color="0070C0"/>
              <w:left w:val="single" w:sz="8" w:space="0" w:color="0070C0"/>
              <w:bottom w:val="single" w:sz="8" w:space="0" w:color="auto"/>
              <w:right w:val="single" w:sz="8" w:space="0" w:color="000000"/>
            </w:tcBorders>
            <w:shd w:val="clear" w:color="auto" w:fill="E7E6E6" w:themeFill="background2"/>
            <w:noWrap/>
            <w:vAlign w:val="center"/>
            <w:hideMark/>
          </w:tcPr>
          <w:p w14:paraId="4B966BF9" w14:textId="77777777" w:rsidR="00A902AB" w:rsidRPr="00871D8D" w:rsidRDefault="00A902AB" w:rsidP="00A902AB">
            <w:pPr>
              <w:jc w:val="right"/>
              <w:rPr>
                <w:rFonts w:ascii="Arial Narrow" w:hAnsi="Arial Narrow" w:cs="Calibri"/>
                <w:b/>
                <w:bCs/>
                <w:color w:val="000000"/>
                <w:spacing w:val="0"/>
                <w:sz w:val="18"/>
                <w:szCs w:val="18"/>
                <w:lang w:eastAsia="es-CO"/>
              </w:rPr>
            </w:pPr>
            <w:r w:rsidRPr="00871D8D">
              <w:rPr>
                <w:rFonts w:ascii="Arial Narrow" w:hAnsi="Arial Narrow" w:cs="Calibri"/>
                <w:b/>
                <w:bCs/>
                <w:color w:val="000000"/>
                <w:spacing w:val="0"/>
                <w:sz w:val="18"/>
                <w:szCs w:val="18"/>
                <w:lang w:eastAsia="es-CO"/>
              </w:rPr>
              <w:t xml:space="preserve">SUBTOTAL PRESUPUESTO 2021 CON EROGACIONES DIRECTAS DE LA VIGENCIA </w:t>
            </w:r>
          </w:p>
        </w:tc>
        <w:tc>
          <w:tcPr>
            <w:tcW w:w="1418" w:type="dxa"/>
            <w:tcBorders>
              <w:top w:val="nil"/>
              <w:left w:val="nil"/>
              <w:bottom w:val="single" w:sz="8" w:space="0" w:color="auto"/>
              <w:right w:val="single" w:sz="8" w:space="0" w:color="0070C0"/>
            </w:tcBorders>
            <w:shd w:val="clear" w:color="auto" w:fill="E7E6E6" w:themeFill="background2"/>
            <w:noWrap/>
            <w:vAlign w:val="center"/>
            <w:hideMark/>
          </w:tcPr>
          <w:p w14:paraId="64B90CF7" w14:textId="4ABA6384" w:rsidR="00A902AB" w:rsidRPr="00871D8D" w:rsidRDefault="00A902AB" w:rsidP="00A902AB">
            <w:pPr>
              <w:jc w:val="right"/>
              <w:rPr>
                <w:rFonts w:ascii="Arial Narrow" w:hAnsi="Arial Narrow" w:cs="Calibri"/>
                <w:b/>
                <w:bCs/>
                <w:color w:val="000000"/>
                <w:spacing w:val="0"/>
                <w:sz w:val="18"/>
                <w:szCs w:val="18"/>
                <w:lang w:eastAsia="es-CO"/>
              </w:rPr>
            </w:pPr>
            <w:r w:rsidRPr="00871D8D">
              <w:rPr>
                <w:rFonts w:ascii="Arial Narrow" w:hAnsi="Arial Narrow" w:cs="Calibri"/>
                <w:b/>
                <w:bCs/>
                <w:color w:val="000000"/>
                <w:spacing w:val="0"/>
                <w:sz w:val="18"/>
                <w:szCs w:val="18"/>
                <w:lang w:eastAsia="es-CO"/>
              </w:rPr>
              <w:t>$ 37</w:t>
            </w:r>
            <w:r w:rsidR="003C462E" w:rsidRPr="00871D8D">
              <w:rPr>
                <w:rFonts w:ascii="Arial Narrow" w:hAnsi="Arial Narrow" w:cs="Calibri"/>
                <w:b/>
                <w:bCs/>
                <w:color w:val="000000"/>
                <w:spacing w:val="0"/>
                <w:sz w:val="18"/>
                <w:szCs w:val="18"/>
                <w:lang w:eastAsia="es-CO"/>
              </w:rPr>
              <w:t>.</w:t>
            </w:r>
            <w:r w:rsidRPr="00871D8D">
              <w:rPr>
                <w:rFonts w:ascii="Arial Narrow" w:hAnsi="Arial Narrow" w:cs="Calibri"/>
                <w:b/>
                <w:bCs/>
                <w:color w:val="000000"/>
                <w:spacing w:val="0"/>
                <w:sz w:val="18"/>
                <w:szCs w:val="18"/>
                <w:lang w:eastAsia="es-CO"/>
              </w:rPr>
              <w:t>111</w:t>
            </w:r>
            <w:r w:rsidR="003C462E" w:rsidRPr="00871D8D">
              <w:rPr>
                <w:rFonts w:ascii="Arial Narrow" w:hAnsi="Arial Narrow" w:cs="Calibri"/>
                <w:b/>
                <w:bCs/>
                <w:color w:val="000000"/>
                <w:spacing w:val="0"/>
                <w:sz w:val="18"/>
                <w:szCs w:val="18"/>
                <w:lang w:eastAsia="es-CO"/>
              </w:rPr>
              <w:t>.</w:t>
            </w:r>
            <w:r w:rsidRPr="00871D8D">
              <w:rPr>
                <w:rFonts w:ascii="Arial Narrow" w:hAnsi="Arial Narrow" w:cs="Calibri"/>
                <w:b/>
                <w:bCs/>
                <w:color w:val="000000"/>
                <w:spacing w:val="0"/>
                <w:sz w:val="18"/>
                <w:szCs w:val="18"/>
                <w:lang w:eastAsia="es-CO"/>
              </w:rPr>
              <w:t>123</w:t>
            </w:r>
            <w:r w:rsidR="003C462E" w:rsidRPr="00871D8D">
              <w:rPr>
                <w:rFonts w:ascii="Arial Narrow" w:hAnsi="Arial Narrow" w:cs="Calibri"/>
                <w:b/>
                <w:bCs/>
                <w:color w:val="000000"/>
                <w:spacing w:val="0"/>
                <w:sz w:val="18"/>
                <w:szCs w:val="18"/>
                <w:lang w:eastAsia="es-CO"/>
              </w:rPr>
              <w:t>.</w:t>
            </w:r>
            <w:r w:rsidRPr="00871D8D">
              <w:rPr>
                <w:rFonts w:ascii="Arial Narrow" w:hAnsi="Arial Narrow" w:cs="Calibri"/>
                <w:b/>
                <w:bCs/>
                <w:color w:val="000000"/>
                <w:spacing w:val="0"/>
                <w:sz w:val="18"/>
                <w:szCs w:val="18"/>
                <w:lang w:eastAsia="es-CO"/>
              </w:rPr>
              <w:t>623</w:t>
            </w:r>
          </w:p>
        </w:tc>
      </w:tr>
      <w:tr w:rsidR="00A902AB" w:rsidRPr="00871D8D" w14:paraId="026BB2D4" w14:textId="77777777" w:rsidTr="00871D8D">
        <w:trPr>
          <w:trHeight w:val="300"/>
          <w:jc w:val="right"/>
        </w:trPr>
        <w:tc>
          <w:tcPr>
            <w:tcW w:w="7361" w:type="dxa"/>
            <w:gridSpan w:val="3"/>
            <w:tcBorders>
              <w:top w:val="single" w:sz="8" w:space="0" w:color="0070C0"/>
              <w:left w:val="single" w:sz="8" w:space="0" w:color="0070C0"/>
              <w:bottom w:val="single" w:sz="8" w:space="0" w:color="0070C0"/>
              <w:right w:val="single" w:sz="8" w:space="0" w:color="000000"/>
            </w:tcBorders>
            <w:shd w:val="clear" w:color="000000" w:fill="FFFFFF"/>
            <w:noWrap/>
            <w:vAlign w:val="center"/>
            <w:hideMark/>
          </w:tcPr>
          <w:p w14:paraId="0E283A31" w14:textId="77777777" w:rsidR="00A902AB" w:rsidRPr="00871D8D" w:rsidRDefault="00A902AB" w:rsidP="00A902AB">
            <w:pPr>
              <w:jc w:val="right"/>
              <w:rPr>
                <w:rFonts w:ascii="Arial Narrow" w:hAnsi="Arial Narrow" w:cs="Calibri"/>
                <w:color w:val="000000"/>
                <w:spacing w:val="0"/>
                <w:sz w:val="18"/>
                <w:szCs w:val="18"/>
                <w:lang w:eastAsia="es-CO"/>
              </w:rPr>
            </w:pPr>
            <w:r w:rsidRPr="00871D8D">
              <w:rPr>
                <w:rFonts w:ascii="Arial Narrow" w:hAnsi="Arial Narrow" w:cs="Calibri"/>
                <w:color w:val="000000"/>
                <w:spacing w:val="0"/>
                <w:sz w:val="18"/>
                <w:szCs w:val="18"/>
                <w:lang w:eastAsia="es-CO"/>
              </w:rPr>
              <w:lastRenderedPageBreak/>
              <w:t xml:space="preserve">Menos recursos situados para sufragar la regulación del sector combustibles líquidos – Resolución 1179 de 2021 (MHCP)  </w:t>
            </w:r>
          </w:p>
        </w:tc>
        <w:tc>
          <w:tcPr>
            <w:tcW w:w="1418" w:type="dxa"/>
            <w:tcBorders>
              <w:top w:val="nil"/>
              <w:left w:val="nil"/>
              <w:bottom w:val="single" w:sz="8" w:space="0" w:color="0070C0"/>
              <w:right w:val="single" w:sz="8" w:space="0" w:color="0070C0"/>
            </w:tcBorders>
            <w:shd w:val="clear" w:color="000000" w:fill="FFFFFF"/>
            <w:noWrap/>
            <w:vAlign w:val="center"/>
            <w:hideMark/>
          </w:tcPr>
          <w:p w14:paraId="384D2405" w14:textId="78BA559F" w:rsidR="00A902AB" w:rsidRPr="00871D8D" w:rsidRDefault="00A902AB" w:rsidP="00A902AB">
            <w:pPr>
              <w:jc w:val="right"/>
              <w:rPr>
                <w:rFonts w:ascii="Arial Narrow" w:hAnsi="Arial Narrow" w:cs="Calibri"/>
                <w:color w:val="FF0000"/>
                <w:spacing w:val="0"/>
                <w:sz w:val="18"/>
                <w:szCs w:val="18"/>
                <w:lang w:eastAsia="es-CO"/>
              </w:rPr>
            </w:pPr>
            <w:r w:rsidRPr="00871D8D">
              <w:rPr>
                <w:rFonts w:ascii="Arial Narrow" w:hAnsi="Arial Narrow" w:cs="Calibri"/>
                <w:color w:val="FF0000"/>
                <w:spacing w:val="0"/>
                <w:sz w:val="18"/>
                <w:szCs w:val="18"/>
                <w:lang w:eastAsia="es-CO"/>
              </w:rPr>
              <w:t>($ 4</w:t>
            </w:r>
            <w:r w:rsidR="003C462E" w:rsidRPr="00871D8D">
              <w:rPr>
                <w:rFonts w:ascii="Arial Narrow" w:hAnsi="Arial Narrow" w:cs="Calibri"/>
                <w:color w:val="FF0000"/>
                <w:spacing w:val="0"/>
                <w:sz w:val="18"/>
                <w:szCs w:val="18"/>
                <w:lang w:eastAsia="es-CO"/>
              </w:rPr>
              <w:t>.</w:t>
            </w:r>
            <w:r w:rsidRPr="00871D8D">
              <w:rPr>
                <w:rFonts w:ascii="Arial Narrow" w:hAnsi="Arial Narrow" w:cs="Calibri"/>
                <w:color w:val="FF0000"/>
                <w:spacing w:val="0"/>
                <w:sz w:val="18"/>
                <w:szCs w:val="18"/>
                <w:lang w:eastAsia="es-CO"/>
              </w:rPr>
              <w:t>605</w:t>
            </w:r>
            <w:r w:rsidR="003C462E" w:rsidRPr="00871D8D">
              <w:rPr>
                <w:rFonts w:ascii="Arial Narrow" w:hAnsi="Arial Narrow" w:cs="Calibri"/>
                <w:color w:val="FF0000"/>
                <w:spacing w:val="0"/>
                <w:sz w:val="18"/>
                <w:szCs w:val="18"/>
                <w:lang w:eastAsia="es-CO"/>
              </w:rPr>
              <w:t>.</w:t>
            </w:r>
            <w:r w:rsidRPr="00871D8D">
              <w:rPr>
                <w:rFonts w:ascii="Arial Narrow" w:hAnsi="Arial Narrow" w:cs="Calibri"/>
                <w:color w:val="FF0000"/>
                <w:spacing w:val="0"/>
                <w:sz w:val="18"/>
                <w:szCs w:val="18"/>
                <w:lang w:eastAsia="es-CO"/>
              </w:rPr>
              <w:t>380</w:t>
            </w:r>
            <w:r w:rsidR="003C462E" w:rsidRPr="00871D8D">
              <w:rPr>
                <w:rFonts w:ascii="Arial Narrow" w:hAnsi="Arial Narrow" w:cs="Calibri"/>
                <w:color w:val="FF0000"/>
                <w:spacing w:val="0"/>
                <w:sz w:val="18"/>
                <w:szCs w:val="18"/>
                <w:lang w:eastAsia="es-CO"/>
              </w:rPr>
              <w:t>.</w:t>
            </w:r>
            <w:r w:rsidRPr="00871D8D">
              <w:rPr>
                <w:rFonts w:ascii="Arial Narrow" w:hAnsi="Arial Narrow" w:cs="Calibri"/>
                <w:color w:val="FF0000"/>
                <w:spacing w:val="0"/>
                <w:sz w:val="18"/>
                <w:szCs w:val="18"/>
                <w:lang w:eastAsia="es-CO"/>
              </w:rPr>
              <w:t>691)</w:t>
            </w:r>
          </w:p>
        </w:tc>
      </w:tr>
      <w:tr w:rsidR="00A902AB" w:rsidRPr="00871D8D" w14:paraId="66FC94F3" w14:textId="77777777" w:rsidTr="00871D8D">
        <w:trPr>
          <w:trHeight w:val="300"/>
          <w:jc w:val="right"/>
        </w:trPr>
        <w:tc>
          <w:tcPr>
            <w:tcW w:w="7361" w:type="dxa"/>
            <w:gridSpan w:val="3"/>
            <w:tcBorders>
              <w:top w:val="single" w:sz="8" w:space="0" w:color="0070C0"/>
              <w:left w:val="single" w:sz="8" w:space="0" w:color="0070C0"/>
              <w:bottom w:val="single" w:sz="8" w:space="0" w:color="auto"/>
              <w:right w:val="single" w:sz="8" w:space="0" w:color="000000"/>
            </w:tcBorders>
            <w:shd w:val="clear" w:color="auto" w:fill="E7E6E6" w:themeFill="background2"/>
            <w:noWrap/>
            <w:vAlign w:val="center"/>
            <w:hideMark/>
          </w:tcPr>
          <w:p w14:paraId="78B82EC7" w14:textId="77777777" w:rsidR="00A902AB" w:rsidRPr="00871D8D" w:rsidRDefault="00A902AB" w:rsidP="00A902AB">
            <w:pPr>
              <w:jc w:val="right"/>
              <w:rPr>
                <w:rFonts w:ascii="Arial Narrow" w:hAnsi="Arial Narrow" w:cs="Calibri"/>
                <w:b/>
                <w:bCs/>
                <w:color w:val="000000"/>
                <w:spacing w:val="0"/>
                <w:sz w:val="18"/>
                <w:szCs w:val="18"/>
                <w:lang w:eastAsia="es-CO"/>
              </w:rPr>
            </w:pPr>
            <w:r w:rsidRPr="00871D8D">
              <w:rPr>
                <w:rFonts w:ascii="Arial Narrow" w:hAnsi="Arial Narrow" w:cs="Calibri"/>
                <w:b/>
                <w:bCs/>
                <w:color w:val="000000"/>
                <w:spacing w:val="0"/>
                <w:sz w:val="18"/>
                <w:szCs w:val="18"/>
                <w:lang w:eastAsia="es-CO"/>
              </w:rPr>
              <w:t>NETO PRESUPUESTO BASE PARA LA CONTRIBUCIÓN ESPECIAL 2021</w:t>
            </w:r>
          </w:p>
        </w:tc>
        <w:tc>
          <w:tcPr>
            <w:tcW w:w="1418" w:type="dxa"/>
            <w:tcBorders>
              <w:top w:val="nil"/>
              <w:left w:val="nil"/>
              <w:bottom w:val="single" w:sz="8" w:space="0" w:color="auto"/>
              <w:right w:val="single" w:sz="8" w:space="0" w:color="0070C0"/>
            </w:tcBorders>
            <w:shd w:val="clear" w:color="auto" w:fill="E7E6E6" w:themeFill="background2"/>
            <w:noWrap/>
            <w:vAlign w:val="center"/>
            <w:hideMark/>
          </w:tcPr>
          <w:p w14:paraId="4CE7783D" w14:textId="1131EDF2" w:rsidR="00A902AB" w:rsidRPr="00871D8D" w:rsidRDefault="00A902AB" w:rsidP="00A902AB">
            <w:pPr>
              <w:jc w:val="right"/>
              <w:rPr>
                <w:rFonts w:ascii="Arial Narrow" w:hAnsi="Arial Narrow" w:cs="Calibri"/>
                <w:b/>
                <w:bCs/>
                <w:color w:val="000000"/>
                <w:spacing w:val="0"/>
                <w:sz w:val="18"/>
                <w:szCs w:val="18"/>
                <w:lang w:eastAsia="es-CO"/>
              </w:rPr>
            </w:pPr>
            <w:r w:rsidRPr="00871D8D">
              <w:rPr>
                <w:rFonts w:ascii="Arial Narrow" w:hAnsi="Arial Narrow" w:cs="Calibri"/>
                <w:b/>
                <w:bCs/>
                <w:color w:val="000000"/>
                <w:spacing w:val="0"/>
                <w:sz w:val="18"/>
                <w:szCs w:val="18"/>
                <w:lang w:eastAsia="es-CO"/>
              </w:rPr>
              <w:t>$ 32</w:t>
            </w:r>
            <w:r w:rsidR="003C462E" w:rsidRPr="00871D8D">
              <w:rPr>
                <w:rFonts w:ascii="Arial Narrow" w:hAnsi="Arial Narrow" w:cs="Calibri"/>
                <w:b/>
                <w:bCs/>
                <w:color w:val="000000"/>
                <w:spacing w:val="0"/>
                <w:sz w:val="18"/>
                <w:szCs w:val="18"/>
                <w:lang w:eastAsia="es-CO"/>
              </w:rPr>
              <w:t>.</w:t>
            </w:r>
            <w:r w:rsidRPr="00871D8D">
              <w:rPr>
                <w:rFonts w:ascii="Arial Narrow" w:hAnsi="Arial Narrow" w:cs="Calibri"/>
                <w:b/>
                <w:bCs/>
                <w:color w:val="000000"/>
                <w:spacing w:val="0"/>
                <w:sz w:val="18"/>
                <w:szCs w:val="18"/>
                <w:lang w:eastAsia="es-CO"/>
              </w:rPr>
              <w:t>505</w:t>
            </w:r>
            <w:r w:rsidR="003C462E" w:rsidRPr="00871D8D">
              <w:rPr>
                <w:rFonts w:ascii="Arial Narrow" w:hAnsi="Arial Narrow" w:cs="Calibri"/>
                <w:b/>
                <w:bCs/>
                <w:color w:val="000000"/>
                <w:spacing w:val="0"/>
                <w:sz w:val="18"/>
                <w:szCs w:val="18"/>
                <w:lang w:eastAsia="es-CO"/>
              </w:rPr>
              <w:t>.</w:t>
            </w:r>
            <w:r w:rsidRPr="00871D8D">
              <w:rPr>
                <w:rFonts w:ascii="Arial Narrow" w:hAnsi="Arial Narrow" w:cs="Calibri"/>
                <w:b/>
                <w:bCs/>
                <w:color w:val="000000"/>
                <w:spacing w:val="0"/>
                <w:sz w:val="18"/>
                <w:szCs w:val="18"/>
                <w:lang w:eastAsia="es-CO"/>
              </w:rPr>
              <w:t>742</w:t>
            </w:r>
            <w:r w:rsidR="003C462E" w:rsidRPr="00871D8D">
              <w:rPr>
                <w:rFonts w:ascii="Arial Narrow" w:hAnsi="Arial Narrow" w:cs="Calibri"/>
                <w:b/>
                <w:bCs/>
                <w:color w:val="000000"/>
                <w:spacing w:val="0"/>
                <w:sz w:val="18"/>
                <w:szCs w:val="18"/>
                <w:lang w:eastAsia="es-CO"/>
              </w:rPr>
              <w:t>.</w:t>
            </w:r>
            <w:r w:rsidRPr="00871D8D">
              <w:rPr>
                <w:rFonts w:ascii="Arial Narrow" w:hAnsi="Arial Narrow" w:cs="Calibri"/>
                <w:b/>
                <w:bCs/>
                <w:color w:val="000000"/>
                <w:spacing w:val="0"/>
                <w:sz w:val="18"/>
                <w:szCs w:val="18"/>
                <w:lang w:eastAsia="es-CO"/>
              </w:rPr>
              <w:t>932</w:t>
            </w:r>
          </w:p>
        </w:tc>
      </w:tr>
    </w:tbl>
    <w:p w14:paraId="685608A9" w14:textId="479735D4" w:rsidR="00A902AB" w:rsidRDefault="00A902AB" w:rsidP="00C83840">
      <w:pPr>
        <w:rPr>
          <w:rFonts w:cs="Arial"/>
          <w:sz w:val="22"/>
          <w:szCs w:val="22"/>
        </w:rPr>
      </w:pPr>
    </w:p>
    <w:p w14:paraId="64C5EAF8" w14:textId="00668195" w:rsidR="00A43221" w:rsidRDefault="00A43221" w:rsidP="00A43221">
      <w:pPr>
        <w:rPr>
          <w:rFonts w:cs="Arial"/>
          <w:sz w:val="22"/>
          <w:szCs w:val="22"/>
        </w:rPr>
      </w:pPr>
      <w:r w:rsidRPr="00A43221">
        <w:rPr>
          <w:rFonts w:cs="Arial"/>
          <w:sz w:val="22"/>
          <w:szCs w:val="22"/>
        </w:rPr>
        <w:t xml:space="preserve">La CREG realizó el análisis de la información financiera </w:t>
      </w:r>
      <w:r w:rsidR="004217E9">
        <w:rPr>
          <w:rFonts w:cs="Arial"/>
          <w:sz w:val="22"/>
          <w:szCs w:val="22"/>
        </w:rPr>
        <w:t>cargada y certificada</w:t>
      </w:r>
      <w:r w:rsidRPr="00A43221">
        <w:rPr>
          <w:rFonts w:cs="Arial"/>
          <w:sz w:val="22"/>
          <w:szCs w:val="22"/>
        </w:rPr>
        <w:t xml:space="preserve"> al SUI</w:t>
      </w:r>
      <w:r w:rsidR="004217E9">
        <w:rPr>
          <w:rFonts w:cs="Arial"/>
          <w:sz w:val="22"/>
          <w:szCs w:val="22"/>
        </w:rPr>
        <w:t xml:space="preserve"> con corte al 21 de septiembre de 2021</w:t>
      </w:r>
      <w:r w:rsidRPr="00A43221">
        <w:rPr>
          <w:rFonts w:cs="Arial"/>
          <w:sz w:val="22"/>
          <w:szCs w:val="22"/>
        </w:rPr>
        <w:t>, a efectos de depurar y establecer la base gravable y el monto de la tarifa de la contribución especial para la vigencia 2021, a partir del presupuesto base neto de la CREG a recuperar como costo de prestación del servicio de regulación por $32</w:t>
      </w:r>
      <w:r w:rsidR="00391158">
        <w:rPr>
          <w:rFonts w:cs="Arial"/>
          <w:sz w:val="22"/>
          <w:szCs w:val="22"/>
        </w:rPr>
        <w:t>.</w:t>
      </w:r>
      <w:r w:rsidRPr="00A43221">
        <w:rPr>
          <w:rFonts w:cs="Arial"/>
          <w:sz w:val="22"/>
          <w:szCs w:val="22"/>
        </w:rPr>
        <w:t>505</w:t>
      </w:r>
      <w:r w:rsidR="00391158">
        <w:rPr>
          <w:rFonts w:cs="Arial"/>
          <w:sz w:val="22"/>
          <w:szCs w:val="22"/>
        </w:rPr>
        <w:t>.</w:t>
      </w:r>
      <w:r w:rsidRPr="00A43221">
        <w:rPr>
          <w:rFonts w:cs="Arial"/>
          <w:sz w:val="22"/>
          <w:szCs w:val="22"/>
        </w:rPr>
        <w:t>742</w:t>
      </w:r>
      <w:r w:rsidR="00391158">
        <w:rPr>
          <w:rFonts w:cs="Arial"/>
          <w:sz w:val="22"/>
          <w:szCs w:val="22"/>
        </w:rPr>
        <w:t>.</w:t>
      </w:r>
      <w:r w:rsidRPr="00A43221">
        <w:rPr>
          <w:rFonts w:cs="Arial"/>
          <w:sz w:val="22"/>
          <w:szCs w:val="22"/>
        </w:rPr>
        <w:t>932</w:t>
      </w:r>
      <w:r w:rsidR="00391158">
        <w:rPr>
          <w:rFonts w:cs="Arial"/>
          <w:sz w:val="22"/>
          <w:szCs w:val="22"/>
        </w:rPr>
        <w:t xml:space="preserve"> </w:t>
      </w:r>
      <w:r w:rsidRPr="00A43221">
        <w:rPr>
          <w:rFonts w:cs="Arial"/>
          <w:sz w:val="22"/>
          <w:szCs w:val="22"/>
        </w:rPr>
        <w:t>y la cobertura de éste por parte de los gastos de funcionamiento de las empresas reguladas; con el fin de determinar si es necesario el uso del parágrafo 2° del artículo 85 de la Ley 142 de 1994, y el monto de los gastos operativos indispensables para cubrir el faltante presupuestal, señalados en dicho parágrafo y asignar la contribución especial a favor de la CREG que deben pagar las empresas sometidas a la regulación para el año 2021.</w:t>
      </w:r>
    </w:p>
    <w:p w14:paraId="6929A207" w14:textId="77777777" w:rsidR="00391158" w:rsidRPr="00A43221" w:rsidRDefault="00391158" w:rsidP="00A43221">
      <w:pPr>
        <w:rPr>
          <w:rFonts w:cs="Arial"/>
          <w:sz w:val="22"/>
          <w:szCs w:val="22"/>
        </w:rPr>
      </w:pPr>
    </w:p>
    <w:p w14:paraId="74BB8792" w14:textId="2BFC5E48" w:rsidR="00A43221" w:rsidRDefault="00A43221" w:rsidP="00A43221">
      <w:pPr>
        <w:rPr>
          <w:rFonts w:cs="Arial"/>
          <w:sz w:val="22"/>
          <w:szCs w:val="22"/>
        </w:rPr>
      </w:pPr>
      <w:r w:rsidRPr="00A43221">
        <w:rPr>
          <w:rFonts w:cs="Arial"/>
          <w:sz w:val="22"/>
          <w:szCs w:val="22"/>
        </w:rPr>
        <w:t>Para la liquidación de la contribución especial de la vigencia 2021, se realizó la depuración a partir de los gastos de funcionamiento (gastos administrativos menos las exclusiones de ley), para de esta manera hallar la base gravable de las empresas reguladas y determinar con ella el cubrimiento del presupuesto apropiado a la CREG para la vigencia 2021.</w:t>
      </w:r>
    </w:p>
    <w:p w14:paraId="38860461" w14:textId="0862CDB7" w:rsidR="004217E9" w:rsidRDefault="004217E9" w:rsidP="00A43221">
      <w:pPr>
        <w:rPr>
          <w:rFonts w:cs="Arial"/>
          <w:sz w:val="22"/>
          <w:szCs w:val="22"/>
        </w:rPr>
      </w:pPr>
    </w:p>
    <w:p w14:paraId="0D528A08" w14:textId="2E6DD44C" w:rsidR="004217E9" w:rsidRPr="004217E9" w:rsidRDefault="00896740" w:rsidP="004217E9">
      <w:pPr>
        <w:pStyle w:val="Subttulo"/>
        <w:numPr>
          <w:ilvl w:val="1"/>
          <w:numId w:val="37"/>
        </w:numPr>
        <w:spacing w:after="0"/>
        <w:ind w:left="357" w:hanging="357"/>
        <w:jc w:val="left"/>
        <w:rPr>
          <w:b/>
          <w:bCs/>
          <w:sz w:val="22"/>
          <w:szCs w:val="22"/>
        </w:rPr>
      </w:pPr>
      <w:bookmarkStart w:id="54" w:name="_Toc88126858"/>
      <w:r>
        <w:rPr>
          <w:b/>
          <w:bCs/>
          <w:sz w:val="22"/>
          <w:szCs w:val="22"/>
        </w:rPr>
        <w:t>FALTANTE PRESUPUESTAL CONTRIBUCIÓN ESPECIAL VIGENCIA 2021.</w:t>
      </w:r>
      <w:bookmarkEnd w:id="54"/>
    </w:p>
    <w:p w14:paraId="594CDA68" w14:textId="77777777" w:rsidR="00A43221" w:rsidRPr="00A43221" w:rsidRDefault="00A43221" w:rsidP="00A43221">
      <w:pPr>
        <w:rPr>
          <w:rFonts w:cs="Arial"/>
          <w:sz w:val="22"/>
          <w:szCs w:val="22"/>
        </w:rPr>
      </w:pPr>
    </w:p>
    <w:p w14:paraId="7463B70C" w14:textId="756378A0" w:rsidR="00A43221" w:rsidRPr="00A43221" w:rsidRDefault="00A43221" w:rsidP="00A43221">
      <w:pPr>
        <w:rPr>
          <w:rFonts w:cs="Arial"/>
          <w:sz w:val="22"/>
          <w:szCs w:val="22"/>
        </w:rPr>
      </w:pPr>
      <w:r w:rsidRPr="00A43221">
        <w:rPr>
          <w:rFonts w:cs="Arial"/>
          <w:sz w:val="22"/>
          <w:szCs w:val="22"/>
        </w:rPr>
        <w:t>Al conformar la base gravable para liquidar la contribución especial 2021 y al aplicar la tarifa del 1% como máxima permitida a los gastos de funcionamiento (menos las anteriores exclusiones listadas), se recaudaría el valor de TREINTA Y DOS MIL VEINTINUEVE MILLONES CUATROCIENTOS OCHENTA Y OCHO MIL QUINIENTOS OCHENTA Y TRES PESOS M/CTE ($32</w:t>
      </w:r>
      <w:r w:rsidR="00391158">
        <w:rPr>
          <w:rFonts w:cs="Arial"/>
          <w:sz w:val="22"/>
          <w:szCs w:val="22"/>
        </w:rPr>
        <w:t>.</w:t>
      </w:r>
      <w:r w:rsidRPr="00A43221">
        <w:rPr>
          <w:rFonts w:cs="Arial"/>
          <w:sz w:val="22"/>
          <w:szCs w:val="22"/>
        </w:rPr>
        <w:t>029</w:t>
      </w:r>
      <w:r w:rsidR="00391158">
        <w:rPr>
          <w:rFonts w:cs="Arial"/>
          <w:sz w:val="22"/>
          <w:szCs w:val="22"/>
        </w:rPr>
        <w:t>.</w:t>
      </w:r>
      <w:r w:rsidRPr="00A43221">
        <w:rPr>
          <w:rFonts w:cs="Arial"/>
          <w:sz w:val="22"/>
          <w:szCs w:val="22"/>
        </w:rPr>
        <w:t>488</w:t>
      </w:r>
      <w:r w:rsidR="00391158">
        <w:rPr>
          <w:rFonts w:cs="Arial"/>
          <w:sz w:val="22"/>
          <w:szCs w:val="22"/>
        </w:rPr>
        <w:t>.</w:t>
      </w:r>
      <w:r w:rsidRPr="00A43221">
        <w:rPr>
          <w:rFonts w:cs="Arial"/>
          <w:sz w:val="22"/>
          <w:szCs w:val="22"/>
        </w:rPr>
        <w:t>583), monto que es inferior al valor neto del presupuesto base de la contribución especial 2021 por valor de TREINTA Y DOS MIL QUINIENTOS CINCO MILLONES SETECIENTOS CUARENTA Y DOS MIL NOVECIENTOS TREINTA Y DOS PESOS M/CTE CON 00/100 CTVOS. ($32</w:t>
      </w:r>
      <w:r w:rsidR="00391158">
        <w:rPr>
          <w:rFonts w:cs="Arial"/>
          <w:sz w:val="22"/>
          <w:szCs w:val="22"/>
        </w:rPr>
        <w:t>.</w:t>
      </w:r>
      <w:r w:rsidRPr="00A43221">
        <w:rPr>
          <w:rFonts w:cs="Arial"/>
          <w:sz w:val="22"/>
          <w:szCs w:val="22"/>
        </w:rPr>
        <w:t>505</w:t>
      </w:r>
      <w:r w:rsidR="00391158">
        <w:rPr>
          <w:rFonts w:cs="Arial"/>
          <w:sz w:val="22"/>
          <w:szCs w:val="22"/>
        </w:rPr>
        <w:t>.</w:t>
      </w:r>
      <w:r w:rsidRPr="00A43221">
        <w:rPr>
          <w:rFonts w:cs="Arial"/>
          <w:sz w:val="22"/>
          <w:szCs w:val="22"/>
        </w:rPr>
        <w:t>742</w:t>
      </w:r>
      <w:r w:rsidR="00391158">
        <w:rPr>
          <w:rFonts w:cs="Arial"/>
          <w:sz w:val="22"/>
          <w:szCs w:val="22"/>
        </w:rPr>
        <w:t>.</w:t>
      </w:r>
      <w:r w:rsidRPr="00A43221">
        <w:rPr>
          <w:rFonts w:cs="Arial"/>
          <w:sz w:val="22"/>
          <w:szCs w:val="22"/>
        </w:rPr>
        <w:t>932</w:t>
      </w:r>
      <w:r w:rsidR="00391158">
        <w:rPr>
          <w:rFonts w:cs="Arial"/>
          <w:sz w:val="22"/>
          <w:szCs w:val="22"/>
        </w:rPr>
        <w:t>,</w:t>
      </w:r>
      <w:r w:rsidRPr="00A43221">
        <w:rPr>
          <w:rFonts w:cs="Arial"/>
          <w:sz w:val="22"/>
          <w:szCs w:val="22"/>
        </w:rPr>
        <w:t>00), constituyéndose así un faltante presupuestal de CUATROCIENTOS SETENTA Y SEIS MILLONES DOSCIENTOS CINCUENTA Y CUATRO MIL TRESCIENTOS CUARENTA Y NUEVE PESOS M/CTE ($476</w:t>
      </w:r>
      <w:r w:rsidR="00391158">
        <w:rPr>
          <w:rFonts w:cs="Arial"/>
          <w:sz w:val="22"/>
          <w:szCs w:val="22"/>
        </w:rPr>
        <w:t>.</w:t>
      </w:r>
      <w:r w:rsidRPr="00A43221">
        <w:rPr>
          <w:rFonts w:cs="Arial"/>
          <w:sz w:val="22"/>
          <w:szCs w:val="22"/>
        </w:rPr>
        <w:t>254</w:t>
      </w:r>
      <w:r w:rsidR="00391158">
        <w:rPr>
          <w:rFonts w:cs="Arial"/>
          <w:sz w:val="22"/>
          <w:szCs w:val="22"/>
        </w:rPr>
        <w:t>.</w:t>
      </w:r>
      <w:r w:rsidRPr="00A43221">
        <w:rPr>
          <w:rFonts w:cs="Arial"/>
          <w:sz w:val="22"/>
          <w:szCs w:val="22"/>
        </w:rPr>
        <w:t>349), el cual es indispensable cubrir con los conceptos establecidos en el parágrafo 2° del artículo 85 de la Ley 142 de 1994, con las previsiones allí establecidas y serán adicionadas en la proporción en que sean indispensables para cubrir el faltante presupuestal de la Entidad.</w:t>
      </w:r>
    </w:p>
    <w:p w14:paraId="30723D73" w14:textId="77777777" w:rsidR="00A43221" w:rsidRPr="00A43221" w:rsidRDefault="00A43221" w:rsidP="00A43221">
      <w:pPr>
        <w:rPr>
          <w:rFonts w:cs="Arial"/>
          <w:sz w:val="22"/>
          <w:szCs w:val="22"/>
        </w:rPr>
      </w:pPr>
    </w:p>
    <w:p w14:paraId="50D98680" w14:textId="3602888F" w:rsidR="00636010" w:rsidRPr="004217E9" w:rsidRDefault="00636010" w:rsidP="00636010">
      <w:pPr>
        <w:pStyle w:val="Subttulo"/>
        <w:numPr>
          <w:ilvl w:val="1"/>
          <w:numId w:val="37"/>
        </w:numPr>
        <w:spacing w:after="0"/>
        <w:ind w:left="357" w:hanging="357"/>
        <w:jc w:val="left"/>
        <w:rPr>
          <w:b/>
          <w:bCs/>
          <w:sz w:val="22"/>
          <w:szCs w:val="22"/>
        </w:rPr>
      </w:pPr>
      <w:bookmarkStart w:id="55" w:name="_Toc88126859"/>
      <w:r w:rsidRPr="004217E9">
        <w:rPr>
          <w:b/>
          <w:bCs/>
          <w:sz w:val="22"/>
          <w:szCs w:val="22"/>
        </w:rPr>
        <w:t>APLICACIÓN DEL PARÁGRAFO 2 DEL ARTÍCULO 85 DE LA LEY 142 DE 1994.</w:t>
      </w:r>
      <w:bookmarkEnd w:id="55"/>
    </w:p>
    <w:p w14:paraId="06D913CE" w14:textId="77777777" w:rsidR="00636010" w:rsidRPr="00A37243" w:rsidRDefault="00636010" w:rsidP="00197ED5">
      <w:pPr>
        <w:rPr>
          <w:rFonts w:cs="Arial"/>
          <w:sz w:val="10"/>
          <w:szCs w:val="10"/>
        </w:rPr>
      </w:pPr>
    </w:p>
    <w:p w14:paraId="5F14021C" w14:textId="395C1B7A" w:rsidR="00197ED5" w:rsidRPr="00984766" w:rsidRDefault="007A6AE7" w:rsidP="00197ED5">
      <w:pPr>
        <w:rPr>
          <w:rFonts w:cs="Arial"/>
          <w:sz w:val="22"/>
          <w:szCs w:val="22"/>
          <w:lang w:val="es-ES_tradnl"/>
        </w:rPr>
      </w:pPr>
      <w:r>
        <w:rPr>
          <w:rFonts w:cs="Arial"/>
          <w:sz w:val="22"/>
          <w:szCs w:val="22"/>
        </w:rPr>
        <w:t xml:space="preserve">Teniendo en cuenta que se observa un faltante presupuestal se debe dar aplicación al parágrafo 2° del artículo 85 de la Ley 142 de 1994. </w:t>
      </w:r>
      <w:r w:rsidR="00C35216">
        <w:rPr>
          <w:rFonts w:cs="Arial"/>
          <w:sz w:val="22"/>
          <w:szCs w:val="22"/>
        </w:rPr>
        <w:t>Al</w:t>
      </w:r>
      <w:r w:rsidR="00197ED5" w:rsidRPr="00984766">
        <w:rPr>
          <w:rFonts w:cs="Arial"/>
          <w:sz w:val="22"/>
          <w:szCs w:val="22"/>
        </w:rPr>
        <w:t xml:space="preserve"> respecto</w:t>
      </w:r>
      <w:r w:rsidR="00C35216">
        <w:rPr>
          <w:rFonts w:cs="Arial"/>
          <w:sz w:val="22"/>
          <w:szCs w:val="22"/>
        </w:rPr>
        <w:t>,</w:t>
      </w:r>
      <w:r w:rsidR="00197ED5" w:rsidRPr="00984766">
        <w:rPr>
          <w:rFonts w:cs="Arial"/>
          <w:sz w:val="22"/>
          <w:szCs w:val="22"/>
        </w:rPr>
        <w:t xml:space="preserve"> el Consejo De Estado, </w:t>
      </w:r>
      <w:r w:rsidR="00197ED5" w:rsidRPr="008053E9">
        <w:rPr>
          <w:rFonts w:cs="Arial"/>
          <w:sz w:val="22"/>
          <w:szCs w:val="22"/>
        </w:rPr>
        <w:t>Sala De Lo Contencioso Administrativo Sección Cuarta</w:t>
      </w:r>
      <w:r w:rsidR="00C35216">
        <w:rPr>
          <w:rFonts w:cs="Arial"/>
          <w:b/>
          <w:bCs/>
          <w:sz w:val="22"/>
          <w:szCs w:val="22"/>
        </w:rPr>
        <w:t>,</w:t>
      </w:r>
      <w:r w:rsidR="00197ED5" w:rsidRPr="00984766">
        <w:rPr>
          <w:rFonts w:cs="Arial"/>
          <w:b/>
          <w:bCs/>
          <w:sz w:val="22"/>
          <w:szCs w:val="22"/>
        </w:rPr>
        <w:t xml:space="preserve"> </w:t>
      </w:r>
      <w:r w:rsidR="00197ED5" w:rsidRPr="00984766">
        <w:rPr>
          <w:rFonts w:cs="Arial"/>
          <w:sz w:val="22"/>
          <w:szCs w:val="22"/>
        </w:rPr>
        <w:t xml:space="preserve">en sentencia dentro del proceso de </w:t>
      </w:r>
      <w:r w:rsidR="00197ED5" w:rsidRPr="00984766">
        <w:rPr>
          <w:rFonts w:cs="Arial"/>
          <w:sz w:val="22"/>
          <w:szCs w:val="22"/>
          <w:lang w:val="es-ES_tradnl"/>
        </w:rPr>
        <w:t>NULIDAD y NULIDAD Y RESTABLECIMIENTO DEL DERECHO 11001-03-27-000-2017-</w:t>
      </w:r>
      <w:r w:rsidR="00197ED5" w:rsidRPr="00984766">
        <w:rPr>
          <w:rFonts w:cs="Arial"/>
          <w:sz w:val="22"/>
          <w:szCs w:val="22"/>
          <w:lang w:val="es-ES_tradnl"/>
        </w:rPr>
        <w:lastRenderedPageBreak/>
        <w:t>00012</w:t>
      </w:r>
      <w:r w:rsidR="009941A4">
        <w:rPr>
          <w:rFonts w:cs="Arial"/>
          <w:sz w:val="22"/>
          <w:szCs w:val="22"/>
          <w:lang w:val="es-ES_tradnl"/>
        </w:rPr>
        <w:t>-00 (22972) GESTIÓN ENERGÉTICA S.</w:t>
      </w:r>
      <w:r w:rsidR="00197ED5" w:rsidRPr="00984766">
        <w:rPr>
          <w:rFonts w:cs="Arial"/>
          <w:sz w:val="22"/>
          <w:szCs w:val="22"/>
          <w:lang w:val="es-ES_tradnl"/>
        </w:rPr>
        <w:t>A</w:t>
      </w:r>
      <w:r w:rsidR="009941A4">
        <w:rPr>
          <w:rFonts w:cs="Arial"/>
          <w:sz w:val="22"/>
          <w:szCs w:val="22"/>
          <w:lang w:val="es-ES_tradnl"/>
        </w:rPr>
        <w:t>.</w:t>
      </w:r>
      <w:r w:rsidR="00197ED5" w:rsidRPr="00984766">
        <w:rPr>
          <w:rFonts w:cs="Arial"/>
          <w:sz w:val="22"/>
          <w:szCs w:val="22"/>
          <w:lang w:val="es-ES_tradnl"/>
        </w:rPr>
        <w:t xml:space="preserve"> </w:t>
      </w:r>
      <w:r w:rsidR="0051232B">
        <w:rPr>
          <w:rFonts w:cs="Arial"/>
          <w:sz w:val="22"/>
          <w:szCs w:val="22"/>
          <w:lang w:val="es-ES_tradnl"/>
        </w:rPr>
        <w:t>ESP</w:t>
      </w:r>
      <w:r w:rsidR="00197ED5" w:rsidRPr="00984766">
        <w:rPr>
          <w:rFonts w:cs="Arial"/>
          <w:sz w:val="22"/>
          <w:szCs w:val="22"/>
          <w:lang w:val="es-ES_tradnl"/>
        </w:rPr>
        <w:t xml:space="preserve"> </w:t>
      </w:r>
      <w:r w:rsidR="00BA18B3">
        <w:rPr>
          <w:rFonts w:cs="Arial"/>
          <w:sz w:val="22"/>
          <w:szCs w:val="22"/>
          <w:lang w:val="es-ES_tradnl"/>
        </w:rPr>
        <w:t>“</w:t>
      </w:r>
      <w:r w:rsidR="00197ED5" w:rsidRPr="00984766">
        <w:rPr>
          <w:rFonts w:cs="Arial"/>
          <w:sz w:val="22"/>
          <w:szCs w:val="22"/>
          <w:lang w:val="es-ES_tradnl"/>
        </w:rPr>
        <w:t xml:space="preserve">GENSA </w:t>
      </w:r>
      <w:r w:rsidR="009941A4">
        <w:rPr>
          <w:rFonts w:cs="Arial"/>
          <w:sz w:val="22"/>
          <w:szCs w:val="22"/>
          <w:lang w:val="es-ES_tradnl"/>
        </w:rPr>
        <w:t>S.A.</w:t>
      </w:r>
      <w:r w:rsidR="00197ED5" w:rsidRPr="00984766">
        <w:rPr>
          <w:rFonts w:cs="Arial"/>
          <w:sz w:val="22"/>
          <w:szCs w:val="22"/>
          <w:lang w:val="es-ES_tradnl"/>
        </w:rPr>
        <w:t xml:space="preserve"> </w:t>
      </w:r>
      <w:r w:rsidR="0051232B">
        <w:rPr>
          <w:rFonts w:cs="Arial"/>
          <w:sz w:val="22"/>
          <w:szCs w:val="22"/>
          <w:lang w:val="es-ES_tradnl"/>
        </w:rPr>
        <w:t>ESP</w:t>
      </w:r>
      <w:r w:rsidR="00197ED5" w:rsidRPr="00984766">
        <w:rPr>
          <w:rFonts w:cs="Arial"/>
          <w:sz w:val="22"/>
          <w:szCs w:val="22"/>
          <w:lang w:val="es-ES_tradnl"/>
        </w:rPr>
        <w:t xml:space="preserve"> contra SUPERINTENDENCIA DE SERVICIOS PÚBLICOS DOMICILIARIOS por la CONTRIBUCIÓN ESPECIAL SSPD 2016 manifestó: </w:t>
      </w:r>
    </w:p>
    <w:p w14:paraId="1DA1CACF" w14:textId="77777777" w:rsidR="00197ED5" w:rsidRPr="002B3D9C" w:rsidRDefault="00197ED5" w:rsidP="00197ED5">
      <w:pPr>
        <w:rPr>
          <w:rFonts w:cs="Arial"/>
          <w:sz w:val="16"/>
          <w:szCs w:val="16"/>
        </w:rPr>
      </w:pPr>
    </w:p>
    <w:p w14:paraId="62EE2A7C" w14:textId="77777777" w:rsidR="00197ED5" w:rsidRPr="00A4267A" w:rsidRDefault="00197ED5" w:rsidP="002B3D9C">
      <w:pPr>
        <w:ind w:left="284" w:right="113"/>
        <w:rPr>
          <w:rFonts w:cs="Arial"/>
          <w:i/>
          <w:iCs/>
          <w:sz w:val="22"/>
          <w:szCs w:val="22"/>
        </w:rPr>
      </w:pPr>
      <w:r w:rsidRPr="00A4267A">
        <w:rPr>
          <w:rFonts w:cs="Arial"/>
          <w:i/>
          <w:iCs/>
          <w:sz w:val="22"/>
          <w:szCs w:val="22"/>
        </w:rPr>
        <w:t>“Entonces, cuando la SSPD necesita cubrir faltantes presupuéstales, la ley permite que los gastos operativos puedan ser adicionados a los gastos de funcionamiento, en la misma proporción en que sean indispensables para cubrir el faltante presupuestal de la superintendencia</w:t>
      </w:r>
      <w:r w:rsidR="009941A4" w:rsidRPr="00A4267A">
        <w:rPr>
          <w:rFonts w:cs="Arial"/>
          <w:i/>
          <w:iCs/>
          <w:sz w:val="22"/>
          <w:szCs w:val="22"/>
        </w:rPr>
        <w:t>.</w:t>
      </w:r>
    </w:p>
    <w:p w14:paraId="65E0B53B" w14:textId="77777777" w:rsidR="00197ED5" w:rsidRPr="002B3D9C" w:rsidRDefault="00197ED5" w:rsidP="002B3D9C">
      <w:pPr>
        <w:ind w:left="284" w:right="113"/>
        <w:rPr>
          <w:rFonts w:cs="Arial"/>
          <w:i/>
          <w:iCs/>
          <w:sz w:val="16"/>
          <w:szCs w:val="16"/>
        </w:rPr>
      </w:pPr>
    </w:p>
    <w:p w14:paraId="78957EA2" w14:textId="77777777" w:rsidR="00197ED5" w:rsidRPr="00A4267A" w:rsidRDefault="00197ED5" w:rsidP="002B3D9C">
      <w:pPr>
        <w:ind w:left="284" w:right="113"/>
        <w:rPr>
          <w:rFonts w:cs="Arial"/>
          <w:i/>
          <w:iCs/>
          <w:sz w:val="22"/>
          <w:szCs w:val="22"/>
          <w:u w:val="single"/>
        </w:rPr>
      </w:pPr>
      <w:r w:rsidRPr="00A4267A">
        <w:rPr>
          <w:rFonts w:cs="Arial"/>
          <w:i/>
          <w:iCs/>
          <w:sz w:val="22"/>
          <w:szCs w:val="22"/>
        </w:rPr>
        <w:t xml:space="preserve">Tratándose de empresas del sector eléctrico, la base gravable se conforma de la siguiente manera: (i) Según la regla general: De los gastos de funcionamiento, asociados al servicio sometido a regulación se excluyen los gastos operativos, las compras de electricidad, las compras de combustibles y los peajes, cuando </w:t>
      </w:r>
      <w:r w:rsidR="009941A4" w:rsidRPr="00A4267A">
        <w:rPr>
          <w:rFonts w:cs="Arial"/>
          <w:i/>
          <w:iCs/>
          <w:sz w:val="22"/>
          <w:szCs w:val="22"/>
        </w:rPr>
        <w:t>hubiere lugar a ello</w:t>
      </w:r>
      <w:r w:rsidRPr="00A4267A">
        <w:rPr>
          <w:rFonts w:cs="Arial"/>
          <w:i/>
          <w:iCs/>
          <w:sz w:val="22"/>
          <w:szCs w:val="22"/>
        </w:rPr>
        <w:t xml:space="preserve">, (ii) conforme a la regla exceptiva, configurado el supuesto de hecho -el faltante presupuestal- </w:t>
      </w:r>
      <w:r w:rsidRPr="00A4267A">
        <w:rPr>
          <w:rFonts w:cs="Arial"/>
          <w:i/>
          <w:iCs/>
          <w:sz w:val="22"/>
          <w:szCs w:val="22"/>
          <w:u w:val="single"/>
        </w:rPr>
        <w:t>la ley permite adicionar a esos rubros los gastos operativos en la misma proporción en que sean indispensables para cubrir el faltante presupuestal de la superintendencia</w:t>
      </w:r>
      <w:r w:rsidR="009030C3" w:rsidRPr="00A4267A">
        <w:rPr>
          <w:rFonts w:cs="Arial"/>
          <w:i/>
          <w:iCs/>
          <w:sz w:val="22"/>
          <w:szCs w:val="22"/>
          <w:u w:val="single"/>
        </w:rPr>
        <w:t>,</w:t>
      </w:r>
      <w:r w:rsidRPr="00A4267A">
        <w:rPr>
          <w:rFonts w:cs="Arial"/>
          <w:i/>
          <w:iCs/>
          <w:sz w:val="22"/>
          <w:szCs w:val="22"/>
          <w:u w:val="single"/>
        </w:rPr>
        <w:t xml:space="preserve"> (Subrayado fuera del texto original)</w:t>
      </w:r>
      <w:r w:rsidR="00377357" w:rsidRPr="00A4267A">
        <w:rPr>
          <w:rFonts w:cs="Arial"/>
          <w:i/>
          <w:iCs/>
          <w:sz w:val="22"/>
          <w:szCs w:val="22"/>
          <w:u w:val="single"/>
        </w:rPr>
        <w:t>.</w:t>
      </w:r>
    </w:p>
    <w:p w14:paraId="6D7911EA" w14:textId="77777777" w:rsidR="00391158" w:rsidRDefault="00391158" w:rsidP="002B3D9C">
      <w:pPr>
        <w:ind w:left="284" w:right="113"/>
        <w:rPr>
          <w:rFonts w:cs="Arial"/>
          <w:i/>
          <w:iCs/>
          <w:sz w:val="22"/>
          <w:szCs w:val="22"/>
        </w:rPr>
      </w:pPr>
    </w:p>
    <w:p w14:paraId="0C2533DF" w14:textId="288766A2" w:rsidR="00197ED5" w:rsidRPr="00A4267A" w:rsidRDefault="00197ED5" w:rsidP="002B3D9C">
      <w:pPr>
        <w:ind w:left="284" w:right="113"/>
        <w:rPr>
          <w:rFonts w:cs="Arial"/>
          <w:i/>
          <w:iCs/>
          <w:sz w:val="22"/>
          <w:szCs w:val="22"/>
        </w:rPr>
      </w:pPr>
      <w:r w:rsidRPr="00A4267A">
        <w:rPr>
          <w:rFonts w:cs="Arial"/>
          <w:i/>
          <w:iCs/>
          <w:sz w:val="22"/>
          <w:szCs w:val="22"/>
        </w:rPr>
        <w:t>La regla general y la excepción previstas por el legislador son concordantes con el fin mismo de la contribución especial, que es recuperar los costos de los servicios de control y vigilancia, y guarda armonía con el artículo 338 de la Constitución Política, que prevé que la tarifa es para la recuperación de costos de los servicios que presta</w:t>
      </w:r>
      <w:r w:rsidR="00377357" w:rsidRPr="00A4267A">
        <w:rPr>
          <w:rFonts w:cs="Arial"/>
          <w:i/>
          <w:iCs/>
          <w:sz w:val="22"/>
          <w:szCs w:val="22"/>
        </w:rPr>
        <w:t xml:space="preserve"> la autoridad administrativa”</w:t>
      </w:r>
    </w:p>
    <w:p w14:paraId="6301FD9F" w14:textId="77777777" w:rsidR="00197ED5" w:rsidRPr="00A4267A" w:rsidRDefault="00197ED5" w:rsidP="002B3D9C">
      <w:pPr>
        <w:ind w:left="284" w:right="113"/>
        <w:rPr>
          <w:rFonts w:cs="Arial"/>
          <w:sz w:val="22"/>
          <w:szCs w:val="22"/>
        </w:rPr>
      </w:pPr>
      <w:r w:rsidRPr="00A4267A">
        <w:rPr>
          <w:rFonts w:cs="Arial"/>
          <w:i/>
          <w:iCs/>
          <w:sz w:val="22"/>
          <w:szCs w:val="22"/>
        </w:rPr>
        <w:t>Que, aunad</w:t>
      </w:r>
      <w:r w:rsidR="00090089" w:rsidRPr="00A4267A">
        <w:rPr>
          <w:rFonts w:cs="Arial"/>
          <w:i/>
          <w:iCs/>
          <w:sz w:val="22"/>
          <w:szCs w:val="22"/>
        </w:rPr>
        <w:t>o a lo anterior, el parágrafo 2°</w:t>
      </w:r>
      <w:r w:rsidR="00131B5D" w:rsidRPr="00A4267A">
        <w:rPr>
          <w:rFonts w:cs="Arial"/>
          <w:i/>
          <w:iCs/>
          <w:sz w:val="22"/>
          <w:szCs w:val="22"/>
        </w:rPr>
        <w:t>,</w:t>
      </w:r>
      <w:r w:rsidRPr="00A4267A">
        <w:rPr>
          <w:rFonts w:cs="Arial"/>
          <w:i/>
          <w:iCs/>
          <w:sz w:val="22"/>
          <w:szCs w:val="22"/>
        </w:rPr>
        <w:t xml:space="preserve"> del artículo 85 de la Ley 142 de 1994 estableció que “Al fijar las contribuciones especiales se eliminarán, de los gastos de funcionamiento, los gastos operativos; en las empresas del sector eléctrico, las compras de electricidad, las compras de combustibles y los peajes, cuando hubiere lugar a ello; y en las empresas de otros sectores los gastos de naturaleza similar a éstos</w:t>
      </w:r>
      <w:r w:rsidR="009030C3" w:rsidRPr="00A4267A">
        <w:rPr>
          <w:rFonts w:cs="Arial"/>
          <w:i/>
          <w:iCs/>
          <w:sz w:val="22"/>
          <w:szCs w:val="22"/>
        </w:rPr>
        <w:t>,</w:t>
      </w:r>
      <w:r w:rsidRPr="00A4267A">
        <w:rPr>
          <w:rFonts w:cs="Arial"/>
          <w:i/>
          <w:iCs/>
          <w:sz w:val="22"/>
          <w:szCs w:val="22"/>
        </w:rPr>
        <w:t xml:space="preserve"> </w:t>
      </w:r>
      <w:r w:rsidRPr="00A4267A">
        <w:rPr>
          <w:rFonts w:cs="Arial"/>
          <w:i/>
          <w:iCs/>
          <w:sz w:val="22"/>
          <w:szCs w:val="22"/>
          <w:u w:val="single"/>
        </w:rPr>
        <w:t>Estos rubros podrán ser adicionados en la misma proporción en que sean indispensables para cubrir faltantes presupuestales de las comisiones y la superintendencia</w:t>
      </w:r>
      <w:r w:rsidRPr="00A4267A">
        <w:rPr>
          <w:rFonts w:cs="Arial"/>
          <w:i/>
          <w:iCs/>
          <w:sz w:val="22"/>
          <w:szCs w:val="22"/>
        </w:rPr>
        <w:t xml:space="preserve">” </w:t>
      </w:r>
      <w:r w:rsidRPr="00A4267A">
        <w:rPr>
          <w:rFonts w:cs="Arial"/>
          <w:sz w:val="22"/>
          <w:szCs w:val="22"/>
        </w:rPr>
        <w:t>(subrayado fuera del texto original)</w:t>
      </w:r>
      <w:r w:rsidR="00377357" w:rsidRPr="00A4267A">
        <w:rPr>
          <w:rFonts w:cs="Arial"/>
          <w:sz w:val="22"/>
          <w:szCs w:val="22"/>
        </w:rPr>
        <w:t>.</w:t>
      </w:r>
    </w:p>
    <w:p w14:paraId="2D428FF8" w14:textId="77777777" w:rsidR="00A43221" w:rsidRPr="003A0C99" w:rsidRDefault="00A43221" w:rsidP="00CE5F55">
      <w:pPr>
        <w:ind w:right="-91"/>
        <w:rPr>
          <w:rFonts w:cs="Arial"/>
          <w:sz w:val="10"/>
          <w:szCs w:val="10"/>
        </w:rPr>
      </w:pPr>
    </w:p>
    <w:p w14:paraId="2DDF3787" w14:textId="77777777" w:rsidR="008053E9" w:rsidRDefault="008053E9" w:rsidP="00A43221">
      <w:pPr>
        <w:rPr>
          <w:rFonts w:cs="Arial"/>
          <w:sz w:val="22"/>
          <w:szCs w:val="22"/>
        </w:rPr>
      </w:pPr>
    </w:p>
    <w:p w14:paraId="12B91A31" w14:textId="51EA8AE4" w:rsidR="00A4267A" w:rsidRDefault="00A43221" w:rsidP="008053E9">
      <w:pPr>
        <w:rPr>
          <w:rFonts w:cs="Arial"/>
          <w:sz w:val="22"/>
          <w:szCs w:val="22"/>
        </w:rPr>
      </w:pPr>
      <w:r w:rsidRPr="00A43221">
        <w:rPr>
          <w:rFonts w:cs="Arial"/>
          <w:sz w:val="22"/>
          <w:szCs w:val="22"/>
        </w:rPr>
        <w:t xml:space="preserve">Al darse la necesidad de cubrir faltantes presupuestales, el </w:t>
      </w:r>
      <w:r w:rsidR="003A0C99">
        <w:rPr>
          <w:rFonts w:cs="Arial"/>
          <w:sz w:val="22"/>
          <w:szCs w:val="22"/>
        </w:rPr>
        <w:t>p</w:t>
      </w:r>
      <w:r w:rsidRPr="00A43221">
        <w:rPr>
          <w:rFonts w:cs="Arial"/>
          <w:sz w:val="22"/>
          <w:szCs w:val="22"/>
        </w:rPr>
        <w:t xml:space="preserve">arágrafo 2° del artículo 85 de la Ley 142 de 1994 define como conceptos enumerativos e incluyentes los siguientes: </w:t>
      </w:r>
    </w:p>
    <w:p w14:paraId="2E3AEAF0" w14:textId="77777777" w:rsidR="00A4267A" w:rsidRDefault="00A4267A" w:rsidP="008053E9">
      <w:pPr>
        <w:rPr>
          <w:rFonts w:cs="Arial"/>
          <w:sz w:val="22"/>
          <w:szCs w:val="22"/>
        </w:rPr>
      </w:pPr>
    </w:p>
    <w:p w14:paraId="1A7D749B" w14:textId="360E3989" w:rsidR="00A4267A" w:rsidRDefault="008053E9" w:rsidP="008053E9">
      <w:pPr>
        <w:pStyle w:val="Prrafodelista"/>
        <w:numPr>
          <w:ilvl w:val="0"/>
          <w:numId w:val="47"/>
        </w:numPr>
        <w:spacing w:after="0"/>
        <w:rPr>
          <w:rFonts w:ascii="Arial" w:hAnsi="Arial" w:cs="Arial"/>
        </w:rPr>
      </w:pPr>
      <w:r>
        <w:rPr>
          <w:rFonts w:ascii="Arial" w:hAnsi="Arial" w:cs="Arial"/>
        </w:rPr>
        <w:t>G</w:t>
      </w:r>
      <w:r w:rsidR="00A43221" w:rsidRPr="008053E9">
        <w:rPr>
          <w:rFonts w:ascii="Arial" w:hAnsi="Arial" w:cs="Arial"/>
        </w:rPr>
        <w:t>astos operativos,</w:t>
      </w:r>
    </w:p>
    <w:p w14:paraId="7E1CA1B2" w14:textId="23047551" w:rsidR="008053E9" w:rsidRDefault="008053E9" w:rsidP="008053E9">
      <w:pPr>
        <w:pStyle w:val="Prrafodelista"/>
        <w:numPr>
          <w:ilvl w:val="0"/>
          <w:numId w:val="47"/>
        </w:numPr>
        <w:spacing w:after="0"/>
        <w:rPr>
          <w:rFonts w:ascii="Arial" w:hAnsi="Arial" w:cs="Arial"/>
        </w:rPr>
      </w:pPr>
      <w:r>
        <w:rPr>
          <w:rFonts w:ascii="Arial" w:hAnsi="Arial" w:cs="Arial"/>
        </w:rPr>
        <w:t>C</w:t>
      </w:r>
      <w:r w:rsidR="00A43221" w:rsidRPr="008053E9">
        <w:rPr>
          <w:rFonts w:ascii="Arial" w:hAnsi="Arial" w:cs="Arial"/>
        </w:rPr>
        <w:t>ompras de electricidad, combustibles y peajes y</w:t>
      </w:r>
    </w:p>
    <w:p w14:paraId="777ACFD3" w14:textId="02E3F7AC" w:rsidR="008053E9" w:rsidRDefault="007A6AE7" w:rsidP="008053E9">
      <w:pPr>
        <w:pStyle w:val="Prrafodelista"/>
        <w:numPr>
          <w:ilvl w:val="0"/>
          <w:numId w:val="47"/>
        </w:numPr>
        <w:spacing w:after="0"/>
        <w:rPr>
          <w:rFonts w:ascii="Arial" w:hAnsi="Arial" w:cs="Arial"/>
        </w:rPr>
      </w:pPr>
      <w:r>
        <w:rPr>
          <w:rFonts w:ascii="Arial" w:hAnsi="Arial" w:cs="Arial"/>
        </w:rPr>
        <w:t>G</w:t>
      </w:r>
      <w:r w:rsidR="00A43221" w:rsidRPr="008053E9">
        <w:rPr>
          <w:rFonts w:ascii="Arial" w:hAnsi="Arial" w:cs="Arial"/>
        </w:rPr>
        <w:t>astos de naturaleza similar</w:t>
      </w:r>
      <w:r w:rsidR="008053E9">
        <w:rPr>
          <w:rFonts w:ascii="Arial" w:hAnsi="Arial" w:cs="Arial"/>
        </w:rPr>
        <w:t>.</w:t>
      </w:r>
    </w:p>
    <w:p w14:paraId="74F9C182" w14:textId="77777777" w:rsidR="008053E9" w:rsidRPr="008053E9" w:rsidRDefault="008053E9" w:rsidP="008053E9">
      <w:pPr>
        <w:rPr>
          <w:rFonts w:cs="Arial"/>
        </w:rPr>
      </w:pPr>
    </w:p>
    <w:p w14:paraId="7827F14F" w14:textId="77777777" w:rsidR="008053E9" w:rsidRDefault="008053E9" w:rsidP="008053E9">
      <w:pPr>
        <w:rPr>
          <w:rFonts w:cs="Arial"/>
          <w:sz w:val="22"/>
          <w:szCs w:val="22"/>
        </w:rPr>
      </w:pPr>
      <w:r w:rsidRPr="008053E9">
        <w:rPr>
          <w:rFonts w:cs="Arial"/>
          <w:sz w:val="22"/>
          <w:szCs w:val="22"/>
        </w:rPr>
        <w:t>E</w:t>
      </w:r>
      <w:r w:rsidR="00A43221" w:rsidRPr="008053E9">
        <w:rPr>
          <w:rFonts w:cs="Arial"/>
          <w:sz w:val="22"/>
          <w:szCs w:val="22"/>
        </w:rPr>
        <w:t xml:space="preserve">s decir, no se puede negar el primer inciso de los gastos operativos, porque: </w:t>
      </w:r>
    </w:p>
    <w:p w14:paraId="4584AF33" w14:textId="77777777" w:rsidR="008053E9" w:rsidRDefault="008053E9" w:rsidP="008053E9">
      <w:pPr>
        <w:rPr>
          <w:rFonts w:cs="Arial"/>
          <w:sz w:val="22"/>
          <w:szCs w:val="22"/>
        </w:rPr>
      </w:pPr>
    </w:p>
    <w:p w14:paraId="191F639F" w14:textId="10361980" w:rsidR="008053E9" w:rsidRDefault="008053E9" w:rsidP="008053E9">
      <w:pPr>
        <w:pStyle w:val="Prrafodelista"/>
        <w:numPr>
          <w:ilvl w:val="0"/>
          <w:numId w:val="48"/>
        </w:numPr>
        <w:spacing w:after="0"/>
        <w:rPr>
          <w:rFonts w:ascii="Arial" w:hAnsi="Arial" w:cs="Arial"/>
        </w:rPr>
      </w:pPr>
      <w:r>
        <w:rPr>
          <w:rFonts w:ascii="Arial" w:hAnsi="Arial" w:cs="Arial"/>
        </w:rPr>
        <w:t>E</w:t>
      </w:r>
      <w:r w:rsidR="00A43221" w:rsidRPr="008053E9">
        <w:rPr>
          <w:rFonts w:ascii="Arial" w:hAnsi="Arial" w:cs="Arial"/>
        </w:rPr>
        <w:t>ste inciso de gastos operativos es parte integral del parágrafo en mención y</w:t>
      </w:r>
    </w:p>
    <w:p w14:paraId="70E1DC20" w14:textId="00FF88EE" w:rsidR="008053E9" w:rsidRDefault="008053E9" w:rsidP="008053E9">
      <w:pPr>
        <w:pStyle w:val="Prrafodelista"/>
        <w:numPr>
          <w:ilvl w:val="0"/>
          <w:numId w:val="48"/>
        </w:numPr>
        <w:spacing w:after="0"/>
        <w:rPr>
          <w:rFonts w:ascii="Arial" w:hAnsi="Arial" w:cs="Arial"/>
        </w:rPr>
      </w:pPr>
      <w:r>
        <w:rPr>
          <w:rFonts w:ascii="Arial" w:hAnsi="Arial" w:cs="Arial"/>
        </w:rPr>
        <w:t>D</w:t>
      </w:r>
      <w:r w:rsidR="00A43221" w:rsidRPr="008053E9">
        <w:rPr>
          <w:rFonts w:ascii="Arial" w:hAnsi="Arial" w:cs="Arial"/>
        </w:rPr>
        <w:t>e llegar a haber faltantes presupuestales, el último inciso así lo permite</w:t>
      </w:r>
      <w:r w:rsidR="000B2583">
        <w:rPr>
          <w:rFonts w:ascii="Arial" w:hAnsi="Arial" w:cs="Arial"/>
        </w:rPr>
        <w:t>.</w:t>
      </w:r>
    </w:p>
    <w:p w14:paraId="61A2E4E8" w14:textId="248E569B" w:rsidR="002B3D9C" w:rsidRDefault="002B3D9C" w:rsidP="00CE5F55">
      <w:pPr>
        <w:ind w:right="-91"/>
        <w:rPr>
          <w:rFonts w:cs="Arial"/>
          <w:sz w:val="22"/>
          <w:szCs w:val="22"/>
        </w:rPr>
      </w:pPr>
    </w:p>
    <w:p w14:paraId="187AC726" w14:textId="27AAB73E" w:rsidR="00636010" w:rsidRPr="004217E9" w:rsidRDefault="00A37243" w:rsidP="00636010">
      <w:pPr>
        <w:pStyle w:val="Subttulo"/>
        <w:numPr>
          <w:ilvl w:val="1"/>
          <w:numId w:val="37"/>
        </w:numPr>
        <w:spacing w:after="0"/>
        <w:ind w:left="357" w:hanging="357"/>
        <w:jc w:val="left"/>
        <w:rPr>
          <w:b/>
          <w:bCs/>
          <w:sz w:val="22"/>
          <w:szCs w:val="22"/>
        </w:rPr>
      </w:pPr>
      <w:bookmarkStart w:id="56" w:name="_Toc88126860"/>
      <w:bookmarkStart w:id="57" w:name="_Hlk86333635"/>
      <w:r>
        <w:rPr>
          <w:b/>
          <w:bCs/>
          <w:sz w:val="22"/>
          <w:szCs w:val="22"/>
        </w:rPr>
        <w:lastRenderedPageBreak/>
        <w:t xml:space="preserve">BASE GRAVABLE </w:t>
      </w:r>
      <w:r w:rsidR="00896740">
        <w:rPr>
          <w:b/>
          <w:bCs/>
          <w:sz w:val="22"/>
          <w:szCs w:val="22"/>
        </w:rPr>
        <w:t>LIQUIDACIÓN CONTRIBUCIÓN ESPECIAL 2021.</w:t>
      </w:r>
      <w:bookmarkEnd w:id="56"/>
    </w:p>
    <w:bookmarkEnd w:id="57"/>
    <w:p w14:paraId="1A857E8C" w14:textId="051A876A" w:rsidR="00636010" w:rsidRDefault="00636010" w:rsidP="00CE5F55">
      <w:pPr>
        <w:ind w:right="-91"/>
        <w:rPr>
          <w:rFonts w:cs="Arial"/>
          <w:sz w:val="22"/>
          <w:szCs w:val="22"/>
        </w:rPr>
      </w:pPr>
    </w:p>
    <w:p w14:paraId="65C9A747" w14:textId="2AA2CEBF" w:rsidR="00A37243" w:rsidRDefault="00A37243" w:rsidP="00CE5F55">
      <w:pPr>
        <w:ind w:right="-91"/>
        <w:rPr>
          <w:rFonts w:cs="Arial"/>
          <w:sz w:val="22"/>
          <w:szCs w:val="22"/>
        </w:rPr>
      </w:pPr>
      <w:r>
        <w:rPr>
          <w:rFonts w:cs="Arial"/>
          <w:sz w:val="22"/>
          <w:szCs w:val="22"/>
        </w:rPr>
        <w:t>Teniendo en cuenta la necesidad del uso del parágrafo 2° del artículo 85 de la Ley 142 de 1994 se tuvieron en cuenta las siguientes bases gravab</w:t>
      </w:r>
      <w:r w:rsidR="000B2583">
        <w:rPr>
          <w:rFonts w:cs="Arial"/>
          <w:sz w:val="22"/>
          <w:szCs w:val="22"/>
        </w:rPr>
        <w:t>l</w:t>
      </w:r>
      <w:r>
        <w:rPr>
          <w:rFonts w:cs="Arial"/>
          <w:sz w:val="22"/>
          <w:szCs w:val="22"/>
        </w:rPr>
        <w:t>es de la información financiera 2020 reportada en el SUI:</w:t>
      </w:r>
    </w:p>
    <w:p w14:paraId="541CBD8C" w14:textId="77777777" w:rsidR="00A37243" w:rsidRDefault="00A37243" w:rsidP="00CE5F55">
      <w:pPr>
        <w:ind w:right="-91"/>
        <w:rPr>
          <w:rFonts w:cs="Arial"/>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55"/>
        <w:gridCol w:w="2693"/>
        <w:gridCol w:w="2551"/>
        <w:gridCol w:w="2268"/>
      </w:tblGrid>
      <w:tr w:rsidR="003A0C99" w:rsidRPr="00A37243" w14:paraId="01376B4B" w14:textId="77777777" w:rsidTr="00271B60">
        <w:trPr>
          <w:trHeight w:val="290"/>
          <w:tblHeader/>
        </w:trPr>
        <w:tc>
          <w:tcPr>
            <w:tcW w:w="1555" w:type="dxa"/>
            <w:shd w:val="clear" w:color="auto" w:fill="E7E6E6" w:themeFill="background2"/>
            <w:noWrap/>
            <w:vAlign w:val="center"/>
            <w:hideMark/>
          </w:tcPr>
          <w:p w14:paraId="5A2FF05F" w14:textId="77777777" w:rsidR="003A0C99" w:rsidRPr="003A0C99" w:rsidRDefault="003A0C99" w:rsidP="003A0C99">
            <w:pPr>
              <w:jc w:val="center"/>
              <w:rPr>
                <w:rFonts w:ascii="Arial Narrow" w:hAnsi="Arial Narrow" w:cs="Calibri"/>
                <w:b/>
                <w:bCs/>
                <w:color w:val="000000"/>
                <w:spacing w:val="0"/>
                <w:sz w:val="22"/>
                <w:szCs w:val="22"/>
                <w:lang w:eastAsia="es-CO"/>
              </w:rPr>
            </w:pPr>
            <w:r w:rsidRPr="003A0C99">
              <w:rPr>
                <w:rFonts w:ascii="Arial Narrow" w:hAnsi="Arial Narrow" w:cs="Calibri"/>
                <w:b/>
                <w:bCs/>
                <w:color w:val="000000"/>
                <w:spacing w:val="0"/>
                <w:sz w:val="22"/>
                <w:szCs w:val="22"/>
                <w:lang w:eastAsia="es-CO"/>
              </w:rPr>
              <w:t>TIPO DE GASTO</w:t>
            </w:r>
          </w:p>
        </w:tc>
        <w:tc>
          <w:tcPr>
            <w:tcW w:w="5244" w:type="dxa"/>
            <w:gridSpan w:val="2"/>
            <w:shd w:val="clear" w:color="auto" w:fill="E7E6E6" w:themeFill="background2"/>
            <w:noWrap/>
            <w:vAlign w:val="center"/>
            <w:hideMark/>
          </w:tcPr>
          <w:p w14:paraId="7C25502A" w14:textId="77777777" w:rsidR="003A0C99" w:rsidRPr="003A0C99" w:rsidRDefault="003A0C99" w:rsidP="003A0C99">
            <w:pPr>
              <w:jc w:val="center"/>
              <w:rPr>
                <w:rFonts w:ascii="Arial Narrow" w:hAnsi="Arial Narrow" w:cs="Calibri"/>
                <w:b/>
                <w:bCs/>
                <w:color w:val="000000"/>
                <w:spacing w:val="0"/>
                <w:sz w:val="22"/>
                <w:szCs w:val="22"/>
                <w:lang w:eastAsia="es-CO"/>
              </w:rPr>
            </w:pPr>
            <w:r w:rsidRPr="003A0C99">
              <w:rPr>
                <w:rFonts w:ascii="Arial Narrow" w:hAnsi="Arial Narrow" w:cs="Calibri"/>
                <w:b/>
                <w:bCs/>
                <w:color w:val="000000"/>
                <w:spacing w:val="0"/>
                <w:sz w:val="22"/>
                <w:szCs w:val="22"/>
                <w:lang w:eastAsia="es-CO"/>
              </w:rPr>
              <w:t xml:space="preserve"> CONCEPTOS </w:t>
            </w:r>
          </w:p>
        </w:tc>
        <w:tc>
          <w:tcPr>
            <w:tcW w:w="2268" w:type="dxa"/>
            <w:shd w:val="clear" w:color="auto" w:fill="E7E6E6" w:themeFill="background2"/>
            <w:noWrap/>
            <w:vAlign w:val="center"/>
            <w:hideMark/>
          </w:tcPr>
          <w:p w14:paraId="3E814B6D" w14:textId="77777777" w:rsidR="003A0C99" w:rsidRPr="003A0C99" w:rsidRDefault="003A0C99" w:rsidP="003A0C99">
            <w:pPr>
              <w:jc w:val="right"/>
              <w:rPr>
                <w:rFonts w:ascii="Arial Narrow" w:hAnsi="Arial Narrow" w:cs="Calibri"/>
                <w:b/>
                <w:bCs/>
                <w:color w:val="000000"/>
                <w:spacing w:val="0"/>
                <w:sz w:val="22"/>
                <w:szCs w:val="22"/>
                <w:lang w:eastAsia="es-CO"/>
              </w:rPr>
            </w:pPr>
            <w:r w:rsidRPr="003A0C99">
              <w:rPr>
                <w:rFonts w:ascii="Arial Narrow" w:hAnsi="Arial Narrow" w:cs="Calibri"/>
                <w:b/>
                <w:bCs/>
                <w:color w:val="000000"/>
                <w:spacing w:val="0"/>
                <w:sz w:val="22"/>
                <w:szCs w:val="22"/>
                <w:lang w:eastAsia="es-CO"/>
              </w:rPr>
              <w:t>VALORES EEFF 2020</w:t>
            </w:r>
          </w:p>
        </w:tc>
      </w:tr>
      <w:tr w:rsidR="003A0C99" w:rsidRPr="00A37243" w14:paraId="5D58FED9" w14:textId="77777777" w:rsidTr="00E02CAF">
        <w:trPr>
          <w:trHeight w:val="290"/>
        </w:trPr>
        <w:tc>
          <w:tcPr>
            <w:tcW w:w="1555" w:type="dxa"/>
            <w:shd w:val="clear" w:color="auto" w:fill="auto"/>
            <w:noWrap/>
            <w:vAlign w:val="center"/>
            <w:hideMark/>
          </w:tcPr>
          <w:p w14:paraId="461BD5CA" w14:textId="77777777" w:rsidR="003A0C99" w:rsidRPr="003A0C99" w:rsidRDefault="003A0C99" w:rsidP="003A0C99">
            <w:pPr>
              <w:jc w:val="left"/>
              <w:rPr>
                <w:rFonts w:ascii="Arial Narrow" w:hAnsi="Arial Narrow" w:cs="Arial"/>
                <w:spacing w:val="0"/>
                <w:sz w:val="22"/>
                <w:szCs w:val="22"/>
                <w:lang w:eastAsia="es-CO"/>
              </w:rPr>
            </w:pPr>
            <w:r w:rsidRPr="003A0C99">
              <w:rPr>
                <w:rFonts w:ascii="Arial Narrow" w:hAnsi="Arial Narrow" w:cs="Arial"/>
                <w:spacing w:val="0"/>
                <w:sz w:val="22"/>
                <w:szCs w:val="22"/>
                <w:lang w:eastAsia="es-CO"/>
              </w:rPr>
              <w:t>Administrativo</w:t>
            </w:r>
          </w:p>
        </w:tc>
        <w:tc>
          <w:tcPr>
            <w:tcW w:w="5244" w:type="dxa"/>
            <w:gridSpan w:val="2"/>
            <w:shd w:val="clear" w:color="auto" w:fill="auto"/>
            <w:noWrap/>
            <w:vAlign w:val="center"/>
            <w:hideMark/>
          </w:tcPr>
          <w:p w14:paraId="34E59368" w14:textId="77777777" w:rsidR="003A0C99" w:rsidRPr="003A0C99" w:rsidRDefault="003A0C99" w:rsidP="003A0C99">
            <w:pPr>
              <w:jc w:val="left"/>
              <w:rPr>
                <w:rFonts w:ascii="Arial Narrow" w:hAnsi="Arial Narrow" w:cs="Arial"/>
                <w:spacing w:val="0"/>
                <w:sz w:val="22"/>
                <w:szCs w:val="22"/>
                <w:lang w:eastAsia="es-CO"/>
              </w:rPr>
            </w:pPr>
            <w:r w:rsidRPr="003A0C99">
              <w:rPr>
                <w:rFonts w:ascii="Arial Narrow" w:hAnsi="Arial Narrow" w:cs="Arial"/>
                <w:spacing w:val="0"/>
                <w:sz w:val="22"/>
                <w:szCs w:val="22"/>
                <w:lang w:eastAsia="es-CO"/>
              </w:rPr>
              <w:t xml:space="preserve"> Total Gastos Administrativos </w:t>
            </w:r>
          </w:p>
        </w:tc>
        <w:tc>
          <w:tcPr>
            <w:tcW w:w="2268" w:type="dxa"/>
            <w:shd w:val="clear" w:color="auto" w:fill="auto"/>
            <w:noWrap/>
            <w:vAlign w:val="center"/>
            <w:hideMark/>
          </w:tcPr>
          <w:p w14:paraId="6654C6BC" w14:textId="35F0F5B9" w:rsidR="003A0C99" w:rsidRPr="003A0C99" w:rsidRDefault="003A0C99" w:rsidP="003A0C99">
            <w:pPr>
              <w:jc w:val="right"/>
              <w:rPr>
                <w:rFonts w:ascii="Arial Narrow" w:hAnsi="Arial Narrow" w:cs="Arial"/>
                <w:spacing w:val="0"/>
                <w:sz w:val="22"/>
                <w:szCs w:val="22"/>
                <w:lang w:eastAsia="es-CO"/>
              </w:rPr>
            </w:pPr>
            <w:r w:rsidRPr="003A0C99">
              <w:rPr>
                <w:rFonts w:ascii="Arial Narrow" w:hAnsi="Arial Narrow" w:cs="Arial"/>
                <w:spacing w:val="0"/>
                <w:sz w:val="22"/>
                <w:szCs w:val="22"/>
                <w:lang w:eastAsia="es-CO"/>
              </w:rPr>
              <w:t xml:space="preserve">     14</w:t>
            </w:r>
            <w:r w:rsidR="00EA0452">
              <w:rPr>
                <w:rFonts w:ascii="Arial Narrow" w:hAnsi="Arial Narrow" w:cs="Arial"/>
                <w:spacing w:val="0"/>
                <w:sz w:val="22"/>
                <w:szCs w:val="22"/>
                <w:lang w:eastAsia="es-CO"/>
              </w:rPr>
              <w:t>.</w:t>
            </w:r>
            <w:r w:rsidRPr="003A0C99">
              <w:rPr>
                <w:rFonts w:ascii="Arial Narrow" w:hAnsi="Arial Narrow" w:cs="Arial"/>
                <w:spacing w:val="0"/>
                <w:sz w:val="22"/>
                <w:szCs w:val="22"/>
                <w:lang w:eastAsia="es-CO"/>
              </w:rPr>
              <w:t>716</w:t>
            </w:r>
            <w:r w:rsidR="00EA0452">
              <w:rPr>
                <w:rFonts w:ascii="Arial Narrow" w:hAnsi="Arial Narrow" w:cs="Arial"/>
                <w:spacing w:val="0"/>
                <w:sz w:val="22"/>
                <w:szCs w:val="22"/>
                <w:lang w:eastAsia="es-CO"/>
              </w:rPr>
              <w:t>.</w:t>
            </w:r>
            <w:r w:rsidRPr="003A0C99">
              <w:rPr>
                <w:rFonts w:ascii="Arial Narrow" w:hAnsi="Arial Narrow" w:cs="Arial"/>
                <w:spacing w:val="0"/>
                <w:sz w:val="22"/>
                <w:szCs w:val="22"/>
                <w:lang w:eastAsia="es-CO"/>
              </w:rPr>
              <w:t>927</w:t>
            </w:r>
            <w:r w:rsidR="00EA0452">
              <w:rPr>
                <w:rFonts w:ascii="Arial Narrow" w:hAnsi="Arial Narrow" w:cs="Arial"/>
                <w:spacing w:val="0"/>
                <w:sz w:val="22"/>
                <w:szCs w:val="22"/>
                <w:lang w:eastAsia="es-CO"/>
              </w:rPr>
              <w:t>.</w:t>
            </w:r>
            <w:r w:rsidRPr="003A0C99">
              <w:rPr>
                <w:rFonts w:ascii="Arial Narrow" w:hAnsi="Arial Narrow" w:cs="Arial"/>
                <w:spacing w:val="0"/>
                <w:sz w:val="22"/>
                <w:szCs w:val="22"/>
                <w:lang w:eastAsia="es-CO"/>
              </w:rPr>
              <w:t>976</w:t>
            </w:r>
            <w:r w:rsidR="00EA0452">
              <w:rPr>
                <w:rFonts w:ascii="Arial Narrow" w:hAnsi="Arial Narrow" w:cs="Arial"/>
                <w:spacing w:val="0"/>
                <w:sz w:val="22"/>
                <w:szCs w:val="22"/>
                <w:lang w:eastAsia="es-CO"/>
              </w:rPr>
              <w:t>.</w:t>
            </w:r>
            <w:r w:rsidRPr="003A0C99">
              <w:rPr>
                <w:rFonts w:ascii="Arial Narrow" w:hAnsi="Arial Narrow" w:cs="Arial"/>
                <w:spacing w:val="0"/>
                <w:sz w:val="22"/>
                <w:szCs w:val="22"/>
                <w:lang w:eastAsia="es-CO"/>
              </w:rPr>
              <w:t xml:space="preserve">370 </w:t>
            </w:r>
          </w:p>
        </w:tc>
      </w:tr>
      <w:tr w:rsidR="003A0C99" w:rsidRPr="00A37243" w14:paraId="31E6020A" w14:textId="77777777" w:rsidTr="00E02CAF">
        <w:trPr>
          <w:trHeight w:val="290"/>
        </w:trPr>
        <w:tc>
          <w:tcPr>
            <w:tcW w:w="1555" w:type="dxa"/>
            <w:shd w:val="clear" w:color="auto" w:fill="auto"/>
            <w:noWrap/>
            <w:vAlign w:val="center"/>
            <w:hideMark/>
          </w:tcPr>
          <w:p w14:paraId="3A35C1E5" w14:textId="77777777" w:rsidR="003A0C99" w:rsidRPr="003A0C99" w:rsidRDefault="003A0C99" w:rsidP="003A0C99">
            <w:pPr>
              <w:jc w:val="left"/>
              <w:rPr>
                <w:rFonts w:ascii="Arial Narrow" w:hAnsi="Arial Narrow" w:cs="Arial"/>
                <w:spacing w:val="0"/>
                <w:sz w:val="22"/>
                <w:szCs w:val="22"/>
                <w:lang w:eastAsia="es-CO"/>
              </w:rPr>
            </w:pPr>
            <w:r w:rsidRPr="003A0C99">
              <w:rPr>
                <w:rFonts w:ascii="Arial Narrow" w:hAnsi="Arial Narrow" w:cs="Arial"/>
                <w:spacing w:val="0"/>
                <w:sz w:val="22"/>
                <w:szCs w:val="22"/>
                <w:lang w:eastAsia="es-CO"/>
              </w:rPr>
              <w:t>Administrativo</w:t>
            </w:r>
          </w:p>
        </w:tc>
        <w:tc>
          <w:tcPr>
            <w:tcW w:w="5244" w:type="dxa"/>
            <w:gridSpan w:val="2"/>
            <w:shd w:val="clear" w:color="auto" w:fill="auto"/>
            <w:noWrap/>
            <w:vAlign w:val="center"/>
            <w:hideMark/>
          </w:tcPr>
          <w:p w14:paraId="3B5C39B8" w14:textId="77777777" w:rsidR="003A0C99" w:rsidRPr="003A0C99" w:rsidRDefault="003A0C99" w:rsidP="003A0C99">
            <w:pPr>
              <w:jc w:val="left"/>
              <w:rPr>
                <w:rFonts w:ascii="Arial Narrow" w:hAnsi="Arial Narrow" w:cs="Arial"/>
                <w:spacing w:val="0"/>
                <w:sz w:val="22"/>
                <w:szCs w:val="22"/>
                <w:lang w:eastAsia="es-CO"/>
              </w:rPr>
            </w:pPr>
            <w:r w:rsidRPr="003A0C99">
              <w:rPr>
                <w:rFonts w:ascii="Arial Narrow" w:hAnsi="Arial Narrow" w:cs="Arial"/>
                <w:spacing w:val="0"/>
                <w:sz w:val="22"/>
                <w:szCs w:val="22"/>
                <w:lang w:eastAsia="es-CO"/>
              </w:rPr>
              <w:t xml:space="preserve"> (-) Ajustes Diferencia en Cambio </w:t>
            </w:r>
          </w:p>
        </w:tc>
        <w:tc>
          <w:tcPr>
            <w:tcW w:w="2268" w:type="dxa"/>
            <w:shd w:val="clear" w:color="auto" w:fill="auto"/>
            <w:noWrap/>
            <w:vAlign w:val="center"/>
            <w:hideMark/>
          </w:tcPr>
          <w:p w14:paraId="5C1F2547" w14:textId="4E7005C5" w:rsidR="003A0C99" w:rsidRPr="003A0C99" w:rsidRDefault="003A0C99" w:rsidP="003A0C99">
            <w:pPr>
              <w:jc w:val="right"/>
              <w:rPr>
                <w:rFonts w:ascii="Arial Narrow" w:hAnsi="Arial Narrow" w:cs="Arial"/>
                <w:spacing w:val="0"/>
                <w:sz w:val="22"/>
                <w:szCs w:val="22"/>
                <w:lang w:eastAsia="es-CO"/>
              </w:rPr>
            </w:pPr>
            <w:r w:rsidRPr="003A0C99">
              <w:rPr>
                <w:rFonts w:ascii="Arial Narrow" w:hAnsi="Arial Narrow" w:cs="Arial"/>
                <w:spacing w:val="0"/>
                <w:sz w:val="22"/>
                <w:szCs w:val="22"/>
                <w:lang w:eastAsia="es-CO"/>
              </w:rPr>
              <w:t xml:space="preserve">        1</w:t>
            </w:r>
            <w:r w:rsidR="00EA0452">
              <w:rPr>
                <w:rFonts w:ascii="Arial Narrow" w:hAnsi="Arial Narrow" w:cs="Arial"/>
                <w:spacing w:val="0"/>
                <w:sz w:val="22"/>
                <w:szCs w:val="22"/>
                <w:lang w:eastAsia="es-CO"/>
              </w:rPr>
              <w:t>.</w:t>
            </w:r>
            <w:r w:rsidRPr="003A0C99">
              <w:rPr>
                <w:rFonts w:ascii="Arial Narrow" w:hAnsi="Arial Narrow" w:cs="Arial"/>
                <w:spacing w:val="0"/>
                <w:sz w:val="22"/>
                <w:szCs w:val="22"/>
                <w:lang w:eastAsia="es-CO"/>
              </w:rPr>
              <w:t>099</w:t>
            </w:r>
            <w:r w:rsidR="00EA0452">
              <w:rPr>
                <w:rFonts w:ascii="Arial Narrow" w:hAnsi="Arial Narrow" w:cs="Arial"/>
                <w:spacing w:val="0"/>
                <w:sz w:val="22"/>
                <w:szCs w:val="22"/>
                <w:lang w:eastAsia="es-CO"/>
              </w:rPr>
              <w:t>.</w:t>
            </w:r>
            <w:r w:rsidRPr="003A0C99">
              <w:rPr>
                <w:rFonts w:ascii="Arial Narrow" w:hAnsi="Arial Narrow" w:cs="Arial"/>
                <w:spacing w:val="0"/>
                <w:sz w:val="22"/>
                <w:szCs w:val="22"/>
                <w:lang w:eastAsia="es-CO"/>
              </w:rPr>
              <w:t>907</w:t>
            </w:r>
            <w:r w:rsidR="00EA0452">
              <w:rPr>
                <w:rFonts w:ascii="Arial Narrow" w:hAnsi="Arial Narrow" w:cs="Arial"/>
                <w:spacing w:val="0"/>
                <w:sz w:val="22"/>
                <w:szCs w:val="22"/>
                <w:lang w:eastAsia="es-CO"/>
              </w:rPr>
              <w:t>.</w:t>
            </w:r>
            <w:r w:rsidRPr="003A0C99">
              <w:rPr>
                <w:rFonts w:ascii="Arial Narrow" w:hAnsi="Arial Narrow" w:cs="Arial"/>
                <w:spacing w:val="0"/>
                <w:sz w:val="22"/>
                <w:szCs w:val="22"/>
                <w:lang w:eastAsia="es-CO"/>
              </w:rPr>
              <w:t>184</w:t>
            </w:r>
            <w:r w:rsidR="00EA0452">
              <w:rPr>
                <w:rFonts w:ascii="Arial Narrow" w:hAnsi="Arial Narrow" w:cs="Arial"/>
                <w:spacing w:val="0"/>
                <w:sz w:val="22"/>
                <w:szCs w:val="22"/>
                <w:lang w:eastAsia="es-CO"/>
              </w:rPr>
              <w:t>.</w:t>
            </w:r>
            <w:r w:rsidRPr="003A0C99">
              <w:rPr>
                <w:rFonts w:ascii="Arial Narrow" w:hAnsi="Arial Narrow" w:cs="Arial"/>
                <w:spacing w:val="0"/>
                <w:sz w:val="22"/>
                <w:szCs w:val="22"/>
                <w:lang w:eastAsia="es-CO"/>
              </w:rPr>
              <w:t xml:space="preserve">996 </w:t>
            </w:r>
          </w:p>
        </w:tc>
      </w:tr>
      <w:tr w:rsidR="003A0C99" w:rsidRPr="00A37243" w14:paraId="6A093386" w14:textId="77777777" w:rsidTr="00E02CAF">
        <w:trPr>
          <w:trHeight w:val="290"/>
        </w:trPr>
        <w:tc>
          <w:tcPr>
            <w:tcW w:w="1555" w:type="dxa"/>
            <w:shd w:val="clear" w:color="auto" w:fill="auto"/>
            <w:noWrap/>
            <w:vAlign w:val="center"/>
            <w:hideMark/>
          </w:tcPr>
          <w:p w14:paraId="5FE90D07" w14:textId="77777777" w:rsidR="003A0C99" w:rsidRPr="003A0C99" w:rsidRDefault="003A0C99" w:rsidP="003A0C99">
            <w:pPr>
              <w:jc w:val="left"/>
              <w:rPr>
                <w:rFonts w:ascii="Arial Narrow" w:hAnsi="Arial Narrow" w:cs="Arial"/>
                <w:spacing w:val="0"/>
                <w:sz w:val="22"/>
                <w:szCs w:val="22"/>
                <w:lang w:eastAsia="es-CO"/>
              </w:rPr>
            </w:pPr>
            <w:r w:rsidRPr="003A0C99">
              <w:rPr>
                <w:rFonts w:ascii="Arial Narrow" w:hAnsi="Arial Narrow" w:cs="Arial"/>
                <w:spacing w:val="0"/>
                <w:sz w:val="22"/>
                <w:szCs w:val="22"/>
                <w:lang w:eastAsia="es-CO"/>
              </w:rPr>
              <w:t>Administrativo</w:t>
            </w:r>
          </w:p>
        </w:tc>
        <w:tc>
          <w:tcPr>
            <w:tcW w:w="5244" w:type="dxa"/>
            <w:gridSpan w:val="2"/>
            <w:shd w:val="clear" w:color="auto" w:fill="auto"/>
            <w:noWrap/>
            <w:vAlign w:val="center"/>
            <w:hideMark/>
          </w:tcPr>
          <w:p w14:paraId="0AA5A5C1" w14:textId="77777777" w:rsidR="003A0C99" w:rsidRPr="003A0C99" w:rsidRDefault="003A0C99" w:rsidP="003A0C99">
            <w:pPr>
              <w:jc w:val="left"/>
              <w:rPr>
                <w:rFonts w:ascii="Arial Narrow" w:hAnsi="Arial Narrow" w:cs="Arial"/>
                <w:spacing w:val="0"/>
                <w:sz w:val="22"/>
                <w:szCs w:val="22"/>
                <w:lang w:eastAsia="es-CO"/>
              </w:rPr>
            </w:pPr>
            <w:r w:rsidRPr="003A0C99">
              <w:rPr>
                <w:rFonts w:ascii="Arial Narrow" w:hAnsi="Arial Narrow" w:cs="Arial"/>
                <w:spacing w:val="0"/>
                <w:sz w:val="22"/>
                <w:szCs w:val="22"/>
                <w:lang w:eastAsia="es-CO"/>
              </w:rPr>
              <w:t xml:space="preserve"> (-) Comisiones </w:t>
            </w:r>
          </w:p>
        </w:tc>
        <w:tc>
          <w:tcPr>
            <w:tcW w:w="2268" w:type="dxa"/>
            <w:shd w:val="clear" w:color="auto" w:fill="auto"/>
            <w:noWrap/>
            <w:vAlign w:val="center"/>
            <w:hideMark/>
          </w:tcPr>
          <w:p w14:paraId="0FD49949" w14:textId="7F864D37" w:rsidR="003A0C99" w:rsidRPr="003A0C99" w:rsidRDefault="003A0C99" w:rsidP="003A0C99">
            <w:pPr>
              <w:jc w:val="right"/>
              <w:rPr>
                <w:rFonts w:ascii="Arial Narrow" w:hAnsi="Arial Narrow" w:cs="Arial"/>
                <w:spacing w:val="0"/>
                <w:sz w:val="22"/>
                <w:szCs w:val="22"/>
                <w:lang w:eastAsia="es-CO"/>
              </w:rPr>
            </w:pPr>
            <w:r w:rsidRPr="003A0C99">
              <w:rPr>
                <w:rFonts w:ascii="Arial Narrow" w:hAnsi="Arial Narrow" w:cs="Arial"/>
                <w:spacing w:val="0"/>
                <w:sz w:val="22"/>
                <w:szCs w:val="22"/>
                <w:lang w:eastAsia="es-CO"/>
              </w:rPr>
              <w:t xml:space="preserve">            33</w:t>
            </w:r>
            <w:r w:rsidR="00EA0452">
              <w:rPr>
                <w:rFonts w:ascii="Arial Narrow" w:hAnsi="Arial Narrow" w:cs="Arial"/>
                <w:spacing w:val="0"/>
                <w:sz w:val="22"/>
                <w:szCs w:val="22"/>
                <w:lang w:eastAsia="es-CO"/>
              </w:rPr>
              <w:t>.</w:t>
            </w:r>
            <w:r w:rsidRPr="003A0C99">
              <w:rPr>
                <w:rFonts w:ascii="Arial Narrow" w:hAnsi="Arial Narrow" w:cs="Arial"/>
                <w:spacing w:val="0"/>
                <w:sz w:val="22"/>
                <w:szCs w:val="22"/>
                <w:lang w:eastAsia="es-CO"/>
              </w:rPr>
              <w:t>292</w:t>
            </w:r>
            <w:r w:rsidR="00EA0452">
              <w:rPr>
                <w:rFonts w:ascii="Arial Narrow" w:hAnsi="Arial Narrow" w:cs="Arial"/>
                <w:spacing w:val="0"/>
                <w:sz w:val="22"/>
                <w:szCs w:val="22"/>
                <w:lang w:eastAsia="es-CO"/>
              </w:rPr>
              <w:t>.</w:t>
            </w:r>
            <w:r w:rsidRPr="003A0C99">
              <w:rPr>
                <w:rFonts w:ascii="Arial Narrow" w:hAnsi="Arial Narrow" w:cs="Arial"/>
                <w:spacing w:val="0"/>
                <w:sz w:val="22"/>
                <w:szCs w:val="22"/>
                <w:lang w:eastAsia="es-CO"/>
              </w:rPr>
              <w:t>134</w:t>
            </w:r>
            <w:r w:rsidR="00EA0452">
              <w:rPr>
                <w:rFonts w:ascii="Arial Narrow" w:hAnsi="Arial Narrow" w:cs="Arial"/>
                <w:spacing w:val="0"/>
                <w:sz w:val="22"/>
                <w:szCs w:val="22"/>
                <w:lang w:eastAsia="es-CO"/>
              </w:rPr>
              <w:t>.</w:t>
            </w:r>
            <w:r w:rsidRPr="003A0C99">
              <w:rPr>
                <w:rFonts w:ascii="Arial Narrow" w:hAnsi="Arial Narrow" w:cs="Arial"/>
                <w:spacing w:val="0"/>
                <w:sz w:val="22"/>
                <w:szCs w:val="22"/>
                <w:lang w:eastAsia="es-CO"/>
              </w:rPr>
              <w:t xml:space="preserve">339 </w:t>
            </w:r>
          </w:p>
        </w:tc>
      </w:tr>
      <w:tr w:rsidR="003A0C99" w:rsidRPr="00A37243" w14:paraId="0B4D0606" w14:textId="77777777" w:rsidTr="00E02CAF">
        <w:trPr>
          <w:trHeight w:val="290"/>
        </w:trPr>
        <w:tc>
          <w:tcPr>
            <w:tcW w:w="1555" w:type="dxa"/>
            <w:shd w:val="clear" w:color="auto" w:fill="auto"/>
            <w:noWrap/>
            <w:vAlign w:val="center"/>
            <w:hideMark/>
          </w:tcPr>
          <w:p w14:paraId="7E0A89BF" w14:textId="77777777" w:rsidR="003A0C99" w:rsidRPr="003A0C99" w:rsidRDefault="003A0C99" w:rsidP="003A0C99">
            <w:pPr>
              <w:jc w:val="left"/>
              <w:rPr>
                <w:rFonts w:ascii="Arial Narrow" w:hAnsi="Arial Narrow" w:cs="Arial"/>
                <w:spacing w:val="0"/>
                <w:sz w:val="22"/>
                <w:szCs w:val="22"/>
                <w:lang w:eastAsia="es-CO"/>
              </w:rPr>
            </w:pPr>
            <w:r w:rsidRPr="003A0C99">
              <w:rPr>
                <w:rFonts w:ascii="Arial Narrow" w:hAnsi="Arial Narrow" w:cs="Arial"/>
                <w:spacing w:val="0"/>
                <w:sz w:val="22"/>
                <w:szCs w:val="22"/>
                <w:lang w:eastAsia="es-CO"/>
              </w:rPr>
              <w:t>Administrativo</w:t>
            </w:r>
          </w:p>
        </w:tc>
        <w:tc>
          <w:tcPr>
            <w:tcW w:w="5244" w:type="dxa"/>
            <w:gridSpan w:val="2"/>
            <w:shd w:val="clear" w:color="auto" w:fill="auto"/>
            <w:noWrap/>
            <w:vAlign w:val="center"/>
            <w:hideMark/>
          </w:tcPr>
          <w:p w14:paraId="75535E11" w14:textId="77777777" w:rsidR="003A0C99" w:rsidRPr="003A0C99" w:rsidRDefault="003A0C99" w:rsidP="003A0C99">
            <w:pPr>
              <w:jc w:val="left"/>
              <w:rPr>
                <w:rFonts w:ascii="Arial Narrow" w:hAnsi="Arial Narrow" w:cs="Arial"/>
                <w:spacing w:val="0"/>
                <w:sz w:val="22"/>
                <w:szCs w:val="22"/>
                <w:lang w:eastAsia="es-CO"/>
              </w:rPr>
            </w:pPr>
            <w:r w:rsidRPr="003A0C99">
              <w:rPr>
                <w:rFonts w:ascii="Arial Narrow" w:hAnsi="Arial Narrow" w:cs="Arial"/>
                <w:spacing w:val="0"/>
                <w:sz w:val="22"/>
                <w:szCs w:val="22"/>
                <w:lang w:eastAsia="es-CO"/>
              </w:rPr>
              <w:t xml:space="preserve"> (-) Donaciones </w:t>
            </w:r>
          </w:p>
        </w:tc>
        <w:tc>
          <w:tcPr>
            <w:tcW w:w="2268" w:type="dxa"/>
            <w:shd w:val="clear" w:color="auto" w:fill="auto"/>
            <w:noWrap/>
            <w:vAlign w:val="center"/>
            <w:hideMark/>
          </w:tcPr>
          <w:p w14:paraId="1A4CB1C8" w14:textId="0D22482B" w:rsidR="003A0C99" w:rsidRPr="003A0C99" w:rsidRDefault="003A0C99" w:rsidP="003A0C99">
            <w:pPr>
              <w:jc w:val="right"/>
              <w:rPr>
                <w:rFonts w:ascii="Arial Narrow" w:hAnsi="Arial Narrow" w:cs="Arial"/>
                <w:spacing w:val="0"/>
                <w:sz w:val="22"/>
                <w:szCs w:val="22"/>
                <w:lang w:eastAsia="es-CO"/>
              </w:rPr>
            </w:pPr>
            <w:r w:rsidRPr="003A0C99">
              <w:rPr>
                <w:rFonts w:ascii="Arial Narrow" w:hAnsi="Arial Narrow" w:cs="Arial"/>
                <w:spacing w:val="0"/>
                <w:sz w:val="22"/>
                <w:szCs w:val="22"/>
                <w:lang w:eastAsia="es-CO"/>
              </w:rPr>
              <w:t xml:space="preserve">             41</w:t>
            </w:r>
            <w:r w:rsidR="00EA0452">
              <w:rPr>
                <w:rFonts w:ascii="Arial Narrow" w:hAnsi="Arial Narrow" w:cs="Arial"/>
                <w:spacing w:val="0"/>
                <w:sz w:val="22"/>
                <w:szCs w:val="22"/>
                <w:lang w:eastAsia="es-CO"/>
              </w:rPr>
              <w:t>.</w:t>
            </w:r>
            <w:r w:rsidRPr="003A0C99">
              <w:rPr>
                <w:rFonts w:ascii="Arial Narrow" w:hAnsi="Arial Narrow" w:cs="Arial"/>
                <w:spacing w:val="0"/>
                <w:sz w:val="22"/>
                <w:szCs w:val="22"/>
                <w:lang w:eastAsia="es-CO"/>
              </w:rPr>
              <w:t>845</w:t>
            </w:r>
            <w:r w:rsidR="00EA0452">
              <w:rPr>
                <w:rFonts w:ascii="Arial Narrow" w:hAnsi="Arial Narrow" w:cs="Arial"/>
                <w:spacing w:val="0"/>
                <w:sz w:val="22"/>
                <w:szCs w:val="22"/>
                <w:lang w:eastAsia="es-CO"/>
              </w:rPr>
              <w:t>.</w:t>
            </w:r>
            <w:r w:rsidRPr="003A0C99">
              <w:rPr>
                <w:rFonts w:ascii="Arial Narrow" w:hAnsi="Arial Narrow" w:cs="Arial"/>
                <w:spacing w:val="0"/>
                <w:sz w:val="22"/>
                <w:szCs w:val="22"/>
                <w:lang w:eastAsia="es-CO"/>
              </w:rPr>
              <w:t>150</w:t>
            </w:r>
            <w:r w:rsidR="00EA0452">
              <w:rPr>
                <w:rFonts w:ascii="Arial Narrow" w:hAnsi="Arial Narrow" w:cs="Arial"/>
                <w:spacing w:val="0"/>
                <w:sz w:val="22"/>
                <w:szCs w:val="22"/>
                <w:lang w:eastAsia="es-CO"/>
              </w:rPr>
              <w:t>.</w:t>
            </w:r>
            <w:r w:rsidRPr="003A0C99">
              <w:rPr>
                <w:rFonts w:ascii="Arial Narrow" w:hAnsi="Arial Narrow" w:cs="Arial"/>
                <w:spacing w:val="0"/>
                <w:sz w:val="22"/>
                <w:szCs w:val="22"/>
                <w:lang w:eastAsia="es-CO"/>
              </w:rPr>
              <w:t xml:space="preserve">873 </w:t>
            </w:r>
          </w:p>
        </w:tc>
      </w:tr>
      <w:tr w:rsidR="003A0C99" w:rsidRPr="00A37243" w14:paraId="2BB914ED" w14:textId="77777777" w:rsidTr="00E02CAF">
        <w:trPr>
          <w:trHeight w:val="290"/>
        </w:trPr>
        <w:tc>
          <w:tcPr>
            <w:tcW w:w="1555" w:type="dxa"/>
            <w:shd w:val="clear" w:color="auto" w:fill="auto"/>
            <w:noWrap/>
            <w:vAlign w:val="center"/>
            <w:hideMark/>
          </w:tcPr>
          <w:p w14:paraId="24ECC8C8" w14:textId="77777777" w:rsidR="003A0C99" w:rsidRPr="003A0C99" w:rsidRDefault="003A0C99" w:rsidP="003A0C99">
            <w:pPr>
              <w:jc w:val="left"/>
              <w:rPr>
                <w:rFonts w:ascii="Arial Narrow" w:hAnsi="Arial Narrow" w:cs="Arial"/>
                <w:spacing w:val="0"/>
                <w:sz w:val="22"/>
                <w:szCs w:val="22"/>
                <w:lang w:eastAsia="es-CO"/>
              </w:rPr>
            </w:pPr>
            <w:r w:rsidRPr="003A0C99">
              <w:rPr>
                <w:rFonts w:ascii="Arial Narrow" w:hAnsi="Arial Narrow" w:cs="Arial"/>
                <w:spacing w:val="0"/>
                <w:sz w:val="22"/>
                <w:szCs w:val="22"/>
                <w:lang w:eastAsia="es-CO"/>
              </w:rPr>
              <w:t>Administrativo</w:t>
            </w:r>
          </w:p>
        </w:tc>
        <w:tc>
          <w:tcPr>
            <w:tcW w:w="5244" w:type="dxa"/>
            <w:gridSpan w:val="2"/>
            <w:shd w:val="clear" w:color="auto" w:fill="auto"/>
            <w:noWrap/>
            <w:vAlign w:val="center"/>
            <w:hideMark/>
          </w:tcPr>
          <w:p w14:paraId="2ADF67C4" w14:textId="77777777" w:rsidR="003A0C99" w:rsidRPr="003A0C99" w:rsidRDefault="003A0C99" w:rsidP="003A0C99">
            <w:pPr>
              <w:jc w:val="left"/>
              <w:rPr>
                <w:rFonts w:ascii="Arial Narrow" w:hAnsi="Arial Narrow" w:cs="Arial"/>
                <w:spacing w:val="0"/>
                <w:sz w:val="22"/>
                <w:szCs w:val="22"/>
                <w:lang w:eastAsia="es-CO"/>
              </w:rPr>
            </w:pPr>
            <w:r w:rsidRPr="003A0C99">
              <w:rPr>
                <w:rFonts w:ascii="Arial Narrow" w:hAnsi="Arial Narrow" w:cs="Arial"/>
                <w:spacing w:val="0"/>
                <w:sz w:val="22"/>
                <w:szCs w:val="22"/>
                <w:lang w:eastAsia="es-CO"/>
              </w:rPr>
              <w:t xml:space="preserve"> (-) Financieros </w:t>
            </w:r>
          </w:p>
        </w:tc>
        <w:tc>
          <w:tcPr>
            <w:tcW w:w="2268" w:type="dxa"/>
            <w:shd w:val="clear" w:color="auto" w:fill="auto"/>
            <w:noWrap/>
            <w:vAlign w:val="center"/>
            <w:hideMark/>
          </w:tcPr>
          <w:p w14:paraId="579C8C24" w14:textId="10EB4D2A" w:rsidR="003A0C99" w:rsidRPr="003A0C99" w:rsidRDefault="003A0C99" w:rsidP="003A0C99">
            <w:pPr>
              <w:jc w:val="right"/>
              <w:rPr>
                <w:rFonts w:ascii="Arial Narrow" w:hAnsi="Arial Narrow" w:cs="Arial"/>
                <w:spacing w:val="0"/>
                <w:sz w:val="22"/>
                <w:szCs w:val="22"/>
                <w:lang w:eastAsia="es-CO"/>
              </w:rPr>
            </w:pPr>
            <w:r w:rsidRPr="003A0C99">
              <w:rPr>
                <w:rFonts w:ascii="Arial Narrow" w:hAnsi="Arial Narrow" w:cs="Arial"/>
                <w:spacing w:val="0"/>
                <w:sz w:val="22"/>
                <w:szCs w:val="22"/>
                <w:lang w:eastAsia="es-CO"/>
              </w:rPr>
              <w:t xml:space="preserve">        3</w:t>
            </w:r>
            <w:r w:rsidR="00EA0452">
              <w:rPr>
                <w:rFonts w:ascii="Arial Narrow" w:hAnsi="Arial Narrow" w:cs="Arial"/>
                <w:spacing w:val="0"/>
                <w:sz w:val="22"/>
                <w:szCs w:val="22"/>
                <w:lang w:eastAsia="es-CO"/>
              </w:rPr>
              <w:t>.</w:t>
            </w:r>
            <w:r w:rsidRPr="003A0C99">
              <w:rPr>
                <w:rFonts w:ascii="Arial Narrow" w:hAnsi="Arial Narrow" w:cs="Arial"/>
                <w:spacing w:val="0"/>
                <w:sz w:val="22"/>
                <w:szCs w:val="22"/>
                <w:lang w:eastAsia="es-CO"/>
              </w:rPr>
              <w:t>794</w:t>
            </w:r>
            <w:r w:rsidR="00EA0452">
              <w:rPr>
                <w:rFonts w:ascii="Arial Narrow" w:hAnsi="Arial Narrow" w:cs="Arial"/>
                <w:spacing w:val="0"/>
                <w:sz w:val="22"/>
                <w:szCs w:val="22"/>
                <w:lang w:eastAsia="es-CO"/>
              </w:rPr>
              <w:t>.</w:t>
            </w:r>
            <w:r w:rsidRPr="003A0C99">
              <w:rPr>
                <w:rFonts w:ascii="Arial Narrow" w:hAnsi="Arial Narrow" w:cs="Arial"/>
                <w:spacing w:val="0"/>
                <w:sz w:val="22"/>
                <w:szCs w:val="22"/>
                <w:lang w:eastAsia="es-CO"/>
              </w:rPr>
              <w:t>222</w:t>
            </w:r>
            <w:r w:rsidR="00EA0452">
              <w:rPr>
                <w:rFonts w:ascii="Arial Narrow" w:hAnsi="Arial Narrow" w:cs="Arial"/>
                <w:spacing w:val="0"/>
                <w:sz w:val="22"/>
                <w:szCs w:val="22"/>
                <w:lang w:eastAsia="es-CO"/>
              </w:rPr>
              <w:t>.</w:t>
            </w:r>
            <w:r w:rsidRPr="003A0C99">
              <w:rPr>
                <w:rFonts w:ascii="Arial Narrow" w:hAnsi="Arial Narrow" w:cs="Arial"/>
                <w:spacing w:val="0"/>
                <w:sz w:val="22"/>
                <w:szCs w:val="22"/>
                <w:lang w:eastAsia="es-CO"/>
              </w:rPr>
              <w:t>636</w:t>
            </w:r>
            <w:r w:rsidR="00EA0452">
              <w:rPr>
                <w:rFonts w:ascii="Arial Narrow" w:hAnsi="Arial Narrow" w:cs="Arial"/>
                <w:spacing w:val="0"/>
                <w:sz w:val="22"/>
                <w:szCs w:val="22"/>
                <w:lang w:eastAsia="es-CO"/>
              </w:rPr>
              <w:t>.</w:t>
            </w:r>
            <w:r w:rsidRPr="003A0C99">
              <w:rPr>
                <w:rFonts w:ascii="Arial Narrow" w:hAnsi="Arial Narrow" w:cs="Arial"/>
                <w:spacing w:val="0"/>
                <w:sz w:val="22"/>
                <w:szCs w:val="22"/>
                <w:lang w:eastAsia="es-CO"/>
              </w:rPr>
              <w:t xml:space="preserve">622 </w:t>
            </w:r>
          </w:p>
        </w:tc>
      </w:tr>
      <w:tr w:rsidR="003A0C99" w:rsidRPr="00A37243" w14:paraId="14E767E8" w14:textId="77777777" w:rsidTr="00E02CAF">
        <w:trPr>
          <w:trHeight w:val="290"/>
        </w:trPr>
        <w:tc>
          <w:tcPr>
            <w:tcW w:w="1555" w:type="dxa"/>
            <w:shd w:val="clear" w:color="auto" w:fill="auto"/>
            <w:noWrap/>
            <w:vAlign w:val="center"/>
            <w:hideMark/>
          </w:tcPr>
          <w:p w14:paraId="76648563" w14:textId="77777777" w:rsidR="003A0C99" w:rsidRPr="003A0C99" w:rsidRDefault="003A0C99" w:rsidP="003A0C99">
            <w:pPr>
              <w:jc w:val="left"/>
              <w:rPr>
                <w:rFonts w:ascii="Arial Narrow" w:hAnsi="Arial Narrow" w:cs="Arial"/>
                <w:spacing w:val="0"/>
                <w:sz w:val="22"/>
                <w:szCs w:val="22"/>
                <w:lang w:eastAsia="es-CO"/>
              </w:rPr>
            </w:pPr>
            <w:r w:rsidRPr="003A0C99">
              <w:rPr>
                <w:rFonts w:ascii="Arial Narrow" w:hAnsi="Arial Narrow" w:cs="Arial"/>
                <w:spacing w:val="0"/>
                <w:sz w:val="22"/>
                <w:szCs w:val="22"/>
                <w:lang w:eastAsia="es-CO"/>
              </w:rPr>
              <w:t>Administrativo</w:t>
            </w:r>
          </w:p>
        </w:tc>
        <w:tc>
          <w:tcPr>
            <w:tcW w:w="5244" w:type="dxa"/>
            <w:gridSpan w:val="2"/>
            <w:shd w:val="clear" w:color="auto" w:fill="auto"/>
            <w:noWrap/>
            <w:vAlign w:val="center"/>
            <w:hideMark/>
          </w:tcPr>
          <w:p w14:paraId="095E1723" w14:textId="64201B9A" w:rsidR="003A0C99" w:rsidRPr="003A0C99" w:rsidRDefault="003A0C99" w:rsidP="003A0C99">
            <w:pPr>
              <w:jc w:val="left"/>
              <w:rPr>
                <w:rFonts w:ascii="Arial Narrow" w:hAnsi="Arial Narrow" w:cs="Arial"/>
                <w:spacing w:val="0"/>
                <w:sz w:val="22"/>
                <w:szCs w:val="22"/>
                <w:lang w:eastAsia="es-CO"/>
              </w:rPr>
            </w:pPr>
            <w:r w:rsidRPr="003A0C99">
              <w:rPr>
                <w:rFonts w:ascii="Arial Narrow" w:hAnsi="Arial Narrow" w:cs="Arial"/>
                <w:spacing w:val="0"/>
                <w:sz w:val="22"/>
                <w:szCs w:val="22"/>
                <w:lang w:eastAsia="es-CO"/>
              </w:rPr>
              <w:t xml:space="preserve"> (-) Perdida por el </w:t>
            </w:r>
            <w:r w:rsidRPr="00A37243">
              <w:rPr>
                <w:rFonts w:ascii="Arial Narrow" w:hAnsi="Arial Narrow" w:cs="Arial"/>
                <w:spacing w:val="0"/>
                <w:sz w:val="22"/>
                <w:szCs w:val="22"/>
                <w:lang w:eastAsia="es-CO"/>
              </w:rPr>
              <w:t>método</w:t>
            </w:r>
            <w:r w:rsidRPr="003A0C99">
              <w:rPr>
                <w:rFonts w:ascii="Arial Narrow" w:hAnsi="Arial Narrow" w:cs="Arial"/>
                <w:spacing w:val="0"/>
                <w:sz w:val="22"/>
                <w:szCs w:val="22"/>
                <w:lang w:eastAsia="es-CO"/>
              </w:rPr>
              <w:t xml:space="preserve"> de participación patrimonial </w:t>
            </w:r>
          </w:p>
        </w:tc>
        <w:tc>
          <w:tcPr>
            <w:tcW w:w="2268" w:type="dxa"/>
            <w:shd w:val="clear" w:color="auto" w:fill="auto"/>
            <w:noWrap/>
            <w:vAlign w:val="center"/>
            <w:hideMark/>
          </w:tcPr>
          <w:p w14:paraId="79AA4A0A" w14:textId="59D7213E" w:rsidR="003A0C99" w:rsidRPr="003A0C99" w:rsidRDefault="003A0C99" w:rsidP="003A0C99">
            <w:pPr>
              <w:jc w:val="right"/>
              <w:rPr>
                <w:rFonts w:ascii="Arial Narrow" w:hAnsi="Arial Narrow" w:cs="Arial"/>
                <w:spacing w:val="0"/>
                <w:sz w:val="22"/>
                <w:szCs w:val="22"/>
                <w:lang w:eastAsia="es-CO"/>
              </w:rPr>
            </w:pPr>
            <w:r w:rsidRPr="003A0C99">
              <w:rPr>
                <w:rFonts w:ascii="Arial Narrow" w:hAnsi="Arial Narrow" w:cs="Arial"/>
                <w:spacing w:val="0"/>
                <w:sz w:val="22"/>
                <w:szCs w:val="22"/>
                <w:lang w:eastAsia="es-CO"/>
              </w:rPr>
              <w:t xml:space="preserve">            </w:t>
            </w:r>
            <w:r w:rsidRPr="00A37243">
              <w:rPr>
                <w:rFonts w:ascii="Arial Narrow" w:hAnsi="Arial Narrow" w:cs="Arial"/>
                <w:spacing w:val="0"/>
                <w:sz w:val="22"/>
                <w:szCs w:val="22"/>
                <w:lang w:eastAsia="es-CO"/>
              </w:rPr>
              <w:t xml:space="preserve"> </w:t>
            </w:r>
            <w:r w:rsidRPr="003A0C99">
              <w:rPr>
                <w:rFonts w:ascii="Arial Narrow" w:hAnsi="Arial Narrow" w:cs="Arial"/>
                <w:spacing w:val="0"/>
                <w:sz w:val="22"/>
                <w:szCs w:val="22"/>
                <w:lang w:eastAsia="es-CO"/>
              </w:rPr>
              <w:t>25</w:t>
            </w:r>
            <w:r w:rsidR="00EA0452">
              <w:rPr>
                <w:rFonts w:ascii="Arial Narrow" w:hAnsi="Arial Narrow" w:cs="Arial"/>
                <w:spacing w:val="0"/>
                <w:sz w:val="22"/>
                <w:szCs w:val="22"/>
                <w:lang w:eastAsia="es-CO"/>
              </w:rPr>
              <w:t>.</w:t>
            </w:r>
            <w:r w:rsidRPr="003A0C99">
              <w:rPr>
                <w:rFonts w:ascii="Arial Narrow" w:hAnsi="Arial Narrow" w:cs="Arial"/>
                <w:spacing w:val="0"/>
                <w:sz w:val="22"/>
                <w:szCs w:val="22"/>
                <w:lang w:eastAsia="es-CO"/>
              </w:rPr>
              <w:t>289</w:t>
            </w:r>
            <w:r w:rsidR="00EA0452">
              <w:rPr>
                <w:rFonts w:ascii="Arial Narrow" w:hAnsi="Arial Narrow" w:cs="Arial"/>
                <w:spacing w:val="0"/>
                <w:sz w:val="22"/>
                <w:szCs w:val="22"/>
                <w:lang w:eastAsia="es-CO"/>
              </w:rPr>
              <w:t>.</w:t>
            </w:r>
            <w:r w:rsidRPr="003A0C99">
              <w:rPr>
                <w:rFonts w:ascii="Arial Narrow" w:hAnsi="Arial Narrow" w:cs="Arial"/>
                <w:spacing w:val="0"/>
                <w:sz w:val="22"/>
                <w:szCs w:val="22"/>
                <w:lang w:eastAsia="es-CO"/>
              </w:rPr>
              <w:t>148</w:t>
            </w:r>
            <w:r w:rsidR="00EA0452">
              <w:rPr>
                <w:rFonts w:ascii="Arial Narrow" w:hAnsi="Arial Narrow" w:cs="Arial"/>
                <w:spacing w:val="0"/>
                <w:sz w:val="22"/>
                <w:szCs w:val="22"/>
                <w:lang w:eastAsia="es-CO"/>
              </w:rPr>
              <w:t>.</w:t>
            </w:r>
            <w:r w:rsidRPr="003A0C99">
              <w:rPr>
                <w:rFonts w:ascii="Arial Narrow" w:hAnsi="Arial Narrow" w:cs="Arial"/>
                <w:spacing w:val="0"/>
                <w:sz w:val="22"/>
                <w:szCs w:val="22"/>
                <w:lang w:eastAsia="es-CO"/>
              </w:rPr>
              <w:t xml:space="preserve">997 </w:t>
            </w:r>
          </w:p>
        </w:tc>
      </w:tr>
      <w:tr w:rsidR="003A0C99" w:rsidRPr="00A37243" w14:paraId="183C6D4D" w14:textId="77777777" w:rsidTr="00E02CAF">
        <w:trPr>
          <w:trHeight w:val="290"/>
        </w:trPr>
        <w:tc>
          <w:tcPr>
            <w:tcW w:w="1555" w:type="dxa"/>
            <w:shd w:val="clear" w:color="auto" w:fill="auto"/>
            <w:noWrap/>
            <w:vAlign w:val="center"/>
            <w:hideMark/>
          </w:tcPr>
          <w:p w14:paraId="0C89F5F1" w14:textId="77777777" w:rsidR="003A0C99" w:rsidRPr="003A0C99" w:rsidRDefault="003A0C99" w:rsidP="003A0C99">
            <w:pPr>
              <w:jc w:val="left"/>
              <w:rPr>
                <w:rFonts w:ascii="Arial Narrow" w:hAnsi="Arial Narrow" w:cs="Arial"/>
                <w:spacing w:val="0"/>
                <w:sz w:val="22"/>
                <w:szCs w:val="22"/>
                <w:lang w:eastAsia="es-CO"/>
              </w:rPr>
            </w:pPr>
            <w:r w:rsidRPr="003A0C99">
              <w:rPr>
                <w:rFonts w:ascii="Arial Narrow" w:hAnsi="Arial Narrow" w:cs="Arial"/>
                <w:spacing w:val="0"/>
                <w:sz w:val="22"/>
                <w:szCs w:val="22"/>
                <w:lang w:eastAsia="es-CO"/>
              </w:rPr>
              <w:t>Administrativo</w:t>
            </w:r>
          </w:p>
        </w:tc>
        <w:tc>
          <w:tcPr>
            <w:tcW w:w="5244" w:type="dxa"/>
            <w:gridSpan w:val="2"/>
            <w:shd w:val="clear" w:color="auto" w:fill="auto"/>
            <w:noWrap/>
            <w:vAlign w:val="center"/>
            <w:hideMark/>
          </w:tcPr>
          <w:p w14:paraId="23ACDD0B" w14:textId="77777777" w:rsidR="003A0C99" w:rsidRPr="003A0C99" w:rsidRDefault="003A0C99" w:rsidP="003A0C99">
            <w:pPr>
              <w:jc w:val="left"/>
              <w:rPr>
                <w:rFonts w:ascii="Arial Narrow" w:hAnsi="Arial Narrow" w:cs="Arial"/>
                <w:spacing w:val="0"/>
                <w:sz w:val="22"/>
                <w:szCs w:val="22"/>
                <w:lang w:eastAsia="es-CO"/>
              </w:rPr>
            </w:pPr>
            <w:r w:rsidRPr="003A0C99">
              <w:rPr>
                <w:rFonts w:ascii="Arial Narrow" w:hAnsi="Arial Narrow" w:cs="Arial"/>
                <w:spacing w:val="0"/>
                <w:sz w:val="22"/>
                <w:szCs w:val="22"/>
                <w:lang w:eastAsia="es-CO"/>
              </w:rPr>
              <w:t xml:space="preserve"> (-) Litigios y/o demandas </w:t>
            </w:r>
          </w:p>
        </w:tc>
        <w:tc>
          <w:tcPr>
            <w:tcW w:w="2268" w:type="dxa"/>
            <w:shd w:val="clear" w:color="auto" w:fill="auto"/>
            <w:noWrap/>
            <w:vAlign w:val="center"/>
            <w:hideMark/>
          </w:tcPr>
          <w:p w14:paraId="39A8B534" w14:textId="77351798" w:rsidR="003A0C99" w:rsidRPr="003A0C99" w:rsidRDefault="003A0C99" w:rsidP="003A0C99">
            <w:pPr>
              <w:jc w:val="right"/>
              <w:rPr>
                <w:rFonts w:ascii="Arial Narrow" w:hAnsi="Arial Narrow" w:cs="Arial"/>
                <w:spacing w:val="0"/>
                <w:sz w:val="22"/>
                <w:szCs w:val="22"/>
                <w:lang w:eastAsia="es-CO"/>
              </w:rPr>
            </w:pPr>
            <w:r w:rsidRPr="003A0C99">
              <w:rPr>
                <w:rFonts w:ascii="Arial Narrow" w:hAnsi="Arial Narrow" w:cs="Arial"/>
                <w:spacing w:val="0"/>
                <w:sz w:val="22"/>
                <w:szCs w:val="22"/>
                <w:lang w:eastAsia="es-CO"/>
              </w:rPr>
              <w:t xml:space="preserve">           104</w:t>
            </w:r>
            <w:r w:rsidR="00EA0452">
              <w:rPr>
                <w:rFonts w:ascii="Arial Narrow" w:hAnsi="Arial Narrow" w:cs="Arial"/>
                <w:spacing w:val="0"/>
                <w:sz w:val="22"/>
                <w:szCs w:val="22"/>
                <w:lang w:eastAsia="es-CO"/>
              </w:rPr>
              <w:t>.</w:t>
            </w:r>
            <w:r w:rsidRPr="003A0C99">
              <w:rPr>
                <w:rFonts w:ascii="Arial Narrow" w:hAnsi="Arial Narrow" w:cs="Arial"/>
                <w:spacing w:val="0"/>
                <w:sz w:val="22"/>
                <w:szCs w:val="22"/>
                <w:lang w:eastAsia="es-CO"/>
              </w:rPr>
              <w:t>373</w:t>
            </w:r>
            <w:r w:rsidR="00EA0452">
              <w:rPr>
                <w:rFonts w:ascii="Arial Narrow" w:hAnsi="Arial Narrow" w:cs="Arial"/>
                <w:spacing w:val="0"/>
                <w:sz w:val="22"/>
                <w:szCs w:val="22"/>
                <w:lang w:eastAsia="es-CO"/>
              </w:rPr>
              <w:t>.</w:t>
            </w:r>
            <w:r w:rsidRPr="003A0C99">
              <w:rPr>
                <w:rFonts w:ascii="Arial Narrow" w:hAnsi="Arial Narrow" w:cs="Arial"/>
                <w:spacing w:val="0"/>
                <w:sz w:val="22"/>
                <w:szCs w:val="22"/>
                <w:lang w:eastAsia="es-CO"/>
              </w:rPr>
              <w:t>863</w:t>
            </w:r>
            <w:r w:rsidR="00EA0452">
              <w:rPr>
                <w:rFonts w:ascii="Arial Narrow" w:hAnsi="Arial Narrow" w:cs="Arial"/>
                <w:spacing w:val="0"/>
                <w:sz w:val="22"/>
                <w:szCs w:val="22"/>
                <w:lang w:eastAsia="es-CO"/>
              </w:rPr>
              <w:t>.</w:t>
            </w:r>
            <w:r w:rsidRPr="003A0C99">
              <w:rPr>
                <w:rFonts w:ascii="Arial Narrow" w:hAnsi="Arial Narrow" w:cs="Arial"/>
                <w:spacing w:val="0"/>
                <w:sz w:val="22"/>
                <w:szCs w:val="22"/>
                <w:lang w:eastAsia="es-CO"/>
              </w:rPr>
              <w:t xml:space="preserve">644 </w:t>
            </w:r>
          </w:p>
        </w:tc>
      </w:tr>
      <w:tr w:rsidR="003A0C99" w:rsidRPr="00A37243" w14:paraId="70E691A2" w14:textId="77777777" w:rsidTr="00E02CAF">
        <w:trPr>
          <w:trHeight w:val="290"/>
        </w:trPr>
        <w:tc>
          <w:tcPr>
            <w:tcW w:w="1555" w:type="dxa"/>
            <w:shd w:val="clear" w:color="auto" w:fill="auto"/>
            <w:noWrap/>
            <w:vAlign w:val="center"/>
            <w:hideMark/>
          </w:tcPr>
          <w:p w14:paraId="6139DB8B" w14:textId="77777777" w:rsidR="003A0C99" w:rsidRPr="003A0C99" w:rsidRDefault="003A0C99" w:rsidP="003A0C99">
            <w:pPr>
              <w:jc w:val="left"/>
              <w:rPr>
                <w:rFonts w:ascii="Arial Narrow" w:hAnsi="Arial Narrow" w:cs="Arial"/>
                <w:spacing w:val="0"/>
                <w:sz w:val="22"/>
                <w:szCs w:val="22"/>
                <w:lang w:eastAsia="es-CO"/>
              </w:rPr>
            </w:pPr>
            <w:r w:rsidRPr="003A0C99">
              <w:rPr>
                <w:rFonts w:ascii="Arial Narrow" w:hAnsi="Arial Narrow" w:cs="Arial"/>
                <w:spacing w:val="0"/>
                <w:sz w:val="22"/>
                <w:szCs w:val="22"/>
                <w:lang w:eastAsia="es-CO"/>
              </w:rPr>
              <w:t>Administrativo</w:t>
            </w:r>
          </w:p>
        </w:tc>
        <w:tc>
          <w:tcPr>
            <w:tcW w:w="5244" w:type="dxa"/>
            <w:gridSpan w:val="2"/>
            <w:shd w:val="clear" w:color="auto" w:fill="auto"/>
            <w:noWrap/>
            <w:vAlign w:val="center"/>
            <w:hideMark/>
          </w:tcPr>
          <w:p w14:paraId="03A842A9" w14:textId="77777777" w:rsidR="003A0C99" w:rsidRPr="003A0C99" w:rsidRDefault="003A0C99" w:rsidP="003A0C99">
            <w:pPr>
              <w:jc w:val="left"/>
              <w:rPr>
                <w:rFonts w:ascii="Arial Narrow" w:hAnsi="Arial Narrow" w:cs="Arial"/>
                <w:spacing w:val="0"/>
                <w:sz w:val="22"/>
                <w:szCs w:val="22"/>
                <w:lang w:eastAsia="es-CO"/>
              </w:rPr>
            </w:pPr>
            <w:r w:rsidRPr="003A0C99">
              <w:rPr>
                <w:rFonts w:ascii="Arial Narrow" w:hAnsi="Arial Narrow" w:cs="Arial"/>
                <w:spacing w:val="0"/>
                <w:sz w:val="22"/>
                <w:szCs w:val="22"/>
                <w:lang w:eastAsia="es-CO"/>
              </w:rPr>
              <w:t xml:space="preserve"> (-) Diversas </w:t>
            </w:r>
          </w:p>
        </w:tc>
        <w:tc>
          <w:tcPr>
            <w:tcW w:w="2268" w:type="dxa"/>
            <w:shd w:val="clear" w:color="auto" w:fill="auto"/>
            <w:noWrap/>
            <w:vAlign w:val="center"/>
            <w:hideMark/>
          </w:tcPr>
          <w:p w14:paraId="6911F4BB" w14:textId="2DFE8102" w:rsidR="003A0C99" w:rsidRPr="003A0C99" w:rsidRDefault="003A0C99" w:rsidP="003A0C99">
            <w:pPr>
              <w:jc w:val="right"/>
              <w:rPr>
                <w:rFonts w:ascii="Arial Narrow" w:hAnsi="Arial Narrow" w:cs="Arial"/>
                <w:spacing w:val="0"/>
                <w:sz w:val="22"/>
                <w:szCs w:val="22"/>
                <w:lang w:eastAsia="es-CO"/>
              </w:rPr>
            </w:pPr>
            <w:r w:rsidRPr="00A37243">
              <w:rPr>
                <w:rFonts w:ascii="Arial Narrow" w:hAnsi="Arial Narrow" w:cs="Arial"/>
                <w:spacing w:val="0"/>
                <w:sz w:val="22"/>
                <w:szCs w:val="22"/>
                <w:lang w:eastAsia="es-CO"/>
              </w:rPr>
              <w:t>17</w:t>
            </w:r>
            <w:r w:rsidRPr="003A0C99">
              <w:rPr>
                <w:rFonts w:ascii="Arial Narrow" w:hAnsi="Arial Narrow" w:cs="Arial"/>
                <w:spacing w:val="0"/>
                <w:sz w:val="22"/>
                <w:szCs w:val="22"/>
                <w:lang w:eastAsia="es-CO"/>
              </w:rPr>
              <w:t>0</w:t>
            </w:r>
            <w:r w:rsidR="00EA0452">
              <w:rPr>
                <w:rFonts w:ascii="Arial Narrow" w:hAnsi="Arial Narrow" w:cs="Arial"/>
                <w:spacing w:val="0"/>
                <w:sz w:val="22"/>
                <w:szCs w:val="22"/>
                <w:lang w:eastAsia="es-CO"/>
              </w:rPr>
              <w:t>.</w:t>
            </w:r>
            <w:r w:rsidRPr="003A0C99">
              <w:rPr>
                <w:rFonts w:ascii="Arial Narrow" w:hAnsi="Arial Narrow" w:cs="Arial"/>
                <w:spacing w:val="0"/>
                <w:sz w:val="22"/>
                <w:szCs w:val="22"/>
                <w:lang w:eastAsia="es-CO"/>
              </w:rPr>
              <w:t>247</w:t>
            </w:r>
            <w:r w:rsidR="00EA0452">
              <w:rPr>
                <w:rFonts w:ascii="Arial Narrow" w:hAnsi="Arial Narrow" w:cs="Arial"/>
                <w:spacing w:val="0"/>
                <w:sz w:val="22"/>
                <w:szCs w:val="22"/>
                <w:lang w:eastAsia="es-CO"/>
              </w:rPr>
              <w:t>.</w:t>
            </w:r>
            <w:r w:rsidRPr="003A0C99">
              <w:rPr>
                <w:rFonts w:ascii="Arial Narrow" w:hAnsi="Arial Narrow" w:cs="Arial"/>
                <w:spacing w:val="0"/>
                <w:sz w:val="22"/>
                <w:szCs w:val="22"/>
                <w:lang w:eastAsia="es-CO"/>
              </w:rPr>
              <w:t>465</w:t>
            </w:r>
            <w:r w:rsidR="00EA0452">
              <w:rPr>
                <w:rFonts w:ascii="Arial Narrow" w:hAnsi="Arial Narrow" w:cs="Arial"/>
                <w:spacing w:val="0"/>
                <w:sz w:val="22"/>
                <w:szCs w:val="22"/>
                <w:lang w:eastAsia="es-CO"/>
              </w:rPr>
              <w:t>.</w:t>
            </w:r>
            <w:r w:rsidRPr="003A0C99">
              <w:rPr>
                <w:rFonts w:ascii="Arial Narrow" w:hAnsi="Arial Narrow" w:cs="Arial"/>
                <w:spacing w:val="0"/>
                <w:sz w:val="22"/>
                <w:szCs w:val="22"/>
                <w:lang w:eastAsia="es-CO"/>
              </w:rPr>
              <w:t xml:space="preserve">419 </w:t>
            </w:r>
          </w:p>
        </w:tc>
      </w:tr>
      <w:tr w:rsidR="003A0C99" w:rsidRPr="00A37243" w14:paraId="2FCC9A81" w14:textId="77777777" w:rsidTr="00E02CAF">
        <w:trPr>
          <w:trHeight w:val="290"/>
        </w:trPr>
        <w:tc>
          <w:tcPr>
            <w:tcW w:w="1555" w:type="dxa"/>
            <w:shd w:val="clear" w:color="auto" w:fill="auto"/>
            <w:noWrap/>
            <w:vAlign w:val="center"/>
            <w:hideMark/>
          </w:tcPr>
          <w:p w14:paraId="586DDCAD" w14:textId="77777777" w:rsidR="003A0C99" w:rsidRPr="003A0C99" w:rsidRDefault="003A0C99" w:rsidP="003A0C99">
            <w:pPr>
              <w:jc w:val="left"/>
              <w:rPr>
                <w:rFonts w:ascii="Arial Narrow" w:hAnsi="Arial Narrow" w:cs="Arial"/>
                <w:spacing w:val="0"/>
                <w:sz w:val="22"/>
                <w:szCs w:val="22"/>
                <w:lang w:eastAsia="es-CO"/>
              </w:rPr>
            </w:pPr>
            <w:r w:rsidRPr="003A0C99">
              <w:rPr>
                <w:rFonts w:ascii="Arial Narrow" w:hAnsi="Arial Narrow" w:cs="Arial"/>
                <w:spacing w:val="0"/>
                <w:sz w:val="22"/>
                <w:szCs w:val="22"/>
                <w:lang w:eastAsia="es-CO"/>
              </w:rPr>
              <w:t>Administrativo</w:t>
            </w:r>
          </w:p>
        </w:tc>
        <w:tc>
          <w:tcPr>
            <w:tcW w:w="5244" w:type="dxa"/>
            <w:gridSpan w:val="2"/>
            <w:shd w:val="clear" w:color="auto" w:fill="auto"/>
            <w:noWrap/>
            <w:vAlign w:val="center"/>
            <w:hideMark/>
          </w:tcPr>
          <w:p w14:paraId="09B7B730" w14:textId="77777777" w:rsidR="003A0C99" w:rsidRPr="003A0C99" w:rsidRDefault="003A0C99" w:rsidP="003A0C99">
            <w:pPr>
              <w:jc w:val="left"/>
              <w:rPr>
                <w:rFonts w:ascii="Arial Narrow" w:hAnsi="Arial Narrow" w:cs="Arial"/>
                <w:spacing w:val="0"/>
                <w:sz w:val="22"/>
                <w:szCs w:val="22"/>
                <w:lang w:eastAsia="es-CO"/>
              </w:rPr>
            </w:pPr>
            <w:r w:rsidRPr="003A0C99">
              <w:rPr>
                <w:rFonts w:ascii="Arial Narrow" w:hAnsi="Arial Narrow" w:cs="Arial"/>
                <w:spacing w:val="0"/>
                <w:sz w:val="22"/>
                <w:szCs w:val="22"/>
                <w:lang w:eastAsia="es-CO"/>
              </w:rPr>
              <w:t xml:space="preserve"> (-) Amortización </w:t>
            </w:r>
          </w:p>
        </w:tc>
        <w:tc>
          <w:tcPr>
            <w:tcW w:w="2268" w:type="dxa"/>
            <w:shd w:val="clear" w:color="auto" w:fill="auto"/>
            <w:noWrap/>
            <w:vAlign w:val="center"/>
            <w:hideMark/>
          </w:tcPr>
          <w:p w14:paraId="67FB53D9" w14:textId="57DDE909" w:rsidR="003A0C99" w:rsidRPr="003A0C99" w:rsidRDefault="003A0C99" w:rsidP="003A0C99">
            <w:pPr>
              <w:jc w:val="right"/>
              <w:rPr>
                <w:rFonts w:ascii="Arial Narrow" w:hAnsi="Arial Narrow" w:cs="Arial"/>
                <w:spacing w:val="0"/>
                <w:sz w:val="22"/>
                <w:szCs w:val="22"/>
                <w:lang w:eastAsia="es-CO"/>
              </w:rPr>
            </w:pPr>
            <w:r w:rsidRPr="003A0C99">
              <w:rPr>
                <w:rFonts w:ascii="Arial Narrow" w:hAnsi="Arial Narrow" w:cs="Arial"/>
                <w:spacing w:val="0"/>
                <w:sz w:val="22"/>
                <w:szCs w:val="22"/>
                <w:lang w:eastAsia="es-CO"/>
              </w:rPr>
              <w:t xml:space="preserve">  162</w:t>
            </w:r>
            <w:r w:rsidR="00EA0452">
              <w:rPr>
                <w:rFonts w:ascii="Arial Narrow" w:hAnsi="Arial Narrow" w:cs="Arial"/>
                <w:spacing w:val="0"/>
                <w:sz w:val="22"/>
                <w:szCs w:val="22"/>
                <w:lang w:eastAsia="es-CO"/>
              </w:rPr>
              <w:t>.</w:t>
            </w:r>
            <w:r w:rsidRPr="003A0C99">
              <w:rPr>
                <w:rFonts w:ascii="Arial Narrow" w:hAnsi="Arial Narrow" w:cs="Arial"/>
                <w:spacing w:val="0"/>
                <w:sz w:val="22"/>
                <w:szCs w:val="22"/>
                <w:lang w:eastAsia="es-CO"/>
              </w:rPr>
              <w:t>348</w:t>
            </w:r>
            <w:r w:rsidR="00EA0452">
              <w:rPr>
                <w:rFonts w:ascii="Arial Narrow" w:hAnsi="Arial Narrow" w:cs="Arial"/>
                <w:spacing w:val="0"/>
                <w:sz w:val="22"/>
                <w:szCs w:val="22"/>
                <w:lang w:eastAsia="es-CO"/>
              </w:rPr>
              <w:t>.</w:t>
            </w:r>
            <w:r w:rsidRPr="003A0C99">
              <w:rPr>
                <w:rFonts w:ascii="Arial Narrow" w:hAnsi="Arial Narrow" w:cs="Arial"/>
                <w:spacing w:val="0"/>
                <w:sz w:val="22"/>
                <w:szCs w:val="22"/>
                <w:lang w:eastAsia="es-CO"/>
              </w:rPr>
              <w:t>872</w:t>
            </w:r>
            <w:r w:rsidR="00EA0452">
              <w:rPr>
                <w:rFonts w:ascii="Arial Narrow" w:hAnsi="Arial Narrow" w:cs="Arial"/>
                <w:spacing w:val="0"/>
                <w:sz w:val="22"/>
                <w:szCs w:val="22"/>
                <w:lang w:eastAsia="es-CO"/>
              </w:rPr>
              <w:t>.</w:t>
            </w:r>
            <w:r w:rsidRPr="003A0C99">
              <w:rPr>
                <w:rFonts w:ascii="Arial Narrow" w:hAnsi="Arial Narrow" w:cs="Arial"/>
                <w:spacing w:val="0"/>
                <w:sz w:val="22"/>
                <w:szCs w:val="22"/>
                <w:lang w:eastAsia="es-CO"/>
              </w:rPr>
              <w:t xml:space="preserve">454 </w:t>
            </w:r>
          </w:p>
        </w:tc>
      </w:tr>
      <w:tr w:rsidR="003A0C99" w:rsidRPr="00A37243" w14:paraId="4E3F84B3" w14:textId="77777777" w:rsidTr="00E02CAF">
        <w:trPr>
          <w:trHeight w:val="290"/>
        </w:trPr>
        <w:tc>
          <w:tcPr>
            <w:tcW w:w="1555" w:type="dxa"/>
            <w:shd w:val="clear" w:color="auto" w:fill="auto"/>
            <w:noWrap/>
            <w:vAlign w:val="center"/>
            <w:hideMark/>
          </w:tcPr>
          <w:p w14:paraId="57500534" w14:textId="77777777" w:rsidR="003A0C99" w:rsidRPr="003A0C99" w:rsidRDefault="003A0C99" w:rsidP="003A0C99">
            <w:pPr>
              <w:jc w:val="left"/>
              <w:rPr>
                <w:rFonts w:ascii="Arial Narrow" w:hAnsi="Arial Narrow" w:cs="Arial"/>
                <w:spacing w:val="0"/>
                <w:sz w:val="22"/>
                <w:szCs w:val="22"/>
                <w:lang w:eastAsia="es-CO"/>
              </w:rPr>
            </w:pPr>
            <w:r w:rsidRPr="003A0C99">
              <w:rPr>
                <w:rFonts w:ascii="Arial Narrow" w:hAnsi="Arial Narrow" w:cs="Arial"/>
                <w:spacing w:val="0"/>
                <w:sz w:val="22"/>
                <w:szCs w:val="22"/>
                <w:lang w:eastAsia="es-CO"/>
              </w:rPr>
              <w:t>Administrativo</w:t>
            </w:r>
          </w:p>
        </w:tc>
        <w:tc>
          <w:tcPr>
            <w:tcW w:w="5244" w:type="dxa"/>
            <w:gridSpan w:val="2"/>
            <w:shd w:val="clear" w:color="auto" w:fill="auto"/>
            <w:noWrap/>
            <w:vAlign w:val="center"/>
            <w:hideMark/>
          </w:tcPr>
          <w:p w14:paraId="33E47A87" w14:textId="77777777" w:rsidR="003A0C99" w:rsidRPr="003A0C99" w:rsidRDefault="003A0C99" w:rsidP="003A0C99">
            <w:pPr>
              <w:jc w:val="left"/>
              <w:rPr>
                <w:rFonts w:ascii="Arial Narrow" w:hAnsi="Arial Narrow" w:cs="Arial"/>
                <w:spacing w:val="0"/>
                <w:sz w:val="22"/>
                <w:szCs w:val="22"/>
                <w:lang w:eastAsia="es-CO"/>
              </w:rPr>
            </w:pPr>
            <w:r w:rsidRPr="003A0C99">
              <w:rPr>
                <w:rFonts w:ascii="Arial Narrow" w:hAnsi="Arial Narrow" w:cs="Arial"/>
                <w:spacing w:val="0"/>
                <w:sz w:val="22"/>
                <w:szCs w:val="22"/>
                <w:lang w:eastAsia="es-CO"/>
              </w:rPr>
              <w:t xml:space="preserve"> (-) Depreciación </w:t>
            </w:r>
          </w:p>
        </w:tc>
        <w:tc>
          <w:tcPr>
            <w:tcW w:w="2268" w:type="dxa"/>
            <w:shd w:val="clear" w:color="auto" w:fill="auto"/>
            <w:noWrap/>
            <w:vAlign w:val="center"/>
            <w:hideMark/>
          </w:tcPr>
          <w:p w14:paraId="5F3D5054" w14:textId="18D95575" w:rsidR="003A0C99" w:rsidRPr="003A0C99" w:rsidRDefault="003A0C99" w:rsidP="003A0C99">
            <w:pPr>
              <w:jc w:val="right"/>
              <w:rPr>
                <w:rFonts w:ascii="Arial Narrow" w:hAnsi="Arial Narrow" w:cs="Arial"/>
                <w:spacing w:val="0"/>
                <w:sz w:val="22"/>
                <w:szCs w:val="22"/>
                <w:lang w:eastAsia="es-CO"/>
              </w:rPr>
            </w:pPr>
            <w:r w:rsidRPr="00A37243">
              <w:rPr>
                <w:rFonts w:ascii="Arial Narrow" w:hAnsi="Arial Narrow" w:cs="Arial"/>
                <w:spacing w:val="0"/>
                <w:sz w:val="22"/>
                <w:szCs w:val="22"/>
                <w:lang w:eastAsia="es-CO"/>
              </w:rPr>
              <w:t>2</w:t>
            </w:r>
            <w:r w:rsidRPr="003A0C99">
              <w:rPr>
                <w:rFonts w:ascii="Arial Narrow" w:hAnsi="Arial Narrow" w:cs="Arial"/>
                <w:spacing w:val="0"/>
                <w:sz w:val="22"/>
                <w:szCs w:val="22"/>
                <w:lang w:eastAsia="es-CO"/>
              </w:rPr>
              <w:t>18</w:t>
            </w:r>
            <w:r w:rsidR="00EA0452">
              <w:rPr>
                <w:rFonts w:ascii="Arial Narrow" w:hAnsi="Arial Narrow" w:cs="Arial"/>
                <w:spacing w:val="0"/>
                <w:sz w:val="22"/>
                <w:szCs w:val="22"/>
                <w:lang w:eastAsia="es-CO"/>
              </w:rPr>
              <w:t>.</w:t>
            </w:r>
            <w:r w:rsidRPr="003A0C99">
              <w:rPr>
                <w:rFonts w:ascii="Arial Narrow" w:hAnsi="Arial Narrow" w:cs="Arial"/>
                <w:spacing w:val="0"/>
                <w:sz w:val="22"/>
                <w:szCs w:val="22"/>
                <w:lang w:eastAsia="es-CO"/>
              </w:rPr>
              <w:t>070</w:t>
            </w:r>
            <w:r w:rsidR="00EA0452">
              <w:rPr>
                <w:rFonts w:ascii="Arial Narrow" w:hAnsi="Arial Narrow" w:cs="Arial"/>
                <w:spacing w:val="0"/>
                <w:sz w:val="22"/>
                <w:szCs w:val="22"/>
                <w:lang w:eastAsia="es-CO"/>
              </w:rPr>
              <w:t>.</w:t>
            </w:r>
            <w:r w:rsidRPr="003A0C99">
              <w:rPr>
                <w:rFonts w:ascii="Arial Narrow" w:hAnsi="Arial Narrow" w:cs="Arial"/>
                <w:spacing w:val="0"/>
                <w:sz w:val="22"/>
                <w:szCs w:val="22"/>
                <w:lang w:eastAsia="es-CO"/>
              </w:rPr>
              <w:t>041</w:t>
            </w:r>
            <w:r w:rsidR="00EA0452">
              <w:rPr>
                <w:rFonts w:ascii="Arial Narrow" w:hAnsi="Arial Narrow" w:cs="Arial"/>
                <w:spacing w:val="0"/>
                <w:sz w:val="22"/>
                <w:szCs w:val="22"/>
                <w:lang w:eastAsia="es-CO"/>
              </w:rPr>
              <w:t>.</w:t>
            </w:r>
            <w:r w:rsidRPr="003A0C99">
              <w:rPr>
                <w:rFonts w:ascii="Arial Narrow" w:hAnsi="Arial Narrow" w:cs="Arial"/>
                <w:spacing w:val="0"/>
                <w:sz w:val="22"/>
                <w:szCs w:val="22"/>
                <w:lang w:eastAsia="es-CO"/>
              </w:rPr>
              <w:t xml:space="preserve">643 </w:t>
            </w:r>
          </w:p>
        </w:tc>
      </w:tr>
      <w:tr w:rsidR="003A0C99" w:rsidRPr="00A37243" w14:paraId="50246143" w14:textId="77777777" w:rsidTr="00E02CAF">
        <w:trPr>
          <w:trHeight w:val="290"/>
        </w:trPr>
        <w:tc>
          <w:tcPr>
            <w:tcW w:w="1555" w:type="dxa"/>
            <w:shd w:val="clear" w:color="auto" w:fill="auto"/>
            <w:noWrap/>
            <w:vAlign w:val="center"/>
            <w:hideMark/>
          </w:tcPr>
          <w:p w14:paraId="75D2AD3A" w14:textId="77777777" w:rsidR="003A0C99" w:rsidRPr="003A0C99" w:rsidRDefault="003A0C99" w:rsidP="003A0C99">
            <w:pPr>
              <w:jc w:val="left"/>
              <w:rPr>
                <w:rFonts w:ascii="Arial Narrow" w:hAnsi="Arial Narrow" w:cs="Arial"/>
                <w:spacing w:val="0"/>
                <w:sz w:val="22"/>
                <w:szCs w:val="22"/>
                <w:lang w:eastAsia="es-CO"/>
              </w:rPr>
            </w:pPr>
            <w:r w:rsidRPr="003A0C99">
              <w:rPr>
                <w:rFonts w:ascii="Arial Narrow" w:hAnsi="Arial Narrow" w:cs="Arial"/>
                <w:spacing w:val="0"/>
                <w:sz w:val="22"/>
                <w:szCs w:val="22"/>
                <w:lang w:eastAsia="es-CO"/>
              </w:rPr>
              <w:t>Administrativo</w:t>
            </w:r>
          </w:p>
        </w:tc>
        <w:tc>
          <w:tcPr>
            <w:tcW w:w="5244" w:type="dxa"/>
            <w:gridSpan w:val="2"/>
            <w:shd w:val="clear" w:color="auto" w:fill="auto"/>
            <w:noWrap/>
            <w:vAlign w:val="center"/>
            <w:hideMark/>
          </w:tcPr>
          <w:p w14:paraId="2E4C80FC" w14:textId="77777777" w:rsidR="003A0C99" w:rsidRPr="003A0C99" w:rsidRDefault="003A0C99" w:rsidP="003A0C99">
            <w:pPr>
              <w:jc w:val="left"/>
              <w:rPr>
                <w:rFonts w:ascii="Arial Narrow" w:hAnsi="Arial Narrow" w:cs="Arial"/>
                <w:spacing w:val="0"/>
                <w:sz w:val="22"/>
                <w:szCs w:val="22"/>
                <w:lang w:eastAsia="es-CO"/>
              </w:rPr>
            </w:pPr>
            <w:r w:rsidRPr="003A0C99">
              <w:rPr>
                <w:rFonts w:ascii="Arial Narrow" w:hAnsi="Arial Narrow" w:cs="Arial"/>
                <w:spacing w:val="0"/>
                <w:sz w:val="22"/>
                <w:szCs w:val="22"/>
                <w:lang w:eastAsia="es-CO"/>
              </w:rPr>
              <w:t xml:space="preserve"> (-) Deterioro </w:t>
            </w:r>
          </w:p>
        </w:tc>
        <w:tc>
          <w:tcPr>
            <w:tcW w:w="2268" w:type="dxa"/>
            <w:shd w:val="clear" w:color="auto" w:fill="auto"/>
            <w:noWrap/>
            <w:vAlign w:val="center"/>
            <w:hideMark/>
          </w:tcPr>
          <w:p w14:paraId="47FD0136" w14:textId="544B584E" w:rsidR="003A0C99" w:rsidRPr="003A0C99" w:rsidRDefault="003A0C99" w:rsidP="003A0C99">
            <w:pPr>
              <w:jc w:val="right"/>
              <w:rPr>
                <w:rFonts w:ascii="Arial Narrow" w:hAnsi="Arial Narrow" w:cs="Arial"/>
                <w:spacing w:val="0"/>
                <w:sz w:val="22"/>
                <w:szCs w:val="22"/>
                <w:lang w:eastAsia="es-CO"/>
              </w:rPr>
            </w:pPr>
            <w:r w:rsidRPr="003A0C99">
              <w:rPr>
                <w:rFonts w:ascii="Arial Narrow" w:hAnsi="Arial Narrow" w:cs="Arial"/>
                <w:spacing w:val="0"/>
                <w:sz w:val="22"/>
                <w:szCs w:val="22"/>
                <w:lang w:eastAsia="es-CO"/>
              </w:rPr>
              <w:t xml:space="preserve">  781</w:t>
            </w:r>
            <w:r w:rsidR="00EA0452">
              <w:rPr>
                <w:rFonts w:ascii="Arial Narrow" w:hAnsi="Arial Narrow" w:cs="Arial"/>
                <w:spacing w:val="0"/>
                <w:sz w:val="22"/>
                <w:szCs w:val="22"/>
                <w:lang w:eastAsia="es-CO"/>
              </w:rPr>
              <w:t>.</w:t>
            </w:r>
            <w:r w:rsidRPr="003A0C99">
              <w:rPr>
                <w:rFonts w:ascii="Arial Narrow" w:hAnsi="Arial Narrow" w:cs="Arial"/>
                <w:spacing w:val="0"/>
                <w:sz w:val="22"/>
                <w:szCs w:val="22"/>
                <w:lang w:eastAsia="es-CO"/>
              </w:rPr>
              <w:t>021</w:t>
            </w:r>
            <w:r w:rsidR="00EA0452">
              <w:rPr>
                <w:rFonts w:ascii="Arial Narrow" w:hAnsi="Arial Narrow" w:cs="Arial"/>
                <w:spacing w:val="0"/>
                <w:sz w:val="22"/>
                <w:szCs w:val="22"/>
                <w:lang w:eastAsia="es-CO"/>
              </w:rPr>
              <w:t>.</w:t>
            </w:r>
            <w:r w:rsidRPr="003A0C99">
              <w:rPr>
                <w:rFonts w:ascii="Arial Narrow" w:hAnsi="Arial Narrow" w:cs="Arial"/>
                <w:spacing w:val="0"/>
                <w:sz w:val="22"/>
                <w:szCs w:val="22"/>
                <w:lang w:eastAsia="es-CO"/>
              </w:rPr>
              <w:t>934</w:t>
            </w:r>
            <w:r w:rsidR="00EA0452">
              <w:rPr>
                <w:rFonts w:ascii="Arial Narrow" w:hAnsi="Arial Narrow" w:cs="Arial"/>
                <w:spacing w:val="0"/>
                <w:sz w:val="22"/>
                <w:szCs w:val="22"/>
                <w:lang w:eastAsia="es-CO"/>
              </w:rPr>
              <w:t>.</w:t>
            </w:r>
            <w:r w:rsidRPr="003A0C99">
              <w:rPr>
                <w:rFonts w:ascii="Arial Narrow" w:hAnsi="Arial Narrow" w:cs="Arial"/>
                <w:spacing w:val="0"/>
                <w:sz w:val="22"/>
                <w:szCs w:val="22"/>
                <w:lang w:eastAsia="es-CO"/>
              </w:rPr>
              <w:t xml:space="preserve">757 </w:t>
            </w:r>
          </w:p>
        </w:tc>
      </w:tr>
      <w:tr w:rsidR="003A0C99" w:rsidRPr="00A37243" w14:paraId="2A5C98D7" w14:textId="77777777" w:rsidTr="00E02CAF">
        <w:trPr>
          <w:trHeight w:val="290"/>
        </w:trPr>
        <w:tc>
          <w:tcPr>
            <w:tcW w:w="1555" w:type="dxa"/>
            <w:shd w:val="clear" w:color="auto" w:fill="auto"/>
            <w:noWrap/>
            <w:vAlign w:val="center"/>
            <w:hideMark/>
          </w:tcPr>
          <w:p w14:paraId="1EB42FB8" w14:textId="77777777" w:rsidR="003A0C99" w:rsidRPr="003A0C99" w:rsidRDefault="003A0C99" w:rsidP="003A0C99">
            <w:pPr>
              <w:jc w:val="left"/>
              <w:rPr>
                <w:rFonts w:ascii="Arial Narrow" w:hAnsi="Arial Narrow" w:cs="Arial"/>
                <w:spacing w:val="0"/>
                <w:sz w:val="22"/>
                <w:szCs w:val="22"/>
                <w:lang w:eastAsia="es-CO"/>
              </w:rPr>
            </w:pPr>
            <w:r w:rsidRPr="003A0C99">
              <w:rPr>
                <w:rFonts w:ascii="Arial Narrow" w:hAnsi="Arial Narrow" w:cs="Arial"/>
                <w:spacing w:val="0"/>
                <w:sz w:val="22"/>
                <w:szCs w:val="22"/>
                <w:lang w:eastAsia="es-CO"/>
              </w:rPr>
              <w:t>Administrativo</w:t>
            </w:r>
          </w:p>
        </w:tc>
        <w:tc>
          <w:tcPr>
            <w:tcW w:w="5244" w:type="dxa"/>
            <w:gridSpan w:val="2"/>
            <w:shd w:val="clear" w:color="auto" w:fill="auto"/>
            <w:noWrap/>
            <w:vAlign w:val="center"/>
            <w:hideMark/>
          </w:tcPr>
          <w:p w14:paraId="01975A4C" w14:textId="77777777" w:rsidR="003A0C99" w:rsidRPr="003A0C99" w:rsidRDefault="003A0C99" w:rsidP="003A0C99">
            <w:pPr>
              <w:jc w:val="left"/>
              <w:rPr>
                <w:rFonts w:ascii="Arial Narrow" w:hAnsi="Arial Narrow" w:cs="Arial"/>
                <w:spacing w:val="0"/>
                <w:sz w:val="22"/>
                <w:szCs w:val="22"/>
                <w:lang w:eastAsia="es-CO"/>
              </w:rPr>
            </w:pPr>
            <w:r w:rsidRPr="003A0C99">
              <w:rPr>
                <w:rFonts w:ascii="Arial Narrow" w:hAnsi="Arial Narrow" w:cs="Arial"/>
                <w:spacing w:val="0"/>
                <w:sz w:val="22"/>
                <w:szCs w:val="22"/>
                <w:lang w:eastAsia="es-CO"/>
              </w:rPr>
              <w:t xml:space="preserve"> (-) Impuesto a las Ganancias Corrientes </w:t>
            </w:r>
          </w:p>
        </w:tc>
        <w:tc>
          <w:tcPr>
            <w:tcW w:w="2268" w:type="dxa"/>
            <w:shd w:val="clear" w:color="auto" w:fill="auto"/>
            <w:noWrap/>
            <w:vAlign w:val="center"/>
            <w:hideMark/>
          </w:tcPr>
          <w:p w14:paraId="266FCEC8" w14:textId="1C000531" w:rsidR="003A0C99" w:rsidRPr="003A0C99" w:rsidRDefault="003A0C99" w:rsidP="003A0C99">
            <w:pPr>
              <w:jc w:val="right"/>
              <w:rPr>
                <w:rFonts w:ascii="Arial Narrow" w:hAnsi="Arial Narrow" w:cs="Arial"/>
                <w:spacing w:val="0"/>
                <w:sz w:val="22"/>
                <w:szCs w:val="22"/>
                <w:lang w:eastAsia="es-CO"/>
              </w:rPr>
            </w:pPr>
            <w:r w:rsidRPr="003A0C99">
              <w:rPr>
                <w:rFonts w:ascii="Arial Narrow" w:hAnsi="Arial Narrow" w:cs="Arial"/>
                <w:spacing w:val="0"/>
                <w:sz w:val="22"/>
                <w:szCs w:val="22"/>
                <w:lang w:eastAsia="es-CO"/>
              </w:rPr>
              <w:t xml:space="preserve">        4</w:t>
            </w:r>
            <w:r w:rsidR="00EA0452">
              <w:rPr>
                <w:rFonts w:ascii="Arial Narrow" w:hAnsi="Arial Narrow" w:cs="Arial"/>
                <w:spacing w:val="0"/>
                <w:sz w:val="22"/>
                <w:szCs w:val="22"/>
                <w:lang w:eastAsia="es-CO"/>
              </w:rPr>
              <w:t>.</w:t>
            </w:r>
            <w:r w:rsidRPr="003A0C99">
              <w:rPr>
                <w:rFonts w:ascii="Arial Narrow" w:hAnsi="Arial Narrow" w:cs="Arial"/>
                <w:spacing w:val="0"/>
                <w:sz w:val="22"/>
                <w:szCs w:val="22"/>
                <w:lang w:eastAsia="es-CO"/>
              </w:rPr>
              <w:t>002</w:t>
            </w:r>
            <w:r w:rsidR="00EA0452">
              <w:rPr>
                <w:rFonts w:ascii="Arial Narrow" w:hAnsi="Arial Narrow" w:cs="Arial"/>
                <w:spacing w:val="0"/>
                <w:sz w:val="22"/>
                <w:szCs w:val="22"/>
                <w:lang w:eastAsia="es-CO"/>
              </w:rPr>
              <w:t>.</w:t>
            </w:r>
            <w:r w:rsidRPr="003A0C99">
              <w:rPr>
                <w:rFonts w:ascii="Arial Narrow" w:hAnsi="Arial Narrow" w:cs="Arial"/>
                <w:spacing w:val="0"/>
                <w:sz w:val="22"/>
                <w:szCs w:val="22"/>
                <w:lang w:eastAsia="es-CO"/>
              </w:rPr>
              <w:t>362</w:t>
            </w:r>
            <w:r w:rsidR="00EA0452">
              <w:rPr>
                <w:rFonts w:ascii="Arial Narrow" w:hAnsi="Arial Narrow" w:cs="Arial"/>
                <w:spacing w:val="0"/>
                <w:sz w:val="22"/>
                <w:szCs w:val="22"/>
                <w:lang w:eastAsia="es-CO"/>
              </w:rPr>
              <w:t>.</w:t>
            </w:r>
            <w:r w:rsidRPr="003A0C99">
              <w:rPr>
                <w:rFonts w:ascii="Arial Narrow" w:hAnsi="Arial Narrow" w:cs="Arial"/>
                <w:spacing w:val="0"/>
                <w:sz w:val="22"/>
                <w:szCs w:val="22"/>
                <w:lang w:eastAsia="es-CO"/>
              </w:rPr>
              <w:t>059</w:t>
            </w:r>
            <w:r w:rsidR="00EA0452">
              <w:rPr>
                <w:rFonts w:ascii="Arial Narrow" w:hAnsi="Arial Narrow" w:cs="Arial"/>
                <w:spacing w:val="0"/>
                <w:sz w:val="22"/>
                <w:szCs w:val="22"/>
                <w:lang w:eastAsia="es-CO"/>
              </w:rPr>
              <w:t>.</w:t>
            </w:r>
            <w:r w:rsidRPr="003A0C99">
              <w:rPr>
                <w:rFonts w:ascii="Arial Narrow" w:hAnsi="Arial Narrow" w:cs="Arial"/>
                <w:spacing w:val="0"/>
                <w:sz w:val="22"/>
                <w:szCs w:val="22"/>
                <w:lang w:eastAsia="es-CO"/>
              </w:rPr>
              <w:t xml:space="preserve">056 </w:t>
            </w:r>
          </w:p>
        </w:tc>
      </w:tr>
      <w:tr w:rsidR="003A0C99" w:rsidRPr="00A37243" w14:paraId="0615CA74" w14:textId="77777777" w:rsidTr="00E02CAF">
        <w:trPr>
          <w:trHeight w:val="290"/>
        </w:trPr>
        <w:tc>
          <w:tcPr>
            <w:tcW w:w="1555" w:type="dxa"/>
            <w:shd w:val="clear" w:color="auto" w:fill="auto"/>
            <w:noWrap/>
            <w:vAlign w:val="center"/>
            <w:hideMark/>
          </w:tcPr>
          <w:p w14:paraId="3D602857" w14:textId="77777777" w:rsidR="003A0C99" w:rsidRPr="003A0C99" w:rsidRDefault="003A0C99" w:rsidP="003A0C99">
            <w:pPr>
              <w:jc w:val="left"/>
              <w:rPr>
                <w:rFonts w:ascii="Arial Narrow" w:hAnsi="Arial Narrow" w:cs="Arial"/>
                <w:spacing w:val="0"/>
                <w:sz w:val="22"/>
                <w:szCs w:val="22"/>
                <w:lang w:eastAsia="es-CO"/>
              </w:rPr>
            </w:pPr>
            <w:r w:rsidRPr="003A0C99">
              <w:rPr>
                <w:rFonts w:ascii="Arial Narrow" w:hAnsi="Arial Narrow" w:cs="Arial"/>
                <w:spacing w:val="0"/>
                <w:sz w:val="22"/>
                <w:szCs w:val="22"/>
                <w:lang w:eastAsia="es-CO"/>
              </w:rPr>
              <w:t>Administrativo</w:t>
            </w:r>
          </w:p>
        </w:tc>
        <w:tc>
          <w:tcPr>
            <w:tcW w:w="5244" w:type="dxa"/>
            <w:gridSpan w:val="2"/>
            <w:shd w:val="clear" w:color="auto" w:fill="auto"/>
            <w:noWrap/>
            <w:vAlign w:val="center"/>
            <w:hideMark/>
          </w:tcPr>
          <w:p w14:paraId="2CF86497" w14:textId="77777777" w:rsidR="003A0C99" w:rsidRPr="003A0C99" w:rsidRDefault="003A0C99" w:rsidP="003A0C99">
            <w:pPr>
              <w:jc w:val="left"/>
              <w:rPr>
                <w:rFonts w:ascii="Arial Narrow" w:hAnsi="Arial Narrow" w:cs="Arial"/>
                <w:spacing w:val="0"/>
                <w:sz w:val="22"/>
                <w:szCs w:val="22"/>
                <w:lang w:eastAsia="es-CO"/>
              </w:rPr>
            </w:pPr>
            <w:r w:rsidRPr="003A0C99">
              <w:rPr>
                <w:rFonts w:ascii="Arial Narrow" w:hAnsi="Arial Narrow" w:cs="Arial"/>
                <w:spacing w:val="0"/>
                <w:sz w:val="22"/>
                <w:szCs w:val="22"/>
                <w:lang w:eastAsia="es-CO"/>
              </w:rPr>
              <w:t xml:space="preserve"> (-) Impuesto a las Ganancias Diferido </w:t>
            </w:r>
          </w:p>
        </w:tc>
        <w:tc>
          <w:tcPr>
            <w:tcW w:w="2268" w:type="dxa"/>
            <w:shd w:val="clear" w:color="auto" w:fill="auto"/>
            <w:noWrap/>
            <w:vAlign w:val="center"/>
            <w:hideMark/>
          </w:tcPr>
          <w:p w14:paraId="5037C1E2" w14:textId="6A485FF0" w:rsidR="003A0C99" w:rsidRPr="003A0C99" w:rsidRDefault="003A0C99" w:rsidP="003A0C99">
            <w:pPr>
              <w:jc w:val="right"/>
              <w:rPr>
                <w:rFonts w:ascii="Arial Narrow" w:hAnsi="Arial Narrow" w:cs="Arial"/>
                <w:spacing w:val="0"/>
                <w:sz w:val="22"/>
                <w:szCs w:val="22"/>
                <w:lang w:eastAsia="es-CO"/>
              </w:rPr>
            </w:pPr>
            <w:r w:rsidRPr="003A0C99">
              <w:rPr>
                <w:rFonts w:ascii="Arial Narrow" w:hAnsi="Arial Narrow" w:cs="Arial"/>
                <w:spacing w:val="0"/>
                <w:sz w:val="22"/>
                <w:szCs w:val="22"/>
                <w:lang w:eastAsia="es-CO"/>
              </w:rPr>
              <w:t xml:space="preserve">           134</w:t>
            </w:r>
            <w:r w:rsidR="00EA0452">
              <w:rPr>
                <w:rFonts w:ascii="Arial Narrow" w:hAnsi="Arial Narrow" w:cs="Arial"/>
                <w:spacing w:val="0"/>
                <w:sz w:val="22"/>
                <w:szCs w:val="22"/>
                <w:lang w:eastAsia="es-CO"/>
              </w:rPr>
              <w:t>.</w:t>
            </w:r>
            <w:r w:rsidRPr="003A0C99">
              <w:rPr>
                <w:rFonts w:ascii="Arial Narrow" w:hAnsi="Arial Narrow" w:cs="Arial"/>
                <w:spacing w:val="0"/>
                <w:sz w:val="22"/>
                <w:szCs w:val="22"/>
                <w:lang w:eastAsia="es-CO"/>
              </w:rPr>
              <w:t>829</w:t>
            </w:r>
            <w:r w:rsidR="00EA0452">
              <w:rPr>
                <w:rFonts w:ascii="Arial Narrow" w:hAnsi="Arial Narrow" w:cs="Arial"/>
                <w:spacing w:val="0"/>
                <w:sz w:val="22"/>
                <w:szCs w:val="22"/>
                <w:lang w:eastAsia="es-CO"/>
              </w:rPr>
              <w:t>.</w:t>
            </w:r>
            <w:r w:rsidRPr="003A0C99">
              <w:rPr>
                <w:rFonts w:ascii="Arial Narrow" w:hAnsi="Arial Narrow" w:cs="Arial"/>
                <w:spacing w:val="0"/>
                <w:sz w:val="22"/>
                <w:szCs w:val="22"/>
                <w:lang w:eastAsia="es-CO"/>
              </w:rPr>
              <w:t>621</w:t>
            </w:r>
            <w:r w:rsidR="00EA0452">
              <w:rPr>
                <w:rFonts w:ascii="Arial Narrow" w:hAnsi="Arial Narrow" w:cs="Arial"/>
                <w:spacing w:val="0"/>
                <w:sz w:val="22"/>
                <w:szCs w:val="22"/>
                <w:lang w:eastAsia="es-CO"/>
              </w:rPr>
              <w:t>.</w:t>
            </w:r>
            <w:r w:rsidRPr="003A0C99">
              <w:rPr>
                <w:rFonts w:ascii="Arial Narrow" w:hAnsi="Arial Narrow" w:cs="Arial"/>
                <w:spacing w:val="0"/>
                <w:sz w:val="22"/>
                <w:szCs w:val="22"/>
                <w:lang w:eastAsia="es-CO"/>
              </w:rPr>
              <w:t xml:space="preserve">817 </w:t>
            </w:r>
          </w:p>
        </w:tc>
      </w:tr>
      <w:tr w:rsidR="003A0C99" w:rsidRPr="00A37243" w14:paraId="6F7E56CA" w14:textId="77777777" w:rsidTr="00E02CAF">
        <w:trPr>
          <w:trHeight w:val="290"/>
        </w:trPr>
        <w:tc>
          <w:tcPr>
            <w:tcW w:w="1555" w:type="dxa"/>
            <w:shd w:val="clear" w:color="auto" w:fill="auto"/>
            <w:noWrap/>
            <w:vAlign w:val="center"/>
            <w:hideMark/>
          </w:tcPr>
          <w:p w14:paraId="0D048555" w14:textId="77777777" w:rsidR="003A0C99" w:rsidRPr="003A0C99" w:rsidRDefault="003A0C99" w:rsidP="003A0C99">
            <w:pPr>
              <w:jc w:val="left"/>
              <w:rPr>
                <w:rFonts w:ascii="Arial Narrow" w:hAnsi="Arial Narrow" w:cs="Arial"/>
                <w:spacing w:val="0"/>
                <w:sz w:val="22"/>
                <w:szCs w:val="22"/>
                <w:lang w:eastAsia="es-CO"/>
              </w:rPr>
            </w:pPr>
            <w:r w:rsidRPr="003A0C99">
              <w:rPr>
                <w:rFonts w:ascii="Arial Narrow" w:hAnsi="Arial Narrow" w:cs="Arial"/>
                <w:spacing w:val="0"/>
                <w:sz w:val="22"/>
                <w:szCs w:val="22"/>
                <w:lang w:eastAsia="es-CO"/>
              </w:rPr>
              <w:t>Administrativo</w:t>
            </w:r>
          </w:p>
        </w:tc>
        <w:tc>
          <w:tcPr>
            <w:tcW w:w="5244" w:type="dxa"/>
            <w:gridSpan w:val="2"/>
            <w:shd w:val="clear" w:color="auto" w:fill="auto"/>
            <w:noWrap/>
            <w:vAlign w:val="center"/>
            <w:hideMark/>
          </w:tcPr>
          <w:p w14:paraId="017BC268" w14:textId="77777777" w:rsidR="003A0C99" w:rsidRPr="003A0C99" w:rsidRDefault="003A0C99" w:rsidP="003A0C99">
            <w:pPr>
              <w:jc w:val="left"/>
              <w:rPr>
                <w:rFonts w:ascii="Arial Narrow" w:hAnsi="Arial Narrow" w:cs="Arial"/>
                <w:spacing w:val="0"/>
                <w:sz w:val="22"/>
                <w:szCs w:val="22"/>
                <w:lang w:eastAsia="es-CO"/>
              </w:rPr>
            </w:pPr>
            <w:r w:rsidRPr="003A0C99">
              <w:rPr>
                <w:rFonts w:ascii="Arial Narrow" w:hAnsi="Arial Narrow" w:cs="Arial"/>
                <w:spacing w:val="0"/>
                <w:sz w:val="22"/>
                <w:szCs w:val="22"/>
                <w:lang w:eastAsia="es-CO"/>
              </w:rPr>
              <w:t xml:space="preserve"> (-) Impuestos Tasas y Contribuciones </w:t>
            </w:r>
          </w:p>
        </w:tc>
        <w:tc>
          <w:tcPr>
            <w:tcW w:w="2268" w:type="dxa"/>
            <w:shd w:val="clear" w:color="auto" w:fill="auto"/>
            <w:noWrap/>
            <w:vAlign w:val="center"/>
            <w:hideMark/>
          </w:tcPr>
          <w:p w14:paraId="03DDCFED" w14:textId="196C11F9" w:rsidR="003A0C99" w:rsidRPr="003A0C99" w:rsidRDefault="003A0C99" w:rsidP="003A0C99">
            <w:pPr>
              <w:jc w:val="right"/>
              <w:rPr>
                <w:rFonts w:ascii="Arial Narrow" w:hAnsi="Arial Narrow" w:cs="Arial"/>
                <w:spacing w:val="0"/>
                <w:sz w:val="22"/>
                <w:szCs w:val="22"/>
                <w:lang w:eastAsia="es-CO"/>
              </w:rPr>
            </w:pPr>
            <w:r w:rsidRPr="003A0C99">
              <w:rPr>
                <w:rFonts w:ascii="Arial Narrow" w:hAnsi="Arial Narrow" w:cs="Arial"/>
                <w:spacing w:val="0"/>
                <w:sz w:val="22"/>
                <w:szCs w:val="22"/>
                <w:lang w:eastAsia="es-CO"/>
              </w:rPr>
              <w:t xml:space="preserve">           699</w:t>
            </w:r>
            <w:r w:rsidR="00EA0452">
              <w:rPr>
                <w:rFonts w:ascii="Arial Narrow" w:hAnsi="Arial Narrow" w:cs="Arial"/>
                <w:spacing w:val="0"/>
                <w:sz w:val="22"/>
                <w:szCs w:val="22"/>
                <w:lang w:eastAsia="es-CO"/>
              </w:rPr>
              <w:t>.</w:t>
            </w:r>
            <w:r w:rsidRPr="003A0C99">
              <w:rPr>
                <w:rFonts w:ascii="Arial Narrow" w:hAnsi="Arial Narrow" w:cs="Arial"/>
                <w:spacing w:val="0"/>
                <w:sz w:val="22"/>
                <w:szCs w:val="22"/>
                <w:lang w:eastAsia="es-CO"/>
              </w:rPr>
              <w:t>172</w:t>
            </w:r>
            <w:r w:rsidR="00EA0452">
              <w:rPr>
                <w:rFonts w:ascii="Arial Narrow" w:hAnsi="Arial Narrow" w:cs="Arial"/>
                <w:spacing w:val="0"/>
                <w:sz w:val="22"/>
                <w:szCs w:val="22"/>
                <w:lang w:eastAsia="es-CO"/>
              </w:rPr>
              <w:t>.</w:t>
            </w:r>
            <w:r w:rsidRPr="003A0C99">
              <w:rPr>
                <w:rFonts w:ascii="Arial Narrow" w:hAnsi="Arial Narrow" w:cs="Arial"/>
                <w:spacing w:val="0"/>
                <w:sz w:val="22"/>
                <w:szCs w:val="22"/>
                <w:lang w:eastAsia="es-CO"/>
              </w:rPr>
              <w:t>704</w:t>
            </w:r>
            <w:r w:rsidR="00EA0452">
              <w:rPr>
                <w:rFonts w:ascii="Arial Narrow" w:hAnsi="Arial Narrow" w:cs="Arial"/>
                <w:spacing w:val="0"/>
                <w:sz w:val="22"/>
                <w:szCs w:val="22"/>
                <w:lang w:eastAsia="es-CO"/>
              </w:rPr>
              <w:t>.</w:t>
            </w:r>
            <w:r w:rsidRPr="003A0C99">
              <w:rPr>
                <w:rFonts w:ascii="Arial Narrow" w:hAnsi="Arial Narrow" w:cs="Arial"/>
                <w:spacing w:val="0"/>
                <w:sz w:val="22"/>
                <w:szCs w:val="22"/>
                <w:lang w:eastAsia="es-CO"/>
              </w:rPr>
              <w:t xml:space="preserve">609 </w:t>
            </w:r>
          </w:p>
        </w:tc>
      </w:tr>
      <w:tr w:rsidR="003A0C99" w:rsidRPr="00A37243" w14:paraId="05EFAF80" w14:textId="77777777" w:rsidTr="00E02CAF">
        <w:trPr>
          <w:trHeight w:val="290"/>
        </w:trPr>
        <w:tc>
          <w:tcPr>
            <w:tcW w:w="1555" w:type="dxa"/>
            <w:shd w:val="clear" w:color="auto" w:fill="auto"/>
            <w:noWrap/>
            <w:vAlign w:val="center"/>
            <w:hideMark/>
          </w:tcPr>
          <w:p w14:paraId="5CD488B6" w14:textId="77777777" w:rsidR="003A0C99" w:rsidRPr="003A0C99" w:rsidRDefault="003A0C99" w:rsidP="003A0C99">
            <w:pPr>
              <w:jc w:val="left"/>
              <w:rPr>
                <w:rFonts w:ascii="Arial Narrow" w:hAnsi="Arial Narrow" w:cs="Arial"/>
                <w:spacing w:val="0"/>
                <w:sz w:val="22"/>
                <w:szCs w:val="22"/>
                <w:lang w:eastAsia="es-CO"/>
              </w:rPr>
            </w:pPr>
            <w:r w:rsidRPr="003A0C99">
              <w:rPr>
                <w:rFonts w:ascii="Arial Narrow" w:hAnsi="Arial Narrow" w:cs="Arial"/>
                <w:spacing w:val="0"/>
                <w:sz w:val="22"/>
                <w:szCs w:val="22"/>
                <w:lang w:eastAsia="es-CO"/>
              </w:rPr>
              <w:t>Administrativo</w:t>
            </w:r>
          </w:p>
        </w:tc>
        <w:tc>
          <w:tcPr>
            <w:tcW w:w="5244" w:type="dxa"/>
            <w:gridSpan w:val="2"/>
            <w:shd w:val="clear" w:color="auto" w:fill="auto"/>
            <w:noWrap/>
            <w:vAlign w:val="center"/>
            <w:hideMark/>
          </w:tcPr>
          <w:p w14:paraId="608D9C56" w14:textId="77777777" w:rsidR="003A0C99" w:rsidRPr="003A0C99" w:rsidRDefault="003A0C99" w:rsidP="003A0C99">
            <w:pPr>
              <w:jc w:val="left"/>
              <w:rPr>
                <w:rFonts w:ascii="Arial Narrow" w:hAnsi="Arial Narrow" w:cs="Arial"/>
                <w:spacing w:val="0"/>
                <w:sz w:val="22"/>
                <w:szCs w:val="22"/>
                <w:lang w:eastAsia="es-CO"/>
              </w:rPr>
            </w:pPr>
            <w:r w:rsidRPr="003A0C99">
              <w:rPr>
                <w:rFonts w:ascii="Arial Narrow" w:hAnsi="Arial Narrow" w:cs="Arial"/>
                <w:spacing w:val="0"/>
                <w:sz w:val="22"/>
                <w:szCs w:val="22"/>
                <w:lang w:eastAsia="es-CO"/>
              </w:rPr>
              <w:t xml:space="preserve"> (-) Gastos Diversos </w:t>
            </w:r>
          </w:p>
        </w:tc>
        <w:tc>
          <w:tcPr>
            <w:tcW w:w="2268" w:type="dxa"/>
            <w:shd w:val="clear" w:color="auto" w:fill="auto"/>
            <w:noWrap/>
            <w:vAlign w:val="center"/>
            <w:hideMark/>
          </w:tcPr>
          <w:p w14:paraId="33B37080" w14:textId="1CB782C8" w:rsidR="003A0C99" w:rsidRPr="003A0C99" w:rsidRDefault="003A0C99" w:rsidP="003A0C99">
            <w:pPr>
              <w:jc w:val="right"/>
              <w:rPr>
                <w:rFonts w:ascii="Arial Narrow" w:hAnsi="Arial Narrow" w:cs="Arial"/>
                <w:spacing w:val="0"/>
                <w:sz w:val="22"/>
                <w:szCs w:val="22"/>
                <w:lang w:eastAsia="es-CO"/>
              </w:rPr>
            </w:pPr>
            <w:r w:rsidRPr="003A0C99">
              <w:rPr>
                <w:rFonts w:ascii="Arial Narrow" w:hAnsi="Arial Narrow" w:cs="Arial"/>
                <w:spacing w:val="0"/>
                <w:sz w:val="22"/>
                <w:szCs w:val="22"/>
                <w:lang w:eastAsia="es-CO"/>
              </w:rPr>
              <w:t xml:space="preserve">           364</w:t>
            </w:r>
            <w:r w:rsidR="00EA0452">
              <w:rPr>
                <w:rFonts w:ascii="Arial Narrow" w:hAnsi="Arial Narrow" w:cs="Arial"/>
                <w:spacing w:val="0"/>
                <w:sz w:val="22"/>
                <w:szCs w:val="22"/>
                <w:lang w:eastAsia="es-CO"/>
              </w:rPr>
              <w:t>.</w:t>
            </w:r>
            <w:r w:rsidRPr="003A0C99">
              <w:rPr>
                <w:rFonts w:ascii="Arial Narrow" w:hAnsi="Arial Narrow" w:cs="Arial"/>
                <w:spacing w:val="0"/>
                <w:sz w:val="22"/>
                <w:szCs w:val="22"/>
                <w:lang w:eastAsia="es-CO"/>
              </w:rPr>
              <w:t>967</w:t>
            </w:r>
            <w:r w:rsidR="00EA0452">
              <w:rPr>
                <w:rFonts w:ascii="Arial Narrow" w:hAnsi="Arial Narrow" w:cs="Arial"/>
                <w:spacing w:val="0"/>
                <w:sz w:val="22"/>
                <w:szCs w:val="22"/>
                <w:lang w:eastAsia="es-CO"/>
              </w:rPr>
              <w:t>.</w:t>
            </w:r>
            <w:r w:rsidRPr="003A0C99">
              <w:rPr>
                <w:rFonts w:ascii="Arial Narrow" w:hAnsi="Arial Narrow" w:cs="Arial"/>
                <w:spacing w:val="0"/>
                <w:sz w:val="22"/>
                <w:szCs w:val="22"/>
                <w:lang w:eastAsia="es-CO"/>
              </w:rPr>
              <w:t>766</w:t>
            </w:r>
            <w:r w:rsidR="00EA0452">
              <w:rPr>
                <w:rFonts w:ascii="Arial Narrow" w:hAnsi="Arial Narrow" w:cs="Arial"/>
                <w:spacing w:val="0"/>
                <w:sz w:val="22"/>
                <w:szCs w:val="22"/>
                <w:lang w:eastAsia="es-CO"/>
              </w:rPr>
              <w:t>.</w:t>
            </w:r>
            <w:r w:rsidRPr="003A0C99">
              <w:rPr>
                <w:rFonts w:ascii="Arial Narrow" w:hAnsi="Arial Narrow" w:cs="Arial"/>
                <w:spacing w:val="0"/>
                <w:sz w:val="22"/>
                <w:szCs w:val="22"/>
                <w:lang w:eastAsia="es-CO"/>
              </w:rPr>
              <w:t xml:space="preserve">023 </w:t>
            </w:r>
          </w:p>
        </w:tc>
      </w:tr>
      <w:tr w:rsidR="003A0C99" w:rsidRPr="00A37243" w14:paraId="3C71892F" w14:textId="77777777" w:rsidTr="00271B60">
        <w:trPr>
          <w:trHeight w:val="290"/>
        </w:trPr>
        <w:tc>
          <w:tcPr>
            <w:tcW w:w="1555" w:type="dxa"/>
            <w:shd w:val="clear" w:color="auto" w:fill="F2F2F2" w:themeFill="background1" w:themeFillShade="F2"/>
            <w:noWrap/>
            <w:vAlign w:val="center"/>
            <w:hideMark/>
          </w:tcPr>
          <w:p w14:paraId="572C8289" w14:textId="77777777" w:rsidR="003A0C99" w:rsidRPr="003A0C99" w:rsidRDefault="003A0C99" w:rsidP="003A0C99">
            <w:pPr>
              <w:jc w:val="left"/>
              <w:rPr>
                <w:rFonts w:ascii="Arial Narrow" w:hAnsi="Arial Narrow" w:cs="Arial"/>
                <w:spacing w:val="0"/>
                <w:sz w:val="22"/>
                <w:szCs w:val="22"/>
                <w:lang w:eastAsia="es-CO"/>
              </w:rPr>
            </w:pPr>
            <w:r w:rsidRPr="003A0C99">
              <w:rPr>
                <w:rFonts w:ascii="Arial Narrow" w:hAnsi="Arial Narrow" w:cs="Arial"/>
                <w:spacing w:val="0"/>
                <w:sz w:val="22"/>
                <w:szCs w:val="22"/>
                <w:lang w:eastAsia="es-CO"/>
              </w:rPr>
              <w:t>Operativo</w:t>
            </w:r>
          </w:p>
        </w:tc>
        <w:tc>
          <w:tcPr>
            <w:tcW w:w="5244" w:type="dxa"/>
            <w:gridSpan w:val="2"/>
            <w:shd w:val="clear" w:color="auto" w:fill="F2F2F2" w:themeFill="background1" w:themeFillShade="F2"/>
            <w:noWrap/>
            <w:vAlign w:val="center"/>
            <w:hideMark/>
          </w:tcPr>
          <w:p w14:paraId="6198B515" w14:textId="77777777" w:rsidR="003A0C99" w:rsidRPr="003A0C99" w:rsidRDefault="003A0C99" w:rsidP="003A0C99">
            <w:pPr>
              <w:jc w:val="left"/>
              <w:rPr>
                <w:rFonts w:ascii="Arial Narrow" w:hAnsi="Arial Narrow" w:cs="Arial"/>
                <w:spacing w:val="0"/>
                <w:sz w:val="22"/>
                <w:szCs w:val="22"/>
                <w:lang w:eastAsia="es-CO"/>
              </w:rPr>
            </w:pPr>
            <w:r w:rsidRPr="003A0C99">
              <w:rPr>
                <w:rFonts w:ascii="Arial Narrow" w:hAnsi="Arial Narrow" w:cs="Arial"/>
                <w:spacing w:val="0"/>
                <w:sz w:val="22"/>
                <w:szCs w:val="22"/>
                <w:lang w:eastAsia="es-CO"/>
              </w:rPr>
              <w:t xml:space="preserve"> (+) Beneficios a empleados </w:t>
            </w:r>
          </w:p>
        </w:tc>
        <w:tc>
          <w:tcPr>
            <w:tcW w:w="2268" w:type="dxa"/>
            <w:shd w:val="clear" w:color="auto" w:fill="F2F2F2" w:themeFill="background1" w:themeFillShade="F2"/>
            <w:noWrap/>
            <w:vAlign w:val="center"/>
            <w:hideMark/>
          </w:tcPr>
          <w:p w14:paraId="3A67D560" w14:textId="5BAB0BF1" w:rsidR="003A0C99" w:rsidRPr="003A0C99" w:rsidRDefault="003A0C99" w:rsidP="003A0C99">
            <w:pPr>
              <w:jc w:val="right"/>
              <w:rPr>
                <w:rFonts w:ascii="Arial Narrow" w:hAnsi="Arial Narrow" w:cs="Arial"/>
                <w:spacing w:val="0"/>
                <w:sz w:val="22"/>
                <w:szCs w:val="22"/>
                <w:lang w:eastAsia="es-CO"/>
              </w:rPr>
            </w:pPr>
            <w:r w:rsidRPr="003A0C99">
              <w:rPr>
                <w:rFonts w:ascii="Arial Narrow" w:hAnsi="Arial Narrow" w:cs="Arial"/>
                <w:spacing w:val="0"/>
                <w:sz w:val="22"/>
                <w:szCs w:val="22"/>
                <w:lang w:eastAsia="es-CO"/>
              </w:rPr>
              <w:t xml:space="preserve">        1</w:t>
            </w:r>
            <w:r w:rsidR="00EA0452">
              <w:rPr>
                <w:rFonts w:ascii="Arial Narrow" w:hAnsi="Arial Narrow" w:cs="Arial"/>
                <w:spacing w:val="0"/>
                <w:sz w:val="22"/>
                <w:szCs w:val="22"/>
                <w:lang w:eastAsia="es-CO"/>
              </w:rPr>
              <w:t>.</w:t>
            </w:r>
            <w:r w:rsidRPr="003A0C99">
              <w:rPr>
                <w:rFonts w:ascii="Arial Narrow" w:hAnsi="Arial Narrow" w:cs="Arial"/>
                <w:spacing w:val="0"/>
                <w:sz w:val="22"/>
                <w:szCs w:val="22"/>
                <w:lang w:eastAsia="es-CO"/>
              </w:rPr>
              <w:t>945</w:t>
            </w:r>
            <w:r w:rsidR="00EA0452">
              <w:rPr>
                <w:rFonts w:ascii="Arial Narrow" w:hAnsi="Arial Narrow" w:cs="Arial"/>
                <w:spacing w:val="0"/>
                <w:sz w:val="22"/>
                <w:szCs w:val="22"/>
                <w:lang w:eastAsia="es-CO"/>
              </w:rPr>
              <w:t>.</w:t>
            </w:r>
            <w:r w:rsidRPr="003A0C99">
              <w:rPr>
                <w:rFonts w:ascii="Arial Narrow" w:hAnsi="Arial Narrow" w:cs="Arial"/>
                <w:spacing w:val="0"/>
                <w:sz w:val="22"/>
                <w:szCs w:val="22"/>
                <w:lang w:eastAsia="es-CO"/>
              </w:rPr>
              <w:t>072</w:t>
            </w:r>
            <w:r w:rsidR="00EA0452">
              <w:rPr>
                <w:rFonts w:ascii="Arial Narrow" w:hAnsi="Arial Narrow" w:cs="Arial"/>
                <w:spacing w:val="0"/>
                <w:sz w:val="22"/>
                <w:szCs w:val="22"/>
                <w:lang w:eastAsia="es-CO"/>
              </w:rPr>
              <w:t>.</w:t>
            </w:r>
            <w:r w:rsidRPr="003A0C99">
              <w:rPr>
                <w:rFonts w:ascii="Arial Narrow" w:hAnsi="Arial Narrow" w:cs="Arial"/>
                <w:spacing w:val="0"/>
                <w:sz w:val="22"/>
                <w:szCs w:val="22"/>
                <w:lang w:eastAsia="es-CO"/>
              </w:rPr>
              <w:t>065</w:t>
            </w:r>
            <w:r w:rsidR="00EA0452">
              <w:rPr>
                <w:rFonts w:ascii="Arial Narrow" w:hAnsi="Arial Narrow" w:cs="Arial"/>
                <w:spacing w:val="0"/>
                <w:sz w:val="22"/>
                <w:szCs w:val="22"/>
                <w:lang w:eastAsia="es-CO"/>
              </w:rPr>
              <w:t>.</w:t>
            </w:r>
            <w:r w:rsidRPr="003A0C99">
              <w:rPr>
                <w:rFonts w:ascii="Arial Narrow" w:hAnsi="Arial Narrow" w:cs="Arial"/>
                <w:spacing w:val="0"/>
                <w:sz w:val="22"/>
                <w:szCs w:val="22"/>
                <w:lang w:eastAsia="es-CO"/>
              </w:rPr>
              <w:t xml:space="preserve">208 </w:t>
            </w:r>
          </w:p>
        </w:tc>
      </w:tr>
      <w:tr w:rsidR="003A0C99" w:rsidRPr="00A37243" w14:paraId="51C42EFF" w14:textId="77777777" w:rsidTr="00271B60">
        <w:trPr>
          <w:trHeight w:val="290"/>
        </w:trPr>
        <w:tc>
          <w:tcPr>
            <w:tcW w:w="1555" w:type="dxa"/>
            <w:shd w:val="clear" w:color="auto" w:fill="F2F2F2" w:themeFill="background1" w:themeFillShade="F2"/>
            <w:noWrap/>
            <w:vAlign w:val="center"/>
            <w:hideMark/>
          </w:tcPr>
          <w:p w14:paraId="6AA8AA96" w14:textId="77777777" w:rsidR="003A0C99" w:rsidRPr="003A0C99" w:rsidRDefault="003A0C99" w:rsidP="003A0C99">
            <w:pPr>
              <w:jc w:val="left"/>
              <w:rPr>
                <w:rFonts w:ascii="Arial Narrow" w:hAnsi="Arial Narrow" w:cs="Arial"/>
                <w:spacing w:val="0"/>
                <w:sz w:val="22"/>
                <w:szCs w:val="22"/>
                <w:lang w:eastAsia="es-CO"/>
              </w:rPr>
            </w:pPr>
            <w:r w:rsidRPr="003A0C99">
              <w:rPr>
                <w:rFonts w:ascii="Arial Narrow" w:hAnsi="Arial Narrow" w:cs="Arial"/>
                <w:spacing w:val="0"/>
                <w:sz w:val="22"/>
                <w:szCs w:val="22"/>
                <w:lang w:eastAsia="es-CO"/>
              </w:rPr>
              <w:t>Operativo</w:t>
            </w:r>
          </w:p>
        </w:tc>
        <w:tc>
          <w:tcPr>
            <w:tcW w:w="5244" w:type="dxa"/>
            <w:gridSpan w:val="2"/>
            <w:shd w:val="clear" w:color="auto" w:fill="F2F2F2" w:themeFill="background1" w:themeFillShade="F2"/>
            <w:noWrap/>
            <w:vAlign w:val="center"/>
            <w:hideMark/>
          </w:tcPr>
          <w:p w14:paraId="63A52684" w14:textId="77777777" w:rsidR="003A0C99" w:rsidRPr="003A0C99" w:rsidRDefault="003A0C99" w:rsidP="003A0C99">
            <w:pPr>
              <w:jc w:val="left"/>
              <w:rPr>
                <w:rFonts w:ascii="Arial Narrow" w:hAnsi="Arial Narrow" w:cs="Arial"/>
                <w:spacing w:val="0"/>
                <w:sz w:val="22"/>
                <w:szCs w:val="22"/>
                <w:lang w:eastAsia="es-CO"/>
              </w:rPr>
            </w:pPr>
            <w:r w:rsidRPr="003A0C99">
              <w:rPr>
                <w:rFonts w:ascii="Arial Narrow" w:hAnsi="Arial Narrow" w:cs="Arial"/>
                <w:spacing w:val="0"/>
                <w:sz w:val="22"/>
                <w:szCs w:val="22"/>
                <w:lang w:eastAsia="es-CO"/>
              </w:rPr>
              <w:t xml:space="preserve"> (+) Generales </w:t>
            </w:r>
          </w:p>
        </w:tc>
        <w:tc>
          <w:tcPr>
            <w:tcW w:w="2268" w:type="dxa"/>
            <w:shd w:val="clear" w:color="auto" w:fill="F2F2F2" w:themeFill="background1" w:themeFillShade="F2"/>
            <w:noWrap/>
            <w:vAlign w:val="center"/>
            <w:hideMark/>
          </w:tcPr>
          <w:p w14:paraId="51C3709E" w14:textId="2FA80A5B" w:rsidR="003A0C99" w:rsidRPr="003A0C99" w:rsidRDefault="003A0C99" w:rsidP="003A0C99">
            <w:pPr>
              <w:jc w:val="right"/>
              <w:rPr>
                <w:rFonts w:ascii="Arial Narrow" w:hAnsi="Arial Narrow" w:cs="Arial"/>
                <w:spacing w:val="0"/>
                <w:sz w:val="22"/>
                <w:szCs w:val="22"/>
                <w:lang w:eastAsia="es-CO"/>
              </w:rPr>
            </w:pPr>
            <w:r w:rsidRPr="003A0C99">
              <w:rPr>
                <w:rFonts w:ascii="Arial Narrow" w:hAnsi="Arial Narrow" w:cs="Arial"/>
                <w:spacing w:val="0"/>
                <w:sz w:val="22"/>
                <w:szCs w:val="22"/>
                <w:lang w:eastAsia="es-CO"/>
              </w:rPr>
              <w:t xml:space="preserve">        2</w:t>
            </w:r>
            <w:r w:rsidR="00EA0452">
              <w:rPr>
                <w:rFonts w:ascii="Arial Narrow" w:hAnsi="Arial Narrow" w:cs="Arial"/>
                <w:spacing w:val="0"/>
                <w:sz w:val="22"/>
                <w:szCs w:val="22"/>
                <w:lang w:eastAsia="es-CO"/>
              </w:rPr>
              <w:t>.</w:t>
            </w:r>
            <w:r w:rsidRPr="003A0C99">
              <w:rPr>
                <w:rFonts w:ascii="Arial Narrow" w:hAnsi="Arial Narrow" w:cs="Arial"/>
                <w:spacing w:val="0"/>
                <w:sz w:val="22"/>
                <w:szCs w:val="22"/>
                <w:lang w:eastAsia="es-CO"/>
              </w:rPr>
              <w:t>683</w:t>
            </w:r>
            <w:r w:rsidR="00EA0452">
              <w:rPr>
                <w:rFonts w:ascii="Arial Narrow" w:hAnsi="Arial Narrow" w:cs="Arial"/>
                <w:spacing w:val="0"/>
                <w:sz w:val="22"/>
                <w:szCs w:val="22"/>
                <w:lang w:eastAsia="es-CO"/>
              </w:rPr>
              <w:t>.</w:t>
            </w:r>
            <w:r w:rsidRPr="003A0C99">
              <w:rPr>
                <w:rFonts w:ascii="Arial Narrow" w:hAnsi="Arial Narrow" w:cs="Arial"/>
                <w:spacing w:val="0"/>
                <w:sz w:val="22"/>
                <w:szCs w:val="22"/>
                <w:lang w:eastAsia="es-CO"/>
              </w:rPr>
              <w:t>718</w:t>
            </w:r>
            <w:r w:rsidR="00EA0452">
              <w:rPr>
                <w:rFonts w:ascii="Arial Narrow" w:hAnsi="Arial Narrow" w:cs="Arial"/>
                <w:spacing w:val="0"/>
                <w:sz w:val="22"/>
                <w:szCs w:val="22"/>
                <w:lang w:eastAsia="es-CO"/>
              </w:rPr>
              <w:t>.</w:t>
            </w:r>
            <w:r w:rsidRPr="003A0C99">
              <w:rPr>
                <w:rFonts w:ascii="Arial Narrow" w:hAnsi="Arial Narrow" w:cs="Arial"/>
                <w:spacing w:val="0"/>
                <w:sz w:val="22"/>
                <w:szCs w:val="22"/>
                <w:lang w:eastAsia="es-CO"/>
              </w:rPr>
              <w:t>022</w:t>
            </w:r>
            <w:r w:rsidR="00EA0452">
              <w:rPr>
                <w:rFonts w:ascii="Arial Narrow" w:hAnsi="Arial Narrow" w:cs="Arial"/>
                <w:spacing w:val="0"/>
                <w:sz w:val="22"/>
                <w:szCs w:val="22"/>
                <w:lang w:eastAsia="es-CO"/>
              </w:rPr>
              <w:t>.</w:t>
            </w:r>
            <w:r w:rsidRPr="003A0C99">
              <w:rPr>
                <w:rFonts w:ascii="Arial Narrow" w:hAnsi="Arial Narrow" w:cs="Arial"/>
                <w:spacing w:val="0"/>
                <w:sz w:val="22"/>
                <w:szCs w:val="22"/>
                <w:lang w:eastAsia="es-CO"/>
              </w:rPr>
              <w:t xml:space="preserve">010 </w:t>
            </w:r>
          </w:p>
        </w:tc>
      </w:tr>
      <w:tr w:rsidR="003A0C99" w:rsidRPr="00A37243" w14:paraId="38C547DB" w14:textId="77777777" w:rsidTr="00271B60">
        <w:trPr>
          <w:trHeight w:val="290"/>
        </w:trPr>
        <w:tc>
          <w:tcPr>
            <w:tcW w:w="1555" w:type="dxa"/>
            <w:shd w:val="clear" w:color="auto" w:fill="F2F2F2" w:themeFill="background1" w:themeFillShade="F2"/>
            <w:noWrap/>
            <w:vAlign w:val="center"/>
            <w:hideMark/>
          </w:tcPr>
          <w:p w14:paraId="6E4BBF0E" w14:textId="77777777" w:rsidR="003A0C99" w:rsidRPr="003A0C99" w:rsidRDefault="003A0C99" w:rsidP="003A0C99">
            <w:pPr>
              <w:jc w:val="left"/>
              <w:rPr>
                <w:rFonts w:ascii="Arial Narrow" w:hAnsi="Arial Narrow" w:cs="Arial"/>
                <w:spacing w:val="0"/>
                <w:sz w:val="22"/>
                <w:szCs w:val="22"/>
                <w:lang w:eastAsia="es-CO"/>
              </w:rPr>
            </w:pPr>
            <w:r w:rsidRPr="003A0C99">
              <w:rPr>
                <w:rFonts w:ascii="Arial Narrow" w:hAnsi="Arial Narrow" w:cs="Arial"/>
                <w:spacing w:val="0"/>
                <w:sz w:val="22"/>
                <w:szCs w:val="22"/>
                <w:lang w:eastAsia="es-CO"/>
              </w:rPr>
              <w:t>Operativo</w:t>
            </w:r>
          </w:p>
        </w:tc>
        <w:tc>
          <w:tcPr>
            <w:tcW w:w="5244" w:type="dxa"/>
            <w:gridSpan w:val="2"/>
            <w:shd w:val="clear" w:color="auto" w:fill="F2F2F2" w:themeFill="background1" w:themeFillShade="F2"/>
            <w:noWrap/>
            <w:vAlign w:val="center"/>
            <w:hideMark/>
          </w:tcPr>
          <w:p w14:paraId="6AED74CB" w14:textId="77777777" w:rsidR="003A0C99" w:rsidRPr="003A0C99" w:rsidRDefault="003A0C99" w:rsidP="003A0C99">
            <w:pPr>
              <w:jc w:val="left"/>
              <w:rPr>
                <w:rFonts w:ascii="Arial Narrow" w:hAnsi="Arial Narrow" w:cs="Arial"/>
                <w:spacing w:val="0"/>
                <w:sz w:val="22"/>
                <w:szCs w:val="22"/>
                <w:lang w:eastAsia="es-CO"/>
              </w:rPr>
            </w:pPr>
            <w:r w:rsidRPr="003A0C99">
              <w:rPr>
                <w:rFonts w:ascii="Arial Narrow" w:hAnsi="Arial Narrow" w:cs="Arial"/>
                <w:spacing w:val="0"/>
                <w:sz w:val="22"/>
                <w:szCs w:val="22"/>
                <w:lang w:eastAsia="es-CO"/>
              </w:rPr>
              <w:t xml:space="preserve"> (+) Honorarios </w:t>
            </w:r>
          </w:p>
        </w:tc>
        <w:tc>
          <w:tcPr>
            <w:tcW w:w="2268" w:type="dxa"/>
            <w:shd w:val="clear" w:color="auto" w:fill="F2F2F2" w:themeFill="background1" w:themeFillShade="F2"/>
            <w:noWrap/>
            <w:vAlign w:val="center"/>
            <w:hideMark/>
          </w:tcPr>
          <w:p w14:paraId="32A68190" w14:textId="39E8234A" w:rsidR="003A0C99" w:rsidRPr="003A0C99" w:rsidRDefault="003A0C99" w:rsidP="003A0C99">
            <w:pPr>
              <w:jc w:val="right"/>
              <w:rPr>
                <w:rFonts w:ascii="Arial Narrow" w:hAnsi="Arial Narrow" w:cs="Arial"/>
                <w:spacing w:val="0"/>
                <w:sz w:val="22"/>
                <w:szCs w:val="22"/>
                <w:lang w:eastAsia="es-CO"/>
              </w:rPr>
            </w:pPr>
            <w:r w:rsidRPr="003A0C99">
              <w:rPr>
                <w:rFonts w:ascii="Arial Narrow" w:hAnsi="Arial Narrow" w:cs="Arial"/>
                <w:spacing w:val="0"/>
                <w:sz w:val="22"/>
                <w:szCs w:val="22"/>
                <w:lang w:eastAsia="es-CO"/>
              </w:rPr>
              <w:t xml:space="preserve">           368</w:t>
            </w:r>
            <w:r w:rsidR="00EA0452">
              <w:rPr>
                <w:rFonts w:ascii="Arial Narrow" w:hAnsi="Arial Narrow" w:cs="Arial"/>
                <w:spacing w:val="0"/>
                <w:sz w:val="22"/>
                <w:szCs w:val="22"/>
                <w:lang w:eastAsia="es-CO"/>
              </w:rPr>
              <w:t>.</w:t>
            </w:r>
            <w:r w:rsidRPr="003A0C99">
              <w:rPr>
                <w:rFonts w:ascii="Arial Narrow" w:hAnsi="Arial Narrow" w:cs="Arial"/>
                <w:spacing w:val="0"/>
                <w:sz w:val="22"/>
                <w:szCs w:val="22"/>
                <w:lang w:eastAsia="es-CO"/>
              </w:rPr>
              <w:t>777</w:t>
            </w:r>
            <w:r w:rsidR="00EA0452">
              <w:rPr>
                <w:rFonts w:ascii="Arial Narrow" w:hAnsi="Arial Narrow" w:cs="Arial"/>
                <w:spacing w:val="0"/>
                <w:sz w:val="22"/>
                <w:szCs w:val="22"/>
                <w:lang w:eastAsia="es-CO"/>
              </w:rPr>
              <w:t>.</w:t>
            </w:r>
            <w:r w:rsidRPr="003A0C99">
              <w:rPr>
                <w:rFonts w:ascii="Arial Narrow" w:hAnsi="Arial Narrow" w:cs="Arial"/>
                <w:spacing w:val="0"/>
                <w:sz w:val="22"/>
                <w:szCs w:val="22"/>
                <w:lang w:eastAsia="es-CO"/>
              </w:rPr>
              <w:t>316</w:t>
            </w:r>
            <w:r w:rsidR="00EA0452">
              <w:rPr>
                <w:rFonts w:ascii="Arial Narrow" w:hAnsi="Arial Narrow" w:cs="Arial"/>
                <w:spacing w:val="0"/>
                <w:sz w:val="22"/>
                <w:szCs w:val="22"/>
                <w:lang w:eastAsia="es-CO"/>
              </w:rPr>
              <w:t>.</w:t>
            </w:r>
            <w:r w:rsidRPr="003A0C99">
              <w:rPr>
                <w:rFonts w:ascii="Arial Narrow" w:hAnsi="Arial Narrow" w:cs="Arial"/>
                <w:spacing w:val="0"/>
                <w:sz w:val="22"/>
                <w:szCs w:val="22"/>
                <w:lang w:eastAsia="es-CO"/>
              </w:rPr>
              <w:t xml:space="preserve">174 </w:t>
            </w:r>
          </w:p>
        </w:tc>
      </w:tr>
      <w:tr w:rsidR="003A0C99" w:rsidRPr="00A37243" w14:paraId="575E564D" w14:textId="77777777" w:rsidTr="00271B60">
        <w:trPr>
          <w:trHeight w:val="290"/>
        </w:trPr>
        <w:tc>
          <w:tcPr>
            <w:tcW w:w="1555" w:type="dxa"/>
            <w:shd w:val="clear" w:color="auto" w:fill="F2F2F2" w:themeFill="background1" w:themeFillShade="F2"/>
            <w:noWrap/>
            <w:vAlign w:val="center"/>
            <w:hideMark/>
          </w:tcPr>
          <w:p w14:paraId="03626E89" w14:textId="77777777" w:rsidR="003A0C99" w:rsidRPr="003A0C99" w:rsidRDefault="003A0C99" w:rsidP="003A0C99">
            <w:pPr>
              <w:jc w:val="left"/>
              <w:rPr>
                <w:rFonts w:ascii="Arial Narrow" w:hAnsi="Arial Narrow" w:cs="Arial"/>
                <w:spacing w:val="0"/>
                <w:sz w:val="22"/>
                <w:szCs w:val="22"/>
                <w:lang w:eastAsia="es-CO"/>
              </w:rPr>
            </w:pPr>
            <w:r w:rsidRPr="003A0C99">
              <w:rPr>
                <w:rFonts w:ascii="Arial Narrow" w:hAnsi="Arial Narrow" w:cs="Arial"/>
                <w:spacing w:val="0"/>
                <w:sz w:val="22"/>
                <w:szCs w:val="22"/>
                <w:lang w:eastAsia="es-CO"/>
              </w:rPr>
              <w:t>Operativo</w:t>
            </w:r>
          </w:p>
        </w:tc>
        <w:tc>
          <w:tcPr>
            <w:tcW w:w="5244" w:type="dxa"/>
            <w:gridSpan w:val="2"/>
            <w:shd w:val="clear" w:color="auto" w:fill="F2F2F2" w:themeFill="background1" w:themeFillShade="F2"/>
            <w:noWrap/>
            <w:vAlign w:val="center"/>
            <w:hideMark/>
          </w:tcPr>
          <w:p w14:paraId="7237264E" w14:textId="77777777" w:rsidR="003A0C99" w:rsidRPr="003A0C99" w:rsidRDefault="003A0C99" w:rsidP="003A0C99">
            <w:pPr>
              <w:jc w:val="left"/>
              <w:rPr>
                <w:rFonts w:ascii="Arial Narrow" w:hAnsi="Arial Narrow" w:cs="Arial"/>
                <w:spacing w:val="0"/>
                <w:sz w:val="22"/>
                <w:szCs w:val="22"/>
                <w:lang w:eastAsia="es-CO"/>
              </w:rPr>
            </w:pPr>
            <w:r w:rsidRPr="003A0C99">
              <w:rPr>
                <w:rFonts w:ascii="Arial Narrow" w:hAnsi="Arial Narrow" w:cs="Arial"/>
                <w:spacing w:val="0"/>
                <w:sz w:val="22"/>
                <w:szCs w:val="22"/>
                <w:lang w:eastAsia="es-CO"/>
              </w:rPr>
              <w:t xml:space="preserve"> (+) Materiales y otros gastos Operación </w:t>
            </w:r>
          </w:p>
        </w:tc>
        <w:tc>
          <w:tcPr>
            <w:tcW w:w="2268" w:type="dxa"/>
            <w:shd w:val="clear" w:color="auto" w:fill="F2F2F2" w:themeFill="background1" w:themeFillShade="F2"/>
            <w:noWrap/>
            <w:vAlign w:val="center"/>
            <w:hideMark/>
          </w:tcPr>
          <w:p w14:paraId="48C56271" w14:textId="2E7C5236" w:rsidR="003A0C99" w:rsidRPr="003A0C99" w:rsidRDefault="003A0C99" w:rsidP="003A0C99">
            <w:pPr>
              <w:jc w:val="right"/>
              <w:rPr>
                <w:rFonts w:ascii="Arial Narrow" w:hAnsi="Arial Narrow" w:cs="Arial"/>
                <w:spacing w:val="0"/>
                <w:sz w:val="22"/>
                <w:szCs w:val="22"/>
                <w:lang w:eastAsia="es-CO"/>
              </w:rPr>
            </w:pPr>
            <w:r w:rsidRPr="003A0C99">
              <w:rPr>
                <w:rFonts w:ascii="Arial Narrow" w:hAnsi="Arial Narrow" w:cs="Arial"/>
                <w:spacing w:val="0"/>
                <w:sz w:val="22"/>
                <w:szCs w:val="22"/>
                <w:lang w:eastAsia="es-CO"/>
              </w:rPr>
              <w:t xml:space="preserve">           527</w:t>
            </w:r>
            <w:r w:rsidR="00EA0452">
              <w:rPr>
                <w:rFonts w:ascii="Arial Narrow" w:hAnsi="Arial Narrow" w:cs="Arial"/>
                <w:spacing w:val="0"/>
                <w:sz w:val="22"/>
                <w:szCs w:val="22"/>
                <w:lang w:eastAsia="es-CO"/>
              </w:rPr>
              <w:t>.</w:t>
            </w:r>
            <w:r w:rsidRPr="003A0C99">
              <w:rPr>
                <w:rFonts w:ascii="Arial Narrow" w:hAnsi="Arial Narrow" w:cs="Arial"/>
                <w:spacing w:val="0"/>
                <w:sz w:val="22"/>
                <w:szCs w:val="22"/>
                <w:lang w:eastAsia="es-CO"/>
              </w:rPr>
              <w:t>156</w:t>
            </w:r>
            <w:r w:rsidR="00EA0452">
              <w:rPr>
                <w:rFonts w:ascii="Arial Narrow" w:hAnsi="Arial Narrow" w:cs="Arial"/>
                <w:spacing w:val="0"/>
                <w:sz w:val="22"/>
                <w:szCs w:val="22"/>
                <w:lang w:eastAsia="es-CO"/>
              </w:rPr>
              <w:t>.</w:t>
            </w:r>
            <w:r w:rsidRPr="003A0C99">
              <w:rPr>
                <w:rFonts w:ascii="Arial Narrow" w:hAnsi="Arial Narrow" w:cs="Arial"/>
                <w:spacing w:val="0"/>
                <w:sz w:val="22"/>
                <w:szCs w:val="22"/>
                <w:lang w:eastAsia="es-CO"/>
              </w:rPr>
              <w:t>129</w:t>
            </w:r>
            <w:r w:rsidR="00EA0452">
              <w:rPr>
                <w:rFonts w:ascii="Arial Narrow" w:hAnsi="Arial Narrow" w:cs="Arial"/>
                <w:spacing w:val="0"/>
                <w:sz w:val="22"/>
                <w:szCs w:val="22"/>
                <w:lang w:eastAsia="es-CO"/>
              </w:rPr>
              <w:t>.</w:t>
            </w:r>
            <w:r w:rsidRPr="003A0C99">
              <w:rPr>
                <w:rFonts w:ascii="Arial Narrow" w:hAnsi="Arial Narrow" w:cs="Arial"/>
                <w:spacing w:val="0"/>
                <w:sz w:val="22"/>
                <w:szCs w:val="22"/>
                <w:lang w:eastAsia="es-CO"/>
              </w:rPr>
              <w:t xml:space="preserve">310 </w:t>
            </w:r>
          </w:p>
        </w:tc>
      </w:tr>
      <w:tr w:rsidR="003A0C99" w:rsidRPr="00A37243" w14:paraId="431F70D9" w14:textId="77777777" w:rsidTr="00271B60">
        <w:trPr>
          <w:trHeight w:val="290"/>
        </w:trPr>
        <w:tc>
          <w:tcPr>
            <w:tcW w:w="1555" w:type="dxa"/>
            <w:shd w:val="clear" w:color="auto" w:fill="F2F2F2" w:themeFill="background1" w:themeFillShade="F2"/>
            <w:noWrap/>
            <w:vAlign w:val="center"/>
            <w:hideMark/>
          </w:tcPr>
          <w:p w14:paraId="5921AC3A" w14:textId="77777777" w:rsidR="003A0C99" w:rsidRPr="003A0C99" w:rsidRDefault="003A0C99" w:rsidP="003A0C99">
            <w:pPr>
              <w:jc w:val="left"/>
              <w:rPr>
                <w:rFonts w:ascii="Arial Narrow" w:hAnsi="Arial Narrow" w:cs="Arial"/>
                <w:spacing w:val="0"/>
                <w:sz w:val="22"/>
                <w:szCs w:val="22"/>
                <w:lang w:eastAsia="es-CO"/>
              </w:rPr>
            </w:pPr>
            <w:r w:rsidRPr="003A0C99">
              <w:rPr>
                <w:rFonts w:ascii="Arial Narrow" w:hAnsi="Arial Narrow" w:cs="Arial"/>
                <w:spacing w:val="0"/>
                <w:sz w:val="22"/>
                <w:szCs w:val="22"/>
                <w:lang w:eastAsia="es-CO"/>
              </w:rPr>
              <w:t>Operativo</w:t>
            </w:r>
          </w:p>
        </w:tc>
        <w:tc>
          <w:tcPr>
            <w:tcW w:w="5244" w:type="dxa"/>
            <w:gridSpan w:val="2"/>
            <w:shd w:val="clear" w:color="auto" w:fill="F2F2F2" w:themeFill="background1" w:themeFillShade="F2"/>
            <w:noWrap/>
            <w:vAlign w:val="center"/>
            <w:hideMark/>
          </w:tcPr>
          <w:p w14:paraId="7BD90841" w14:textId="77777777" w:rsidR="003A0C99" w:rsidRPr="003A0C99" w:rsidRDefault="003A0C99" w:rsidP="003A0C99">
            <w:pPr>
              <w:jc w:val="left"/>
              <w:rPr>
                <w:rFonts w:ascii="Arial Narrow" w:hAnsi="Arial Narrow" w:cs="Arial"/>
                <w:spacing w:val="0"/>
                <w:sz w:val="22"/>
                <w:szCs w:val="22"/>
                <w:lang w:eastAsia="es-CO"/>
              </w:rPr>
            </w:pPr>
            <w:r w:rsidRPr="003A0C99">
              <w:rPr>
                <w:rFonts w:ascii="Arial Narrow" w:hAnsi="Arial Narrow" w:cs="Arial"/>
                <w:spacing w:val="0"/>
                <w:sz w:val="22"/>
                <w:szCs w:val="22"/>
                <w:lang w:eastAsia="es-CO"/>
              </w:rPr>
              <w:t xml:space="preserve"> (+) Ordenes y contratos mantenimiento y reparaciones </w:t>
            </w:r>
          </w:p>
        </w:tc>
        <w:tc>
          <w:tcPr>
            <w:tcW w:w="2268" w:type="dxa"/>
            <w:shd w:val="clear" w:color="auto" w:fill="F2F2F2" w:themeFill="background1" w:themeFillShade="F2"/>
            <w:noWrap/>
            <w:vAlign w:val="center"/>
            <w:hideMark/>
          </w:tcPr>
          <w:p w14:paraId="501EA7FD" w14:textId="7E471648" w:rsidR="003A0C99" w:rsidRPr="003A0C99" w:rsidRDefault="003A0C99" w:rsidP="003A0C99">
            <w:pPr>
              <w:jc w:val="right"/>
              <w:rPr>
                <w:rFonts w:ascii="Arial Narrow" w:hAnsi="Arial Narrow" w:cs="Arial"/>
                <w:spacing w:val="0"/>
                <w:sz w:val="22"/>
                <w:szCs w:val="22"/>
                <w:lang w:eastAsia="es-CO"/>
              </w:rPr>
            </w:pPr>
            <w:r w:rsidRPr="003A0C99">
              <w:rPr>
                <w:rFonts w:ascii="Arial Narrow" w:hAnsi="Arial Narrow" w:cs="Arial"/>
                <w:spacing w:val="0"/>
                <w:sz w:val="22"/>
                <w:szCs w:val="22"/>
                <w:lang w:eastAsia="es-CO"/>
              </w:rPr>
              <w:t xml:space="preserve">        1</w:t>
            </w:r>
            <w:r w:rsidR="00EA0452">
              <w:rPr>
                <w:rFonts w:ascii="Arial Narrow" w:hAnsi="Arial Narrow" w:cs="Arial"/>
                <w:spacing w:val="0"/>
                <w:sz w:val="22"/>
                <w:szCs w:val="22"/>
                <w:lang w:eastAsia="es-CO"/>
              </w:rPr>
              <w:t>.</w:t>
            </w:r>
            <w:r w:rsidRPr="003A0C99">
              <w:rPr>
                <w:rFonts w:ascii="Arial Narrow" w:hAnsi="Arial Narrow" w:cs="Arial"/>
                <w:spacing w:val="0"/>
                <w:sz w:val="22"/>
                <w:szCs w:val="22"/>
                <w:lang w:eastAsia="es-CO"/>
              </w:rPr>
              <w:t>135</w:t>
            </w:r>
            <w:r w:rsidR="00EA0452">
              <w:rPr>
                <w:rFonts w:ascii="Arial Narrow" w:hAnsi="Arial Narrow" w:cs="Arial"/>
                <w:spacing w:val="0"/>
                <w:sz w:val="22"/>
                <w:szCs w:val="22"/>
                <w:lang w:eastAsia="es-CO"/>
              </w:rPr>
              <w:t>.</w:t>
            </w:r>
            <w:r w:rsidRPr="003A0C99">
              <w:rPr>
                <w:rFonts w:ascii="Arial Narrow" w:hAnsi="Arial Narrow" w:cs="Arial"/>
                <w:spacing w:val="0"/>
                <w:sz w:val="22"/>
                <w:szCs w:val="22"/>
                <w:lang w:eastAsia="es-CO"/>
              </w:rPr>
              <w:t>013</w:t>
            </w:r>
            <w:r w:rsidR="00EA0452">
              <w:rPr>
                <w:rFonts w:ascii="Arial Narrow" w:hAnsi="Arial Narrow" w:cs="Arial"/>
                <w:spacing w:val="0"/>
                <w:sz w:val="22"/>
                <w:szCs w:val="22"/>
                <w:lang w:eastAsia="es-CO"/>
              </w:rPr>
              <w:t>.</w:t>
            </w:r>
            <w:r w:rsidRPr="003A0C99">
              <w:rPr>
                <w:rFonts w:ascii="Arial Narrow" w:hAnsi="Arial Narrow" w:cs="Arial"/>
                <w:spacing w:val="0"/>
                <w:sz w:val="22"/>
                <w:szCs w:val="22"/>
                <w:lang w:eastAsia="es-CO"/>
              </w:rPr>
              <w:t>578</w:t>
            </w:r>
            <w:r w:rsidR="00EA0452">
              <w:rPr>
                <w:rFonts w:ascii="Arial Narrow" w:hAnsi="Arial Narrow" w:cs="Arial"/>
                <w:spacing w:val="0"/>
                <w:sz w:val="22"/>
                <w:szCs w:val="22"/>
                <w:lang w:eastAsia="es-CO"/>
              </w:rPr>
              <w:t>.</w:t>
            </w:r>
            <w:r w:rsidRPr="003A0C99">
              <w:rPr>
                <w:rFonts w:ascii="Arial Narrow" w:hAnsi="Arial Narrow" w:cs="Arial"/>
                <w:spacing w:val="0"/>
                <w:sz w:val="22"/>
                <w:szCs w:val="22"/>
                <w:lang w:eastAsia="es-CO"/>
              </w:rPr>
              <w:t xml:space="preserve">063 </w:t>
            </w:r>
          </w:p>
        </w:tc>
      </w:tr>
      <w:tr w:rsidR="003A0C99" w:rsidRPr="00A37243" w14:paraId="042487C9" w14:textId="77777777" w:rsidTr="00271B60">
        <w:trPr>
          <w:trHeight w:val="290"/>
        </w:trPr>
        <w:tc>
          <w:tcPr>
            <w:tcW w:w="1555" w:type="dxa"/>
            <w:shd w:val="clear" w:color="auto" w:fill="F2F2F2" w:themeFill="background1" w:themeFillShade="F2"/>
            <w:noWrap/>
            <w:vAlign w:val="center"/>
            <w:hideMark/>
          </w:tcPr>
          <w:p w14:paraId="283909CD" w14:textId="77777777" w:rsidR="003A0C99" w:rsidRPr="003A0C99" w:rsidRDefault="003A0C99" w:rsidP="003A0C99">
            <w:pPr>
              <w:jc w:val="left"/>
              <w:rPr>
                <w:rFonts w:ascii="Arial Narrow" w:hAnsi="Arial Narrow" w:cs="Arial"/>
                <w:spacing w:val="0"/>
                <w:sz w:val="22"/>
                <w:szCs w:val="22"/>
                <w:lang w:eastAsia="es-CO"/>
              </w:rPr>
            </w:pPr>
            <w:r w:rsidRPr="003A0C99">
              <w:rPr>
                <w:rFonts w:ascii="Arial Narrow" w:hAnsi="Arial Narrow" w:cs="Arial"/>
                <w:spacing w:val="0"/>
                <w:sz w:val="22"/>
                <w:szCs w:val="22"/>
                <w:lang w:eastAsia="es-CO"/>
              </w:rPr>
              <w:t>Operativo</w:t>
            </w:r>
          </w:p>
        </w:tc>
        <w:tc>
          <w:tcPr>
            <w:tcW w:w="5244" w:type="dxa"/>
            <w:gridSpan w:val="2"/>
            <w:shd w:val="clear" w:color="auto" w:fill="F2F2F2" w:themeFill="background1" w:themeFillShade="F2"/>
            <w:noWrap/>
            <w:vAlign w:val="center"/>
            <w:hideMark/>
          </w:tcPr>
          <w:p w14:paraId="2F39D690" w14:textId="77777777" w:rsidR="003A0C99" w:rsidRPr="003A0C99" w:rsidRDefault="003A0C99" w:rsidP="003A0C99">
            <w:pPr>
              <w:jc w:val="left"/>
              <w:rPr>
                <w:rFonts w:ascii="Arial Narrow" w:hAnsi="Arial Narrow" w:cs="Arial"/>
                <w:spacing w:val="0"/>
                <w:sz w:val="22"/>
                <w:szCs w:val="22"/>
                <w:lang w:eastAsia="es-CO"/>
              </w:rPr>
            </w:pPr>
            <w:r w:rsidRPr="003A0C99">
              <w:rPr>
                <w:rFonts w:ascii="Arial Narrow" w:hAnsi="Arial Narrow" w:cs="Arial"/>
                <w:spacing w:val="0"/>
                <w:sz w:val="22"/>
                <w:szCs w:val="22"/>
                <w:lang w:eastAsia="es-CO"/>
              </w:rPr>
              <w:t xml:space="preserve"> (+) Ordenes y contratos por otros servicios </w:t>
            </w:r>
          </w:p>
        </w:tc>
        <w:tc>
          <w:tcPr>
            <w:tcW w:w="2268" w:type="dxa"/>
            <w:shd w:val="clear" w:color="auto" w:fill="F2F2F2" w:themeFill="background1" w:themeFillShade="F2"/>
            <w:noWrap/>
            <w:vAlign w:val="center"/>
            <w:hideMark/>
          </w:tcPr>
          <w:p w14:paraId="58E92B07" w14:textId="0019DD64" w:rsidR="003A0C99" w:rsidRPr="003A0C99" w:rsidRDefault="003A0C99" w:rsidP="003A0C99">
            <w:pPr>
              <w:jc w:val="right"/>
              <w:rPr>
                <w:rFonts w:ascii="Arial Narrow" w:hAnsi="Arial Narrow" w:cs="Arial"/>
                <w:spacing w:val="0"/>
                <w:sz w:val="22"/>
                <w:szCs w:val="22"/>
                <w:lang w:eastAsia="es-CO"/>
              </w:rPr>
            </w:pPr>
            <w:r w:rsidRPr="003A0C99">
              <w:rPr>
                <w:rFonts w:ascii="Arial Narrow" w:hAnsi="Arial Narrow" w:cs="Arial"/>
                <w:spacing w:val="0"/>
                <w:sz w:val="22"/>
                <w:szCs w:val="22"/>
                <w:lang w:eastAsia="es-CO"/>
              </w:rPr>
              <w:t xml:space="preserve">    1</w:t>
            </w:r>
            <w:r w:rsidR="00EA0452">
              <w:rPr>
                <w:rFonts w:ascii="Arial Narrow" w:hAnsi="Arial Narrow" w:cs="Arial"/>
                <w:spacing w:val="0"/>
                <w:sz w:val="22"/>
                <w:szCs w:val="22"/>
                <w:lang w:eastAsia="es-CO"/>
              </w:rPr>
              <w:t>.</w:t>
            </w:r>
            <w:r w:rsidRPr="003A0C99">
              <w:rPr>
                <w:rFonts w:ascii="Arial Narrow" w:hAnsi="Arial Narrow" w:cs="Arial"/>
                <w:spacing w:val="0"/>
                <w:sz w:val="22"/>
                <w:szCs w:val="22"/>
                <w:lang w:eastAsia="es-CO"/>
              </w:rPr>
              <w:t>384</w:t>
            </w:r>
            <w:r w:rsidR="00EA0452">
              <w:rPr>
                <w:rFonts w:ascii="Arial Narrow" w:hAnsi="Arial Narrow" w:cs="Arial"/>
                <w:spacing w:val="0"/>
                <w:sz w:val="22"/>
                <w:szCs w:val="22"/>
                <w:lang w:eastAsia="es-CO"/>
              </w:rPr>
              <w:t>.</w:t>
            </w:r>
            <w:r w:rsidRPr="003A0C99">
              <w:rPr>
                <w:rFonts w:ascii="Arial Narrow" w:hAnsi="Arial Narrow" w:cs="Arial"/>
                <w:spacing w:val="0"/>
                <w:sz w:val="22"/>
                <w:szCs w:val="22"/>
                <w:lang w:eastAsia="es-CO"/>
              </w:rPr>
              <w:t>108</w:t>
            </w:r>
            <w:r w:rsidR="00EA0452">
              <w:rPr>
                <w:rFonts w:ascii="Arial Narrow" w:hAnsi="Arial Narrow" w:cs="Arial"/>
                <w:spacing w:val="0"/>
                <w:sz w:val="22"/>
                <w:szCs w:val="22"/>
                <w:lang w:eastAsia="es-CO"/>
              </w:rPr>
              <w:t>.</w:t>
            </w:r>
            <w:r w:rsidRPr="003A0C99">
              <w:rPr>
                <w:rFonts w:ascii="Arial Narrow" w:hAnsi="Arial Narrow" w:cs="Arial"/>
                <w:spacing w:val="0"/>
                <w:sz w:val="22"/>
                <w:szCs w:val="22"/>
                <w:lang w:eastAsia="es-CO"/>
              </w:rPr>
              <w:t>925</w:t>
            </w:r>
            <w:r w:rsidR="00EA0452">
              <w:rPr>
                <w:rFonts w:ascii="Arial Narrow" w:hAnsi="Arial Narrow" w:cs="Arial"/>
                <w:spacing w:val="0"/>
                <w:sz w:val="22"/>
                <w:szCs w:val="22"/>
                <w:lang w:eastAsia="es-CO"/>
              </w:rPr>
              <w:t>.</w:t>
            </w:r>
            <w:r w:rsidRPr="003A0C99">
              <w:rPr>
                <w:rFonts w:ascii="Arial Narrow" w:hAnsi="Arial Narrow" w:cs="Arial"/>
                <w:spacing w:val="0"/>
                <w:sz w:val="22"/>
                <w:szCs w:val="22"/>
                <w:lang w:eastAsia="es-CO"/>
              </w:rPr>
              <w:t xml:space="preserve">755 </w:t>
            </w:r>
          </w:p>
        </w:tc>
      </w:tr>
      <w:tr w:rsidR="003A0C99" w:rsidRPr="00A37243" w14:paraId="152A8D84" w14:textId="77777777" w:rsidTr="00271B60">
        <w:trPr>
          <w:trHeight w:val="290"/>
        </w:trPr>
        <w:tc>
          <w:tcPr>
            <w:tcW w:w="1555" w:type="dxa"/>
            <w:shd w:val="clear" w:color="auto" w:fill="F2F2F2" w:themeFill="background1" w:themeFillShade="F2"/>
            <w:noWrap/>
            <w:vAlign w:val="center"/>
            <w:hideMark/>
          </w:tcPr>
          <w:p w14:paraId="0879CE24" w14:textId="77777777" w:rsidR="003A0C99" w:rsidRPr="003A0C99" w:rsidRDefault="003A0C99" w:rsidP="003A0C99">
            <w:pPr>
              <w:jc w:val="left"/>
              <w:rPr>
                <w:rFonts w:ascii="Arial Narrow" w:hAnsi="Arial Narrow" w:cs="Arial"/>
                <w:spacing w:val="0"/>
                <w:sz w:val="22"/>
                <w:szCs w:val="22"/>
                <w:lang w:eastAsia="es-CO"/>
              </w:rPr>
            </w:pPr>
            <w:r w:rsidRPr="003A0C99">
              <w:rPr>
                <w:rFonts w:ascii="Arial Narrow" w:hAnsi="Arial Narrow" w:cs="Arial"/>
                <w:spacing w:val="0"/>
                <w:sz w:val="22"/>
                <w:szCs w:val="22"/>
                <w:lang w:eastAsia="es-CO"/>
              </w:rPr>
              <w:t>Operativo</w:t>
            </w:r>
          </w:p>
        </w:tc>
        <w:tc>
          <w:tcPr>
            <w:tcW w:w="5244" w:type="dxa"/>
            <w:gridSpan w:val="2"/>
            <w:shd w:val="clear" w:color="auto" w:fill="F2F2F2" w:themeFill="background1" w:themeFillShade="F2"/>
            <w:noWrap/>
            <w:vAlign w:val="center"/>
            <w:hideMark/>
          </w:tcPr>
          <w:p w14:paraId="43E5DD52" w14:textId="77777777" w:rsidR="003A0C99" w:rsidRPr="003A0C99" w:rsidRDefault="003A0C99" w:rsidP="003A0C99">
            <w:pPr>
              <w:jc w:val="left"/>
              <w:rPr>
                <w:rFonts w:ascii="Arial Narrow" w:hAnsi="Arial Narrow" w:cs="Arial"/>
                <w:spacing w:val="0"/>
                <w:sz w:val="22"/>
                <w:szCs w:val="22"/>
                <w:lang w:eastAsia="es-CO"/>
              </w:rPr>
            </w:pPr>
            <w:r w:rsidRPr="003A0C99">
              <w:rPr>
                <w:rFonts w:ascii="Arial Narrow" w:hAnsi="Arial Narrow" w:cs="Arial"/>
                <w:spacing w:val="0"/>
                <w:sz w:val="22"/>
                <w:szCs w:val="22"/>
                <w:lang w:eastAsia="es-CO"/>
              </w:rPr>
              <w:t xml:space="preserve"> (+) Seguros </w:t>
            </w:r>
          </w:p>
        </w:tc>
        <w:tc>
          <w:tcPr>
            <w:tcW w:w="2268" w:type="dxa"/>
            <w:shd w:val="clear" w:color="auto" w:fill="F2F2F2" w:themeFill="background1" w:themeFillShade="F2"/>
            <w:noWrap/>
            <w:vAlign w:val="center"/>
            <w:hideMark/>
          </w:tcPr>
          <w:p w14:paraId="64686D00" w14:textId="6EC7B7D7" w:rsidR="003A0C99" w:rsidRPr="003A0C99" w:rsidRDefault="003A0C99" w:rsidP="003A0C99">
            <w:pPr>
              <w:jc w:val="right"/>
              <w:rPr>
                <w:rFonts w:ascii="Arial Narrow" w:hAnsi="Arial Narrow" w:cs="Arial"/>
                <w:spacing w:val="0"/>
                <w:sz w:val="22"/>
                <w:szCs w:val="22"/>
                <w:lang w:eastAsia="es-CO"/>
              </w:rPr>
            </w:pPr>
            <w:r w:rsidRPr="003A0C99">
              <w:rPr>
                <w:rFonts w:ascii="Arial Narrow" w:hAnsi="Arial Narrow" w:cs="Arial"/>
                <w:spacing w:val="0"/>
                <w:sz w:val="22"/>
                <w:szCs w:val="22"/>
                <w:lang w:eastAsia="es-CO"/>
              </w:rPr>
              <w:t xml:space="preserve">      449</w:t>
            </w:r>
            <w:r w:rsidR="00EA0452">
              <w:rPr>
                <w:rFonts w:ascii="Arial Narrow" w:hAnsi="Arial Narrow" w:cs="Arial"/>
                <w:spacing w:val="0"/>
                <w:sz w:val="22"/>
                <w:szCs w:val="22"/>
                <w:lang w:eastAsia="es-CO"/>
              </w:rPr>
              <w:t>.</w:t>
            </w:r>
            <w:r w:rsidRPr="003A0C99">
              <w:rPr>
                <w:rFonts w:ascii="Arial Narrow" w:hAnsi="Arial Narrow" w:cs="Arial"/>
                <w:spacing w:val="0"/>
                <w:sz w:val="22"/>
                <w:szCs w:val="22"/>
                <w:lang w:eastAsia="es-CO"/>
              </w:rPr>
              <w:t>242</w:t>
            </w:r>
            <w:r w:rsidR="00EA0452">
              <w:rPr>
                <w:rFonts w:ascii="Arial Narrow" w:hAnsi="Arial Narrow" w:cs="Arial"/>
                <w:spacing w:val="0"/>
                <w:sz w:val="22"/>
                <w:szCs w:val="22"/>
                <w:lang w:eastAsia="es-CO"/>
              </w:rPr>
              <w:t>.</w:t>
            </w:r>
            <w:r w:rsidRPr="003A0C99">
              <w:rPr>
                <w:rFonts w:ascii="Arial Narrow" w:hAnsi="Arial Narrow" w:cs="Arial"/>
                <w:spacing w:val="0"/>
                <w:sz w:val="22"/>
                <w:szCs w:val="22"/>
                <w:lang w:eastAsia="es-CO"/>
              </w:rPr>
              <w:t>899</w:t>
            </w:r>
            <w:r w:rsidR="00EA0452">
              <w:rPr>
                <w:rFonts w:ascii="Arial Narrow" w:hAnsi="Arial Narrow" w:cs="Arial"/>
                <w:spacing w:val="0"/>
                <w:sz w:val="22"/>
                <w:szCs w:val="22"/>
                <w:lang w:eastAsia="es-CO"/>
              </w:rPr>
              <w:t>.</w:t>
            </w:r>
            <w:r w:rsidRPr="003A0C99">
              <w:rPr>
                <w:rFonts w:ascii="Arial Narrow" w:hAnsi="Arial Narrow" w:cs="Arial"/>
                <w:spacing w:val="0"/>
                <w:sz w:val="22"/>
                <w:szCs w:val="22"/>
                <w:lang w:eastAsia="es-CO"/>
              </w:rPr>
              <w:t xml:space="preserve">961 </w:t>
            </w:r>
          </w:p>
        </w:tc>
      </w:tr>
      <w:tr w:rsidR="003A0C99" w:rsidRPr="00A37243" w14:paraId="223C1097" w14:textId="77777777" w:rsidTr="00271B60">
        <w:trPr>
          <w:trHeight w:val="290"/>
        </w:trPr>
        <w:tc>
          <w:tcPr>
            <w:tcW w:w="1555" w:type="dxa"/>
            <w:shd w:val="clear" w:color="auto" w:fill="F2F2F2" w:themeFill="background1" w:themeFillShade="F2"/>
            <w:noWrap/>
            <w:vAlign w:val="center"/>
            <w:hideMark/>
          </w:tcPr>
          <w:p w14:paraId="1C83C5BD" w14:textId="77777777" w:rsidR="003A0C99" w:rsidRPr="003A0C99" w:rsidRDefault="003A0C99" w:rsidP="003A0C99">
            <w:pPr>
              <w:jc w:val="left"/>
              <w:rPr>
                <w:rFonts w:ascii="Arial Narrow" w:hAnsi="Arial Narrow" w:cs="Arial"/>
                <w:spacing w:val="0"/>
                <w:sz w:val="22"/>
                <w:szCs w:val="22"/>
                <w:lang w:eastAsia="es-CO"/>
              </w:rPr>
            </w:pPr>
            <w:r w:rsidRPr="003A0C99">
              <w:rPr>
                <w:rFonts w:ascii="Arial Narrow" w:hAnsi="Arial Narrow" w:cs="Arial"/>
                <w:spacing w:val="0"/>
                <w:sz w:val="22"/>
                <w:szCs w:val="22"/>
                <w:lang w:eastAsia="es-CO"/>
              </w:rPr>
              <w:t>Operativo</w:t>
            </w:r>
          </w:p>
        </w:tc>
        <w:tc>
          <w:tcPr>
            <w:tcW w:w="5244" w:type="dxa"/>
            <w:gridSpan w:val="2"/>
            <w:shd w:val="clear" w:color="auto" w:fill="F2F2F2" w:themeFill="background1" w:themeFillShade="F2"/>
            <w:noWrap/>
            <w:vAlign w:val="center"/>
            <w:hideMark/>
          </w:tcPr>
          <w:p w14:paraId="0645B3C3" w14:textId="77777777" w:rsidR="003A0C99" w:rsidRPr="003A0C99" w:rsidRDefault="003A0C99" w:rsidP="003A0C99">
            <w:pPr>
              <w:jc w:val="left"/>
              <w:rPr>
                <w:rFonts w:ascii="Arial Narrow" w:hAnsi="Arial Narrow" w:cs="Arial"/>
                <w:spacing w:val="0"/>
                <w:sz w:val="22"/>
                <w:szCs w:val="22"/>
                <w:lang w:eastAsia="es-CO"/>
              </w:rPr>
            </w:pPr>
            <w:r w:rsidRPr="003A0C99">
              <w:rPr>
                <w:rFonts w:ascii="Arial Narrow" w:hAnsi="Arial Narrow" w:cs="Arial"/>
                <w:spacing w:val="0"/>
                <w:sz w:val="22"/>
                <w:szCs w:val="22"/>
                <w:lang w:eastAsia="es-CO"/>
              </w:rPr>
              <w:t xml:space="preserve"> (+) Servicios Públicos </w:t>
            </w:r>
          </w:p>
        </w:tc>
        <w:tc>
          <w:tcPr>
            <w:tcW w:w="2268" w:type="dxa"/>
            <w:shd w:val="clear" w:color="auto" w:fill="F2F2F2" w:themeFill="background1" w:themeFillShade="F2"/>
            <w:noWrap/>
            <w:vAlign w:val="center"/>
            <w:hideMark/>
          </w:tcPr>
          <w:p w14:paraId="3B0DF9FC" w14:textId="0D304ABE" w:rsidR="003A0C99" w:rsidRPr="003A0C99" w:rsidRDefault="003A0C99" w:rsidP="003A0C99">
            <w:pPr>
              <w:jc w:val="right"/>
              <w:rPr>
                <w:rFonts w:ascii="Arial Narrow" w:hAnsi="Arial Narrow" w:cs="Arial"/>
                <w:spacing w:val="0"/>
                <w:sz w:val="22"/>
                <w:szCs w:val="22"/>
                <w:lang w:eastAsia="es-CO"/>
              </w:rPr>
            </w:pPr>
            <w:r w:rsidRPr="003A0C99">
              <w:rPr>
                <w:rFonts w:ascii="Arial Narrow" w:hAnsi="Arial Narrow" w:cs="Arial"/>
                <w:spacing w:val="0"/>
                <w:sz w:val="22"/>
                <w:szCs w:val="22"/>
                <w:lang w:eastAsia="es-CO"/>
              </w:rPr>
              <w:t xml:space="preserve">       </w:t>
            </w:r>
            <w:r w:rsidRPr="00A37243">
              <w:rPr>
                <w:rFonts w:ascii="Arial Narrow" w:hAnsi="Arial Narrow" w:cs="Arial"/>
                <w:spacing w:val="0"/>
                <w:sz w:val="22"/>
                <w:szCs w:val="22"/>
                <w:lang w:eastAsia="es-CO"/>
              </w:rPr>
              <w:t xml:space="preserve"> </w:t>
            </w:r>
            <w:r w:rsidRPr="003A0C99">
              <w:rPr>
                <w:rFonts w:ascii="Arial Narrow" w:hAnsi="Arial Narrow" w:cs="Arial"/>
                <w:spacing w:val="0"/>
                <w:sz w:val="22"/>
                <w:szCs w:val="22"/>
                <w:lang w:eastAsia="es-CO"/>
              </w:rPr>
              <w:t>81</w:t>
            </w:r>
            <w:r w:rsidR="00EA0452">
              <w:rPr>
                <w:rFonts w:ascii="Arial Narrow" w:hAnsi="Arial Narrow" w:cs="Arial"/>
                <w:spacing w:val="0"/>
                <w:sz w:val="22"/>
                <w:szCs w:val="22"/>
                <w:lang w:eastAsia="es-CO"/>
              </w:rPr>
              <w:t>.</w:t>
            </w:r>
            <w:r w:rsidRPr="003A0C99">
              <w:rPr>
                <w:rFonts w:ascii="Arial Narrow" w:hAnsi="Arial Narrow" w:cs="Arial"/>
                <w:spacing w:val="0"/>
                <w:sz w:val="22"/>
                <w:szCs w:val="22"/>
                <w:lang w:eastAsia="es-CO"/>
              </w:rPr>
              <w:t>724</w:t>
            </w:r>
            <w:r w:rsidR="00EA0452">
              <w:rPr>
                <w:rFonts w:ascii="Arial Narrow" w:hAnsi="Arial Narrow" w:cs="Arial"/>
                <w:spacing w:val="0"/>
                <w:sz w:val="22"/>
                <w:szCs w:val="22"/>
                <w:lang w:eastAsia="es-CO"/>
              </w:rPr>
              <w:t>.</w:t>
            </w:r>
            <w:r w:rsidRPr="003A0C99">
              <w:rPr>
                <w:rFonts w:ascii="Arial Narrow" w:hAnsi="Arial Narrow" w:cs="Arial"/>
                <w:spacing w:val="0"/>
                <w:sz w:val="22"/>
                <w:szCs w:val="22"/>
                <w:lang w:eastAsia="es-CO"/>
              </w:rPr>
              <w:t>343</w:t>
            </w:r>
            <w:r w:rsidR="00EA0452">
              <w:rPr>
                <w:rFonts w:ascii="Arial Narrow" w:hAnsi="Arial Narrow" w:cs="Arial"/>
                <w:spacing w:val="0"/>
                <w:sz w:val="22"/>
                <w:szCs w:val="22"/>
                <w:lang w:eastAsia="es-CO"/>
              </w:rPr>
              <w:t>.</w:t>
            </w:r>
            <w:r w:rsidRPr="003A0C99">
              <w:rPr>
                <w:rFonts w:ascii="Arial Narrow" w:hAnsi="Arial Narrow" w:cs="Arial"/>
                <w:spacing w:val="0"/>
                <w:sz w:val="22"/>
                <w:szCs w:val="22"/>
                <w:lang w:eastAsia="es-CO"/>
              </w:rPr>
              <w:t xml:space="preserve">394 </w:t>
            </w:r>
          </w:p>
        </w:tc>
      </w:tr>
      <w:tr w:rsidR="003A0C99" w:rsidRPr="00A37243" w14:paraId="6C286ABD" w14:textId="77777777" w:rsidTr="00271B60">
        <w:trPr>
          <w:trHeight w:val="290"/>
        </w:trPr>
        <w:tc>
          <w:tcPr>
            <w:tcW w:w="6799" w:type="dxa"/>
            <w:gridSpan w:val="3"/>
            <w:shd w:val="clear" w:color="auto" w:fill="E7E6E6" w:themeFill="background2"/>
            <w:noWrap/>
            <w:vAlign w:val="center"/>
            <w:hideMark/>
          </w:tcPr>
          <w:p w14:paraId="755534BD" w14:textId="77777777" w:rsidR="003A0C99" w:rsidRPr="003A0C99" w:rsidRDefault="003A0C99" w:rsidP="003A0C99">
            <w:pPr>
              <w:jc w:val="right"/>
              <w:rPr>
                <w:rFonts w:ascii="Arial Narrow" w:hAnsi="Arial Narrow" w:cs="Calibri"/>
                <w:b/>
                <w:bCs/>
                <w:color w:val="000000"/>
                <w:spacing w:val="0"/>
                <w:sz w:val="22"/>
                <w:szCs w:val="22"/>
                <w:lang w:eastAsia="es-CO"/>
              </w:rPr>
            </w:pPr>
            <w:r w:rsidRPr="003A0C99">
              <w:rPr>
                <w:rFonts w:ascii="Arial Narrow" w:hAnsi="Arial Narrow" w:cs="Calibri"/>
                <w:b/>
                <w:bCs/>
                <w:color w:val="000000"/>
                <w:spacing w:val="0"/>
                <w:sz w:val="22"/>
                <w:szCs w:val="22"/>
                <w:lang w:eastAsia="es-CO"/>
              </w:rPr>
              <w:t>SUBTOTAL BASE GRAVABLE CON REPORTE</w:t>
            </w:r>
          </w:p>
        </w:tc>
        <w:tc>
          <w:tcPr>
            <w:tcW w:w="2268" w:type="dxa"/>
            <w:shd w:val="clear" w:color="auto" w:fill="E7E6E6" w:themeFill="background2"/>
            <w:noWrap/>
            <w:vAlign w:val="center"/>
            <w:hideMark/>
          </w:tcPr>
          <w:p w14:paraId="60D5263A" w14:textId="1DE54A7A" w:rsidR="003A0C99" w:rsidRPr="003A0C99" w:rsidRDefault="003A0C99" w:rsidP="003A0C99">
            <w:pPr>
              <w:jc w:val="right"/>
              <w:rPr>
                <w:rFonts w:ascii="Arial Narrow" w:hAnsi="Arial Narrow" w:cs="Calibri"/>
                <w:b/>
                <w:bCs/>
                <w:color w:val="000000"/>
                <w:spacing w:val="0"/>
                <w:sz w:val="22"/>
                <w:szCs w:val="22"/>
                <w:lang w:eastAsia="es-CO"/>
              </w:rPr>
            </w:pPr>
            <w:r w:rsidRPr="003A0C99">
              <w:rPr>
                <w:rFonts w:ascii="Arial Narrow" w:hAnsi="Arial Narrow" w:cs="Calibri"/>
                <w:b/>
                <w:bCs/>
                <w:color w:val="000000"/>
                <w:spacing w:val="0"/>
                <w:sz w:val="22"/>
                <w:szCs w:val="22"/>
                <w:lang w:eastAsia="es-CO"/>
              </w:rPr>
              <w:t xml:space="preserve"> 11</w:t>
            </w:r>
            <w:r w:rsidR="00A5560C">
              <w:rPr>
                <w:rFonts w:ascii="Arial Narrow" w:hAnsi="Arial Narrow" w:cs="Calibri"/>
                <w:b/>
                <w:bCs/>
                <w:color w:val="000000"/>
                <w:spacing w:val="0"/>
                <w:sz w:val="22"/>
                <w:szCs w:val="22"/>
                <w:lang w:eastAsia="es-CO"/>
              </w:rPr>
              <w:t>.</w:t>
            </w:r>
            <w:r w:rsidRPr="003A0C99">
              <w:rPr>
                <w:rFonts w:ascii="Arial Narrow" w:hAnsi="Arial Narrow" w:cs="Calibri"/>
                <w:b/>
                <w:bCs/>
                <w:color w:val="000000"/>
                <w:spacing w:val="0"/>
                <w:sz w:val="22"/>
                <w:szCs w:val="22"/>
                <w:lang w:eastAsia="es-CO"/>
              </w:rPr>
              <w:t>659</w:t>
            </w:r>
            <w:r w:rsidR="00A5560C">
              <w:rPr>
                <w:rFonts w:ascii="Arial Narrow" w:hAnsi="Arial Narrow" w:cs="Calibri"/>
                <w:b/>
                <w:bCs/>
                <w:color w:val="000000"/>
                <w:spacing w:val="0"/>
                <w:sz w:val="22"/>
                <w:szCs w:val="22"/>
                <w:lang w:eastAsia="es-CO"/>
              </w:rPr>
              <w:t>.</w:t>
            </w:r>
            <w:r w:rsidRPr="003A0C99">
              <w:rPr>
                <w:rFonts w:ascii="Arial Narrow" w:hAnsi="Arial Narrow" w:cs="Calibri"/>
                <w:b/>
                <w:bCs/>
                <w:color w:val="000000"/>
                <w:spacing w:val="0"/>
                <w:sz w:val="22"/>
                <w:szCs w:val="22"/>
                <w:lang w:eastAsia="es-CO"/>
              </w:rPr>
              <w:t>790</w:t>
            </w:r>
            <w:r w:rsidR="00A5560C">
              <w:rPr>
                <w:rFonts w:ascii="Arial Narrow" w:hAnsi="Arial Narrow" w:cs="Calibri"/>
                <w:b/>
                <w:bCs/>
                <w:color w:val="000000"/>
                <w:spacing w:val="0"/>
                <w:sz w:val="22"/>
                <w:szCs w:val="22"/>
                <w:lang w:eastAsia="es-CO"/>
              </w:rPr>
              <w:t>.</w:t>
            </w:r>
            <w:r w:rsidRPr="003A0C99">
              <w:rPr>
                <w:rFonts w:ascii="Arial Narrow" w:hAnsi="Arial Narrow" w:cs="Calibri"/>
                <w:b/>
                <w:bCs/>
                <w:color w:val="000000"/>
                <w:spacing w:val="0"/>
                <w:sz w:val="22"/>
                <w:szCs w:val="22"/>
                <w:lang w:eastAsia="es-CO"/>
              </w:rPr>
              <w:t>670</w:t>
            </w:r>
            <w:r w:rsidR="00A5560C">
              <w:rPr>
                <w:rFonts w:ascii="Arial Narrow" w:hAnsi="Arial Narrow" w:cs="Calibri"/>
                <w:b/>
                <w:bCs/>
                <w:color w:val="000000"/>
                <w:spacing w:val="0"/>
                <w:sz w:val="22"/>
                <w:szCs w:val="22"/>
                <w:lang w:eastAsia="es-CO"/>
              </w:rPr>
              <w:t>.</w:t>
            </w:r>
            <w:r w:rsidRPr="003A0C99">
              <w:rPr>
                <w:rFonts w:ascii="Arial Narrow" w:hAnsi="Arial Narrow" w:cs="Calibri"/>
                <w:b/>
                <w:bCs/>
                <w:color w:val="000000"/>
                <w:spacing w:val="0"/>
                <w:sz w:val="22"/>
                <w:szCs w:val="22"/>
                <w:lang w:eastAsia="es-CO"/>
              </w:rPr>
              <w:t xml:space="preserve">996 </w:t>
            </w:r>
          </w:p>
        </w:tc>
      </w:tr>
      <w:tr w:rsidR="003A0C99" w:rsidRPr="00A37243" w14:paraId="3C32DDE4" w14:textId="77777777" w:rsidTr="00E02CAF">
        <w:trPr>
          <w:trHeight w:val="290"/>
        </w:trPr>
        <w:tc>
          <w:tcPr>
            <w:tcW w:w="6799" w:type="dxa"/>
            <w:gridSpan w:val="3"/>
            <w:shd w:val="clear" w:color="auto" w:fill="auto"/>
            <w:noWrap/>
            <w:vAlign w:val="center"/>
            <w:hideMark/>
          </w:tcPr>
          <w:p w14:paraId="7373D2CA" w14:textId="6739BEBE" w:rsidR="003A0C99" w:rsidRPr="003A0C99" w:rsidRDefault="003A0C99" w:rsidP="003A0C99">
            <w:pPr>
              <w:jc w:val="left"/>
              <w:rPr>
                <w:rFonts w:ascii="Arial Narrow" w:hAnsi="Arial Narrow" w:cs="Calibri"/>
                <w:b/>
                <w:bCs/>
                <w:color w:val="000000"/>
                <w:spacing w:val="0"/>
                <w:sz w:val="22"/>
                <w:szCs w:val="22"/>
                <w:lang w:eastAsia="es-CO"/>
              </w:rPr>
            </w:pPr>
            <w:r w:rsidRPr="003A0C99">
              <w:rPr>
                <w:rFonts w:ascii="Arial Narrow" w:hAnsi="Arial Narrow" w:cs="Calibri"/>
                <w:color w:val="000000"/>
                <w:spacing w:val="0"/>
                <w:sz w:val="22"/>
                <w:szCs w:val="22"/>
                <w:lang w:eastAsia="es-CO"/>
              </w:rPr>
              <w:t>Más administrativo empresas no reportantes 2019</w:t>
            </w:r>
            <w:r w:rsidRPr="003A0C99">
              <w:rPr>
                <w:rFonts w:ascii="Arial Narrow" w:hAnsi="Arial Narrow" w:cs="Calibri"/>
                <w:b/>
                <w:bCs/>
                <w:color w:val="000000"/>
                <w:spacing w:val="0"/>
                <w:sz w:val="22"/>
                <w:szCs w:val="22"/>
                <w:lang w:eastAsia="es-CO"/>
              </w:rPr>
              <w:t> </w:t>
            </w:r>
          </w:p>
        </w:tc>
        <w:tc>
          <w:tcPr>
            <w:tcW w:w="2268" w:type="dxa"/>
            <w:shd w:val="clear" w:color="auto" w:fill="auto"/>
            <w:noWrap/>
            <w:vAlign w:val="center"/>
            <w:hideMark/>
          </w:tcPr>
          <w:p w14:paraId="3D6A9069" w14:textId="2EE6BF47" w:rsidR="003A0C99" w:rsidRPr="003A0C99" w:rsidRDefault="003A0C99" w:rsidP="003A0C99">
            <w:pPr>
              <w:jc w:val="right"/>
              <w:rPr>
                <w:rFonts w:ascii="Arial Narrow" w:hAnsi="Arial Narrow" w:cs="Calibri"/>
                <w:color w:val="000000"/>
                <w:spacing w:val="0"/>
                <w:sz w:val="22"/>
                <w:szCs w:val="22"/>
                <w:lang w:eastAsia="es-CO"/>
              </w:rPr>
            </w:pPr>
            <w:r w:rsidRPr="003A0C99">
              <w:rPr>
                <w:rFonts w:ascii="Arial Narrow" w:hAnsi="Arial Narrow" w:cs="Calibri"/>
                <w:color w:val="000000"/>
                <w:spacing w:val="0"/>
                <w:sz w:val="22"/>
                <w:szCs w:val="22"/>
                <w:lang w:eastAsia="es-CO"/>
              </w:rPr>
              <w:t xml:space="preserve">         116</w:t>
            </w:r>
            <w:r w:rsidR="00A5560C">
              <w:rPr>
                <w:rFonts w:ascii="Arial Narrow" w:hAnsi="Arial Narrow" w:cs="Calibri"/>
                <w:color w:val="000000"/>
                <w:spacing w:val="0"/>
                <w:sz w:val="22"/>
                <w:szCs w:val="22"/>
                <w:lang w:eastAsia="es-CO"/>
              </w:rPr>
              <w:t>.</w:t>
            </w:r>
            <w:r w:rsidRPr="003A0C99">
              <w:rPr>
                <w:rFonts w:ascii="Arial Narrow" w:hAnsi="Arial Narrow" w:cs="Calibri"/>
                <w:color w:val="000000"/>
                <w:spacing w:val="0"/>
                <w:sz w:val="22"/>
                <w:szCs w:val="22"/>
                <w:lang w:eastAsia="es-CO"/>
              </w:rPr>
              <w:t>163</w:t>
            </w:r>
            <w:r w:rsidR="00A5560C">
              <w:rPr>
                <w:rFonts w:ascii="Arial Narrow" w:hAnsi="Arial Narrow" w:cs="Calibri"/>
                <w:color w:val="000000"/>
                <w:spacing w:val="0"/>
                <w:sz w:val="22"/>
                <w:szCs w:val="22"/>
                <w:lang w:eastAsia="es-CO"/>
              </w:rPr>
              <w:t>.</w:t>
            </w:r>
            <w:r w:rsidRPr="003A0C99">
              <w:rPr>
                <w:rFonts w:ascii="Arial Narrow" w:hAnsi="Arial Narrow" w:cs="Calibri"/>
                <w:color w:val="000000"/>
                <w:spacing w:val="0"/>
                <w:sz w:val="22"/>
                <w:szCs w:val="22"/>
                <w:lang w:eastAsia="es-CO"/>
              </w:rPr>
              <w:t>385</w:t>
            </w:r>
            <w:r w:rsidR="00A5560C">
              <w:rPr>
                <w:rFonts w:ascii="Arial Narrow" w:hAnsi="Arial Narrow" w:cs="Calibri"/>
                <w:color w:val="000000"/>
                <w:spacing w:val="0"/>
                <w:sz w:val="22"/>
                <w:szCs w:val="22"/>
                <w:lang w:eastAsia="es-CO"/>
              </w:rPr>
              <w:t>.</w:t>
            </w:r>
            <w:r w:rsidRPr="003A0C99">
              <w:rPr>
                <w:rFonts w:ascii="Arial Narrow" w:hAnsi="Arial Narrow" w:cs="Calibri"/>
                <w:color w:val="000000"/>
                <w:spacing w:val="0"/>
                <w:sz w:val="22"/>
                <w:szCs w:val="22"/>
                <w:lang w:eastAsia="es-CO"/>
              </w:rPr>
              <w:t xml:space="preserve">826 </w:t>
            </w:r>
          </w:p>
        </w:tc>
      </w:tr>
      <w:tr w:rsidR="003A0C99" w:rsidRPr="00A37243" w14:paraId="520F9994" w14:textId="77777777" w:rsidTr="00E02CAF">
        <w:trPr>
          <w:trHeight w:val="290"/>
        </w:trPr>
        <w:tc>
          <w:tcPr>
            <w:tcW w:w="6799" w:type="dxa"/>
            <w:gridSpan w:val="3"/>
            <w:shd w:val="clear" w:color="auto" w:fill="auto"/>
            <w:noWrap/>
            <w:vAlign w:val="center"/>
            <w:hideMark/>
          </w:tcPr>
          <w:p w14:paraId="2AE57F8B" w14:textId="4CF2A183" w:rsidR="003A0C99" w:rsidRPr="003A0C99" w:rsidRDefault="003A0C99" w:rsidP="003A0C99">
            <w:pPr>
              <w:jc w:val="left"/>
              <w:rPr>
                <w:rFonts w:ascii="Arial Narrow" w:hAnsi="Arial Narrow" w:cs="Calibri"/>
                <w:b/>
                <w:bCs/>
                <w:color w:val="000000"/>
                <w:spacing w:val="0"/>
                <w:sz w:val="22"/>
                <w:szCs w:val="22"/>
                <w:lang w:eastAsia="es-CO"/>
              </w:rPr>
            </w:pPr>
            <w:r w:rsidRPr="003A0C99">
              <w:rPr>
                <w:rFonts w:ascii="Arial Narrow" w:hAnsi="Arial Narrow" w:cs="Calibri"/>
                <w:color w:val="000000"/>
                <w:spacing w:val="0"/>
                <w:sz w:val="22"/>
                <w:szCs w:val="22"/>
                <w:lang w:eastAsia="es-CO"/>
              </w:rPr>
              <w:t>Más administrativo empresas no reportantes 2018</w:t>
            </w:r>
            <w:r w:rsidRPr="003A0C99">
              <w:rPr>
                <w:rFonts w:ascii="Arial Narrow" w:hAnsi="Arial Narrow" w:cs="Calibri"/>
                <w:b/>
                <w:bCs/>
                <w:color w:val="000000"/>
                <w:spacing w:val="0"/>
                <w:sz w:val="22"/>
                <w:szCs w:val="22"/>
                <w:lang w:eastAsia="es-CO"/>
              </w:rPr>
              <w:t> </w:t>
            </w:r>
          </w:p>
        </w:tc>
        <w:tc>
          <w:tcPr>
            <w:tcW w:w="2268" w:type="dxa"/>
            <w:shd w:val="clear" w:color="auto" w:fill="auto"/>
            <w:noWrap/>
            <w:vAlign w:val="center"/>
            <w:hideMark/>
          </w:tcPr>
          <w:p w14:paraId="415AC3A0" w14:textId="0B154E72" w:rsidR="003A0C99" w:rsidRPr="003A0C99" w:rsidRDefault="003A0C99" w:rsidP="003A0C99">
            <w:pPr>
              <w:jc w:val="right"/>
              <w:rPr>
                <w:rFonts w:ascii="Arial Narrow" w:hAnsi="Arial Narrow" w:cs="Calibri"/>
                <w:color w:val="000000"/>
                <w:spacing w:val="0"/>
                <w:sz w:val="22"/>
                <w:szCs w:val="22"/>
                <w:lang w:eastAsia="es-CO"/>
              </w:rPr>
            </w:pPr>
            <w:r w:rsidRPr="003A0C99">
              <w:rPr>
                <w:rFonts w:ascii="Arial Narrow" w:hAnsi="Arial Narrow" w:cs="Calibri"/>
                <w:color w:val="000000"/>
                <w:spacing w:val="0"/>
                <w:sz w:val="22"/>
                <w:szCs w:val="22"/>
                <w:lang w:eastAsia="es-CO"/>
              </w:rPr>
              <w:t xml:space="preserve">           1</w:t>
            </w:r>
            <w:r w:rsidR="00A5560C">
              <w:rPr>
                <w:rFonts w:ascii="Arial Narrow" w:hAnsi="Arial Narrow" w:cs="Calibri"/>
                <w:color w:val="000000"/>
                <w:spacing w:val="0"/>
                <w:sz w:val="22"/>
                <w:szCs w:val="22"/>
                <w:lang w:eastAsia="es-CO"/>
              </w:rPr>
              <w:t>.</w:t>
            </w:r>
            <w:r w:rsidRPr="003A0C99">
              <w:rPr>
                <w:rFonts w:ascii="Arial Narrow" w:hAnsi="Arial Narrow" w:cs="Calibri"/>
                <w:color w:val="000000"/>
                <w:spacing w:val="0"/>
                <w:sz w:val="22"/>
                <w:szCs w:val="22"/>
                <w:lang w:eastAsia="es-CO"/>
              </w:rPr>
              <w:t>808</w:t>
            </w:r>
            <w:r w:rsidR="00A5560C">
              <w:rPr>
                <w:rFonts w:ascii="Arial Narrow" w:hAnsi="Arial Narrow" w:cs="Calibri"/>
                <w:color w:val="000000"/>
                <w:spacing w:val="0"/>
                <w:sz w:val="22"/>
                <w:szCs w:val="22"/>
                <w:lang w:eastAsia="es-CO"/>
              </w:rPr>
              <w:t>.</w:t>
            </w:r>
            <w:r w:rsidRPr="003A0C99">
              <w:rPr>
                <w:rFonts w:ascii="Arial Narrow" w:hAnsi="Arial Narrow" w:cs="Calibri"/>
                <w:color w:val="000000"/>
                <w:spacing w:val="0"/>
                <w:sz w:val="22"/>
                <w:szCs w:val="22"/>
                <w:lang w:eastAsia="es-CO"/>
              </w:rPr>
              <w:t>081</w:t>
            </w:r>
            <w:r w:rsidR="00A5560C">
              <w:rPr>
                <w:rFonts w:ascii="Arial Narrow" w:hAnsi="Arial Narrow" w:cs="Calibri"/>
                <w:color w:val="000000"/>
                <w:spacing w:val="0"/>
                <w:sz w:val="22"/>
                <w:szCs w:val="22"/>
                <w:lang w:eastAsia="es-CO"/>
              </w:rPr>
              <w:t>.</w:t>
            </w:r>
            <w:r w:rsidRPr="003A0C99">
              <w:rPr>
                <w:rFonts w:ascii="Arial Narrow" w:hAnsi="Arial Narrow" w:cs="Calibri"/>
                <w:color w:val="000000"/>
                <w:spacing w:val="0"/>
                <w:sz w:val="22"/>
                <w:szCs w:val="22"/>
                <w:lang w:eastAsia="es-CO"/>
              </w:rPr>
              <w:t xml:space="preserve">371 </w:t>
            </w:r>
          </w:p>
        </w:tc>
      </w:tr>
      <w:tr w:rsidR="003A0C99" w:rsidRPr="00A37243" w14:paraId="6D8515BE" w14:textId="77777777" w:rsidTr="00E02CAF">
        <w:trPr>
          <w:trHeight w:val="290"/>
        </w:trPr>
        <w:tc>
          <w:tcPr>
            <w:tcW w:w="6799" w:type="dxa"/>
            <w:gridSpan w:val="3"/>
            <w:shd w:val="clear" w:color="auto" w:fill="auto"/>
            <w:noWrap/>
            <w:vAlign w:val="center"/>
            <w:hideMark/>
          </w:tcPr>
          <w:p w14:paraId="46D32D2C" w14:textId="0C24F908" w:rsidR="003A0C99" w:rsidRPr="003A0C99" w:rsidRDefault="003A0C99" w:rsidP="003A0C99">
            <w:pPr>
              <w:jc w:val="left"/>
              <w:rPr>
                <w:rFonts w:ascii="Arial Narrow" w:hAnsi="Arial Narrow" w:cs="Calibri"/>
                <w:color w:val="000000"/>
                <w:spacing w:val="0"/>
                <w:sz w:val="22"/>
                <w:szCs w:val="22"/>
                <w:lang w:eastAsia="es-CO"/>
              </w:rPr>
            </w:pPr>
            <w:r w:rsidRPr="003A0C99">
              <w:rPr>
                <w:rFonts w:ascii="Arial Narrow" w:hAnsi="Arial Narrow" w:cs="Calibri"/>
                <w:color w:val="000000"/>
                <w:spacing w:val="0"/>
                <w:sz w:val="22"/>
                <w:szCs w:val="22"/>
                <w:lang w:eastAsia="es-CO"/>
              </w:rPr>
              <w:t>Más operativo empresas no reportantes 2019 </w:t>
            </w:r>
          </w:p>
        </w:tc>
        <w:tc>
          <w:tcPr>
            <w:tcW w:w="2268" w:type="dxa"/>
            <w:shd w:val="clear" w:color="auto" w:fill="auto"/>
            <w:noWrap/>
            <w:vAlign w:val="center"/>
            <w:hideMark/>
          </w:tcPr>
          <w:p w14:paraId="2E78DB62" w14:textId="5A7223F7" w:rsidR="003A0C99" w:rsidRPr="003A0C99" w:rsidRDefault="003A0C99" w:rsidP="003A0C99">
            <w:pPr>
              <w:jc w:val="right"/>
              <w:rPr>
                <w:rFonts w:ascii="Arial Narrow" w:hAnsi="Arial Narrow" w:cs="Calibri"/>
                <w:color w:val="000000"/>
                <w:spacing w:val="0"/>
                <w:sz w:val="22"/>
                <w:szCs w:val="22"/>
                <w:lang w:eastAsia="es-CO"/>
              </w:rPr>
            </w:pPr>
            <w:r w:rsidRPr="003A0C99">
              <w:rPr>
                <w:rFonts w:ascii="Arial Narrow" w:hAnsi="Arial Narrow" w:cs="Calibri"/>
                <w:color w:val="000000"/>
                <w:spacing w:val="0"/>
                <w:sz w:val="22"/>
                <w:szCs w:val="22"/>
                <w:lang w:eastAsia="es-CO"/>
              </w:rPr>
              <w:t xml:space="preserve">    158</w:t>
            </w:r>
            <w:r w:rsidR="00A5560C">
              <w:rPr>
                <w:rFonts w:ascii="Arial Narrow" w:hAnsi="Arial Narrow" w:cs="Calibri"/>
                <w:color w:val="000000"/>
                <w:spacing w:val="0"/>
                <w:sz w:val="22"/>
                <w:szCs w:val="22"/>
                <w:lang w:eastAsia="es-CO"/>
              </w:rPr>
              <w:t>.</w:t>
            </w:r>
            <w:r w:rsidRPr="003A0C99">
              <w:rPr>
                <w:rFonts w:ascii="Arial Narrow" w:hAnsi="Arial Narrow" w:cs="Calibri"/>
                <w:color w:val="000000"/>
                <w:spacing w:val="0"/>
                <w:sz w:val="22"/>
                <w:szCs w:val="22"/>
                <w:lang w:eastAsia="es-CO"/>
              </w:rPr>
              <w:t>918</w:t>
            </w:r>
            <w:r w:rsidR="00A5560C">
              <w:rPr>
                <w:rFonts w:ascii="Arial Narrow" w:hAnsi="Arial Narrow" w:cs="Calibri"/>
                <w:color w:val="000000"/>
                <w:spacing w:val="0"/>
                <w:sz w:val="22"/>
                <w:szCs w:val="22"/>
                <w:lang w:eastAsia="es-CO"/>
              </w:rPr>
              <w:t>.</w:t>
            </w:r>
            <w:r w:rsidRPr="003A0C99">
              <w:rPr>
                <w:rFonts w:ascii="Arial Narrow" w:hAnsi="Arial Narrow" w:cs="Calibri"/>
                <w:color w:val="000000"/>
                <w:spacing w:val="0"/>
                <w:sz w:val="22"/>
                <w:szCs w:val="22"/>
                <w:lang w:eastAsia="es-CO"/>
              </w:rPr>
              <w:t>586</w:t>
            </w:r>
            <w:r w:rsidR="00A5560C">
              <w:rPr>
                <w:rFonts w:ascii="Arial Narrow" w:hAnsi="Arial Narrow" w:cs="Calibri"/>
                <w:color w:val="000000"/>
                <w:spacing w:val="0"/>
                <w:sz w:val="22"/>
                <w:szCs w:val="22"/>
                <w:lang w:eastAsia="es-CO"/>
              </w:rPr>
              <w:t>.</w:t>
            </w:r>
            <w:r w:rsidRPr="003A0C99">
              <w:rPr>
                <w:rFonts w:ascii="Arial Narrow" w:hAnsi="Arial Narrow" w:cs="Calibri"/>
                <w:color w:val="000000"/>
                <w:spacing w:val="0"/>
                <w:sz w:val="22"/>
                <w:szCs w:val="22"/>
                <w:lang w:eastAsia="es-CO"/>
              </w:rPr>
              <w:t xml:space="preserve">074 </w:t>
            </w:r>
          </w:p>
        </w:tc>
      </w:tr>
      <w:tr w:rsidR="003A0C99" w:rsidRPr="00A37243" w14:paraId="63614473" w14:textId="77777777" w:rsidTr="00E02CAF">
        <w:trPr>
          <w:trHeight w:val="290"/>
        </w:trPr>
        <w:tc>
          <w:tcPr>
            <w:tcW w:w="6799" w:type="dxa"/>
            <w:gridSpan w:val="3"/>
            <w:shd w:val="clear" w:color="auto" w:fill="auto"/>
            <w:noWrap/>
            <w:vAlign w:val="center"/>
            <w:hideMark/>
          </w:tcPr>
          <w:p w14:paraId="05C846B0" w14:textId="67746B71" w:rsidR="003A0C99" w:rsidRPr="003A0C99" w:rsidRDefault="003A0C99" w:rsidP="003A0C99">
            <w:pPr>
              <w:jc w:val="left"/>
              <w:rPr>
                <w:rFonts w:ascii="Arial Narrow" w:hAnsi="Arial Narrow" w:cs="Calibri"/>
                <w:color w:val="000000"/>
                <w:spacing w:val="0"/>
                <w:sz w:val="22"/>
                <w:szCs w:val="22"/>
                <w:lang w:eastAsia="es-CO"/>
              </w:rPr>
            </w:pPr>
            <w:r w:rsidRPr="003A0C99">
              <w:rPr>
                <w:rFonts w:ascii="Arial Narrow" w:hAnsi="Arial Narrow" w:cs="Calibri"/>
                <w:color w:val="000000"/>
                <w:spacing w:val="0"/>
                <w:sz w:val="22"/>
                <w:szCs w:val="22"/>
                <w:lang w:eastAsia="es-CO"/>
              </w:rPr>
              <w:t>Más operativo empresas no reportantes 2018 </w:t>
            </w:r>
          </w:p>
        </w:tc>
        <w:tc>
          <w:tcPr>
            <w:tcW w:w="2268" w:type="dxa"/>
            <w:shd w:val="clear" w:color="auto" w:fill="auto"/>
            <w:noWrap/>
            <w:vAlign w:val="center"/>
            <w:hideMark/>
          </w:tcPr>
          <w:p w14:paraId="6F4C763F" w14:textId="27A0F4F6" w:rsidR="003A0C99" w:rsidRPr="003A0C99" w:rsidRDefault="003A0C99" w:rsidP="003A0C99">
            <w:pPr>
              <w:jc w:val="right"/>
              <w:rPr>
                <w:rFonts w:ascii="Arial Narrow" w:hAnsi="Arial Narrow" w:cs="Calibri"/>
                <w:color w:val="000000"/>
                <w:spacing w:val="0"/>
                <w:sz w:val="22"/>
                <w:szCs w:val="22"/>
                <w:lang w:eastAsia="es-CO"/>
              </w:rPr>
            </w:pPr>
            <w:r w:rsidRPr="003A0C99">
              <w:rPr>
                <w:rFonts w:ascii="Arial Narrow" w:hAnsi="Arial Narrow" w:cs="Calibri"/>
                <w:color w:val="000000"/>
                <w:spacing w:val="0"/>
                <w:sz w:val="22"/>
                <w:szCs w:val="22"/>
                <w:lang w:eastAsia="es-CO"/>
              </w:rPr>
              <w:t xml:space="preserve">                 980</w:t>
            </w:r>
            <w:r w:rsidR="00A5560C">
              <w:rPr>
                <w:rFonts w:ascii="Arial Narrow" w:hAnsi="Arial Narrow" w:cs="Calibri"/>
                <w:color w:val="000000"/>
                <w:spacing w:val="0"/>
                <w:sz w:val="22"/>
                <w:szCs w:val="22"/>
                <w:lang w:eastAsia="es-CO"/>
              </w:rPr>
              <w:t>.</w:t>
            </w:r>
            <w:r w:rsidRPr="003A0C99">
              <w:rPr>
                <w:rFonts w:ascii="Arial Narrow" w:hAnsi="Arial Narrow" w:cs="Calibri"/>
                <w:color w:val="000000"/>
                <w:spacing w:val="0"/>
                <w:sz w:val="22"/>
                <w:szCs w:val="22"/>
                <w:lang w:eastAsia="es-CO"/>
              </w:rPr>
              <w:t>377</w:t>
            </w:r>
            <w:r w:rsidR="00A5560C">
              <w:rPr>
                <w:rFonts w:ascii="Arial Narrow" w:hAnsi="Arial Narrow" w:cs="Calibri"/>
                <w:color w:val="000000"/>
                <w:spacing w:val="0"/>
                <w:sz w:val="22"/>
                <w:szCs w:val="22"/>
                <w:lang w:eastAsia="es-CO"/>
              </w:rPr>
              <w:t>.</w:t>
            </w:r>
            <w:r w:rsidRPr="003A0C99">
              <w:rPr>
                <w:rFonts w:ascii="Arial Narrow" w:hAnsi="Arial Narrow" w:cs="Calibri"/>
                <w:color w:val="000000"/>
                <w:spacing w:val="0"/>
                <w:sz w:val="22"/>
                <w:szCs w:val="22"/>
                <w:lang w:eastAsia="es-CO"/>
              </w:rPr>
              <w:t xml:space="preserve">185 </w:t>
            </w:r>
          </w:p>
        </w:tc>
      </w:tr>
      <w:tr w:rsidR="00A4267A" w:rsidRPr="00A4267A" w14:paraId="6CB5E57A" w14:textId="77777777" w:rsidTr="00E02CAF">
        <w:trPr>
          <w:trHeight w:val="290"/>
        </w:trPr>
        <w:tc>
          <w:tcPr>
            <w:tcW w:w="4248" w:type="dxa"/>
            <w:gridSpan w:val="2"/>
            <w:shd w:val="clear" w:color="auto" w:fill="auto"/>
            <w:noWrap/>
            <w:vAlign w:val="center"/>
          </w:tcPr>
          <w:p w14:paraId="066B9A3F" w14:textId="410CEBAD" w:rsidR="00A4267A" w:rsidRPr="00A4267A" w:rsidRDefault="00A4267A" w:rsidP="00A4267A">
            <w:pPr>
              <w:jc w:val="right"/>
              <w:rPr>
                <w:rFonts w:ascii="Arial Narrow" w:hAnsi="Arial Narrow" w:cs="Arial"/>
                <w:spacing w:val="0"/>
                <w:sz w:val="22"/>
                <w:szCs w:val="22"/>
                <w:lang w:eastAsia="es-CO"/>
              </w:rPr>
            </w:pPr>
            <w:r>
              <w:rPr>
                <w:rFonts w:ascii="Arial Narrow" w:hAnsi="Arial Narrow" w:cs="Calibri"/>
                <w:b/>
                <w:bCs/>
                <w:color w:val="000000"/>
                <w:spacing w:val="0"/>
                <w:sz w:val="22"/>
                <w:szCs w:val="22"/>
                <w:lang w:eastAsia="es-CO"/>
              </w:rPr>
              <w:t>Total administrativos</w:t>
            </w:r>
            <w:r w:rsidRPr="003A0C99">
              <w:rPr>
                <w:rFonts w:ascii="Arial Narrow" w:hAnsi="Arial Narrow" w:cs="Calibri"/>
                <w:b/>
                <w:bCs/>
                <w:color w:val="000000"/>
                <w:spacing w:val="0"/>
                <w:sz w:val="22"/>
                <w:szCs w:val="22"/>
                <w:lang w:eastAsia="es-CO"/>
              </w:rPr>
              <w:t> </w:t>
            </w:r>
          </w:p>
        </w:tc>
        <w:tc>
          <w:tcPr>
            <w:tcW w:w="2551" w:type="dxa"/>
            <w:shd w:val="clear" w:color="auto" w:fill="auto"/>
            <w:vAlign w:val="center"/>
          </w:tcPr>
          <w:p w14:paraId="11289CA7" w14:textId="07363298" w:rsidR="00A4267A" w:rsidRPr="00A4267A" w:rsidRDefault="00A4267A" w:rsidP="00A4267A">
            <w:pPr>
              <w:jc w:val="right"/>
              <w:rPr>
                <w:rFonts w:ascii="Arial Narrow" w:hAnsi="Arial Narrow" w:cs="Arial"/>
                <w:spacing w:val="0"/>
                <w:sz w:val="22"/>
                <w:szCs w:val="22"/>
                <w:lang w:eastAsia="es-CO"/>
              </w:rPr>
            </w:pPr>
            <w:r w:rsidRPr="00A37243">
              <w:rPr>
                <w:rFonts w:ascii="Arial Narrow" w:hAnsi="Arial Narrow" w:cs="Arial"/>
                <w:b/>
                <w:bCs/>
                <w:spacing w:val="0"/>
                <w:sz w:val="22"/>
                <w:szCs w:val="22"/>
                <w:lang w:eastAsia="es-CO"/>
              </w:rPr>
              <w:t xml:space="preserve">           3</w:t>
            </w:r>
            <w:r w:rsidR="00A5560C">
              <w:rPr>
                <w:rFonts w:ascii="Arial Narrow" w:hAnsi="Arial Narrow" w:cs="Arial"/>
                <w:b/>
                <w:bCs/>
                <w:spacing w:val="0"/>
                <w:sz w:val="22"/>
                <w:szCs w:val="22"/>
                <w:lang w:eastAsia="es-CO"/>
              </w:rPr>
              <w:t>.</w:t>
            </w:r>
            <w:r w:rsidRPr="00A37243">
              <w:rPr>
                <w:rFonts w:ascii="Arial Narrow" w:hAnsi="Arial Narrow" w:cs="Arial"/>
                <w:b/>
                <w:bCs/>
                <w:spacing w:val="0"/>
                <w:sz w:val="22"/>
                <w:szCs w:val="22"/>
                <w:lang w:eastAsia="es-CO"/>
              </w:rPr>
              <w:t>202</w:t>
            </w:r>
            <w:r w:rsidR="00A5560C">
              <w:rPr>
                <w:rFonts w:ascii="Arial Narrow" w:hAnsi="Arial Narrow" w:cs="Arial"/>
                <w:b/>
                <w:bCs/>
                <w:spacing w:val="0"/>
                <w:sz w:val="22"/>
                <w:szCs w:val="22"/>
                <w:lang w:eastAsia="es-CO"/>
              </w:rPr>
              <w:t>.</w:t>
            </w:r>
            <w:r w:rsidRPr="00A37243">
              <w:rPr>
                <w:rFonts w:ascii="Arial Narrow" w:hAnsi="Arial Narrow" w:cs="Arial"/>
                <w:b/>
                <w:bCs/>
                <w:spacing w:val="0"/>
                <w:sz w:val="22"/>
                <w:szCs w:val="22"/>
                <w:lang w:eastAsia="es-CO"/>
              </w:rPr>
              <w:t>948</w:t>
            </w:r>
            <w:r w:rsidR="00A5560C">
              <w:rPr>
                <w:rFonts w:ascii="Arial Narrow" w:hAnsi="Arial Narrow" w:cs="Arial"/>
                <w:b/>
                <w:bCs/>
                <w:spacing w:val="0"/>
                <w:sz w:val="22"/>
                <w:szCs w:val="22"/>
                <w:lang w:eastAsia="es-CO"/>
              </w:rPr>
              <w:t>.</w:t>
            </w:r>
            <w:r w:rsidRPr="00A37243">
              <w:rPr>
                <w:rFonts w:ascii="Arial Narrow" w:hAnsi="Arial Narrow" w:cs="Arial"/>
                <w:b/>
                <w:bCs/>
                <w:spacing w:val="0"/>
                <w:sz w:val="22"/>
                <w:szCs w:val="22"/>
                <w:lang w:eastAsia="es-CO"/>
              </w:rPr>
              <w:t>858</w:t>
            </w:r>
            <w:r w:rsidR="00A5560C">
              <w:rPr>
                <w:rFonts w:ascii="Arial Narrow" w:hAnsi="Arial Narrow" w:cs="Arial"/>
                <w:b/>
                <w:bCs/>
                <w:spacing w:val="0"/>
                <w:sz w:val="22"/>
                <w:szCs w:val="22"/>
                <w:lang w:eastAsia="es-CO"/>
              </w:rPr>
              <w:t>.</w:t>
            </w:r>
            <w:r w:rsidRPr="00A37243">
              <w:rPr>
                <w:rFonts w:ascii="Arial Narrow" w:hAnsi="Arial Narrow" w:cs="Arial"/>
                <w:b/>
                <w:bCs/>
                <w:spacing w:val="0"/>
                <w:sz w:val="22"/>
                <w:szCs w:val="22"/>
                <w:lang w:eastAsia="es-CO"/>
              </w:rPr>
              <w:t>317</w:t>
            </w:r>
          </w:p>
        </w:tc>
        <w:tc>
          <w:tcPr>
            <w:tcW w:w="2268" w:type="dxa"/>
            <w:shd w:val="clear" w:color="auto" w:fill="auto"/>
            <w:noWrap/>
            <w:vAlign w:val="center"/>
          </w:tcPr>
          <w:p w14:paraId="5E0E7BF2" w14:textId="77777777" w:rsidR="00A4267A" w:rsidRPr="00A4267A" w:rsidRDefault="00A4267A" w:rsidP="00A4267A">
            <w:pPr>
              <w:jc w:val="left"/>
              <w:rPr>
                <w:rFonts w:ascii="Arial Narrow" w:hAnsi="Arial Narrow" w:cs="Arial"/>
                <w:spacing w:val="0"/>
                <w:sz w:val="22"/>
                <w:szCs w:val="22"/>
                <w:lang w:eastAsia="es-CO"/>
              </w:rPr>
            </w:pPr>
          </w:p>
        </w:tc>
      </w:tr>
      <w:tr w:rsidR="00A4267A" w:rsidRPr="00A4267A" w14:paraId="559FA7BC" w14:textId="77777777" w:rsidTr="00E02CAF">
        <w:trPr>
          <w:trHeight w:val="290"/>
        </w:trPr>
        <w:tc>
          <w:tcPr>
            <w:tcW w:w="4248" w:type="dxa"/>
            <w:gridSpan w:val="2"/>
            <w:shd w:val="clear" w:color="auto" w:fill="auto"/>
            <w:noWrap/>
            <w:vAlign w:val="center"/>
          </w:tcPr>
          <w:p w14:paraId="1A0658E0" w14:textId="4E899CA1" w:rsidR="00A4267A" w:rsidRDefault="00A4267A" w:rsidP="00A4267A">
            <w:pPr>
              <w:jc w:val="right"/>
              <w:rPr>
                <w:rFonts w:ascii="Arial Narrow" w:hAnsi="Arial Narrow" w:cs="Calibri"/>
                <w:b/>
                <w:bCs/>
                <w:color w:val="000000"/>
                <w:spacing w:val="0"/>
                <w:sz w:val="22"/>
                <w:szCs w:val="22"/>
                <w:lang w:eastAsia="es-CO"/>
              </w:rPr>
            </w:pPr>
            <w:r>
              <w:rPr>
                <w:rFonts w:ascii="Arial Narrow" w:hAnsi="Arial Narrow" w:cs="Calibri"/>
                <w:b/>
                <w:bCs/>
                <w:color w:val="000000"/>
                <w:spacing w:val="0"/>
                <w:sz w:val="22"/>
                <w:szCs w:val="22"/>
                <w:lang w:eastAsia="es-CO"/>
              </w:rPr>
              <w:t>Total operativos</w:t>
            </w:r>
            <w:r w:rsidRPr="003A0C99">
              <w:rPr>
                <w:rFonts w:ascii="Arial Narrow" w:hAnsi="Arial Narrow" w:cs="Calibri"/>
                <w:b/>
                <w:bCs/>
                <w:color w:val="000000"/>
                <w:spacing w:val="0"/>
                <w:sz w:val="22"/>
                <w:szCs w:val="22"/>
                <w:lang w:eastAsia="es-CO"/>
              </w:rPr>
              <w:t> </w:t>
            </w:r>
          </w:p>
        </w:tc>
        <w:tc>
          <w:tcPr>
            <w:tcW w:w="2551" w:type="dxa"/>
            <w:shd w:val="clear" w:color="auto" w:fill="auto"/>
            <w:vAlign w:val="center"/>
          </w:tcPr>
          <w:p w14:paraId="008C4C24" w14:textId="6CD50D44" w:rsidR="00A4267A" w:rsidRPr="00A37243" w:rsidRDefault="00A4267A" w:rsidP="00A4267A">
            <w:pPr>
              <w:jc w:val="right"/>
              <w:rPr>
                <w:rFonts w:ascii="Arial Narrow" w:hAnsi="Arial Narrow" w:cs="Arial"/>
                <w:b/>
                <w:bCs/>
                <w:spacing w:val="0"/>
                <w:sz w:val="22"/>
                <w:szCs w:val="22"/>
                <w:lang w:eastAsia="es-CO"/>
              </w:rPr>
            </w:pPr>
            <w:r w:rsidRPr="003A0C99">
              <w:rPr>
                <w:rFonts w:ascii="Arial Narrow" w:hAnsi="Arial Narrow" w:cs="Calibri"/>
                <w:b/>
                <w:bCs/>
                <w:color w:val="000000"/>
                <w:spacing w:val="0"/>
                <w:sz w:val="22"/>
                <w:szCs w:val="22"/>
                <w:lang w:eastAsia="es-CO"/>
              </w:rPr>
              <w:t xml:space="preserve">           </w:t>
            </w:r>
            <w:r w:rsidRPr="00A37243">
              <w:rPr>
                <w:rFonts w:ascii="Arial Narrow" w:hAnsi="Arial Narrow" w:cs="Arial"/>
                <w:b/>
                <w:bCs/>
                <w:spacing w:val="0"/>
                <w:sz w:val="22"/>
                <w:szCs w:val="22"/>
                <w:lang w:eastAsia="es-CO"/>
              </w:rPr>
              <w:t>8</w:t>
            </w:r>
            <w:r w:rsidR="00A5560C">
              <w:rPr>
                <w:rFonts w:ascii="Arial Narrow" w:hAnsi="Arial Narrow" w:cs="Arial"/>
                <w:b/>
                <w:bCs/>
                <w:spacing w:val="0"/>
                <w:sz w:val="22"/>
                <w:szCs w:val="22"/>
                <w:lang w:eastAsia="es-CO"/>
              </w:rPr>
              <w:t>.</w:t>
            </w:r>
            <w:r w:rsidRPr="00A37243">
              <w:rPr>
                <w:rFonts w:ascii="Arial Narrow" w:hAnsi="Arial Narrow" w:cs="Arial"/>
                <w:b/>
                <w:bCs/>
                <w:spacing w:val="0"/>
                <w:sz w:val="22"/>
                <w:szCs w:val="22"/>
                <w:lang w:eastAsia="es-CO"/>
              </w:rPr>
              <w:t>734</w:t>
            </w:r>
            <w:r w:rsidR="00A5560C">
              <w:rPr>
                <w:rFonts w:ascii="Arial Narrow" w:hAnsi="Arial Narrow" w:cs="Arial"/>
                <w:b/>
                <w:bCs/>
                <w:spacing w:val="0"/>
                <w:sz w:val="22"/>
                <w:szCs w:val="22"/>
                <w:lang w:eastAsia="es-CO"/>
              </w:rPr>
              <w:t>.</w:t>
            </w:r>
            <w:r w:rsidRPr="00A37243">
              <w:rPr>
                <w:rFonts w:ascii="Arial Narrow" w:hAnsi="Arial Narrow" w:cs="Arial"/>
                <w:b/>
                <w:bCs/>
                <w:spacing w:val="0"/>
                <w:sz w:val="22"/>
                <w:szCs w:val="22"/>
                <w:lang w:eastAsia="es-CO"/>
              </w:rPr>
              <w:t>712</w:t>
            </w:r>
            <w:r w:rsidR="00A5560C">
              <w:rPr>
                <w:rFonts w:ascii="Arial Narrow" w:hAnsi="Arial Narrow" w:cs="Arial"/>
                <w:b/>
                <w:bCs/>
                <w:spacing w:val="0"/>
                <w:sz w:val="22"/>
                <w:szCs w:val="22"/>
                <w:lang w:eastAsia="es-CO"/>
              </w:rPr>
              <w:t>.</w:t>
            </w:r>
            <w:r w:rsidRPr="00A37243">
              <w:rPr>
                <w:rFonts w:ascii="Arial Narrow" w:hAnsi="Arial Narrow" w:cs="Arial"/>
                <w:b/>
                <w:bCs/>
                <w:spacing w:val="0"/>
                <w:sz w:val="22"/>
                <w:szCs w:val="22"/>
                <w:lang w:eastAsia="es-CO"/>
              </w:rPr>
              <w:t>243</w:t>
            </w:r>
            <w:r w:rsidR="00A5560C">
              <w:rPr>
                <w:rFonts w:ascii="Arial Narrow" w:hAnsi="Arial Narrow" w:cs="Arial"/>
                <w:b/>
                <w:bCs/>
                <w:spacing w:val="0"/>
                <w:sz w:val="22"/>
                <w:szCs w:val="22"/>
                <w:lang w:eastAsia="es-CO"/>
              </w:rPr>
              <w:t>.</w:t>
            </w:r>
            <w:r w:rsidRPr="00A37243">
              <w:rPr>
                <w:rFonts w:ascii="Arial Narrow" w:hAnsi="Arial Narrow" w:cs="Arial"/>
                <w:b/>
                <w:bCs/>
                <w:spacing w:val="0"/>
                <w:sz w:val="22"/>
                <w:szCs w:val="22"/>
                <w:lang w:eastAsia="es-CO"/>
              </w:rPr>
              <w:t>135</w:t>
            </w:r>
          </w:p>
        </w:tc>
        <w:tc>
          <w:tcPr>
            <w:tcW w:w="2268" w:type="dxa"/>
            <w:shd w:val="clear" w:color="auto" w:fill="auto"/>
            <w:noWrap/>
            <w:vAlign w:val="center"/>
          </w:tcPr>
          <w:p w14:paraId="2151AE7D" w14:textId="77777777" w:rsidR="00A4267A" w:rsidRPr="00A4267A" w:rsidRDefault="00A4267A" w:rsidP="00A4267A">
            <w:pPr>
              <w:jc w:val="left"/>
              <w:rPr>
                <w:rFonts w:ascii="Arial Narrow" w:hAnsi="Arial Narrow" w:cs="Arial"/>
                <w:spacing w:val="0"/>
                <w:sz w:val="22"/>
                <w:szCs w:val="22"/>
                <w:lang w:eastAsia="es-CO"/>
              </w:rPr>
            </w:pPr>
          </w:p>
        </w:tc>
      </w:tr>
      <w:tr w:rsidR="00A4267A" w:rsidRPr="00A37243" w14:paraId="154CE380" w14:textId="77777777" w:rsidTr="00271B60">
        <w:trPr>
          <w:trHeight w:val="290"/>
        </w:trPr>
        <w:tc>
          <w:tcPr>
            <w:tcW w:w="6799" w:type="dxa"/>
            <w:gridSpan w:val="3"/>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03CA5DC8" w14:textId="77777777" w:rsidR="00A4267A" w:rsidRPr="003A0C99" w:rsidRDefault="00A4267A" w:rsidP="007114B5">
            <w:pPr>
              <w:jc w:val="right"/>
              <w:rPr>
                <w:rFonts w:ascii="Arial Narrow" w:hAnsi="Arial Narrow" w:cs="Calibri"/>
                <w:b/>
                <w:bCs/>
                <w:color w:val="000000"/>
                <w:spacing w:val="0"/>
                <w:sz w:val="22"/>
                <w:szCs w:val="22"/>
                <w:lang w:eastAsia="es-CO"/>
              </w:rPr>
            </w:pPr>
            <w:r w:rsidRPr="003A0C99">
              <w:rPr>
                <w:rFonts w:ascii="Arial Narrow" w:hAnsi="Arial Narrow" w:cs="Calibri"/>
                <w:b/>
                <w:bCs/>
                <w:color w:val="000000"/>
                <w:spacing w:val="0"/>
                <w:sz w:val="22"/>
                <w:szCs w:val="22"/>
                <w:lang w:eastAsia="es-CO"/>
              </w:rPr>
              <w:t>TOTAL BASE GRAVABLE</w:t>
            </w:r>
          </w:p>
        </w:tc>
        <w:tc>
          <w:tcPr>
            <w:tcW w:w="2268"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057C86D2" w14:textId="30758596" w:rsidR="00A4267A" w:rsidRPr="003A0C99" w:rsidRDefault="00A4267A" w:rsidP="007114B5">
            <w:pPr>
              <w:jc w:val="right"/>
              <w:rPr>
                <w:rFonts w:ascii="Arial Narrow" w:hAnsi="Arial Narrow" w:cs="Calibri"/>
                <w:b/>
                <w:bCs/>
                <w:color w:val="000000"/>
                <w:spacing w:val="0"/>
                <w:sz w:val="22"/>
                <w:szCs w:val="22"/>
                <w:lang w:eastAsia="es-CO"/>
              </w:rPr>
            </w:pPr>
            <w:r w:rsidRPr="003A0C99">
              <w:rPr>
                <w:rFonts w:ascii="Arial Narrow" w:hAnsi="Arial Narrow" w:cs="Calibri"/>
                <w:b/>
                <w:bCs/>
                <w:color w:val="000000"/>
                <w:spacing w:val="0"/>
                <w:sz w:val="22"/>
                <w:szCs w:val="22"/>
                <w:lang w:eastAsia="es-CO"/>
              </w:rPr>
              <w:t xml:space="preserve"> 11</w:t>
            </w:r>
            <w:r w:rsidR="00A5560C">
              <w:rPr>
                <w:rFonts w:ascii="Arial Narrow" w:hAnsi="Arial Narrow" w:cs="Calibri"/>
                <w:b/>
                <w:bCs/>
                <w:color w:val="000000"/>
                <w:spacing w:val="0"/>
                <w:sz w:val="22"/>
                <w:szCs w:val="22"/>
                <w:lang w:eastAsia="es-CO"/>
              </w:rPr>
              <w:t>.</w:t>
            </w:r>
            <w:r w:rsidRPr="003A0C99">
              <w:rPr>
                <w:rFonts w:ascii="Arial Narrow" w:hAnsi="Arial Narrow" w:cs="Calibri"/>
                <w:b/>
                <w:bCs/>
                <w:color w:val="000000"/>
                <w:spacing w:val="0"/>
                <w:sz w:val="22"/>
                <w:szCs w:val="22"/>
                <w:lang w:eastAsia="es-CO"/>
              </w:rPr>
              <w:t>937</w:t>
            </w:r>
            <w:r w:rsidR="00A5560C">
              <w:rPr>
                <w:rFonts w:ascii="Arial Narrow" w:hAnsi="Arial Narrow" w:cs="Calibri"/>
                <w:b/>
                <w:bCs/>
                <w:color w:val="000000"/>
                <w:spacing w:val="0"/>
                <w:sz w:val="22"/>
                <w:szCs w:val="22"/>
                <w:lang w:eastAsia="es-CO"/>
              </w:rPr>
              <w:t>.</w:t>
            </w:r>
            <w:r w:rsidRPr="003A0C99">
              <w:rPr>
                <w:rFonts w:ascii="Arial Narrow" w:hAnsi="Arial Narrow" w:cs="Calibri"/>
                <w:b/>
                <w:bCs/>
                <w:color w:val="000000"/>
                <w:spacing w:val="0"/>
                <w:sz w:val="22"/>
                <w:szCs w:val="22"/>
                <w:lang w:eastAsia="es-CO"/>
              </w:rPr>
              <w:t>661</w:t>
            </w:r>
            <w:r w:rsidR="00A5560C">
              <w:rPr>
                <w:rFonts w:ascii="Arial Narrow" w:hAnsi="Arial Narrow" w:cs="Calibri"/>
                <w:b/>
                <w:bCs/>
                <w:color w:val="000000"/>
                <w:spacing w:val="0"/>
                <w:sz w:val="22"/>
                <w:szCs w:val="22"/>
                <w:lang w:eastAsia="es-CO"/>
              </w:rPr>
              <w:t>.</w:t>
            </w:r>
            <w:r w:rsidRPr="003A0C99">
              <w:rPr>
                <w:rFonts w:ascii="Arial Narrow" w:hAnsi="Arial Narrow" w:cs="Calibri"/>
                <w:b/>
                <w:bCs/>
                <w:color w:val="000000"/>
                <w:spacing w:val="0"/>
                <w:sz w:val="22"/>
                <w:szCs w:val="22"/>
                <w:lang w:eastAsia="es-CO"/>
              </w:rPr>
              <w:t>101</w:t>
            </w:r>
            <w:r w:rsidR="00A5560C">
              <w:rPr>
                <w:rFonts w:ascii="Arial Narrow" w:hAnsi="Arial Narrow" w:cs="Calibri"/>
                <w:b/>
                <w:bCs/>
                <w:color w:val="000000"/>
                <w:spacing w:val="0"/>
                <w:sz w:val="22"/>
                <w:szCs w:val="22"/>
                <w:lang w:eastAsia="es-CO"/>
              </w:rPr>
              <w:t>.</w:t>
            </w:r>
            <w:r w:rsidRPr="003A0C99">
              <w:rPr>
                <w:rFonts w:ascii="Arial Narrow" w:hAnsi="Arial Narrow" w:cs="Calibri"/>
                <w:b/>
                <w:bCs/>
                <w:color w:val="000000"/>
                <w:spacing w:val="0"/>
                <w:sz w:val="22"/>
                <w:szCs w:val="22"/>
                <w:lang w:eastAsia="es-CO"/>
              </w:rPr>
              <w:t xml:space="preserve">452 </w:t>
            </w:r>
          </w:p>
        </w:tc>
      </w:tr>
    </w:tbl>
    <w:p w14:paraId="6CD2CA89" w14:textId="6DB0DA89" w:rsidR="00A37243" w:rsidRDefault="00A37243" w:rsidP="00CE5F55">
      <w:pPr>
        <w:ind w:right="-91"/>
        <w:rPr>
          <w:rFonts w:cs="Arial"/>
          <w:sz w:val="22"/>
          <w:szCs w:val="22"/>
        </w:rPr>
      </w:pPr>
    </w:p>
    <w:tbl>
      <w:tblPr>
        <w:tblW w:w="9067" w:type="dxa"/>
        <w:tblCellMar>
          <w:left w:w="70" w:type="dxa"/>
          <w:right w:w="70" w:type="dxa"/>
        </w:tblCellMar>
        <w:tblLook w:val="04A0" w:firstRow="1" w:lastRow="0" w:firstColumn="1" w:lastColumn="0" w:noHBand="0" w:noVBand="1"/>
      </w:tblPr>
      <w:tblGrid>
        <w:gridCol w:w="5382"/>
        <w:gridCol w:w="1843"/>
        <w:gridCol w:w="1842"/>
      </w:tblGrid>
      <w:tr w:rsidR="00A37243" w:rsidRPr="00E65688" w14:paraId="19C78BC4" w14:textId="77777777" w:rsidTr="00271B60">
        <w:trPr>
          <w:trHeight w:val="290"/>
        </w:trPr>
        <w:tc>
          <w:tcPr>
            <w:tcW w:w="5382" w:type="dxa"/>
            <w:vMerge w:val="restart"/>
            <w:tcBorders>
              <w:top w:val="single" w:sz="4" w:space="0" w:color="auto"/>
              <w:left w:val="single" w:sz="4" w:space="0" w:color="auto"/>
              <w:right w:val="single" w:sz="4" w:space="0" w:color="auto"/>
            </w:tcBorders>
            <w:shd w:val="clear" w:color="auto" w:fill="E7E6E6" w:themeFill="background2"/>
            <w:noWrap/>
            <w:vAlign w:val="center"/>
            <w:hideMark/>
          </w:tcPr>
          <w:p w14:paraId="5EC7E49D" w14:textId="77777777" w:rsidR="00A37243" w:rsidRPr="00E65688" w:rsidRDefault="00A37243" w:rsidP="00A37243">
            <w:pPr>
              <w:jc w:val="center"/>
              <w:rPr>
                <w:rFonts w:ascii="Arial Narrow" w:hAnsi="Arial Narrow" w:cs="Calibri"/>
                <w:b/>
                <w:bCs/>
                <w:color w:val="000000"/>
                <w:spacing w:val="0"/>
                <w:lang w:eastAsia="es-CO"/>
              </w:rPr>
            </w:pPr>
            <w:r w:rsidRPr="00E65688">
              <w:rPr>
                <w:rFonts w:ascii="Arial Narrow" w:hAnsi="Arial Narrow" w:cs="Calibri"/>
                <w:b/>
                <w:bCs/>
                <w:color w:val="000000"/>
                <w:spacing w:val="0"/>
                <w:lang w:eastAsia="es-CO"/>
              </w:rPr>
              <w:t>ACTIVIDAD</w:t>
            </w:r>
          </w:p>
          <w:p w14:paraId="02324DA0" w14:textId="359A47E8" w:rsidR="00A37243" w:rsidRPr="00E65688" w:rsidRDefault="00A37243" w:rsidP="00A37243">
            <w:pPr>
              <w:jc w:val="center"/>
              <w:rPr>
                <w:rFonts w:ascii="Arial Narrow" w:hAnsi="Arial Narrow" w:cs="Calibri"/>
                <w:b/>
                <w:bCs/>
                <w:color w:val="000000"/>
                <w:spacing w:val="0"/>
                <w:lang w:eastAsia="es-CO"/>
              </w:rPr>
            </w:pPr>
            <w:r w:rsidRPr="00E65688">
              <w:rPr>
                <w:rFonts w:ascii="Arial Narrow" w:hAnsi="Arial Narrow" w:cs="Calibri"/>
                <w:b/>
                <w:bCs/>
                <w:color w:val="000000"/>
                <w:spacing w:val="0"/>
                <w:lang w:eastAsia="es-CO"/>
              </w:rPr>
              <w:t> </w:t>
            </w:r>
          </w:p>
        </w:tc>
        <w:tc>
          <w:tcPr>
            <w:tcW w:w="1843" w:type="dxa"/>
            <w:vMerge w:val="restart"/>
            <w:tcBorders>
              <w:top w:val="single" w:sz="4" w:space="0" w:color="auto"/>
              <w:left w:val="nil"/>
              <w:right w:val="single" w:sz="4" w:space="0" w:color="auto"/>
            </w:tcBorders>
            <w:shd w:val="clear" w:color="auto" w:fill="E7E6E6" w:themeFill="background2"/>
            <w:noWrap/>
            <w:vAlign w:val="center"/>
            <w:hideMark/>
          </w:tcPr>
          <w:p w14:paraId="5ED8B2AA" w14:textId="79563F92" w:rsidR="00A37243" w:rsidRPr="00E65688" w:rsidRDefault="00A37243" w:rsidP="00A37243">
            <w:pPr>
              <w:jc w:val="center"/>
              <w:rPr>
                <w:rFonts w:ascii="Arial Narrow" w:hAnsi="Arial Narrow" w:cs="Calibri"/>
                <w:b/>
                <w:bCs/>
                <w:color w:val="000000"/>
                <w:spacing w:val="0"/>
                <w:lang w:eastAsia="es-CO"/>
              </w:rPr>
            </w:pPr>
            <w:r w:rsidRPr="00E65688">
              <w:rPr>
                <w:rFonts w:ascii="Arial Narrow" w:hAnsi="Arial Narrow" w:cs="Calibri"/>
                <w:b/>
                <w:bCs/>
                <w:color w:val="000000"/>
                <w:spacing w:val="0"/>
                <w:lang w:eastAsia="es-CO"/>
              </w:rPr>
              <w:t>BASE ADMINISTRATIVOS 100%</w:t>
            </w:r>
          </w:p>
        </w:tc>
        <w:tc>
          <w:tcPr>
            <w:tcW w:w="1842"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3A4AFECC" w14:textId="77777777" w:rsidR="00A37243" w:rsidRPr="00E65688" w:rsidRDefault="00A37243" w:rsidP="00A37243">
            <w:pPr>
              <w:jc w:val="center"/>
              <w:rPr>
                <w:rFonts w:ascii="Arial Narrow" w:hAnsi="Arial Narrow" w:cs="Calibri"/>
                <w:b/>
                <w:bCs/>
                <w:color w:val="000000"/>
                <w:spacing w:val="0"/>
                <w:lang w:eastAsia="es-CO"/>
              </w:rPr>
            </w:pPr>
            <w:r w:rsidRPr="00E65688">
              <w:rPr>
                <w:rFonts w:ascii="Arial Narrow" w:hAnsi="Arial Narrow" w:cs="Calibri"/>
                <w:b/>
                <w:bCs/>
                <w:color w:val="000000"/>
                <w:spacing w:val="0"/>
                <w:lang w:eastAsia="es-CO"/>
              </w:rPr>
              <w:t>TOTAL ADMINISTRATIVOS</w:t>
            </w:r>
          </w:p>
        </w:tc>
      </w:tr>
      <w:tr w:rsidR="00A37243" w:rsidRPr="00E65688" w14:paraId="6B6567A0" w14:textId="77777777" w:rsidTr="00271B60">
        <w:trPr>
          <w:trHeight w:val="285"/>
        </w:trPr>
        <w:tc>
          <w:tcPr>
            <w:tcW w:w="5382" w:type="dxa"/>
            <w:vMerge/>
            <w:tcBorders>
              <w:left w:val="single" w:sz="4" w:space="0" w:color="auto"/>
              <w:bottom w:val="single" w:sz="4" w:space="0" w:color="auto"/>
              <w:right w:val="single" w:sz="4" w:space="0" w:color="auto"/>
            </w:tcBorders>
            <w:shd w:val="clear" w:color="auto" w:fill="E7E6E6" w:themeFill="background2"/>
            <w:noWrap/>
            <w:vAlign w:val="center"/>
            <w:hideMark/>
          </w:tcPr>
          <w:p w14:paraId="17498C70" w14:textId="38276A4C" w:rsidR="00A37243" w:rsidRPr="00E65688" w:rsidRDefault="00A37243" w:rsidP="00A37243">
            <w:pPr>
              <w:jc w:val="center"/>
              <w:rPr>
                <w:rFonts w:ascii="Arial Narrow" w:hAnsi="Arial Narrow" w:cs="Calibri"/>
                <w:b/>
                <w:bCs/>
                <w:color w:val="000000"/>
                <w:spacing w:val="0"/>
                <w:lang w:eastAsia="es-CO"/>
              </w:rPr>
            </w:pPr>
          </w:p>
        </w:tc>
        <w:tc>
          <w:tcPr>
            <w:tcW w:w="1843" w:type="dxa"/>
            <w:vMerge/>
            <w:tcBorders>
              <w:left w:val="nil"/>
              <w:bottom w:val="single" w:sz="4" w:space="0" w:color="auto"/>
              <w:right w:val="single" w:sz="4" w:space="0" w:color="auto"/>
            </w:tcBorders>
            <w:shd w:val="clear" w:color="auto" w:fill="E7E6E6" w:themeFill="background2"/>
            <w:noWrap/>
            <w:vAlign w:val="center"/>
            <w:hideMark/>
          </w:tcPr>
          <w:p w14:paraId="7B9D5AEF" w14:textId="397B0D3E" w:rsidR="00A37243" w:rsidRPr="00E65688" w:rsidRDefault="00A37243" w:rsidP="00A37243">
            <w:pPr>
              <w:jc w:val="center"/>
              <w:rPr>
                <w:rFonts w:ascii="Arial Narrow" w:hAnsi="Arial Narrow" w:cs="Calibri"/>
                <w:b/>
                <w:bCs/>
                <w:color w:val="000000"/>
                <w:spacing w:val="0"/>
                <w:lang w:eastAsia="es-CO"/>
              </w:rPr>
            </w:pPr>
          </w:p>
        </w:tc>
        <w:tc>
          <w:tcPr>
            <w:tcW w:w="1842" w:type="dxa"/>
            <w:tcBorders>
              <w:top w:val="nil"/>
              <w:left w:val="nil"/>
              <w:bottom w:val="single" w:sz="4" w:space="0" w:color="auto"/>
              <w:right w:val="single" w:sz="4" w:space="0" w:color="auto"/>
            </w:tcBorders>
            <w:shd w:val="clear" w:color="auto" w:fill="E7E6E6" w:themeFill="background2"/>
            <w:noWrap/>
            <w:vAlign w:val="center"/>
            <w:hideMark/>
          </w:tcPr>
          <w:p w14:paraId="5EB67025" w14:textId="77777777" w:rsidR="00A37243" w:rsidRPr="00E65688" w:rsidRDefault="00A37243" w:rsidP="00A37243">
            <w:pPr>
              <w:jc w:val="center"/>
              <w:rPr>
                <w:rFonts w:ascii="Arial Narrow" w:hAnsi="Arial Narrow" w:cs="Calibri"/>
                <w:b/>
                <w:bCs/>
                <w:color w:val="000000"/>
                <w:spacing w:val="0"/>
                <w:lang w:eastAsia="es-CO"/>
              </w:rPr>
            </w:pPr>
            <w:r w:rsidRPr="00E65688">
              <w:rPr>
                <w:rFonts w:ascii="Arial Narrow" w:hAnsi="Arial Narrow" w:cs="Calibri"/>
                <w:b/>
                <w:bCs/>
                <w:color w:val="000000"/>
                <w:spacing w:val="0"/>
                <w:lang w:eastAsia="es-CO"/>
              </w:rPr>
              <w:t>1%</w:t>
            </w:r>
          </w:p>
        </w:tc>
      </w:tr>
      <w:tr w:rsidR="00A37243" w:rsidRPr="00E65688" w14:paraId="445A08BB" w14:textId="77777777" w:rsidTr="00160DEE">
        <w:trPr>
          <w:trHeight w:val="295"/>
        </w:trPr>
        <w:tc>
          <w:tcPr>
            <w:tcW w:w="5382" w:type="dxa"/>
            <w:tcBorders>
              <w:top w:val="nil"/>
              <w:left w:val="single" w:sz="4" w:space="0" w:color="auto"/>
              <w:bottom w:val="single" w:sz="4" w:space="0" w:color="auto"/>
              <w:right w:val="single" w:sz="4" w:space="0" w:color="auto"/>
            </w:tcBorders>
            <w:shd w:val="clear" w:color="auto" w:fill="auto"/>
            <w:noWrap/>
            <w:vAlign w:val="center"/>
            <w:hideMark/>
          </w:tcPr>
          <w:p w14:paraId="2C45616F" w14:textId="426986AC" w:rsidR="00A37243" w:rsidRPr="00E65688" w:rsidRDefault="00A37243" w:rsidP="00A37243">
            <w:pPr>
              <w:jc w:val="left"/>
              <w:rPr>
                <w:rFonts w:ascii="Arial Narrow" w:hAnsi="Arial Narrow" w:cs="Arial"/>
                <w:spacing w:val="0"/>
                <w:lang w:eastAsia="es-CO"/>
              </w:rPr>
            </w:pPr>
            <w:r w:rsidRPr="00E65688">
              <w:rPr>
                <w:rFonts w:ascii="Arial Narrow" w:hAnsi="Arial Narrow" w:cs="Arial"/>
                <w:spacing w:val="0"/>
                <w:lang w:eastAsia="es-CO"/>
              </w:rPr>
              <w:t xml:space="preserve">Presupuesto </w:t>
            </w:r>
            <w:r w:rsidR="00BA18B3" w:rsidRPr="00E65688">
              <w:rPr>
                <w:rFonts w:ascii="Arial Narrow" w:hAnsi="Arial Narrow" w:cs="Arial"/>
                <w:spacing w:val="0"/>
                <w:lang w:eastAsia="es-CO"/>
              </w:rPr>
              <w:t>–</w:t>
            </w:r>
            <w:r w:rsidRPr="00E65688">
              <w:rPr>
                <w:rFonts w:ascii="Arial Narrow" w:hAnsi="Arial Narrow" w:cs="Arial"/>
                <w:spacing w:val="0"/>
                <w:lang w:eastAsia="es-CO"/>
              </w:rPr>
              <w:t xml:space="preserve"> Valor a Recaudar x Contribuciones 2021</w:t>
            </w:r>
          </w:p>
        </w:tc>
        <w:tc>
          <w:tcPr>
            <w:tcW w:w="1843" w:type="dxa"/>
            <w:tcBorders>
              <w:top w:val="nil"/>
              <w:left w:val="nil"/>
              <w:bottom w:val="single" w:sz="4" w:space="0" w:color="auto"/>
              <w:right w:val="single" w:sz="4" w:space="0" w:color="auto"/>
            </w:tcBorders>
            <w:shd w:val="clear" w:color="auto" w:fill="auto"/>
            <w:noWrap/>
            <w:vAlign w:val="center"/>
            <w:hideMark/>
          </w:tcPr>
          <w:p w14:paraId="7CB79FFC" w14:textId="497D6740" w:rsidR="00A37243" w:rsidRPr="00E65688" w:rsidRDefault="00A37243" w:rsidP="00A37243">
            <w:pPr>
              <w:jc w:val="right"/>
              <w:rPr>
                <w:rFonts w:ascii="Arial Narrow" w:hAnsi="Arial Narrow" w:cs="Arial"/>
                <w:spacing w:val="0"/>
                <w:lang w:eastAsia="es-CO"/>
              </w:rPr>
            </w:pPr>
            <w:r w:rsidRPr="00E65688">
              <w:rPr>
                <w:rFonts w:ascii="Arial Narrow" w:hAnsi="Arial Narrow" w:cs="Arial"/>
                <w:spacing w:val="0"/>
                <w:lang w:eastAsia="es-CO"/>
              </w:rPr>
              <w:t>32</w:t>
            </w:r>
            <w:r w:rsidR="00EA0452" w:rsidRPr="00E65688">
              <w:rPr>
                <w:rFonts w:ascii="Arial Narrow" w:hAnsi="Arial Narrow" w:cs="Arial"/>
                <w:spacing w:val="0"/>
                <w:lang w:eastAsia="es-CO"/>
              </w:rPr>
              <w:t>.</w:t>
            </w:r>
            <w:r w:rsidRPr="00E65688">
              <w:rPr>
                <w:rFonts w:ascii="Arial Narrow" w:hAnsi="Arial Narrow" w:cs="Arial"/>
                <w:spacing w:val="0"/>
                <w:lang w:eastAsia="es-CO"/>
              </w:rPr>
              <w:t>505</w:t>
            </w:r>
            <w:r w:rsidR="00EA0452" w:rsidRPr="00E65688">
              <w:rPr>
                <w:rFonts w:ascii="Arial Narrow" w:hAnsi="Arial Narrow" w:cs="Arial"/>
                <w:spacing w:val="0"/>
                <w:lang w:eastAsia="es-CO"/>
              </w:rPr>
              <w:t>.</w:t>
            </w:r>
            <w:r w:rsidRPr="00E65688">
              <w:rPr>
                <w:rFonts w:ascii="Arial Narrow" w:hAnsi="Arial Narrow" w:cs="Arial"/>
                <w:spacing w:val="0"/>
                <w:lang w:eastAsia="es-CO"/>
              </w:rPr>
              <w:t>742</w:t>
            </w:r>
            <w:r w:rsidR="00EA0452" w:rsidRPr="00E65688">
              <w:rPr>
                <w:rFonts w:ascii="Arial Narrow" w:hAnsi="Arial Narrow" w:cs="Arial"/>
                <w:spacing w:val="0"/>
                <w:lang w:eastAsia="es-CO"/>
              </w:rPr>
              <w:t>.</w:t>
            </w:r>
            <w:r w:rsidRPr="00E65688">
              <w:rPr>
                <w:rFonts w:ascii="Arial Narrow" w:hAnsi="Arial Narrow" w:cs="Arial"/>
                <w:spacing w:val="0"/>
                <w:lang w:eastAsia="es-CO"/>
              </w:rPr>
              <w:t xml:space="preserve">932 </w:t>
            </w:r>
          </w:p>
        </w:tc>
        <w:tc>
          <w:tcPr>
            <w:tcW w:w="1842" w:type="dxa"/>
            <w:tcBorders>
              <w:top w:val="nil"/>
              <w:left w:val="nil"/>
              <w:bottom w:val="single" w:sz="4" w:space="0" w:color="auto"/>
              <w:right w:val="single" w:sz="4" w:space="0" w:color="auto"/>
            </w:tcBorders>
            <w:shd w:val="clear" w:color="auto" w:fill="auto"/>
            <w:noWrap/>
            <w:vAlign w:val="center"/>
            <w:hideMark/>
          </w:tcPr>
          <w:p w14:paraId="2B817D62" w14:textId="77777777" w:rsidR="00A37243" w:rsidRPr="00E65688" w:rsidRDefault="00A37243" w:rsidP="00A37243">
            <w:pPr>
              <w:jc w:val="right"/>
              <w:rPr>
                <w:rFonts w:ascii="Arial Narrow" w:hAnsi="Arial Narrow" w:cs="Arial"/>
                <w:spacing w:val="0"/>
                <w:lang w:eastAsia="es-CO"/>
              </w:rPr>
            </w:pPr>
            <w:r w:rsidRPr="00E65688">
              <w:rPr>
                <w:rFonts w:ascii="Arial Narrow" w:hAnsi="Arial Narrow" w:cs="Arial"/>
                <w:spacing w:val="0"/>
                <w:lang w:eastAsia="es-CO"/>
              </w:rPr>
              <w:t> </w:t>
            </w:r>
          </w:p>
        </w:tc>
      </w:tr>
      <w:tr w:rsidR="00A37243" w:rsidRPr="00E65688" w14:paraId="757E4A74" w14:textId="77777777" w:rsidTr="00160DEE">
        <w:trPr>
          <w:trHeight w:val="290"/>
        </w:trPr>
        <w:tc>
          <w:tcPr>
            <w:tcW w:w="5382" w:type="dxa"/>
            <w:tcBorders>
              <w:top w:val="nil"/>
              <w:left w:val="single" w:sz="4" w:space="0" w:color="auto"/>
              <w:bottom w:val="single" w:sz="4" w:space="0" w:color="auto"/>
              <w:right w:val="single" w:sz="4" w:space="0" w:color="auto"/>
            </w:tcBorders>
            <w:shd w:val="clear" w:color="auto" w:fill="auto"/>
            <w:noWrap/>
            <w:vAlign w:val="center"/>
            <w:hideMark/>
          </w:tcPr>
          <w:p w14:paraId="4D0DB830" w14:textId="77777777" w:rsidR="00A37243" w:rsidRPr="00E65688" w:rsidRDefault="00A37243" w:rsidP="00A37243">
            <w:pPr>
              <w:jc w:val="left"/>
              <w:rPr>
                <w:rFonts w:ascii="Arial Narrow" w:hAnsi="Arial Narrow" w:cs="Arial"/>
                <w:spacing w:val="0"/>
                <w:lang w:eastAsia="es-CO"/>
              </w:rPr>
            </w:pPr>
            <w:r w:rsidRPr="00E65688">
              <w:rPr>
                <w:rFonts w:ascii="Arial Narrow" w:hAnsi="Arial Narrow" w:cs="Arial"/>
                <w:spacing w:val="0"/>
                <w:lang w:eastAsia="es-CO"/>
              </w:rPr>
              <w:t>Base Gravable Empresas con Reporte Administrativos</w:t>
            </w:r>
          </w:p>
        </w:tc>
        <w:tc>
          <w:tcPr>
            <w:tcW w:w="1843" w:type="dxa"/>
            <w:tcBorders>
              <w:top w:val="nil"/>
              <w:left w:val="nil"/>
              <w:bottom w:val="single" w:sz="4" w:space="0" w:color="auto"/>
              <w:right w:val="single" w:sz="4" w:space="0" w:color="auto"/>
            </w:tcBorders>
            <w:shd w:val="clear" w:color="auto" w:fill="auto"/>
            <w:noWrap/>
            <w:vAlign w:val="center"/>
            <w:hideMark/>
          </w:tcPr>
          <w:p w14:paraId="225FE381" w14:textId="6AEEDCFC" w:rsidR="00A37243" w:rsidRPr="00E65688" w:rsidRDefault="00A37243" w:rsidP="00A37243">
            <w:pPr>
              <w:jc w:val="right"/>
              <w:rPr>
                <w:rFonts w:ascii="Arial Narrow" w:hAnsi="Arial Narrow" w:cs="Arial"/>
                <w:spacing w:val="0"/>
                <w:lang w:eastAsia="es-CO"/>
              </w:rPr>
            </w:pPr>
            <w:r w:rsidRPr="00E65688">
              <w:rPr>
                <w:rFonts w:ascii="Arial Narrow" w:hAnsi="Arial Narrow" w:cs="Arial"/>
                <w:spacing w:val="0"/>
                <w:lang w:eastAsia="es-CO"/>
              </w:rPr>
              <w:t>3</w:t>
            </w:r>
            <w:r w:rsidR="00EA0452" w:rsidRPr="00E65688">
              <w:rPr>
                <w:rFonts w:ascii="Arial Narrow" w:hAnsi="Arial Narrow" w:cs="Arial"/>
                <w:spacing w:val="0"/>
                <w:lang w:eastAsia="es-CO"/>
              </w:rPr>
              <w:t>.</w:t>
            </w:r>
            <w:r w:rsidRPr="00E65688">
              <w:rPr>
                <w:rFonts w:ascii="Arial Narrow" w:hAnsi="Arial Narrow" w:cs="Arial"/>
                <w:spacing w:val="0"/>
                <w:lang w:eastAsia="es-CO"/>
              </w:rPr>
              <w:t>084</w:t>
            </w:r>
            <w:r w:rsidR="00EA0452" w:rsidRPr="00E65688">
              <w:rPr>
                <w:rFonts w:ascii="Arial Narrow" w:hAnsi="Arial Narrow" w:cs="Arial"/>
                <w:spacing w:val="0"/>
                <w:lang w:eastAsia="es-CO"/>
              </w:rPr>
              <w:t>.</w:t>
            </w:r>
            <w:r w:rsidRPr="00E65688">
              <w:rPr>
                <w:rFonts w:ascii="Arial Narrow" w:hAnsi="Arial Narrow" w:cs="Arial"/>
                <w:spacing w:val="0"/>
                <w:lang w:eastAsia="es-CO"/>
              </w:rPr>
              <w:t>977</w:t>
            </w:r>
            <w:r w:rsidR="00EA0452" w:rsidRPr="00E65688">
              <w:rPr>
                <w:rFonts w:ascii="Arial Narrow" w:hAnsi="Arial Narrow" w:cs="Arial"/>
                <w:spacing w:val="0"/>
                <w:lang w:eastAsia="es-CO"/>
              </w:rPr>
              <w:t>.</w:t>
            </w:r>
            <w:r w:rsidRPr="00E65688">
              <w:rPr>
                <w:rFonts w:ascii="Arial Narrow" w:hAnsi="Arial Narrow" w:cs="Arial"/>
                <w:spacing w:val="0"/>
                <w:lang w:eastAsia="es-CO"/>
              </w:rPr>
              <w:t>391</w:t>
            </w:r>
            <w:r w:rsidR="00EA0452" w:rsidRPr="00E65688">
              <w:rPr>
                <w:rFonts w:ascii="Arial Narrow" w:hAnsi="Arial Narrow" w:cs="Arial"/>
                <w:spacing w:val="0"/>
                <w:lang w:eastAsia="es-CO"/>
              </w:rPr>
              <w:t>.</w:t>
            </w:r>
            <w:r w:rsidRPr="00E65688">
              <w:rPr>
                <w:rFonts w:ascii="Arial Narrow" w:hAnsi="Arial Narrow" w:cs="Arial"/>
                <w:spacing w:val="0"/>
                <w:lang w:eastAsia="es-CO"/>
              </w:rPr>
              <w:t xml:space="preserve">121 </w:t>
            </w:r>
          </w:p>
        </w:tc>
        <w:tc>
          <w:tcPr>
            <w:tcW w:w="1842" w:type="dxa"/>
            <w:tcBorders>
              <w:top w:val="nil"/>
              <w:left w:val="nil"/>
              <w:bottom w:val="single" w:sz="4" w:space="0" w:color="auto"/>
              <w:right w:val="single" w:sz="4" w:space="0" w:color="auto"/>
            </w:tcBorders>
            <w:shd w:val="clear" w:color="auto" w:fill="auto"/>
            <w:noWrap/>
            <w:vAlign w:val="center"/>
            <w:hideMark/>
          </w:tcPr>
          <w:p w14:paraId="53A78C13" w14:textId="68A0AE79" w:rsidR="00A37243" w:rsidRPr="00E65688" w:rsidRDefault="00A37243" w:rsidP="00A37243">
            <w:pPr>
              <w:jc w:val="right"/>
              <w:rPr>
                <w:rFonts w:ascii="Arial Narrow" w:hAnsi="Arial Narrow" w:cs="Arial"/>
                <w:spacing w:val="0"/>
                <w:lang w:eastAsia="es-CO"/>
              </w:rPr>
            </w:pPr>
            <w:r w:rsidRPr="00E65688">
              <w:rPr>
                <w:rFonts w:ascii="Arial Narrow" w:hAnsi="Arial Narrow" w:cs="Arial"/>
                <w:spacing w:val="0"/>
                <w:lang w:eastAsia="es-CO"/>
              </w:rPr>
              <w:t>30</w:t>
            </w:r>
            <w:r w:rsidR="00EA0452" w:rsidRPr="00E65688">
              <w:rPr>
                <w:rFonts w:ascii="Arial Narrow" w:hAnsi="Arial Narrow" w:cs="Arial"/>
                <w:spacing w:val="0"/>
                <w:lang w:eastAsia="es-CO"/>
              </w:rPr>
              <w:t>.</w:t>
            </w:r>
            <w:r w:rsidRPr="00E65688">
              <w:rPr>
                <w:rFonts w:ascii="Arial Narrow" w:hAnsi="Arial Narrow" w:cs="Arial"/>
                <w:spacing w:val="0"/>
                <w:lang w:eastAsia="es-CO"/>
              </w:rPr>
              <w:t>849</w:t>
            </w:r>
            <w:r w:rsidR="00EA0452" w:rsidRPr="00E65688">
              <w:rPr>
                <w:rFonts w:ascii="Arial Narrow" w:hAnsi="Arial Narrow" w:cs="Arial"/>
                <w:spacing w:val="0"/>
                <w:lang w:eastAsia="es-CO"/>
              </w:rPr>
              <w:t>.</w:t>
            </w:r>
            <w:r w:rsidRPr="00E65688">
              <w:rPr>
                <w:rFonts w:ascii="Arial Narrow" w:hAnsi="Arial Narrow" w:cs="Arial"/>
                <w:spacing w:val="0"/>
                <w:lang w:eastAsia="es-CO"/>
              </w:rPr>
              <w:t>773</w:t>
            </w:r>
            <w:r w:rsidR="00EA0452" w:rsidRPr="00E65688">
              <w:rPr>
                <w:rFonts w:ascii="Arial Narrow" w:hAnsi="Arial Narrow" w:cs="Arial"/>
                <w:spacing w:val="0"/>
                <w:lang w:eastAsia="es-CO"/>
              </w:rPr>
              <w:t>.</w:t>
            </w:r>
            <w:r w:rsidRPr="00E65688">
              <w:rPr>
                <w:rFonts w:ascii="Arial Narrow" w:hAnsi="Arial Narrow" w:cs="Arial"/>
                <w:spacing w:val="0"/>
                <w:lang w:eastAsia="es-CO"/>
              </w:rPr>
              <w:t xml:space="preserve">911 </w:t>
            </w:r>
          </w:p>
        </w:tc>
      </w:tr>
      <w:tr w:rsidR="00A37243" w:rsidRPr="00E65688" w14:paraId="6CCEBFDC" w14:textId="77777777" w:rsidTr="00160DEE">
        <w:trPr>
          <w:trHeight w:val="290"/>
        </w:trPr>
        <w:tc>
          <w:tcPr>
            <w:tcW w:w="5382" w:type="dxa"/>
            <w:tcBorders>
              <w:top w:val="nil"/>
              <w:left w:val="single" w:sz="4" w:space="0" w:color="auto"/>
              <w:bottom w:val="single" w:sz="4" w:space="0" w:color="auto"/>
              <w:right w:val="single" w:sz="4" w:space="0" w:color="auto"/>
            </w:tcBorders>
            <w:shd w:val="clear" w:color="auto" w:fill="auto"/>
            <w:noWrap/>
            <w:vAlign w:val="center"/>
            <w:hideMark/>
          </w:tcPr>
          <w:p w14:paraId="08FB2AA5" w14:textId="77777777" w:rsidR="00A37243" w:rsidRPr="00E65688" w:rsidRDefault="00A37243" w:rsidP="00A37243">
            <w:pPr>
              <w:jc w:val="left"/>
              <w:rPr>
                <w:rFonts w:ascii="Arial Narrow" w:hAnsi="Arial Narrow" w:cs="Arial"/>
                <w:spacing w:val="0"/>
                <w:lang w:eastAsia="es-CO"/>
              </w:rPr>
            </w:pPr>
            <w:r w:rsidRPr="00E65688">
              <w:rPr>
                <w:rFonts w:ascii="Arial Narrow" w:hAnsi="Arial Narrow" w:cs="Arial"/>
                <w:spacing w:val="0"/>
                <w:lang w:eastAsia="es-CO"/>
              </w:rPr>
              <w:t>Base Gravable Empresas con Reporte Operativos</w:t>
            </w:r>
          </w:p>
        </w:tc>
        <w:tc>
          <w:tcPr>
            <w:tcW w:w="1843" w:type="dxa"/>
            <w:tcBorders>
              <w:top w:val="nil"/>
              <w:left w:val="nil"/>
              <w:bottom w:val="single" w:sz="4" w:space="0" w:color="auto"/>
              <w:right w:val="single" w:sz="4" w:space="0" w:color="auto"/>
            </w:tcBorders>
            <w:shd w:val="clear" w:color="auto" w:fill="auto"/>
            <w:noWrap/>
            <w:vAlign w:val="center"/>
            <w:hideMark/>
          </w:tcPr>
          <w:p w14:paraId="269FC200" w14:textId="6A5A2AD5" w:rsidR="00A37243" w:rsidRPr="00E65688" w:rsidRDefault="00A37243" w:rsidP="00A37243">
            <w:pPr>
              <w:jc w:val="right"/>
              <w:rPr>
                <w:rFonts w:ascii="Arial Narrow" w:hAnsi="Arial Narrow" w:cs="Arial"/>
                <w:spacing w:val="0"/>
                <w:lang w:eastAsia="es-CO"/>
              </w:rPr>
            </w:pPr>
          </w:p>
        </w:tc>
        <w:tc>
          <w:tcPr>
            <w:tcW w:w="1842" w:type="dxa"/>
            <w:tcBorders>
              <w:top w:val="nil"/>
              <w:left w:val="nil"/>
              <w:bottom w:val="single" w:sz="4" w:space="0" w:color="auto"/>
              <w:right w:val="single" w:sz="4" w:space="0" w:color="auto"/>
            </w:tcBorders>
            <w:shd w:val="clear" w:color="auto" w:fill="auto"/>
            <w:noWrap/>
            <w:vAlign w:val="center"/>
            <w:hideMark/>
          </w:tcPr>
          <w:p w14:paraId="59E24D78" w14:textId="0AB3BADE" w:rsidR="00A37243" w:rsidRPr="00E65688" w:rsidRDefault="00A37243" w:rsidP="00A37243">
            <w:pPr>
              <w:jc w:val="right"/>
              <w:rPr>
                <w:rFonts w:ascii="Arial Narrow" w:hAnsi="Arial Narrow" w:cs="Arial"/>
                <w:spacing w:val="0"/>
                <w:lang w:eastAsia="es-CO"/>
              </w:rPr>
            </w:pPr>
            <w:r w:rsidRPr="00E65688">
              <w:rPr>
                <w:rFonts w:ascii="Arial Narrow" w:hAnsi="Arial Narrow" w:cs="Arial"/>
                <w:spacing w:val="0"/>
                <w:lang w:eastAsia="es-CO"/>
              </w:rPr>
              <w:t xml:space="preserve">                                                    </w:t>
            </w:r>
          </w:p>
        </w:tc>
      </w:tr>
      <w:tr w:rsidR="00A37243" w:rsidRPr="00E65688" w14:paraId="02A8F9C0" w14:textId="77777777" w:rsidTr="00160DEE">
        <w:trPr>
          <w:trHeight w:val="290"/>
        </w:trPr>
        <w:tc>
          <w:tcPr>
            <w:tcW w:w="5382" w:type="dxa"/>
            <w:tcBorders>
              <w:top w:val="nil"/>
              <w:left w:val="single" w:sz="4" w:space="0" w:color="auto"/>
              <w:bottom w:val="single" w:sz="4" w:space="0" w:color="auto"/>
              <w:right w:val="single" w:sz="4" w:space="0" w:color="auto"/>
            </w:tcBorders>
            <w:shd w:val="clear" w:color="auto" w:fill="auto"/>
            <w:noWrap/>
            <w:vAlign w:val="center"/>
            <w:hideMark/>
          </w:tcPr>
          <w:p w14:paraId="52A34026" w14:textId="2586EFE8" w:rsidR="00A37243" w:rsidRPr="00E65688" w:rsidRDefault="00A37243" w:rsidP="00A37243">
            <w:pPr>
              <w:jc w:val="left"/>
              <w:rPr>
                <w:rFonts w:ascii="Arial Narrow" w:hAnsi="Arial Narrow" w:cs="Arial"/>
                <w:spacing w:val="0"/>
                <w:lang w:eastAsia="es-CO"/>
              </w:rPr>
            </w:pPr>
            <w:r w:rsidRPr="00E65688">
              <w:rPr>
                <w:rFonts w:ascii="Arial Narrow" w:hAnsi="Arial Narrow" w:cs="Arial"/>
                <w:spacing w:val="0"/>
                <w:lang w:eastAsia="es-CO"/>
              </w:rPr>
              <w:t>Base Gravable Empresas sin Reporte E</w:t>
            </w:r>
            <w:r w:rsidR="00333F41">
              <w:rPr>
                <w:rFonts w:ascii="Arial Narrow" w:hAnsi="Arial Narrow" w:cs="Arial"/>
                <w:spacing w:val="0"/>
                <w:lang w:eastAsia="es-CO"/>
              </w:rPr>
              <w:t>E</w:t>
            </w:r>
            <w:r w:rsidRPr="00E65688">
              <w:rPr>
                <w:rFonts w:ascii="Arial Narrow" w:hAnsi="Arial Narrow" w:cs="Arial"/>
                <w:spacing w:val="0"/>
                <w:lang w:eastAsia="es-CO"/>
              </w:rPr>
              <w:t>F</w:t>
            </w:r>
            <w:r w:rsidR="00333F41">
              <w:rPr>
                <w:rFonts w:ascii="Arial Narrow" w:hAnsi="Arial Narrow" w:cs="Arial"/>
                <w:spacing w:val="0"/>
                <w:lang w:eastAsia="es-CO"/>
              </w:rPr>
              <w:t>F</w:t>
            </w:r>
            <w:r w:rsidRPr="00E65688">
              <w:rPr>
                <w:rFonts w:ascii="Arial Narrow" w:hAnsi="Arial Narrow" w:cs="Arial"/>
                <w:spacing w:val="0"/>
                <w:lang w:eastAsia="es-CO"/>
              </w:rPr>
              <w:t xml:space="preserve"> 2019 Admin (42)</w:t>
            </w:r>
          </w:p>
        </w:tc>
        <w:tc>
          <w:tcPr>
            <w:tcW w:w="1843" w:type="dxa"/>
            <w:tcBorders>
              <w:top w:val="nil"/>
              <w:left w:val="nil"/>
              <w:bottom w:val="single" w:sz="4" w:space="0" w:color="auto"/>
              <w:right w:val="single" w:sz="4" w:space="0" w:color="auto"/>
            </w:tcBorders>
            <w:shd w:val="clear" w:color="auto" w:fill="auto"/>
            <w:noWrap/>
            <w:vAlign w:val="center"/>
            <w:hideMark/>
          </w:tcPr>
          <w:p w14:paraId="5BE0DAED" w14:textId="77524CC4" w:rsidR="00A37243" w:rsidRPr="00E65688" w:rsidRDefault="00A37243" w:rsidP="00A37243">
            <w:pPr>
              <w:jc w:val="right"/>
              <w:rPr>
                <w:rFonts w:ascii="Arial Narrow" w:hAnsi="Arial Narrow" w:cs="Arial"/>
                <w:spacing w:val="0"/>
                <w:lang w:eastAsia="es-CO"/>
              </w:rPr>
            </w:pPr>
            <w:r w:rsidRPr="00E65688">
              <w:rPr>
                <w:rFonts w:ascii="Arial Narrow" w:hAnsi="Arial Narrow" w:cs="Arial"/>
                <w:spacing w:val="0"/>
                <w:lang w:eastAsia="es-CO"/>
              </w:rPr>
              <w:t>116</w:t>
            </w:r>
            <w:r w:rsidR="00EA0452" w:rsidRPr="00E65688">
              <w:rPr>
                <w:rFonts w:ascii="Arial Narrow" w:hAnsi="Arial Narrow" w:cs="Arial"/>
                <w:spacing w:val="0"/>
                <w:lang w:eastAsia="es-CO"/>
              </w:rPr>
              <w:t>.</w:t>
            </w:r>
            <w:r w:rsidRPr="00E65688">
              <w:rPr>
                <w:rFonts w:ascii="Arial Narrow" w:hAnsi="Arial Narrow" w:cs="Arial"/>
                <w:spacing w:val="0"/>
                <w:lang w:eastAsia="es-CO"/>
              </w:rPr>
              <w:t>163</w:t>
            </w:r>
            <w:r w:rsidR="00EA0452" w:rsidRPr="00E65688">
              <w:rPr>
                <w:rFonts w:ascii="Arial Narrow" w:hAnsi="Arial Narrow" w:cs="Arial"/>
                <w:spacing w:val="0"/>
                <w:lang w:eastAsia="es-CO"/>
              </w:rPr>
              <w:t>.</w:t>
            </w:r>
            <w:r w:rsidRPr="00E65688">
              <w:rPr>
                <w:rFonts w:ascii="Arial Narrow" w:hAnsi="Arial Narrow" w:cs="Arial"/>
                <w:spacing w:val="0"/>
                <w:lang w:eastAsia="es-CO"/>
              </w:rPr>
              <w:t>385</w:t>
            </w:r>
            <w:r w:rsidR="00EA0452" w:rsidRPr="00E65688">
              <w:rPr>
                <w:rFonts w:ascii="Arial Narrow" w:hAnsi="Arial Narrow" w:cs="Arial"/>
                <w:spacing w:val="0"/>
                <w:lang w:eastAsia="es-CO"/>
              </w:rPr>
              <w:t>.</w:t>
            </w:r>
            <w:r w:rsidRPr="00E65688">
              <w:rPr>
                <w:rFonts w:ascii="Arial Narrow" w:hAnsi="Arial Narrow" w:cs="Arial"/>
                <w:spacing w:val="0"/>
                <w:lang w:eastAsia="es-CO"/>
              </w:rPr>
              <w:t xml:space="preserve">826 </w:t>
            </w:r>
          </w:p>
        </w:tc>
        <w:tc>
          <w:tcPr>
            <w:tcW w:w="1842" w:type="dxa"/>
            <w:tcBorders>
              <w:top w:val="nil"/>
              <w:left w:val="nil"/>
              <w:bottom w:val="single" w:sz="4" w:space="0" w:color="auto"/>
              <w:right w:val="single" w:sz="4" w:space="0" w:color="auto"/>
            </w:tcBorders>
            <w:shd w:val="clear" w:color="auto" w:fill="auto"/>
            <w:noWrap/>
            <w:vAlign w:val="center"/>
            <w:hideMark/>
          </w:tcPr>
          <w:p w14:paraId="5C3BB03B" w14:textId="2B58023A" w:rsidR="00A37243" w:rsidRPr="00E65688" w:rsidRDefault="00A37243" w:rsidP="00A37243">
            <w:pPr>
              <w:jc w:val="right"/>
              <w:rPr>
                <w:rFonts w:ascii="Arial Narrow" w:hAnsi="Arial Narrow" w:cs="Arial"/>
                <w:spacing w:val="0"/>
                <w:lang w:eastAsia="es-CO"/>
              </w:rPr>
            </w:pPr>
            <w:r w:rsidRPr="00E65688">
              <w:rPr>
                <w:rFonts w:ascii="Arial Narrow" w:hAnsi="Arial Narrow" w:cs="Arial"/>
                <w:spacing w:val="0"/>
                <w:lang w:eastAsia="es-CO"/>
              </w:rPr>
              <w:t>1</w:t>
            </w:r>
            <w:r w:rsidR="00EA0452" w:rsidRPr="00E65688">
              <w:rPr>
                <w:rFonts w:ascii="Arial Narrow" w:hAnsi="Arial Narrow" w:cs="Arial"/>
                <w:spacing w:val="0"/>
                <w:lang w:eastAsia="es-CO"/>
              </w:rPr>
              <w:t>.</w:t>
            </w:r>
            <w:r w:rsidRPr="00E65688">
              <w:rPr>
                <w:rFonts w:ascii="Arial Narrow" w:hAnsi="Arial Narrow" w:cs="Arial"/>
                <w:spacing w:val="0"/>
                <w:lang w:eastAsia="es-CO"/>
              </w:rPr>
              <w:t>161</w:t>
            </w:r>
            <w:r w:rsidR="00EA0452" w:rsidRPr="00E65688">
              <w:rPr>
                <w:rFonts w:ascii="Arial Narrow" w:hAnsi="Arial Narrow" w:cs="Arial"/>
                <w:spacing w:val="0"/>
                <w:lang w:eastAsia="es-CO"/>
              </w:rPr>
              <w:t>.</w:t>
            </w:r>
            <w:r w:rsidRPr="00E65688">
              <w:rPr>
                <w:rFonts w:ascii="Arial Narrow" w:hAnsi="Arial Narrow" w:cs="Arial"/>
                <w:spacing w:val="0"/>
                <w:lang w:eastAsia="es-CO"/>
              </w:rPr>
              <w:t>633</w:t>
            </w:r>
            <w:r w:rsidR="00EA0452" w:rsidRPr="00E65688">
              <w:rPr>
                <w:rFonts w:ascii="Arial Narrow" w:hAnsi="Arial Narrow" w:cs="Arial"/>
                <w:spacing w:val="0"/>
                <w:lang w:eastAsia="es-CO"/>
              </w:rPr>
              <w:t>.</w:t>
            </w:r>
            <w:r w:rsidRPr="00E65688">
              <w:rPr>
                <w:rFonts w:ascii="Arial Narrow" w:hAnsi="Arial Narrow" w:cs="Arial"/>
                <w:spacing w:val="0"/>
                <w:lang w:eastAsia="es-CO"/>
              </w:rPr>
              <w:t xml:space="preserve">858 </w:t>
            </w:r>
          </w:p>
        </w:tc>
      </w:tr>
      <w:tr w:rsidR="00A37243" w:rsidRPr="00E65688" w14:paraId="52A00BFC" w14:textId="77777777" w:rsidTr="00160DEE">
        <w:trPr>
          <w:trHeight w:val="290"/>
        </w:trPr>
        <w:tc>
          <w:tcPr>
            <w:tcW w:w="5382" w:type="dxa"/>
            <w:tcBorders>
              <w:top w:val="nil"/>
              <w:left w:val="single" w:sz="4" w:space="0" w:color="auto"/>
              <w:bottom w:val="single" w:sz="4" w:space="0" w:color="auto"/>
              <w:right w:val="single" w:sz="4" w:space="0" w:color="auto"/>
            </w:tcBorders>
            <w:shd w:val="clear" w:color="auto" w:fill="auto"/>
            <w:noWrap/>
            <w:vAlign w:val="center"/>
            <w:hideMark/>
          </w:tcPr>
          <w:p w14:paraId="2781FABE" w14:textId="704B258E" w:rsidR="00A37243" w:rsidRPr="00E65688" w:rsidRDefault="00A37243" w:rsidP="00A37243">
            <w:pPr>
              <w:jc w:val="left"/>
              <w:rPr>
                <w:rFonts w:ascii="Arial Narrow" w:hAnsi="Arial Narrow" w:cs="Arial"/>
                <w:spacing w:val="0"/>
                <w:lang w:eastAsia="es-CO"/>
              </w:rPr>
            </w:pPr>
            <w:r w:rsidRPr="00E65688">
              <w:rPr>
                <w:rFonts w:ascii="Arial Narrow" w:hAnsi="Arial Narrow" w:cs="Arial"/>
                <w:spacing w:val="0"/>
                <w:lang w:eastAsia="es-CO"/>
              </w:rPr>
              <w:t>Base Gravable Empresas sin Reporte E</w:t>
            </w:r>
            <w:r w:rsidR="00333F41">
              <w:rPr>
                <w:rFonts w:ascii="Arial Narrow" w:hAnsi="Arial Narrow" w:cs="Arial"/>
                <w:spacing w:val="0"/>
                <w:lang w:eastAsia="es-CO"/>
              </w:rPr>
              <w:t>E</w:t>
            </w:r>
            <w:r w:rsidRPr="00E65688">
              <w:rPr>
                <w:rFonts w:ascii="Arial Narrow" w:hAnsi="Arial Narrow" w:cs="Arial"/>
                <w:spacing w:val="0"/>
                <w:lang w:eastAsia="es-CO"/>
              </w:rPr>
              <w:t>F</w:t>
            </w:r>
            <w:r w:rsidR="00333F41">
              <w:rPr>
                <w:rFonts w:ascii="Arial Narrow" w:hAnsi="Arial Narrow" w:cs="Arial"/>
                <w:spacing w:val="0"/>
                <w:lang w:eastAsia="es-CO"/>
              </w:rPr>
              <w:t>F</w:t>
            </w:r>
            <w:r w:rsidRPr="00E65688">
              <w:rPr>
                <w:rFonts w:ascii="Arial Narrow" w:hAnsi="Arial Narrow" w:cs="Arial"/>
                <w:spacing w:val="0"/>
                <w:lang w:eastAsia="es-CO"/>
              </w:rPr>
              <w:t xml:space="preserve"> 2018 Admin (9)</w:t>
            </w:r>
          </w:p>
        </w:tc>
        <w:tc>
          <w:tcPr>
            <w:tcW w:w="1843" w:type="dxa"/>
            <w:tcBorders>
              <w:top w:val="nil"/>
              <w:left w:val="nil"/>
              <w:bottom w:val="single" w:sz="4" w:space="0" w:color="auto"/>
              <w:right w:val="single" w:sz="4" w:space="0" w:color="auto"/>
            </w:tcBorders>
            <w:shd w:val="clear" w:color="auto" w:fill="auto"/>
            <w:noWrap/>
            <w:vAlign w:val="center"/>
            <w:hideMark/>
          </w:tcPr>
          <w:p w14:paraId="407D0326" w14:textId="2C149597" w:rsidR="00A37243" w:rsidRPr="00E65688" w:rsidRDefault="00A37243" w:rsidP="00A37243">
            <w:pPr>
              <w:jc w:val="right"/>
              <w:rPr>
                <w:rFonts w:ascii="Arial Narrow" w:hAnsi="Arial Narrow" w:cs="Arial"/>
                <w:spacing w:val="0"/>
                <w:lang w:eastAsia="es-CO"/>
              </w:rPr>
            </w:pPr>
            <w:r w:rsidRPr="00E65688">
              <w:rPr>
                <w:rFonts w:ascii="Arial Narrow" w:hAnsi="Arial Narrow" w:cs="Arial"/>
                <w:spacing w:val="0"/>
                <w:lang w:eastAsia="es-CO"/>
              </w:rPr>
              <w:t>1</w:t>
            </w:r>
            <w:r w:rsidR="00EA0452" w:rsidRPr="00E65688">
              <w:rPr>
                <w:rFonts w:ascii="Arial Narrow" w:hAnsi="Arial Narrow" w:cs="Arial"/>
                <w:spacing w:val="0"/>
                <w:lang w:eastAsia="es-CO"/>
              </w:rPr>
              <w:t>.</w:t>
            </w:r>
            <w:r w:rsidRPr="00E65688">
              <w:rPr>
                <w:rFonts w:ascii="Arial Narrow" w:hAnsi="Arial Narrow" w:cs="Arial"/>
                <w:spacing w:val="0"/>
                <w:lang w:eastAsia="es-CO"/>
              </w:rPr>
              <w:t>808</w:t>
            </w:r>
            <w:r w:rsidR="00EA0452" w:rsidRPr="00E65688">
              <w:rPr>
                <w:rFonts w:ascii="Arial Narrow" w:hAnsi="Arial Narrow" w:cs="Arial"/>
                <w:spacing w:val="0"/>
                <w:lang w:eastAsia="es-CO"/>
              </w:rPr>
              <w:t>.</w:t>
            </w:r>
            <w:r w:rsidRPr="00E65688">
              <w:rPr>
                <w:rFonts w:ascii="Arial Narrow" w:hAnsi="Arial Narrow" w:cs="Arial"/>
                <w:spacing w:val="0"/>
                <w:lang w:eastAsia="es-CO"/>
              </w:rPr>
              <w:t>081</w:t>
            </w:r>
            <w:r w:rsidR="00EA0452" w:rsidRPr="00E65688">
              <w:rPr>
                <w:rFonts w:ascii="Arial Narrow" w:hAnsi="Arial Narrow" w:cs="Arial"/>
                <w:spacing w:val="0"/>
                <w:lang w:eastAsia="es-CO"/>
              </w:rPr>
              <w:t>.</w:t>
            </w:r>
            <w:r w:rsidRPr="00E65688">
              <w:rPr>
                <w:rFonts w:ascii="Arial Narrow" w:hAnsi="Arial Narrow" w:cs="Arial"/>
                <w:spacing w:val="0"/>
                <w:lang w:eastAsia="es-CO"/>
              </w:rPr>
              <w:t xml:space="preserve">371 </w:t>
            </w:r>
          </w:p>
        </w:tc>
        <w:tc>
          <w:tcPr>
            <w:tcW w:w="1842" w:type="dxa"/>
            <w:tcBorders>
              <w:top w:val="nil"/>
              <w:left w:val="nil"/>
              <w:bottom w:val="single" w:sz="4" w:space="0" w:color="auto"/>
              <w:right w:val="single" w:sz="4" w:space="0" w:color="auto"/>
            </w:tcBorders>
            <w:shd w:val="clear" w:color="auto" w:fill="auto"/>
            <w:noWrap/>
            <w:vAlign w:val="center"/>
            <w:hideMark/>
          </w:tcPr>
          <w:p w14:paraId="16EE9529" w14:textId="08AD5152" w:rsidR="00A37243" w:rsidRPr="00E65688" w:rsidRDefault="00A37243" w:rsidP="00A37243">
            <w:pPr>
              <w:jc w:val="right"/>
              <w:rPr>
                <w:rFonts w:ascii="Arial Narrow" w:hAnsi="Arial Narrow" w:cs="Arial"/>
                <w:spacing w:val="0"/>
                <w:lang w:eastAsia="es-CO"/>
              </w:rPr>
            </w:pPr>
            <w:r w:rsidRPr="00E65688">
              <w:rPr>
                <w:rFonts w:ascii="Arial Narrow" w:hAnsi="Arial Narrow" w:cs="Arial"/>
                <w:spacing w:val="0"/>
                <w:lang w:eastAsia="es-CO"/>
              </w:rPr>
              <w:t>18</w:t>
            </w:r>
            <w:r w:rsidR="00EA0452" w:rsidRPr="00E65688">
              <w:rPr>
                <w:rFonts w:ascii="Arial Narrow" w:hAnsi="Arial Narrow" w:cs="Arial"/>
                <w:spacing w:val="0"/>
                <w:lang w:eastAsia="es-CO"/>
              </w:rPr>
              <w:t>.</w:t>
            </w:r>
            <w:r w:rsidRPr="00E65688">
              <w:rPr>
                <w:rFonts w:ascii="Arial Narrow" w:hAnsi="Arial Narrow" w:cs="Arial"/>
                <w:spacing w:val="0"/>
                <w:lang w:eastAsia="es-CO"/>
              </w:rPr>
              <w:t>080</w:t>
            </w:r>
            <w:r w:rsidR="00EA0452" w:rsidRPr="00E65688">
              <w:rPr>
                <w:rFonts w:ascii="Arial Narrow" w:hAnsi="Arial Narrow" w:cs="Arial"/>
                <w:spacing w:val="0"/>
                <w:lang w:eastAsia="es-CO"/>
              </w:rPr>
              <w:t>.</w:t>
            </w:r>
            <w:r w:rsidRPr="00E65688">
              <w:rPr>
                <w:rFonts w:ascii="Arial Narrow" w:hAnsi="Arial Narrow" w:cs="Arial"/>
                <w:spacing w:val="0"/>
                <w:lang w:eastAsia="es-CO"/>
              </w:rPr>
              <w:t xml:space="preserve">814 </w:t>
            </w:r>
          </w:p>
        </w:tc>
      </w:tr>
      <w:tr w:rsidR="00A37243" w:rsidRPr="00E65688" w14:paraId="24D01718" w14:textId="77777777" w:rsidTr="00160DEE">
        <w:trPr>
          <w:trHeight w:val="290"/>
        </w:trPr>
        <w:tc>
          <w:tcPr>
            <w:tcW w:w="5382" w:type="dxa"/>
            <w:tcBorders>
              <w:top w:val="nil"/>
              <w:left w:val="single" w:sz="4" w:space="0" w:color="auto"/>
              <w:bottom w:val="single" w:sz="4" w:space="0" w:color="auto"/>
              <w:right w:val="single" w:sz="4" w:space="0" w:color="auto"/>
            </w:tcBorders>
            <w:shd w:val="clear" w:color="auto" w:fill="auto"/>
            <w:noWrap/>
            <w:vAlign w:val="center"/>
            <w:hideMark/>
          </w:tcPr>
          <w:p w14:paraId="60F8A899" w14:textId="4D013490" w:rsidR="00A37243" w:rsidRPr="00E65688" w:rsidRDefault="00A37243" w:rsidP="00A37243">
            <w:pPr>
              <w:jc w:val="left"/>
              <w:rPr>
                <w:rFonts w:ascii="Arial Narrow" w:hAnsi="Arial Narrow" w:cs="Arial"/>
                <w:spacing w:val="0"/>
                <w:lang w:eastAsia="es-CO"/>
              </w:rPr>
            </w:pPr>
            <w:r w:rsidRPr="00E65688">
              <w:rPr>
                <w:rFonts w:ascii="Arial Narrow" w:hAnsi="Arial Narrow" w:cs="Arial"/>
                <w:spacing w:val="0"/>
                <w:lang w:eastAsia="es-CO"/>
              </w:rPr>
              <w:t>Base Gravable Empresas sin Reporte E</w:t>
            </w:r>
            <w:r w:rsidR="00333F41">
              <w:rPr>
                <w:rFonts w:ascii="Arial Narrow" w:hAnsi="Arial Narrow" w:cs="Arial"/>
                <w:spacing w:val="0"/>
                <w:lang w:eastAsia="es-CO"/>
              </w:rPr>
              <w:t>EF</w:t>
            </w:r>
            <w:r w:rsidRPr="00E65688">
              <w:rPr>
                <w:rFonts w:ascii="Arial Narrow" w:hAnsi="Arial Narrow" w:cs="Arial"/>
                <w:spacing w:val="0"/>
                <w:lang w:eastAsia="es-CO"/>
              </w:rPr>
              <w:t>F 2019 Operativos (42)</w:t>
            </w:r>
          </w:p>
        </w:tc>
        <w:tc>
          <w:tcPr>
            <w:tcW w:w="1843" w:type="dxa"/>
            <w:tcBorders>
              <w:top w:val="nil"/>
              <w:left w:val="nil"/>
              <w:bottom w:val="single" w:sz="4" w:space="0" w:color="auto"/>
              <w:right w:val="single" w:sz="4" w:space="0" w:color="auto"/>
            </w:tcBorders>
            <w:shd w:val="clear" w:color="auto" w:fill="auto"/>
            <w:noWrap/>
            <w:vAlign w:val="center"/>
            <w:hideMark/>
          </w:tcPr>
          <w:p w14:paraId="3E68DE8F" w14:textId="77777777" w:rsidR="00A37243" w:rsidRPr="00E65688" w:rsidRDefault="00A37243" w:rsidP="00A37243">
            <w:pPr>
              <w:jc w:val="right"/>
              <w:rPr>
                <w:rFonts w:ascii="Arial Narrow" w:hAnsi="Arial Narrow" w:cs="Arial"/>
                <w:spacing w:val="0"/>
                <w:lang w:eastAsia="es-CO"/>
              </w:rPr>
            </w:pPr>
            <w:r w:rsidRPr="00E65688">
              <w:rPr>
                <w:rFonts w:ascii="Arial Narrow" w:hAnsi="Arial Narrow" w:cs="Arial"/>
                <w:spacing w:val="0"/>
                <w:lang w:eastAsia="es-CO"/>
              </w:rPr>
              <w:t> </w:t>
            </w:r>
          </w:p>
        </w:tc>
        <w:tc>
          <w:tcPr>
            <w:tcW w:w="1842" w:type="dxa"/>
            <w:tcBorders>
              <w:top w:val="nil"/>
              <w:left w:val="nil"/>
              <w:bottom w:val="single" w:sz="4" w:space="0" w:color="auto"/>
              <w:right w:val="single" w:sz="4" w:space="0" w:color="auto"/>
            </w:tcBorders>
            <w:shd w:val="clear" w:color="auto" w:fill="auto"/>
            <w:noWrap/>
            <w:vAlign w:val="center"/>
            <w:hideMark/>
          </w:tcPr>
          <w:p w14:paraId="582ED9C8" w14:textId="77777777" w:rsidR="00A37243" w:rsidRPr="00E65688" w:rsidRDefault="00A37243" w:rsidP="00A37243">
            <w:pPr>
              <w:jc w:val="right"/>
              <w:rPr>
                <w:rFonts w:ascii="Arial Narrow" w:hAnsi="Arial Narrow" w:cs="Arial"/>
                <w:spacing w:val="0"/>
                <w:lang w:eastAsia="es-CO"/>
              </w:rPr>
            </w:pPr>
            <w:r w:rsidRPr="00E65688">
              <w:rPr>
                <w:rFonts w:ascii="Arial Narrow" w:hAnsi="Arial Narrow" w:cs="Arial"/>
                <w:spacing w:val="0"/>
                <w:lang w:eastAsia="es-CO"/>
              </w:rPr>
              <w:t> </w:t>
            </w:r>
          </w:p>
        </w:tc>
      </w:tr>
      <w:tr w:rsidR="00A37243" w:rsidRPr="00E65688" w14:paraId="4269FFD6" w14:textId="77777777" w:rsidTr="00160DEE">
        <w:trPr>
          <w:trHeight w:val="290"/>
        </w:trPr>
        <w:tc>
          <w:tcPr>
            <w:tcW w:w="5382" w:type="dxa"/>
            <w:tcBorders>
              <w:top w:val="nil"/>
              <w:left w:val="single" w:sz="4" w:space="0" w:color="auto"/>
              <w:bottom w:val="single" w:sz="4" w:space="0" w:color="auto"/>
              <w:right w:val="single" w:sz="4" w:space="0" w:color="auto"/>
            </w:tcBorders>
            <w:shd w:val="clear" w:color="auto" w:fill="auto"/>
            <w:noWrap/>
            <w:vAlign w:val="center"/>
            <w:hideMark/>
          </w:tcPr>
          <w:p w14:paraId="5E12A8FE" w14:textId="3669E8EC" w:rsidR="00A37243" w:rsidRPr="00E65688" w:rsidRDefault="00A37243" w:rsidP="00A37243">
            <w:pPr>
              <w:jc w:val="left"/>
              <w:rPr>
                <w:rFonts w:ascii="Arial Narrow" w:hAnsi="Arial Narrow" w:cs="Arial"/>
                <w:spacing w:val="0"/>
                <w:lang w:eastAsia="es-CO"/>
              </w:rPr>
            </w:pPr>
            <w:r w:rsidRPr="00E65688">
              <w:rPr>
                <w:rFonts w:ascii="Arial Narrow" w:hAnsi="Arial Narrow" w:cs="Arial"/>
                <w:spacing w:val="0"/>
                <w:lang w:eastAsia="es-CO"/>
              </w:rPr>
              <w:t>Base Gravable Empresas sin Reporte E</w:t>
            </w:r>
            <w:r w:rsidR="00333F41">
              <w:rPr>
                <w:rFonts w:ascii="Arial Narrow" w:hAnsi="Arial Narrow" w:cs="Arial"/>
                <w:spacing w:val="0"/>
                <w:lang w:eastAsia="es-CO"/>
              </w:rPr>
              <w:t>EF</w:t>
            </w:r>
            <w:r w:rsidRPr="00E65688">
              <w:rPr>
                <w:rFonts w:ascii="Arial Narrow" w:hAnsi="Arial Narrow" w:cs="Arial"/>
                <w:spacing w:val="0"/>
                <w:lang w:eastAsia="es-CO"/>
              </w:rPr>
              <w:t>F 2018 Operativos (9)</w:t>
            </w:r>
          </w:p>
        </w:tc>
        <w:tc>
          <w:tcPr>
            <w:tcW w:w="1843" w:type="dxa"/>
            <w:tcBorders>
              <w:top w:val="nil"/>
              <w:left w:val="nil"/>
              <w:bottom w:val="single" w:sz="4" w:space="0" w:color="auto"/>
              <w:right w:val="single" w:sz="4" w:space="0" w:color="auto"/>
            </w:tcBorders>
            <w:shd w:val="clear" w:color="auto" w:fill="auto"/>
            <w:noWrap/>
            <w:vAlign w:val="center"/>
            <w:hideMark/>
          </w:tcPr>
          <w:p w14:paraId="0CE9F7BC" w14:textId="77777777" w:rsidR="00A37243" w:rsidRPr="00E65688" w:rsidRDefault="00A37243" w:rsidP="00A37243">
            <w:pPr>
              <w:jc w:val="right"/>
              <w:rPr>
                <w:rFonts w:ascii="Arial Narrow" w:hAnsi="Arial Narrow" w:cs="Arial"/>
                <w:spacing w:val="0"/>
                <w:lang w:eastAsia="es-CO"/>
              </w:rPr>
            </w:pPr>
            <w:r w:rsidRPr="00E65688">
              <w:rPr>
                <w:rFonts w:ascii="Arial Narrow" w:hAnsi="Arial Narrow" w:cs="Arial"/>
                <w:spacing w:val="0"/>
                <w:lang w:eastAsia="es-CO"/>
              </w:rPr>
              <w:t> </w:t>
            </w:r>
          </w:p>
        </w:tc>
        <w:tc>
          <w:tcPr>
            <w:tcW w:w="1842" w:type="dxa"/>
            <w:tcBorders>
              <w:top w:val="nil"/>
              <w:left w:val="nil"/>
              <w:bottom w:val="single" w:sz="4" w:space="0" w:color="auto"/>
              <w:right w:val="single" w:sz="4" w:space="0" w:color="auto"/>
            </w:tcBorders>
            <w:shd w:val="clear" w:color="auto" w:fill="auto"/>
            <w:noWrap/>
            <w:vAlign w:val="center"/>
            <w:hideMark/>
          </w:tcPr>
          <w:p w14:paraId="06D1AA83" w14:textId="77777777" w:rsidR="00A37243" w:rsidRPr="00E65688" w:rsidRDefault="00A37243" w:rsidP="00A37243">
            <w:pPr>
              <w:jc w:val="right"/>
              <w:rPr>
                <w:rFonts w:ascii="Arial Narrow" w:hAnsi="Arial Narrow" w:cs="Arial"/>
                <w:spacing w:val="0"/>
                <w:lang w:eastAsia="es-CO"/>
              </w:rPr>
            </w:pPr>
            <w:r w:rsidRPr="00E65688">
              <w:rPr>
                <w:rFonts w:ascii="Arial Narrow" w:hAnsi="Arial Narrow" w:cs="Arial"/>
                <w:spacing w:val="0"/>
                <w:lang w:eastAsia="es-CO"/>
              </w:rPr>
              <w:t> </w:t>
            </w:r>
          </w:p>
        </w:tc>
      </w:tr>
      <w:tr w:rsidR="00271B60" w:rsidRPr="00E65688" w14:paraId="26A48FF7" w14:textId="77777777" w:rsidTr="00271B60">
        <w:trPr>
          <w:trHeight w:val="290"/>
        </w:trPr>
        <w:tc>
          <w:tcPr>
            <w:tcW w:w="5382" w:type="dxa"/>
            <w:tcBorders>
              <w:top w:val="nil"/>
              <w:left w:val="single" w:sz="4" w:space="0" w:color="auto"/>
              <w:bottom w:val="single" w:sz="4" w:space="0" w:color="auto"/>
              <w:right w:val="single" w:sz="4" w:space="0" w:color="auto"/>
            </w:tcBorders>
            <w:shd w:val="clear" w:color="auto" w:fill="E7E6E6" w:themeFill="background2"/>
            <w:noWrap/>
            <w:vAlign w:val="center"/>
            <w:hideMark/>
          </w:tcPr>
          <w:p w14:paraId="778888A9" w14:textId="77777777" w:rsidR="00A37243" w:rsidRPr="00E65688" w:rsidRDefault="00A37243" w:rsidP="00A37243">
            <w:pPr>
              <w:jc w:val="left"/>
              <w:rPr>
                <w:rFonts w:ascii="Arial Narrow" w:hAnsi="Arial Narrow" w:cs="Arial"/>
                <w:b/>
                <w:bCs/>
                <w:spacing w:val="0"/>
                <w:lang w:eastAsia="es-CO"/>
              </w:rPr>
            </w:pPr>
            <w:r w:rsidRPr="00E65688">
              <w:rPr>
                <w:rFonts w:ascii="Arial Narrow" w:hAnsi="Arial Narrow" w:cs="Arial"/>
                <w:b/>
                <w:bCs/>
                <w:spacing w:val="0"/>
                <w:lang w:eastAsia="es-CO"/>
              </w:rPr>
              <w:t>Total Base Gravable</w:t>
            </w:r>
          </w:p>
        </w:tc>
        <w:tc>
          <w:tcPr>
            <w:tcW w:w="1843" w:type="dxa"/>
            <w:tcBorders>
              <w:top w:val="nil"/>
              <w:left w:val="nil"/>
              <w:bottom w:val="single" w:sz="4" w:space="0" w:color="auto"/>
              <w:right w:val="single" w:sz="4" w:space="0" w:color="auto"/>
            </w:tcBorders>
            <w:shd w:val="clear" w:color="auto" w:fill="E7E6E6" w:themeFill="background2"/>
            <w:noWrap/>
            <w:vAlign w:val="center"/>
            <w:hideMark/>
          </w:tcPr>
          <w:p w14:paraId="4BEFA604" w14:textId="33048B6E" w:rsidR="00A37243" w:rsidRPr="00E65688" w:rsidRDefault="00A37243" w:rsidP="00A37243">
            <w:pPr>
              <w:jc w:val="right"/>
              <w:rPr>
                <w:rFonts w:ascii="Arial Narrow" w:hAnsi="Arial Narrow" w:cs="Arial"/>
                <w:b/>
                <w:bCs/>
                <w:spacing w:val="0"/>
                <w:lang w:eastAsia="es-CO"/>
              </w:rPr>
            </w:pPr>
            <w:r w:rsidRPr="00E65688">
              <w:rPr>
                <w:rFonts w:ascii="Arial Narrow" w:hAnsi="Arial Narrow" w:cs="Arial"/>
                <w:b/>
                <w:bCs/>
                <w:spacing w:val="0"/>
                <w:lang w:eastAsia="es-CO"/>
              </w:rPr>
              <w:t xml:space="preserve">  3</w:t>
            </w:r>
            <w:r w:rsidR="00EA0452" w:rsidRPr="00E65688">
              <w:rPr>
                <w:rFonts w:ascii="Arial Narrow" w:hAnsi="Arial Narrow" w:cs="Arial"/>
                <w:b/>
                <w:bCs/>
                <w:spacing w:val="0"/>
                <w:lang w:eastAsia="es-CO"/>
              </w:rPr>
              <w:t>.</w:t>
            </w:r>
            <w:r w:rsidRPr="00E65688">
              <w:rPr>
                <w:rFonts w:ascii="Arial Narrow" w:hAnsi="Arial Narrow" w:cs="Arial"/>
                <w:b/>
                <w:bCs/>
                <w:spacing w:val="0"/>
                <w:lang w:eastAsia="es-CO"/>
              </w:rPr>
              <w:t>202</w:t>
            </w:r>
            <w:r w:rsidR="00EA0452" w:rsidRPr="00E65688">
              <w:rPr>
                <w:rFonts w:ascii="Arial Narrow" w:hAnsi="Arial Narrow" w:cs="Arial"/>
                <w:b/>
                <w:bCs/>
                <w:spacing w:val="0"/>
                <w:lang w:eastAsia="es-CO"/>
              </w:rPr>
              <w:t>.</w:t>
            </w:r>
            <w:r w:rsidRPr="00E65688">
              <w:rPr>
                <w:rFonts w:ascii="Arial Narrow" w:hAnsi="Arial Narrow" w:cs="Arial"/>
                <w:b/>
                <w:bCs/>
                <w:spacing w:val="0"/>
                <w:lang w:eastAsia="es-CO"/>
              </w:rPr>
              <w:t>948</w:t>
            </w:r>
            <w:r w:rsidR="00EA0452" w:rsidRPr="00E65688">
              <w:rPr>
                <w:rFonts w:ascii="Arial Narrow" w:hAnsi="Arial Narrow" w:cs="Arial"/>
                <w:b/>
                <w:bCs/>
                <w:spacing w:val="0"/>
                <w:lang w:eastAsia="es-CO"/>
              </w:rPr>
              <w:t>.</w:t>
            </w:r>
            <w:r w:rsidRPr="00E65688">
              <w:rPr>
                <w:rFonts w:ascii="Arial Narrow" w:hAnsi="Arial Narrow" w:cs="Arial"/>
                <w:b/>
                <w:bCs/>
                <w:spacing w:val="0"/>
                <w:lang w:eastAsia="es-CO"/>
              </w:rPr>
              <w:t>858</w:t>
            </w:r>
            <w:r w:rsidR="00EA0452" w:rsidRPr="00E65688">
              <w:rPr>
                <w:rFonts w:ascii="Arial Narrow" w:hAnsi="Arial Narrow" w:cs="Arial"/>
                <w:b/>
                <w:bCs/>
                <w:spacing w:val="0"/>
                <w:lang w:eastAsia="es-CO"/>
              </w:rPr>
              <w:t>.</w:t>
            </w:r>
            <w:r w:rsidRPr="00E65688">
              <w:rPr>
                <w:rFonts w:ascii="Arial Narrow" w:hAnsi="Arial Narrow" w:cs="Arial"/>
                <w:b/>
                <w:bCs/>
                <w:spacing w:val="0"/>
                <w:lang w:eastAsia="es-CO"/>
              </w:rPr>
              <w:t xml:space="preserve">317 </w:t>
            </w:r>
          </w:p>
        </w:tc>
        <w:tc>
          <w:tcPr>
            <w:tcW w:w="1842" w:type="dxa"/>
            <w:tcBorders>
              <w:top w:val="nil"/>
              <w:left w:val="nil"/>
              <w:bottom w:val="single" w:sz="4" w:space="0" w:color="auto"/>
              <w:right w:val="single" w:sz="4" w:space="0" w:color="auto"/>
            </w:tcBorders>
            <w:shd w:val="clear" w:color="auto" w:fill="E7E6E6" w:themeFill="background2"/>
            <w:noWrap/>
            <w:vAlign w:val="center"/>
            <w:hideMark/>
          </w:tcPr>
          <w:p w14:paraId="43C0D393" w14:textId="2000BD14" w:rsidR="00A37243" w:rsidRPr="00E65688" w:rsidRDefault="00A37243" w:rsidP="00A37243">
            <w:pPr>
              <w:jc w:val="right"/>
              <w:rPr>
                <w:rFonts w:ascii="Arial Narrow" w:hAnsi="Arial Narrow" w:cs="Arial"/>
                <w:b/>
                <w:bCs/>
                <w:spacing w:val="0"/>
                <w:lang w:eastAsia="es-CO"/>
              </w:rPr>
            </w:pPr>
            <w:r w:rsidRPr="00E65688">
              <w:rPr>
                <w:rFonts w:ascii="Arial Narrow" w:hAnsi="Arial Narrow" w:cs="Arial"/>
                <w:b/>
                <w:bCs/>
                <w:spacing w:val="0"/>
                <w:lang w:eastAsia="es-CO"/>
              </w:rPr>
              <w:t xml:space="preserve">        32</w:t>
            </w:r>
            <w:r w:rsidR="00EA0452" w:rsidRPr="00E65688">
              <w:rPr>
                <w:rFonts w:ascii="Arial Narrow" w:hAnsi="Arial Narrow" w:cs="Arial"/>
                <w:b/>
                <w:bCs/>
                <w:spacing w:val="0"/>
                <w:lang w:eastAsia="es-CO"/>
              </w:rPr>
              <w:t>.</w:t>
            </w:r>
            <w:r w:rsidRPr="00E65688">
              <w:rPr>
                <w:rFonts w:ascii="Arial Narrow" w:hAnsi="Arial Narrow" w:cs="Arial"/>
                <w:b/>
                <w:bCs/>
                <w:spacing w:val="0"/>
                <w:lang w:eastAsia="es-CO"/>
              </w:rPr>
              <w:t>029</w:t>
            </w:r>
            <w:r w:rsidR="00EA0452" w:rsidRPr="00E65688">
              <w:rPr>
                <w:rFonts w:ascii="Arial Narrow" w:hAnsi="Arial Narrow" w:cs="Arial"/>
                <w:b/>
                <w:bCs/>
                <w:spacing w:val="0"/>
                <w:lang w:eastAsia="es-CO"/>
              </w:rPr>
              <w:t>.</w:t>
            </w:r>
            <w:r w:rsidRPr="00E65688">
              <w:rPr>
                <w:rFonts w:ascii="Arial Narrow" w:hAnsi="Arial Narrow" w:cs="Arial"/>
                <w:b/>
                <w:bCs/>
                <w:spacing w:val="0"/>
                <w:lang w:eastAsia="es-CO"/>
              </w:rPr>
              <w:t>488</w:t>
            </w:r>
            <w:r w:rsidR="00EA0452" w:rsidRPr="00E65688">
              <w:rPr>
                <w:rFonts w:ascii="Arial Narrow" w:hAnsi="Arial Narrow" w:cs="Arial"/>
                <w:b/>
                <w:bCs/>
                <w:spacing w:val="0"/>
                <w:lang w:eastAsia="es-CO"/>
              </w:rPr>
              <w:t>.</w:t>
            </w:r>
            <w:r w:rsidRPr="00E65688">
              <w:rPr>
                <w:rFonts w:ascii="Arial Narrow" w:hAnsi="Arial Narrow" w:cs="Arial"/>
                <w:b/>
                <w:bCs/>
                <w:spacing w:val="0"/>
                <w:lang w:eastAsia="es-CO"/>
              </w:rPr>
              <w:t xml:space="preserve">583 </w:t>
            </w:r>
          </w:p>
        </w:tc>
      </w:tr>
    </w:tbl>
    <w:p w14:paraId="477D7C6F" w14:textId="341B92A7" w:rsidR="00160DEE" w:rsidRDefault="00160DEE"/>
    <w:p w14:paraId="5D7190CE" w14:textId="68CD26A5" w:rsidR="00160DEE" w:rsidRDefault="00160DEE"/>
    <w:tbl>
      <w:tblPr>
        <w:tblW w:w="9209" w:type="dxa"/>
        <w:tblCellMar>
          <w:left w:w="70" w:type="dxa"/>
          <w:right w:w="70" w:type="dxa"/>
        </w:tblCellMar>
        <w:tblLook w:val="04A0" w:firstRow="1" w:lastRow="0" w:firstColumn="1" w:lastColumn="0" w:noHBand="0" w:noVBand="1"/>
      </w:tblPr>
      <w:tblGrid>
        <w:gridCol w:w="2830"/>
        <w:gridCol w:w="1843"/>
        <w:gridCol w:w="2552"/>
        <w:gridCol w:w="1984"/>
      </w:tblGrid>
      <w:tr w:rsidR="00A37243" w:rsidRPr="00A37243" w14:paraId="16A15E61" w14:textId="77777777" w:rsidTr="00271B60">
        <w:trPr>
          <w:trHeight w:val="290"/>
        </w:trPr>
        <w:tc>
          <w:tcPr>
            <w:tcW w:w="2830" w:type="dxa"/>
            <w:vMerge w:val="restart"/>
            <w:tcBorders>
              <w:top w:val="single" w:sz="4" w:space="0" w:color="auto"/>
              <w:left w:val="single" w:sz="4" w:space="0" w:color="auto"/>
              <w:right w:val="single" w:sz="4" w:space="0" w:color="auto"/>
            </w:tcBorders>
            <w:shd w:val="clear" w:color="auto" w:fill="E7E6E6" w:themeFill="background2"/>
            <w:noWrap/>
            <w:vAlign w:val="center"/>
            <w:hideMark/>
          </w:tcPr>
          <w:p w14:paraId="6BE9DB9E" w14:textId="77777777" w:rsidR="00A37243" w:rsidRPr="00A37243" w:rsidRDefault="00A37243" w:rsidP="007114B5">
            <w:pPr>
              <w:jc w:val="center"/>
              <w:rPr>
                <w:rFonts w:ascii="Arial Narrow" w:hAnsi="Arial Narrow" w:cs="Calibri"/>
                <w:b/>
                <w:bCs/>
                <w:color w:val="000000"/>
                <w:spacing w:val="0"/>
                <w:sz w:val="22"/>
                <w:szCs w:val="22"/>
                <w:lang w:eastAsia="es-CO"/>
              </w:rPr>
            </w:pPr>
            <w:r w:rsidRPr="00A37243">
              <w:rPr>
                <w:rFonts w:ascii="Arial Narrow" w:hAnsi="Arial Narrow" w:cs="Calibri"/>
                <w:b/>
                <w:bCs/>
                <w:color w:val="000000"/>
                <w:spacing w:val="0"/>
                <w:sz w:val="22"/>
                <w:szCs w:val="22"/>
                <w:lang w:eastAsia="es-CO"/>
              </w:rPr>
              <w:t>ACTIVIDAD</w:t>
            </w:r>
          </w:p>
          <w:p w14:paraId="3B22765D" w14:textId="059B1ABD" w:rsidR="00A37243" w:rsidRPr="00A37243" w:rsidRDefault="00A37243" w:rsidP="007114B5">
            <w:pPr>
              <w:jc w:val="center"/>
              <w:rPr>
                <w:rFonts w:ascii="Arial Narrow" w:hAnsi="Arial Narrow" w:cs="Calibri"/>
                <w:b/>
                <w:bCs/>
                <w:color w:val="000000"/>
                <w:spacing w:val="0"/>
                <w:sz w:val="22"/>
                <w:szCs w:val="22"/>
                <w:lang w:eastAsia="es-CO"/>
              </w:rPr>
            </w:pPr>
            <w:r w:rsidRPr="00A37243">
              <w:rPr>
                <w:rFonts w:ascii="Arial Narrow" w:hAnsi="Arial Narrow" w:cs="Calibri"/>
                <w:b/>
                <w:bCs/>
                <w:color w:val="000000"/>
                <w:spacing w:val="0"/>
                <w:sz w:val="22"/>
                <w:szCs w:val="22"/>
                <w:lang w:eastAsia="es-CO"/>
              </w:rPr>
              <w:t> </w:t>
            </w:r>
          </w:p>
        </w:tc>
        <w:tc>
          <w:tcPr>
            <w:tcW w:w="1843" w:type="dxa"/>
            <w:vMerge w:val="restart"/>
            <w:tcBorders>
              <w:top w:val="single" w:sz="4" w:space="0" w:color="auto"/>
              <w:left w:val="nil"/>
              <w:right w:val="single" w:sz="4" w:space="0" w:color="auto"/>
            </w:tcBorders>
            <w:shd w:val="clear" w:color="auto" w:fill="E7E6E6" w:themeFill="background2"/>
            <w:noWrap/>
            <w:vAlign w:val="center"/>
            <w:hideMark/>
          </w:tcPr>
          <w:p w14:paraId="193FA339" w14:textId="77777777" w:rsidR="00A37243" w:rsidRPr="00A37243" w:rsidRDefault="00A37243" w:rsidP="007114B5">
            <w:pPr>
              <w:jc w:val="center"/>
              <w:rPr>
                <w:rFonts w:ascii="Arial Narrow" w:hAnsi="Arial Narrow" w:cs="Calibri"/>
                <w:b/>
                <w:bCs/>
                <w:color w:val="000000"/>
                <w:spacing w:val="0"/>
                <w:sz w:val="22"/>
                <w:szCs w:val="22"/>
                <w:lang w:eastAsia="es-CO"/>
              </w:rPr>
            </w:pPr>
            <w:r w:rsidRPr="00A37243">
              <w:rPr>
                <w:rFonts w:ascii="Arial Narrow" w:hAnsi="Arial Narrow" w:cs="Calibri"/>
                <w:b/>
                <w:bCs/>
                <w:color w:val="000000"/>
                <w:spacing w:val="0"/>
                <w:sz w:val="22"/>
                <w:szCs w:val="22"/>
                <w:lang w:eastAsia="es-CO"/>
              </w:rPr>
              <w:t>GASTOS OPERATIVOS</w:t>
            </w:r>
          </w:p>
          <w:p w14:paraId="725A5C1F" w14:textId="39658A3D" w:rsidR="00A37243" w:rsidRPr="00A37243" w:rsidRDefault="00A37243" w:rsidP="007114B5">
            <w:pPr>
              <w:jc w:val="center"/>
              <w:rPr>
                <w:rFonts w:ascii="Arial Narrow" w:hAnsi="Arial Narrow" w:cs="Calibri"/>
                <w:b/>
                <w:bCs/>
                <w:color w:val="000000"/>
                <w:spacing w:val="0"/>
                <w:sz w:val="22"/>
                <w:szCs w:val="22"/>
                <w:lang w:eastAsia="es-CO"/>
              </w:rPr>
            </w:pPr>
            <w:r w:rsidRPr="00A37243">
              <w:rPr>
                <w:rFonts w:ascii="Arial Narrow" w:hAnsi="Arial Narrow" w:cs="Calibri"/>
                <w:b/>
                <w:bCs/>
                <w:color w:val="000000"/>
                <w:spacing w:val="0"/>
                <w:sz w:val="22"/>
                <w:szCs w:val="22"/>
                <w:lang w:eastAsia="es-CO"/>
              </w:rPr>
              <w:t> </w:t>
            </w:r>
          </w:p>
        </w:tc>
        <w:tc>
          <w:tcPr>
            <w:tcW w:w="2552"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0F8CFCDD" w14:textId="77777777" w:rsidR="00A37243" w:rsidRPr="00A37243" w:rsidRDefault="00A37243" w:rsidP="007114B5">
            <w:pPr>
              <w:jc w:val="center"/>
              <w:rPr>
                <w:rFonts w:ascii="Arial Narrow" w:hAnsi="Arial Narrow" w:cs="Calibri"/>
                <w:b/>
                <w:bCs/>
                <w:color w:val="000000"/>
                <w:spacing w:val="0"/>
                <w:sz w:val="22"/>
                <w:szCs w:val="22"/>
                <w:lang w:eastAsia="es-CO"/>
              </w:rPr>
            </w:pPr>
            <w:r w:rsidRPr="00A37243">
              <w:rPr>
                <w:rFonts w:ascii="Arial Narrow" w:hAnsi="Arial Narrow" w:cs="Calibri"/>
                <w:b/>
                <w:bCs/>
                <w:color w:val="000000"/>
                <w:spacing w:val="0"/>
                <w:sz w:val="22"/>
                <w:szCs w:val="22"/>
                <w:lang w:eastAsia="es-CO"/>
              </w:rPr>
              <w:t>PARCIAL OPERATIVOS</w:t>
            </w:r>
          </w:p>
        </w:tc>
        <w:tc>
          <w:tcPr>
            <w:tcW w:w="1984" w:type="dxa"/>
            <w:vMerge w:val="restart"/>
            <w:tcBorders>
              <w:top w:val="single" w:sz="4" w:space="0" w:color="auto"/>
              <w:left w:val="nil"/>
              <w:right w:val="single" w:sz="4" w:space="0" w:color="auto"/>
            </w:tcBorders>
            <w:shd w:val="clear" w:color="auto" w:fill="E7E6E6" w:themeFill="background2"/>
            <w:noWrap/>
            <w:vAlign w:val="center"/>
            <w:hideMark/>
          </w:tcPr>
          <w:p w14:paraId="469E7F6E" w14:textId="77777777" w:rsidR="00A37243" w:rsidRPr="00A37243" w:rsidRDefault="00A37243" w:rsidP="007114B5">
            <w:pPr>
              <w:jc w:val="center"/>
              <w:rPr>
                <w:rFonts w:ascii="Arial Narrow" w:hAnsi="Arial Narrow" w:cs="Calibri"/>
                <w:b/>
                <w:bCs/>
                <w:color w:val="000000"/>
                <w:spacing w:val="0"/>
                <w:sz w:val="22"/>
                <w:szCs w:val="22"/>
                <w:lang w:eastAsia="es-CO"/>
              </w:rPr>
            </w:pPr>
            <w:r w:rsidRPr="00A37243">
              <w:rPr>
                <w:rFonts w:ascii="Arial Narrow" w:hAnsi="Arial Narrow" w:cs="Calibri"/>
                <w:b/>
                <w:bCs/>
                <w:color w:val="000000"/>
                <w:spacing w:val="0"/>
                <w:sz w:val="22"/>
                <w:szCs w:val="22"/>
                <w:lang w:eastAsia="es-CO"/>
              </w:rPr>
              <w:t>TOTAL PRESUPUESTO 2021</w:t>
            </w:r>
          </w:p>
          <w:p w14:paraId="2ECD5778" w14:textId="498B8649" w:rsidR="00A37243" w:rsidRPr="00A37243" w:rsidRDefault="00A37243" w:rsidP="007114B5">
            <w:pPr>
              <w:jc w:val="left"/>
              <w:rPr>
                <w:rFonts w:ascii="Arial Narrow" w:hAnsi="Arial Narrow" w:cs="Calibri"/>
                <w:b/>
                <w:bCs/>
                <w:color w:val="000000"/>
                <w:spacing w:val="0"/>
                <w:sz w:val="22"/>
                <w:szCs w:val="22"/>
                <w:lang w:eastAsia="es-CO"/>
              </w:rPr>
            </w:pPr>
            <w:r w:rsidRPr="00A37243">
              <w:rPr>
                <w:rFonts w:ascii="Arial Narrow" w:hAnsi="Arial Narrow" w:cs="Arial"/>
                <w:b/>
                <w:bCs/>
                <w:spacing w:val="0"/>
                <w:sz w:val="22"/>
                <w:szCs w:val="22"/>
                <w:lang w:eastAsia="es-CO"/>
              </w:rPr>
              <w:t> </w:t>
            </w:r>
          </w:p>
        </w:tc>
      </w:tr>
      <w:tr w:rsidR="00A37243" w:rsidRPr="00A37243" w14:paraId="5BA1BCEA" w14:textId="77777777" w:rsidTr="00271B60">
        <w:trPr>
          <w:trHeight w:val="290"/>
        </w:trPr>
        <w:tc>
          <w:tcPr>
            <w:tcW w:w="2830" w:type="dxa"/>
            <w:vMerge/>
            <w:tcBorders>
              <w:left w:val="single" w:sz="4" w:space="0" w:color="auto"/>
              <w:bottom w:val="single" w:sz="4" w:space="0" w:color="auto"/>
              <w:right w:val="single" w:sz="4" w:space="0" w:color="auto"/>
            </w:tcBorders>
            <w:shd w:val="clear" w:color="auto" w:fill="E7E6E6" w:themeFill="background2"/>
            <w:noWrap/>
            <w:vAlign w:val="center"/>
            <w:hideMark/>
          </w:tcPr>
          <w:p w14:paraId="47AE632A" w14:textId="62430E87" w:rsidR="00A37243" w:rsidRPr="00A37243" w:rsidRDefault="00A37243" w:rsidP="007114B5">
            <w:pPr>
              <w:jc w:val="center"/>
              <w:rPr>
                <w:rFonts w:ascii="Arial Narrow" w:hAnsi="Arial Narrow" w:cs="Calibri"/>
                <w:b/>
                <w:bCs/>
                <w:color w:val="000000"/>
                <w:spacing w:val="0"/>
                <w:sz w:val="22"/>
                <w:szCs w:val="22"/>
                <w:lang w:eastAsia="es-CO"/>
              </w:rPr>
            </w:pPr>
          </w:p>
        </w:tc>
        <w:tc>
          <w:tcPr>
            <w:tcW w:w="1843" w:type="dxa"/>
            <w:vMerge/>
            <w:tcBorders>
              <w:left w:val="nil"/>
              <w:bottom w:val="single" w:sz="4" w:space="0" w:color="auto"/>
              <w:right w:val="single" w:sz="4" w:space="0" w:color="auto"/>
            </w:tcBorders>
            <w:shd w:val="clear" w:color="auto" w:fill="E7E6E6" w:themeFill="background2"/>
            <w:noWrap/>
            <w:vAlign w:val="center"/>
            <w:hideMark/>
          </w:tcPr>
          <w:p w14:paraId="7E530263" w14:textId="1972304C" w:rsidR="00A37243" w:rsidRPr="00A37243" w:rsidRDefault="00A37243" w:rsidP="007114B5">
            <w:pPr>
              <w:jc w:val="center"/>
              <w:rPr>
                <w:rFonts w:ascii="Arial Narrow" w:hAnsi="Arial Narrow" w:cs="Calibri"/>
                <w:b/>
                <w:bCs/>
                <w:color w:val="000000"/>
                <w:spacing w:val="0"/>
                <w:sz w:val="22"/>
                <w:szCs w:val="22"/>
                <w:lang w:eastAsia="es-CO"/>
              </w:rPr>
            </w:pPr>
          </w:p>
        </w:tc>
        <w:tc>
          <w:tcPr>
            <w:tcW w:w="2552" w:type="dxa"/>
            <w:tcBorders>
              <w:top w:val="nil"/>
              <w:left w:val="nil"/>
              <w:bottom w:val="single" w:sz="4" w:space="0" w:color="auto"/>
              <w:right w:val="single" w:sz="4" w:space="0" w:color="auto"/>
            </w:tcBorders>
            <w:shd w:val="clear" w:color="auto" w:fill="E7E6E6" w:themeFill="background2"/>
            <w:noWrap/>
            <w:vAlign w:val="center"/>
            <w:hideMark/>
          </w:tcPr>
          <w:p w14:paraId="518F9350" w14:textId="77777777" w:rsidR="00A37243" w:rsidRPr="00A37243" w:rsidRDefault="00A37243" w:rsidP="007114B5">
            <w:pPr>
              <w:jc w:val="center"/>
              <w:rPr>
                <w:rFonts w:ascii="Arial Narrow" w:hAnsi="Arial Narrow" w:cs="Arial"/>
                <w:b/>
                <w:bCs/>
                <w:spacing w:val="0"/>
                <w:sz w:val="22"/>
                <w:szCs w:val="22"/>
                <w:lang w:eastAsia="es-CO"/>
              </w:rPr>
            </w:pPr>
            <w:r w:rsidRPr="00A37243">
              <w:rPr>
                <w:rFonts w:ascii="Arial Narrow" w:hAnsi="Arial Narrow" w:cs="Arial"/>
                <w:b/>
                <w:bCs/>
                <w:spacing w:val="0"/>
                <w:sz w:val="22"/>
                <w:szCs w:val="22"/>
                <w:lang w:eastAsia="es-CO"/>
              </w:rPr>
              <w:t>0.005452433%</w:t>
            </w:r>
          </w:p>
        </w:tc>
        <w:tc>
          <w:tcPr>
            <w:tcW w:w="1984" w:type="dxa"/>
            <w:vMerge/>
            <w:tcBorders>
              <w:left w:val="nil"/>
              <w:bottom w:val="single" w:sz="4" w:space="0" w:color="auto"/>
              <w:right w:val="single" w:sz="4" w:space="0" w:color="auto"/>
            </w:tcBorders>
            <w:shd w:val="clear" w:color="auto" w:fill="E7E6E6" w:themeFill="background2"/>
            <w:noWrap/>
            <w:vAlign w:val="center"/>
            <w:hideMark/>
          </w:tcPr>
          <w:p w14:paraId="0C134DF1" w14:textId="31C4E637" w:rsidR="00A37243" w:rsidRPr="00A37243" w:rsidRDefault="00A37243" w:rsidP="007114B5">
            <w:pPr>
              <w:jc w:val="left"/>
              <w:rPr>
                <w:rFonts w:ascii="Arial Narrow" w:hAnsi="Arial Narrow" w:cs="Arial"/>
                <w:b/>
                <w:bCs/>
                <w:spacing w:val="0"/>
                <w:sz w:val="22"/>
                <w:szCs w:val="22"/>
                <w:lang w:eastAsia="es-CO"/>
              </w:rPr>
            </w:pPr>
          </w:p>
        </w:tc>
      </w:tr>
      <w:tr w:rsidR="00A37243" w:rsidRPr="00A37243" w14:paraId="1E59934F" w14:textId="77777777" w:rsidTr="00801382">
        <w:trPr>
          <w:trHeight w:val="29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66D936D8" w14:textId="382B7489" w:rsidR="00A37243" w:rsidRPr="00A37243" w:rsidRDefault="00A37243" w:rsidP="007114B5">
            <w:pPr>
              <w:jc w:val="left"/>
              <w:rPr>
                <w:rFonts w:ascii="Arial Narrow" w:hAnsi="Arial Narrow" w:cs="Arial"/>
                <w:spacing w:val="0"/>
                <w:sz w:val="22"/>
                <w:szCs w:val="22"/>
                <w:lang w:eastAsia="es-CO"/>
              </w:rPr>
            </w:pPr>
            <w:r w:rsidRPr="00A37243">
              <w:rPr>
                <w:rFonts w:ascii="Arial Narrow" w:hAnsi="Arial Narrow" w:cs="Arial"/>
                <w:spacing w:val="0"/>
                <w:sz w:val="22"/>
                <w:szCs w:val="22"/>
                <w:lang w:eastAsia="es-CO"/>
              </w:rPr>
              <w:t xml:space="preserve">Presupuesto </w:t>
            </w:r>
            <w:r w:rsidR="00BA18B3">
              <w:rPr>
                <w:rFonts w:ascii="Arial Narrow" w:hAnsi="Arial Narrow" w:cs="Arial"/>
                <w:spacing w:val="0"/>
                <w:sz w:val="22"/>
                <w:szCs w:val="22"/>
                <w:lang w:eastAsia="es-CO"/>
              </w:rPr>
              <w:t>–</w:t>
            </w:r>
            <w:r w:rsidRPr="00A37243">
              <w:rPr>
                <w:rFonts w:ascii="Arial Narrow" w:hAnsi="Arial Narrow" w:cs="Arial"/>
                <w:spacing w:val="0"/>
                <w:sz w:val="22"/>
                <w:szCs w:val="22"/>
                <w:lang w:eastAsia="es-CO"/>
              </w:rPr>
              <w:t xml:space="preserve"> Valor a Recaudar x Contribuciones 2021</w:t>
            </w:r>
          </w:p>
        </w:tc>
        <w:tc>
          <w:tcPr>
            <w:tcW w:w="1843" w:type="dxa"/>
            <w:tcBorders>
              <w:top w:val="nil"/>
              <w:left w:val="nil"/>
              <w:bottom w:val="single" w:sz="4" w:space="0" w:color="auto"/>
              <w:right w:val="single" w:sz="4" w:space="0" w:color="auto"/>
            </w:tcBorders>
            <w:shd w:val="clear" w:color="auto" w:fill="auto"/>
            <w:noWrap/>
            <w:vAlign w:val="center"/>
            <w:hideMark/>
          </w:tcPr>
          <w:p w14:paraId="6C1FD5D6" w14:textId="77777777" w:rsidR="00A37243" w:rsidRPr="00A37243" w:rsidRDefault="00A37243" w:rsidP="00A37243">
            <w:pPr>
              <w:jc w:val="right"/>
              <w:rPr>
                <w:rFonts w:ascii="Arial Narrow" w:hAnsi="Arial Narrow" w:cs="Arial"/>
                <w:spacing w:val="0"/>
                <w:sz w:val="22"/>
                <w:szCs w:val="22"/>
                <w:lang w:eastAsia="es-CO"/>
              </w:rPr>
            </w:pPr>
            <w:r w:rsidRPr="00A37243">
              <w:rPr>
                <w:rFonts w:ascii="Arial Narrow" w:hAnsi="Arial Narrow" w:cs="Arial"/>
                <w:spacing w:val="0"/>
                <w:sz w:val="22"/>
                <w:szCs w:val="22"/>
                <w:lang w:eastAsia="es-CO"/>
              </w:rPr>
              <w:t> </w:t>
            </w:r>
          </w:p>
        </w:tc>
        <w:tc>
          <w:tcPr>
            <w:tcW w:w="2552" w:type="dxa"/>
            <w:tcBorders>
              <w:top w:val="nil"/>
              <w:left w:val="nil"/>
              <w:bottom w:val="nil"/>
              <w:right w:val="nil"/>
            </w:tcBorders>
            <w:shd w:val="clear" w:color="auto" w:fill="auto"/>
            <w:noWrap/>
            <w:vAlign w:val="center"/>
            <w:hideMark/>
          </w:tcPr>
          <w:p w14:paraId="1C5B64DC" w14:textId="77777777" w:rsidR="00A37243" w:rsidRPr="00A37243" w:rsidRDefault="00A37243" w:rsidP="00A37243">
            <w:pPr>
              <w:jc w:val="right"/>
              <w:rPr>
                <w:rFonts w:ascii="Arial Narrow" w:hAnsi="Arial Narrow" w:cs="Arial"/>
                <w:spacing w:val="0"/>
                <w:sz w:val="22"/>
                <w:szCs w:val="22"/>
                <w:lang w:eastAsia="es-CO"/>
              </w:rPr>
            </w:pP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793917F9" w14:textId="77777777" w:rsidR="00A37243" w:rsidRPr="00A37243" w:rsidRDefault="00A37243" w:rsidP="00A37243">
            <w:pPr>
              <w:jc w:val="right"/>
              <w:rPr>
                <w:rFonts w:ascii="Arial Narrow" w:hAnsi="Arial Narrow" w:cs="Arial"/>
                <w:spacing w:val="0"/>
                <w:sz w:val="22"/>
                <w:szCs w:val="22"/>
                <w:lang w:eastAsia="es-CO"/>
              </w:rPr>
            </w:pPr>
            <w:r w:rsidRPr="00A37243">
              <w:rPr>
                <w:rFonts w:ascii="Arial Narrow" w:hAnsi="Arial Narrow" w:cs="Arial"/>
                <w:spacing w:val="0"/>
                <w:sz w:val="22"/>
                <w:szCs w:val="22"/>
                <w:lang w:eastAsia="es-CO"/>
              </w:rPr>
              <w:t xml:space="preserve">                                                        - </w:t>
            </w:r>
          </w:p>
        </w:tc>
      </w:tr>
      <w:tr w:rsidR="00A37243" w:rsidRPr="00A37243" w14:paraId="2149104F" w14:textId="77777777" w:rsidTr="00801382">
        <w:trPr>
          <w:trHeight w:val="29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6D750E3F" w14:textId="77777777" w:rsidR="00A37243" w:rsidRPr="00A37243" w:rsidRDefault="00A37243" w:rsidP="007114B5">
            <w:pPr>
              <w:jc w:val="left"/>
              <w:rPr>
                <w:rFonts w:ascii="Arial Narrow" w:hAnsi="Arial Narrow" w:cs="Arial"/>
                <w:spacing w:val="0"/>
                <w:sz w:val="22"/>
                <w:szCs w:val="22"/>
                <w:lang w:eastAsia="es-CO"/>
              </w:rPr>
            </w:pPr>
            <w:r w:rsidRPr="00A37243">
              <w:rPr>
                <w:rFonts w:ascii="Arial Narrow" w:hAnsi="Arial Narrow" w:cs="Arial"/>
                <w:spacing w:val="0"/>
                <w:sz w:val="22"/>
                <w:szCs w:val="22"/>
                <w:lang w:eastAsia="es-CO"/>
              </w:rPr>
              <w:t>Base Gravable Empresas con Reporte Administrativos</w:t>
            </w:r>
          </w:p>
        </w:tc>
        <w:tc>
          <w:tcPr>
            <w:tcW w:w="1843" w:type="dxa"/>
            <w:tcBorders>
              <w:top w:val="nil"/>
              <w:left w:val="nil"/>
              <w:bottom w:val="single" w:sz="4" w:space="0" w:color="auto"/>
              <w:right w:val="single" w:sz="4" w:space="0" w:color="auto"/>
            </w:tcBorders>
            <w:shd w:val="clear" w:color="auto" w:fill="auto"/>
            <w:noWrap/>
            <w:vAlign w:val="center"/>
            <w:hideMark/>
          </w:tcPr>
          <w:p w14:paraId="39A767E5" w14:textId="77777777" w:rsidR="00A37243" w:rsidRPr="00A37243" w:rsidRDefault="00A37243" w:rsidP="00A37243">
            <w:pPr>
              <w:jc w:val="right"/>
              <w:rPr>
                <w:rFonts w:ascii="Arial Narrow" w:hAnsi="Arial Narrow" w:cs="Arial"/>
                <w:spacing w:val="0"/>
                <w:sz w:val="22"/>
                <w:szCs w:val="22"/>
                <w:lang w:eastAsia="es-CO"/>
              </w:rPr>
            </w:pPr>
            <w:r w:rsidRPr="00A37243">
              <w:rPr>
                <w:rFonts w:ascii="Arial Narrow" w:hAnsi="Arial Narrow" w:cs="Arial"/>
                <w:spacing w:val="0"/>
                <w:sz w:val="22"/>
                <w:szCs w:val="22"/>
                <w:lang w:eastAsia="es-CO"/>
              </w:rPr>
              <w:t> </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14:paraId="66498E63" w14:textId="77777777" w:rsidR="00A37243" w:rsidRPr="00A37243" w:rsidRDefault="00A37243" w:rsidP="00A37243">
            <w:pPr>
              <w:jc w:val="right"/>
              <w:rPr>
                <w:rFonts w:ascii="Arial Narrow" w:hAnsi="Arial Narrow" w:cs="Calibri"/>
                <w:color w:val="000000"/>
                <w:spacing w:val="0"/>
                <w:sz w:val="22"/>
                <w:szCs w:val="22"/>
                <w:lang w:eastAsia="es-CO"/>
              </w:rPr>
            </w:pPr>
            <w:r w:rsidRPr="00A37243">
              <w:rPr>
                <w:rFonts w:ascii="Arial Narrow" w:hAnsi="Arial Narrow" w:cs="Calibri"/>
                <w:color w:val="000000"/>
                <w:spacing w:val="0"/>
                <w:sz w:val="22"/>
                <w:szCs w:val="22"/>
                <w:lang w:eastAsia="es-CO"/>
              </w:rPr>
              <w:t> </w:t>
            </w:r>
          </w:p>
        </w:tc>
        <w:tc>
          <w:tcPr>
            <w:tcW w:w="1984" w:type="dxa"/>
            <w:tcBorders>
              <w:top w:val="nil"/>
              <w:left w:val="nil"/>
              <w:bottom w:val="single" w:sz="4" w:space="0" w:color="auto"/>
              <w:right w:val="single" w:sz="4" w:space="0" w:color="auto"/>
            </w:tcBorders>
            <w:shd w:val="clear" w:color="auto" w:fill="auto"/>
            <w:noWrap/>
            <w:vAlign w:val="center"/>
            <w:hideMark/>
          </w:tcPr>
          <w:p w14:paraId="2EE84FC5" w14:textId="47C2FB90" w:rsidR="00A37243" w:rsidRPr="00A37243" w:rsidRDefault="00A37243" w:rsidP="00A37243">
            <w:pPr>
              <w:jc w:val="right"/>
              <w:rPr>
                <w:rFonts w:ascii="Arial Narrow" w:hAnsi="Arial Narrow" w:cs="Arial"/>
                <w:spacing w:val="0"/>
                <w:sz w:val="22"/>
                <w:szCs w:val="22"/>
                <w:lang w:eastAsia="es-CO"/>
              </w:rPr>
            </w:pPr>
            <w:r w:rsidRPr="00A37243">
              <w:rPr>
                <w:rFonts w:ascii="Arial Narrow" w:hAnsi="Arial Narrow" w:cs="Arial"/>
                <w:spacing w:val="0"/>
                <w:sz w:val="22"/>
                <w:szCs w:val="22"/>
                <w:lang w:eastAsia="es-CO"/>
              </w:rPr>
              <w:t xml:space="preserve">                                  30</w:t>
            </w:r>
            <w:r w:rsidR="00EA0452">
              <w:rPr>
                <w:rFonts w:ascii="Arial Narrow" w:hAnsi="Arial Narrow" w:cs="Arial"/>
                <w:spacing w:val="0"/>
                <w:sz w:val="22"/>
                <w:szCs w:val="22"/>
                <w:lang w:eastAsia="es-CO"/>
              </w:rPr>
              <w:t>.</w:t>
            </w:r>
            <w:r w:rsidRPr="00A37243">
              <w:rPr>
                <w:rFonts w:ascii="Arial Narrow" w:hAnsi="Arial Narrow" w:cs="Arial"/>
                <w:spacing w:val="0"/>
                <w:sz w:val="22"/>
                <w:szCs w:val="22"/>
                <w:lang w:eastAsia="es-CO"/>
              </w:rPr>
              <w:t>849</w:t>
            </w:r>
            <w:r w:rsidR="00EA0452">
              <w:rPr>
                <w:rFonts w:ascii="Arial Narrow" w:hAnsi="Arial Narrow" w:cs="Arial"/>
                <w:spacing w:val="0"/>
                <w:sz w:val="22"/>
                <w:szCs w:val="22"/>
                <w:lang w:eastAsia="es-CO"/>
              </w:rPr>
              <w:t>.</w:t>
            </w:r>
            <w:r w:rsidRPr="00A37243">
              <w:rPr>
                <w:rFonts w:ascii="Arial Narrow" w:hAnsi="Arial Narrow" w:cs="Arial"/>
                <w:spacing w:val="0"/>
                <w:sz w:val="22"/>
                <w:szCs w:val="22"/>
                <w:lang w:eastAsia="es-CO"/>
              </w:rPr>
              <w:t>773</w:t>
            </w:r>
            <w:r w:rsidR="00EA0452">
              <w:rPr>
                <w:rFonts w:ascii="Arial Narrow" w:hAnsi="Arial Narrow" w:cs="Arial"/>
                <w:spacing w:val="0"/>
                <w:sz w:val="22"/>
                <w:szCs w:val="22"/>
                <w:lang w:eastAsia="es-CO"/>
              </w:rPr>
              <w:t>.</w:t>
            </w:r>
            <w:r w:rsidRPr="00A37243">
              <w:rPr>
                <w:rFonts w:ascii="Arial Narrow" w:hAnsi="Arial Narrow" w:cs="Arial"/>
                <w:spacing w:val="0"/>
                <w:sz w:val="22"/>
                <w:szCs w:val="22"/>
                <w:lang w:eastAsia="es-CO"/>
              </w:rPr>
              <w:t xml:space="preserve">911 </w:t>
            </w:r>
          </w:p>
        </w:tc>
      </w:tr>
      <w:tr w:rsidR="00A37243" w:rsidRPr="00A37243" w14:paraId="47E5DE17" w14:textId="77777777" w:rsidTr="00801382">
        <w:trPr>
          <w:trHeight w:val="29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0B037514" w14:textId="77777777" w:rsidR="00A37243" w:rsidRPr="00A37243" w:rsidRDefault="00A37243" w:rsidP="007114B5">
            <w:pPr>
              <w:jc w:val="left"/>
              <w:rPr>
                <w:rFonts w:ascii="Arial Narrow" w:hAnsi="Arial Narrow" w:cs="Arial"/>
                <w:spacing w:val="0"/>
                <w:sz w:val="22"/>
                <w:szCs w:val="22"/>
                <w:lang w:eastAsia="es-CO"/>
              </w:rPr>
            </w:pPr>
            <w:r w:rsidRPr="00A37243">
              <w:rPr>
                <w:rFonts w:ascii="Arial Narrow" w:hAnsi="Arial Narrow" w:cs="Arial"/>
                <w:spacing w:val="0"/>
                <w:sz w:val="22"/>
                <w:szCs w:val="22"/>
                <w:lang w:eastAsia="es-CO"/>
              </w:rPr>
              <w:t>Base Gravable Empresas con Reporte Operativos</w:t>
            </w:r>
          </w:p>
        </w:tc>
        <w:tc>
          <w:tcPr>
            <w:tcW w:w="1843" w:type="dxa"/>
            <w:tcBorders>
              <w:top w:val="nil"/>
              <w:left w:val="nil"/>
              <w:bottom w:val="single" w:sz="4" w:space="0" w:color="auto"/>
              <w:right w:val="single" w:sz="4" w:space="0" w:color="auto"/>
            </w:tcBorders>
            <w:shd w:val="clear" w:color="auto" w:fill="auto"/>
            <w:noWrap/>
            <w:vAlign w:val="center"/>
            <w:hideMark/>
          </w:tcPr>
          <w:p w14:paraId="3ACC9F46" w14:textId="2B52DA7D" w:rsidR="00A37243" w:rsidRPr="00A37243" w:rsidRDefault="00A37243" w:rsidP="00A37243">
            <w:pPr>
              <w:jc w:val="right"/>
              <w:rPr>
                <w:rFonts w:ascii="Arial Narrow" w:hAnsi="Arial Narrow" w:cs="Arial"/>
                <w:spacing w:val="0"/>
                <w:sz w:val="22"/>
                <w:szCs w:val="22"/>
                <w:lang w:eastAsia="es-CO"/>
              </w:rPr>
            </w:pPr>
            <w:r w:rsidRPr="00A37243">
              <w:rPr>
                <w:rFonts w:ascii="Arial Narrow" w:hAnsi="Arial Narrow" w:cs="Arial"/>
                <w:spacing w:val="0"/>
                <w:sz w:val="22"/>
                <w:szCs w:val="22"/>
                <w:lang w:eastAsia="es-CO"/>
              </w:rPr>
              <w:t xml:space="preserve">        8</w:t>
            </w:r>
            <w:r w:rsidR="00EA0452">
              <w:rPr>
                <w:rFonts w:ascii="Arial Narrow" w:hAnsi="Arial Narrow" w:cs="Arial"/>
                <w:spacing w:val="0"/>
                <w:sz w:val="22"/>
                <w:szCs w:val="22"/>
                <w:lang w:eastAsia="es-CO"/>
              </w:rPr>
              <w:t>.</w:t>
            </w:r>
            <w:r w:rsidRPr="00A37243">
              <w:rPr>
                <w:rFonts w:ascii="Arial Narrow" w:hAnsi="Arial Narrow" w:cs="Arial"/>
                <w:spacing w:val="0"/>
                <w:sz w:val="22"/>
                <w:szCs w:val="22"/>
                <w:lang w:eastAsia="es-CO"/>
              </w:rPr>
              <w:t>574</w:t>
            </w:r>
            <w:r w:rsidR="00EA0452">
              <w:rPr>
                <w:rFonts w:ascii="Arial Narrow" w:hAnsi="Arial Narrow" w:cs="Arial"/>
                <w:spacing w:val="0"/>
                <w:sz w:val="22"/>
                <w:szCs w:val="22"/>
                <w:lang w:eastAsia="es-CO"/>
              </w:rPr>
              <w:t>.</w:t>
            </w:r>
            <w:r w:rsidRPr="00A37243">
              <w:rPr>
                <w:rFonts w:ascii="Arial Narrow" w:hAnsi="Arial Narrow" w:cs="Arial"/>
                <w:spacing w:val="0"/>
                <w:sz w:val="22"/>
                <w:szCs w:val="22"/>
                <w:lang w:eastAsia="es-CO"/>
              </w:rPr>
              <w:t>813</w:t>
            </w:r>
            <w:r w:rsidR="00EA0452">
              <w:rPr>
                <w:rFonts w:ascii="Arial Narrow" w:hAnsi="Arial Narrow" w:cs="Arial"/>
                <w:spacing w:val="0"/>
                <w:sz w:val="22"/>
                <w:szCs w:val="22"/>
                <w:lang w:eastAsia="es-CO"/>
              </w:rPr>
              <w:t>.</w:t>
            </w:r>
            <w:r w:rsidRPr="00A37243">
              <w:rPr>
                <w:rFonts w:ascii="Arial Narrow" w:hAnsi="Arial Narrow" w:cs="Arial"/>
                <w:spacing w:val="0"/>
                <w:sz w:val="22"/>
                <w:szCs w:val="22"/>
                <w:lang w:eastAsia="es-CO"/>
              </w:rPr>
              <w:t>279</w:t>
            </w:r>
            <w:r w:rsidR="00EA0452">
              <w:rPr>
                <w:rFonts w:ascii="Arial Narrow" w:hAnsi="Arial Narrow" w:cs="Arial"/>
                <w:spacing w:val="0"/>
                <w:sz w:val="22"/>
                <w:szCs w:val="22"/>
                <w:lang w:eastAsia="es-CO"/>
              </w:rPr>
              <w:t>.</w:t>
            </w:r>
            <w:r w:rsidRPr="00A37243">
              <w:rPr>
                <w:rFonts w:ascii="Arial Narrow" w:hAnsi="Arial Narrow" w:cs="Arial"/>
                <w:spacing w:val="0"/>
                <w:sz w:val="22"/>
                <w:szCs w:val="22"/>
                <w:lang w:eastAsia="es-CO"/>
              </w:rPr>
              <w:t xml:space="preserve">875 </w:t>
            </w:r>
          </w:p>
        </w:tc>
        <w:tc>
          <w:tcPr>
            <w:tcW w:w="2552" w:type="dxa"/>
            <w:tcBorders>
              <w:top w:val="nil"/>
              <w:left w:val="nil"/>
              <w:bottom w:val="single" w:sz="4" w:space="0" w:color="auto"/>
              <w:right w:val="single" w:sz="4" w:space="0" w:color="auto"/>
            </w:tcBorders>
            <w:shd w:val="clear" w:color="auto" w:fill="auto"/>
            <w:noWrap/>
            <w:vAlign w:val="center"/>
            <w:hideMark/>
          </w:tcPr>
          <w:p w14:paraId="57070DE8" w14:textId="784B4F56" w:rsidR="00A37243" w:rsidRPr="00A37243" w:rsidRDefault="00A37243" w:rsidP="00A37243">
            <w:pPr>
              <w:jc w:val="right"/>
              <w:rPr>
                <w:rFonts w:ascii="Arial Narrow" w:hAnsi="Arial Narrow" w:cs="Arial"/>
                <w:spacing w:val="0"/>
                <w:sz w:val="22"/>
                <w:szCs w:val="22"/>
                <w:lang w:eastAsia="es-CO"/>
              </w:rPr>
            </w:pPr>
            <w:r w:rsidRPr="00A37243">
              <w:rPr>
                <w:rFonts w:ascii="Arial Narrow" w:hAnsi="Arial Narrow" w:cs="Arial"/>
                <w:spacing w:val="0"/>
                <w:sz w:val="22"/>
                <w:szCs w:val="22"/>
                <w:lang w:eastAsia="es-CO"/>
              </w:rPr>
              <w:t xml:space="preserve">     467</w:t>
            </w:r>
            <w:r w:rsidR="00EA0452">
              <w:rPr>
                <w:rFonts w:ascii="Arial Narrow" w:hAnsi="Arial Narrow" w:cs="Arial"/>
                <w:spacing w:val="0"/>
                <w:sz w:val="22"/>
                <w:szCs w:val="22"/>
                <w:lang w:eastAsia="es-CO"/>
              </w:rPr>
              <w:t>.</w:t>
            </w:r>
            <w:r w:rsidRPr="00A37243">
              <w:rPr>
                <w:rFonts w:ascii="Arial Narrow" w:hAnsi="Arial Narrow" w:cs="Arial"/>
                <w:spacing w:val="0"/>
                <w:sz w:val="22"/>
                <w:szCs w:val="22"/>
                <w:lang w:eastAsia="es-CO"/>
              </w:rPr>
              <w:t>535</w:t>
            </w:r>
            <w:r w:rsidR="00EA0452">
              <w:rPr>
                <w:rFonts w:ascii="Arial Narrow" w:hAnsi="Arial Narrow" w:cs="Arial"/>
                <w:spacing w:val="0"/>
                <w:sz w:val="22"/>
                <w:szCs w:val="22"/>
                <w:lang w:eastAsia="es-CO"/>
              </w:rPr>
              <w:t>.</w:t>
            </w:r>
            <w:r w:rsidRPr="00A37243">
              <w:rPr>
                <w:rFonts w:ascii="Arial Narrow" w:hAnsi="Arial Narrow" w:cs="Arial"/>
                <w:spacing w:val="0"/>
                <w:sz w:val="22"/>
                <w:szCs w:val="22"/>
                <w:lang w:eastAsia="es-CO"/>
              </w:rPr>
              <w:t xml:space="preserve">965 </w:t>
            </w:r>
          </w:p>
        </w:tc>
        <w:tc>
          <w:tcPr>
            <w:tcW w:w="1984" w:type="dxa"/>
            <w:tcBorders>
              <w:top w:val="nil"/>
              <w:left w:val="nil"/>
              <w:bottom w:val="single" w:sz="4" w:space="0" w:color="auto"/>
              <w:right w:val="single" w:sz="4" w:space="0" w:color="auto"/>
            </w:tcBorders>
            <w:shd w:val="clear" w:color="auto" w:fill="auto"/>
            <w:noWrap/>
            <w:vAlign w:val="center"/>
            <w:hideMark/>
          </w:tcPr>
          <w:p w14:paraId="44AD5014" w14:textId="474CB4F0" w:rsidR="00A37243" w:rsidRPr="00A37243" w:rsidRDefault="00A37243" w:rsidP="00A37243">
            <w:pPr>
              <w:jc w:val="right"/>
              <w:rPr>
                <w:rFonts w:ascii="Arial Narrow" w:hAnsi="Arial Narrow" w:cs="Arial"/>
                <w:spacing w:val="0"/>
                <w:sz w:val="22"/>
                <w:szCs w:val="22"/>
                <w:lang w:eastAsia="es-CO"/>
              </w:rPr>
            </w:pPr>
            <w:r w:rsidRPr="00A37243">
              <w:rPr>
                <w:rFonts w:ascii="Arial Narrow" w:hAnsi="Arial Narrow" w:cs="Arial"/>
                <w:spacing w:val="0"/>
                <w:sz w:val="22"/>
                <w:szCs w:val="22"/>
                <w:lang w:eastAsia="es-CO"/>
              </w:rPr>
              <w:t xml:space="preserve">         467</w:t>
            </w:r>
            <w:r w:rsidR="00EA0452">
              <w:rPr>
                <w:rFonts w:ascii="Arial Narrow" w:hAnsi="Arial Narrow" w:cs="Arial"/>
                <w:spacing w:val="0"/>
                <w:sz w:val="22"/>
                <w:szCs w:val="22"/>
                <w:lang w:eastAsia="es-CO"/>
              </w:rPr>
              <w:t>.</w:t>
            </w:r>
            <w:r w:rsidRPr="00A37243">
              <w:rPr>
                <w:rFonts w:ascii="Arial Narrow" w:hAnsi="Arial Narrow" w:cs="Arial"/>
                <w:spacing w:val="0"/>
                <w:sz w:val="22"/>
                <w:szCs w:val="22"/>
                <w:lang w:eastAsia="es-CO"/>
              </w:rPr>
              <w:t>535</w:t>
            </w:r>
            <w:r w:rsidR="00EA0452">
              <w:rPr>
                <w:rFonts w:ascii="Arial Narrow" w:hAnsi="Arial Narrow" w:cs="Arial"/>
                <w:spacing w:val="0"/>
                <w:sz w:val="22"/>
                <w:szCs w:val="22"/>
                <w:lang w:eastAsia="es-CO"/>
              </w:rPr>
              <w:t>.</w:t>
            </w:r>
            <w:r w:rsidRPr="00A37243">
              <w:rPr>
                <w:rFonts w:ascii="Arial Narrow" w:hAnsi="Arial Narrow" w:cs="Arial"/>
                <w:spacing w:val="0"/>
                <w:sz w:val="22"/>
                <w:szCs w:val="22"/>
                <w:lang w:eastAsia="es-CO"/>
              </w:rPr>
              <w:t xml:space="preserve">965 </w:t>
            </w:r>
          </w:p>
        </w:tc>
      </w:tr>
      <w:tr w:rsidR="00A37243" w:rsidRPr="00A37243" w14:paraId="793B5612" w14:textId="77777777" w:rsidTr="00801382">
        <w:trPr>
          <w:trHeight w:val="29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5885F57D" w14:textId="225D3D50" w:rsidR="00A37243" w:rsidRPr="00A37243" w:rsidRDefault="00A37243" w:rsidP="007114B5">
            <w:pPr>
              <w:jc w:val="left"/>
              <w:rPr>
                <w:rFonts w:ascii="Arial Narrow" w:hAnsi="Arial Narrow" w:cs="Arial"/>
                <w:spacing w:val="0"/>
                <w:sz w:val="22"/>
                <w:szCs w:val="22"/>
                <w:lang w:eastAsia="es-CO"/>
              </w:rPr>
            </w:pPr>
            <w:r w:rsidRPr="00A37243">
              <w:rPr>
                <w:rFonts w:ascii="Arial Narrow" w:hAnsi="Arial Narrow" w:cs="Arial"/>
                <w:spacing w:val="0"/>
                <w:sz w:val="22"/>
                <w:szCs w:val="22"/>
                <w:lang w:eastAsia="es-CO"/>
              </w:rPr>
              <w:t>Base Gravable Empresas sin Reporte E</w:t>
            </w:r>
            <w:r w:rsidR="00333F41">
              <w:rPr>
                <w:rFonts w:ascii="Arial Narrow" w:hAnsi="Arial Narrow" w:cs="Arial"/>
                <w:spacing w:val="0"/>
                <w:sz w:val="22"/>
                <w:szCs w:val="22"/>
                <w:lang w:eastAsia="es-CO"/>
              </w:rPr>
              <w:t>E</w:t>
            </w:r>
            <w:r w:rsidRPr="00A37243">
              <w:rPr>
                <w:rFonts w:ascii="Arial Narrow" w:hAnsi="Arial Narrow" w:cs="Arial"/>
                <w:spacing w:val="0"/>
                <w:sz w:val="22"/>
                <w:szCs w:val="22"/>
                <w:lang w:eastAsia="es-CO"/>
              </w:rPr>
              <w:t>F</w:t>
            </w:r>
            <w:r w:rsidR="00333F41">
              <w:rPr>
                <w:rFonts w:ascii="Arial Narrow" w:hAnsi="Arial Narrow" w:cs="Arial"/>
                <w:spacing w:val="0"/>
                <w:sz w:val="22"/>
                <w:szCs w:val="22"/>
                <w:lang w:eastAsia="es-CO"/>
              </w:rPr>
              <w:t>F</w:t>
            </w:r>
            <w:r w:rsidRPr="00A37243">
              <w:rPr>
                <w:rFonts w:ascii="Arial Narrow" w:hAnsi="Arial Narrow" w:cs="Arial"/>
                <w:spacing w:val="0"/>
                <w:sz w:val="22"/>
                <w:szCs w:val="22"/>
                <w:lang w:eastAsia="es-CO"/>
              </w:rPr>
              <w:t xml:space="preserve"> 2019 Admin (42)</w:t>
            </w:r>
          </w:p>
        </w:tc>
        <w:tc>
          <w:tcPr>
            <w:tcW w:w="1843" w:type="dxa"/>
            <w:tcBorders>
              <w:top w:val="nil"/>
              <w:left w:val="nil"/>
              <w:bottom w:val="single" w:sz="4" w:space="0" w:color="auto"/>
              <w:right w:val="single" w:sz="4" w:space="0" w:color="auto"/>
            </w:tcBorders>
            <w:shd w:val="clear" w:color="auto" w:fill="auto"/>
            <w:noWrap/>
            <w:vAlign w:val="center"/>
            <w:hideMark/>
          </w:tcPr>
          <w:p w14:paraId="3E55CF80" w14:textId="77777777" w:rsidR="00A37243" w:rsidRPr="00A37243" w:rsidRDefault="00A37243" w:rsidP="00A37243">
            <w:pPr>
              <w:jc w:val="right"/>
              <w:rPr>
                <w:rFonts w:ascii="Arial Narrow" w:hAnsi="Arial Narrow" w:cs="Arial"/>
                <w:spacing w:val="0"/>
                <w:sz w:val="22"/>
                <w:szCs w:val="22"/>
                <w:lang w:eastAsia="es-CO"/>
              </w:rPr>
            </w:pPr>
            <w:r w:rsidRPr="00A37243">
              <w:rPr>
                <w:rFonts w:ascii="Arial Narrow" w:hAnsi="Arial Narrow" w:cs="Arial"/>
                <w:spacing w:val="0"/>
                <w:sz w:val="22"/>
                <w:szCs w:val="22"/>
                <w:lang w:eastAsia="es-CO"/>
              </w:rPr>
              <w:t> </w:t>
            </w:r>
          </w:p>
        </w:tc>
        <w:tc>
          <w:tcPr>
            <w:tcW w:w="2552" w:type="dxa"/>
            <w:tcBorders>
              <w:top w:val="nil"/>
              <w:left w:val="nil"/>
              <w:bottom w:val="single" w:sz="4" w:space="0" w:color="auto"/>
              <w:right w:val="single" w:sz="4" w:space="0" w:color="auto"/>
            </w:tcBorders>
            <w:shd w:val="clear" w:color="auto" w:fill="auto"/>
            <w:noWrap/>
            <w:vAlign w:val="center"/>
            <w:hideMark/>
          </w:tcPr>
          <w:p w14:paraId="7D062BC0" w14:textId="77777777" w:rsidR="00A37243" w:rsidRPr="00A37243" w:rsidRDefault="00A37243" w:rsidP="00A37243">
            <w:pPr>
              <w:jc w:val="right"/>
              <w:rPr>
                <w:rFonts w:ascii="Arial Narrow" w:hAnsi="Arial Narrow" w:cs="Calibri"/>
                <w:color w:val="000000"/>
                <w:spacing w:val="0"/>
                <w:sz w:val="22"/>
                <w:szCs w:val="22"/>
                <w:lang w:eastAsia="es-CO"/>
              </w:rPr>
            </w:pPr>
            <w:r w:rsidRPr="00A37243">
              <w:rPr>
                <w:rFonts w:ascii="Arial Narrow" w:hAnsi="Arial Narrow" w:cs="Calibri"/>
                <w:color w:val="000000"/>
                <w:spacing w:val="0"/>
                <w:sz w:val="22"/>
                <w:szCs w:val="22"/>
                <w:lang w:eastAsia="es-CO"/>
              </w:rPr>
              <w:t> </w:t>
            </w:r>
          </w:p>
        </w:tc>
        <w:tc>
          <w:tcPr>
            <w:tcW w:w="1984" w:type="dxa"/>
            <w:tcBorders>
              <w:top w:val="nil"/>
              <w:left w:val="nil"/>
              <w:bottom w:val="single" w:sz="4" w:space="0" w:color="auto"/>
              <w:right w:val="single" w:sz="4" w:space="0" w:color="auto"/>
            </w:tcBorders>
            <w:shd w:val="clear" w:color="auto" w:fill="auto"/>
            <w:noWrap/>
            <w:vAlign w:val="center"/>
            <w:hideMark/>
          </w:tcPr>
          <w:p w14:paraId="70C9652D" w14:textId="28E216D9" w:rsidR="00A37243" w:rsidRPr="00A37243" w:rsidRDefault="00A4267A" w:rsidP="00A4267A">
            <w:pPr>
              <w:jc w:val="right"/>
              <w:rPr>
                <w:rFonts w:ascii="Arial Narrow" w:hAnsi="Arial Narrow" w:cs="Arial"/>
                <w:spacing w:val="0"/>
                <w:sz w:val="22"/>
                <w:szCs w:val="22"/>
                <w:lang w:eastAsia="es-CO"/>
              </w:rPr>
            </w:pPr>
            <w:r w:rsidRPr="00A4267A">
              <w:rPr>
                <w:rFonts w:ascii="Arial Narrow" w:hAnsi="Arial Narrow" w:cs="Arial"/>
                <w:spacing w:val="0"/>
                <w:sz w:val="22"/>
                <w:szCs w:val="22"/>
                <w:lang w:eastAsia="es-CO"/>
              </w:rPr>
              <w:t xml:space="preserve">                                1</w:t>
            </w:r>
            <w:r w:rsidR="00EA0452">
              <w:rPr>
                <w:rFonts w:ascii="Arial Narrow" w:hAnsi="Arial Narrow" w:cs="Arial"/>
                <w:spacing w:val="0"/>
                <w:sz w:val="22"/>
                <w:szCs w:val="22"/>
                <w:lang w:eastAsia="es-CO"/>
              </w:rPr>
              <w:t>.</w:t>
            </w:r>
            <w:r w:rsidRPr="00A4267A">
              <w:rPr>
                <w:rFonts w:ascii="Arial Narrow" w:hAnsi="Arial Narrow" w:cs="Arial"/>
                <w:spacing w:val="0"/>
                <w:sz w:val="22"/>
                <w:szCs w:val="22"/>
                <w:lang w:eastAsia="es-CO"/>
              </w:rPr>
              <w:t>161</w:t>
            </w:r>
            <w:r w:rsidR="00EA0452">
              <w:rPr>
                <w:rFonts w:ascii="Arial Narrow" w:hAnsi="Arial Narrow" w:cs="Arial"/>
                <w:spacing w:val="0"/>
                <w:sz w:val="22"/>
                <w:szCs w:val="22"/>
                <w:lang w:eastAsia="es-CO"/>
              </w:rPr>
              <w:t>.</w:t>
            </w:r>
            <w:r w:rsidRPr="00A4267A">
              <w:rPr>
                <w:rFonts w:ascii="Arial Narrow" w:hAnsi="Arial Narrow" w:cs="Arial"/>
                <w:spacing w:val="0"/>
                <w:sz w:val="22"/>
                <w:szCs w:val="22"/>
                <w:lang w:eastAsia="es-CO"/>
              </w:rPr>
              <w:t>633</w:t>
            </w:r>
            <w:r w:rsidR="00EA0452">
              <w:rPr>
                <w:rFonts w:ascii="Arial Narrow" w:hAnsi="Arial Narrow" w:cs="Arial"/>
                <w:spacing w:val="0"/>
                <w:sz w:val="22"/>
                <w:szCs w:val="22"/>
                <w:lang w:eastAsia="es-CO"/>
              </w:rPr>
              <w:t>.</w:t>
            </w:r>
            <w:r w:rsidRPr="00A4267A">
              <w:rPr>
                <w:rFonts w:ascii="Arial Narrow" w:hAnsi="Arial Narrow" w:cs="Arial"/>
                <w:spacing w:val="0"/>
                <w:sz w:val="22"/>
                <w:szCs w:val="22"/>
                <w:lang w:eastAsia="es-CO"/>
              </w:rPr>
              <w:t xml:space="preserve">858 </w:t>
            </w:r>
          </w:p>
        </w:tc>
      </w:tr>
      <w:tr w:rsidR="00A37243" w:rsidRPr="00A37243" w14:paraId="1B5357C1" w14:textId="77777777" w:rsidTr="00801382">
        <w:trPr>
          <w:trHeight w:val="29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7461F1F0" w14:textId="74E40D5B" w:rsidR="00A37243" w:rsidRPr="00A37243" w:rsidRDefault="00A37243" w:rsidP="007114B5">
            <w:pPr>
              <w:jc w:val="left"/>
              <w:rPr>
                <w:rFonts w:ascii="Arial Narrow" w:hAnsi="Arial Narrow" w:cs="Arial"/>
                <w:spacing w:val="0"/>
                <w:sz w:val="22"/>
                <w:szCs w:val="22"/>
                <w:lang w:eastAsia="es-CO"/>
              </w:rPr>
            </w:pPr>
            <w:r w:rsidRPr="00A37243">
              <w:rPr>
                <w:rFonts w:ascii="Arial Narrow" w:hAnsi="Arial Narrow" w:cs="Arial"/>
                <w:spacing w:val="0"/>
                <w:sz w:val="22"/>
                <w:szCs w:val="22"/>
                <w:lang w:eastAsia="es-CO"/>
              </w:rPr>
              <w:t>Base Gravable Empresas sin Reporte E</w:t>
            </w:r>
            <w:r w:rsidR="00333F41">
              <w:rPr>
                <w:rFonts w:ascii="Arial Narrow" w:hAnsi="Arial Narrow" w:cs="Arial"/>
                <w:spacing w:val="0"/>
                <w:sz w:val="22"/>
                <w:szCs w:val="22"/>
                <w:lang w:eastAsia="es-CO"/>
              </w:rPr>
              <w:t>EF</w:t>
            </w:r>
            <w:r w:rsidRPr="00A37243">
              <w:rPr>
                <w:rFonts w:ascii="Arial Narrow" w:hAnsi="Arial Narrow" w:cs="Arial"/>
                <w:spacing w:val="0"/>
                <w:sz w:val="22"/>
                <w:szCs w:val="22"/>
                <w:lang w:eastAsia="es-CO"/>
              </w:rPr>
              <w:t>F 2018 Admin (9)</w:t>
            </w:r>
          </w:p>
        </w:tc>
        <w:tc>
          <w:tcPr>
            <w:tcW w:w="1843" w:type="dxa"/>
            <w:tcBorders>
              <w:top w:val="nil"/>
              <w:left w:val="nil"/>
              <w:bottom w:val="single" w:sz="4" w:space="0" w:color="auto"/>
              <w:right w:val="single" w:sz="4" w:space="0" w:color="auto"/>
            </w:tcBorders>
            <w:shd w:val="clear" w:color="auto" w:fill="auto"/>
            <w:noWrap/>
            <w:vAlign w:val="center"/>
            <w:hideMark/>
          </w:tcPr>
          <w:p w14:paraId="17D3AC65" w14:textId="77777777" w:rsidR="00A37243" w:rsidRPr="00A37243" w:rsidRDefault="00A37243" w:rsidP="00A37243">
            <w:pPr>
              <w:jc w:val="right"/>
              <w:rPr>
                <w:rFonts w:ascii="Arial Narrow" w:hAnsi="Arial Narrow" w:cs="Arial"/>
                <w:spacing w:val="0"/>
                <w:sz w:val="22"/>
                <w:szCs w:val="22"/>
                <w:lang w:eastAsia="es-CO"/>
              </w:rPr>
            </w:pPr>
            <w:r w:rsidRPr="00A37243">
              <w:rPr>
                <w:rFonts w:ascii="Arial Narrow" w:hAnsi="Arial Narrow" w:cs="Arial"/>
                <w:spacing w:val="0"/>
                <w:sz w:val="22"/>
                <w:szCs w:val="22"/>
                <w:lang w:eastAsia="es-CO"/>
              </w:rPr>
              <w:t> </w:t>
            </w:r>
          </w:p>
        </w:tc>
        <w:tc>
          <w:tcPr>
            <w:tcW w:w="2552" w:type="dxa"/>
            <w:tcBorders>
              <w:top w:val="nil"/>
              <w:left w:val="nil"/>
              <w:bottom w:val="single" w:sz="4" w:space="0" w:color="auto"/>
              <w:right w:val="single" w:sz="4" w:space="0" w:color="auto"/>
            </w:tcBorders>
            <w:shd w:val="clear" w:color="auto" w:fill="auto"/>
            <w:noWrap/>
            <w:vAlign w:val="center"/>
            <w:hideMark/>
          </w:tcPr>
          <w:p w14:paraId="2E895BAF" w14:textId="77777777" w:rsidR="00A37243" w:rsidRPr="00A37243" w:rsidRDefault="00A37243" w:rsidP="00A37243">
            <w:pPr>
              <w:jc w:val="right"/>
              <w:rPr>
                <w:rFonts w:ascii="Arial Narrow" w:hAnsi="Arial Narrow" w:cs="Calibri"/>
                <w:color w:val="000000"/>
                <w:spacing w:val="0"/>
                <w:sz w:val="22"/>
                <w:szCs w:val="22"/>
                <w:lang w:eastAsia="es-CO"/>
              </w:rPr>
            </w:pPr>
            <w:r w:rsidRPr="00A37243">
              <w:rPr>
                <w:rFonts w:ascii="Arial Narrow" w:hAnsi="Arial Narrow" w:cs="Calibri"/>
                <w:color w:val="000000"/>
                <w:spacing w:val="0"/>
                <w:sz w:val="22"/>
                <w:szCs w:val="22"/>
                <w:lang w:eastAsia="es-CO"/>
              </w:rPr>
              <w:t> </w:t>
            </w:r>
          </w:p>
        </w:tc>
        <w:tc>
          <w:tcPr>
            <w:tcW w:w="1984" w:type="dxa"/>
            <w:tcBorders>
              <w:top w:val="nil"/>
              <w:left w:val="nil"/>
              <w:bottom w:val="single" w:sz="4" w:space="0" w:color="auto"/>
              <w:right w:val="single" w:sz="4" w:space="0" w:color="auto"/>
            </w:tcBorders>
            <w:shd w:val="clear" w:color="auto" w:fill="auto"/>
            <w:noWrap/>
            <w:vAlign w:val="center"/>
            <w:hideMark/>
          </w:tcPr>
          <w:p w14:paraId="668F1CDE" w14:textId="1F12E0D0" w:rsidR="00A37243" w:rsidRPr="00A37243" w:rsidRDefault="00A37243" w:rsidP="00A37243">
            <w:pPr>
              <w:jc w:val="right"/>
              <w:rPr>
                <w:rFonts w:ascii="Arial Narrow" w:hAnsi="Arial Narrow" w:cs="Arial"/>
                <w:spacing w:val="0"/>
                <w:sz w:val="22"/>
                <w:szCs w:val="22"/>
                <w:lang w:eastAsia="es-CO"/>
              </w:rPr>
            </w:pPr>
            <w:r w:rsidRPr="00A37243">
              <w:rPr>
                <w:rFonts w:ascii="Arial Narrow" w:hAnsi="Arial Narrow" w:cs="Arial"/>
                <w:spacing w:val="0"/>
                <w:sz w:val="22"/>
                <w:szCs w:val="22"/>
                <w:lang w:eastAsia="es-CO"/>
              </w:rPr>
              <w:t xml:space="preserve">                                        18</w:t>
            </w:r>
            <w:r w:rsidR="00EA0452">
              <w:rPr>
                <w:rFonts w:ascii="Arial Narrow" w:hAnsi="Arial Narrow" w:cs="Arial"/>
                <w:spacing w:val="0"/>
                <w:sz w:val="22"/>
                <w:szCs w:val="22"/>
                <w:lang w:eastAsia="es-CO"/>
              </w:rPr>
              <w:t>.</w:t>
            </w:r>
            <w:r w:rsidRPr="00A37243">
              <w:rPr>
                <w:rFonts w:ascii="Arial Narrow" w:hAnsi="Arial Narrow" w:cs="Arial"/>
                <w:spacing w:val="0"/>
                <w:sz w:val="22"/>
                <w:szCs w:val="22"/>
                <w:lang w:eastAsia="es-CO"/>
              </w:rPr>
              <w:t>080</w:t>
            </w:r>
            <w:r w:rsidR="00EA0452">
              <w:rPr>
                <w:rFonts w:ascii="Arial Narrow" w:hAnsi="Arial Narrow" w:cs="Arial"/>
                <w:spacing w:val="0"/>
                <w:sz w:val="22"/>
                <w:szCs w:val="22"/>
                <w:lang w:eastAsia="es-CO"/>
              </w:rPr>
              <w:t>.</w:t>
            </w:r>
            <w:r w:rsidRPr="00A37243">
              <w:rPr>
                <w:rFonts w:ascii="Arial Narrow" w:hAnsi="Arial Narrow" w:cs="Arial"/>
                <w:spacing w:val="0"/>
                <w:sz w:val="22"/>
                <w:szCs w:val="22"/>
                <w:lang w:eastAsia="es-CO"/>
              </w:rPr>
              <w:t xml:space="preserve">814 </w:t>
            </w:r>
          </w:p>
        </w:tc>
      </w:tr>
      <w:tr w:rsidR="00A37243" w:rsidRPr="00A37243" w14:paraId="75186C0C" w14:textId="77777777" w:rsidTr="00801382">
        <w:trPr>
          <w:trHeight w:val="29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675A3830" w14:textId="40EAB916" w:rsidR="00A37243" w:rsidRPr="00A37243" w:rsidRDefault="00A37243" w:rsidP="007114B5">
            <w:pPr>
              <w:jc w:val="left"/>
              <w:rPr>
                <w:rFonts w:ascii="Arial Narrow" w:hAnsi="Arial Narrow" w:cs="Arial"/>
                <w:spacing w:val="0"/>
                <w:sz w:val="22"/>
                <w:szCs w:val="22"/>
                <w:lang w:eastAsia="es-CO"/>
              </w:rPr>
            </w:pPr>
            <w:r w:rsidRPr="00A37243">
              <w:rPr>
                <w:rFonts w:ascii="Arial Narrow" w:hAnsi="Arial Narrow" w:cs="Arial"/>
                <w:spacing w:val="0"/>
                <w:sz w:val="22"/>
                <w:szCs w:val="22"/>
                <w:lang w:eastAsia="es-CO"/>
              </w:rPr>
              <w:t>Base Gravable Empresas sin Reporte E</w:t>
            </w:r>
            <w:r w:rsidR="00333F41">
              <w:rPr>
                <w:rFonts w:ascii="Arial Narrow" w:hAnsi="Arial Narrow" w:cs="Arial"/>
                <w:spacing w:val="0"/>
                <w:sz w:val="22"/>
                <w:szCs w:val="22"/>
                <w:lang w:eastAsia="es-CO"/>
              </w:rPr>
              <w:t>EF</w:t>
            </w:r>
            <w:r w:rsidRPr="00A37243">
              <w:rPr>
                <w:rFonts w:ascii="Arial Narrow" w:hAnsi="Arial Narrow" w:cs="Arial"/>
                <w:spacing w:val="0"/>
                <w:sz w:val="22"/>
                <w:szCs w:val="22"/>
                <w:lang w:eastAsia="es-CO"/>
              </w:rPr>
              <w:t>F 2019 Oper</w:t>
            </w:r>
            <w:r>
              <w:rPr>
                <w:rFonts w:ascii="Arial Narrow" w:hAnsi="Arial Narrow" w:cs="Arial"/>
                <w:spacing w:val="0"/>
                <w:sz w:val="22"/>
                <w:szCs w:val="22"/>
                <w:lang w:eastAsia="es-CO"/>
              </w:rPr>
              <w:t>ativos</w:t>
            </w:r>
            <w:r w:rsidRPr="00A37243">
              <w:rPr>
                <w:rFonts w:ascii="Arial Narrow" w:hAnsi="Arial Narrow" w:cs="Arial"/>
                <w:spacing w:val="0"/>
                <w:sz w:val="22"/>
                <w:szCs w:val="22"/>
                <w:lang w:eastAsia="es-CO"/>
              </w:rPr>
              <w:t xml:space="preserve"> (42)</w:t>
            </w:r>
          </w:p>
        </w:tc>
        <w:tc>
          <w:tcPr>
            <w:tcW w:w="1843" w:type="dxa"/>
            <w:tcBorders>
              <w:top w:val="nil"/>
              <w:left w:val="nil"/>
              <w:bottom w:val="single" w:sz="4" w:space="0" w:color="auto"/>
              <w:right w:val="single" w:sz="4" w:space="0" w:color="auto"/>
            </w:tcBorders>
            <w:shd w:val="clear" w:color="auto" w:fill="auto"/>
            <w:noWrap/>
            <w:vAlign w:val="center"/>
            <w:hideMark/>
          </w:tcPr>
          <w:p w14:paraId="4DA1520F" w14:textId="0DC19B10" w:rsidR="00A37243" w:rsidRPr="00A37243" w:rsidRDefault="00A37243" w:rsidP="00A37243">
            <w:pPr>
              <w:jc w:val="right"/>
              <w:rPr>
                <w:rFonts w:ascii="Arial Narrow" w:hAnsi="Arial Narrow" w:cs="Arial"/>
                <w:spacing w:val="0"/>
                <w:sz w:val="22"/>
                <w:szCs w:val="22"/>
                <w:lang w:eastAsia="es-CO"/>
              </w:rPr>
            </w:pPr>
            <w:r w:rsidRPr="00A37243">
              <w:rPr>
                <w:rFonts w:ascii="Arial Narrow" w:hAnsi="Arial Narrow" w:cs="Arial"/>
                <w:spacing w:val="0"/>
                <w:sz w:val="22"/>
                <w:szCs w:val="22"/>
                <w:lang w:eastAsia="es-CO"/>
              </w:rPr>
              <w:t xml:space="preserve">                       158</w:t>
            </w:r>
            <w:r w:rsidR="00EA0452">
              <w:rPr>
                <w:rFonts w:ascii="Arial Narrow" w:hAnsi="Arial Narrow" w:cs="Arial"/>
                <w:spacing w:val="0"/>
                <w:sz w:val="22"/>
                <w:szCs w:val="22"/>
                <w:lang w:eastAsia="es-CO"/>
              </w:rPr>
              <w:t>.</w:t>
            </w:r>
            <w:r w:rsidRPr="00A37243">
              <w:rPr>
                <w:rFonts w:ascii="Arial Narrow" w:hAnsi="Arial Narrow" w:cs="Arial"/>
                <w:spacing w:val="0"/>
                <w:sz w:val="22"/>
                <w:szCs w:val="22"/>
                <w:lang w:eastAsia="es-CO"/>
              </w:rPr>
              <w:t>918</w:t>
            </w:r>
            <w:r w:rsidR="00EA0452">
              <w:rPr>
                <w:rFonts w:ascii="Arial Narrow" w:hAnsi="Arial Narrow" w:cs="Arial"/>
                <w:spacing w:val="0"/>
                <w:sz w:val="22"/>
                <w:szCs w:val="22"/>
                <w:lang w:eastAsia="es-CO"/>
              </w:rPr>
              <w:t>.</w:t>
            </w:r>
            <w:r w:rsidRPr="00A37243">
              <w:rPr>
                <w:rFonts w:ascii="Arial Narrow" w:hAnsi="Arial Narrow" w:cs="Arial"/>
                <w:spacing w:val="0"/>
                <w:sz w:val="22"/>
                <w:szCs w:val="22"/>
                <w:lang w:eastAsia="es-CO"/>
              </w:rPr>
              <w:t>586</w:t>
            </w:r>
            <w:r w:rsidR="00EA0452">
              <w:rPr>
                <w:rFonts w:ascii="Arial Narrow" w:hAnsi="Arial Narrow" w:cs="Arial"/>
                <w:spacing w:val="0"/>
                <w:sz w:val="22"/>
                <w:szCs w:val="22"/>
                <w:lang w:eastAsia="es-CO"/>
              </w:rPr>
              <w:t>.</w:t>
            </w:r>
            <w:r w:rsidRPr="00A37243">
              <w:rPr>
                <w:rFonts w:ascii="Arial Narrow" w:hAnsi="Arial Narrow" w:cs="Arial"/>
                <w:spacing w:val="0"/>
                <w:sz w:val="22"/>
                <w:szCs w:val="22"/>
                <w:lang w:eastAsia="es-CO"/>
              </w:rPr>
              <w:t xml:space="preserve">074 </w:t>
            </w:r>
          </w:p>
        </w:tc>
        <w:tc>
          <w:tcPr>
            <w:tcW w:w="2552" w:type="dxa"/>
            <w:tcBorders>
              <w:top w:val="nil"/>
              <w:left w:val="nil"/>
              <w:bottom w:val="single" w:sz="4" w:space="0" w:color="auto"/>
              <w:right w:val="single" w:sz="4" w:space="0" w:color="auto"/>
            </w:tcBorders>
            <w:shd w:val="clear" w:color="auto" w:fill="auto"/>
            <w:noWrap/>
            <w:vAlign w:val="center"/>
            <w:hideMark/>
          </w:tcPr>
          <w:p w14:paraId="40D5F92B" w14:textId="11E08C59" w:rsidR="00A37243" w:rsidRPr="00A37243" w:rsidRDefault="00A37243" w:rsidP="00A37243">
            <w:pPr>
              <w:jc w:val="right"/>
              <w:rPr>
                <w:rFonts w:ascii="Arial Narrow" w:hAnsi="Arial Narrow" w:cs="Arial"/>
                <w:spacing w:val="0"/>
                <w:sz w:val="22"/>
                <w:szCs w:val="22"/>
                <w:lang w:eastAsia="es-CO"/>
              </w:rPr>
            </w:pPr>
            <w:r w:rsidRPr="00A37243">
              <w:rPr>
                <w:rFonts w:ascii="Arial Narrow" w:hAnsi="Arial Narrow" w:cs="Arial"/>
                <w:spacing w:val="0"/>
                <w:sz w:val="22"/>
                <w:szCs w:val="22"/>
                <w:lang w:eastAsia="es-CO"/>
              </w:rPr>
              <w:t xml:space="preserve">                                 8</w:t>
            </w:r>
            <w:r w:rsidR="00EA0452">
              <w:rPr>
                <w:rFonts w:ascii="Arial Narrow" w:hAnsi="Arial Narrow" w:cs="Arial"/>
                <w:spacing w:val="0"/>
                <w:sz w:val="22"/>
                <w:szCs w:val="22"/>
                <w:lang w:eastAsia="es-CO"/>
              </w:rPr>
              <w:t>.</w:t>
            </w:r>
            <w:r w:rsidRPr="00A37243">
              <w:rPr>
                <w:rFonts w:ascii="Arial Narrow" w:hAnsi="Arial Narrow" w:cs="Arial"/>
                <w:spacing w:val="0"/>
                <w:sz w:val="22"/>
                <w:szCs w:val="22"/>
                <w:lang w:eastAsia="es-CO"/>
              </w:rPr>
              <w:t>664</w:t>
            </w:r>
            <w:r w:rsidR="00EA0452">
              <w:rPr>
                <w:rFonts w:ascii="Arial Narrow" w:hAnsi="Arial Narrow" w:cs="Arial"/>
                <w:spacing w:val="0"/>
                <w:sz w:val="22"/>
                <w:szCs w:val="22"/>
                <w:lang w:eastAsia="es-CO"/>
              </w:rPr>
              <w:t>.</w:t>
            </w:r>
            <w:r w:rsidRPr="00A37243">
              <w:rPr>
                <w:rFonts w:ascii="Arial Narrow" w:hAnsi="Arial Narrow" w:cs="Arial"/>
                <w:spacing w:val="0"/>
                <w:sz w:val="22"/>
                <w:szCs w:val="22"/>
                <w:lang w:eastAsia="es-CO"/>
              </w:rPr>
              <w:t xml:space="preserve">930 </w:t>
            </w:r>
          </w:p>
        </w:tc>
        <w:tc>
          <w:tcPr>
            <w:tcW w:w="1984" w:type="dxa"/>
            <w:tcBorders>
              <w:top w:val="nil"/>
              <w:left w:val="nil"/>
              <w:bottom w:val="single" w:sz="4" w:space="0" w:color="auto"/>
              <w:right w:val="single" w:sz="4" w:space="0" w:color="auto"/>
            </w:tcBorders>
            <w:shd w:val="clear" w:color="auto" w:fill="auto"/>
            <w:noWrap/>
            <w:vAlign w:val="center"/>
            <w:hideMark/>
          </w:tcPr>
          <w:p w14:paraId="6BC4B9CA" w14:textId="151CCDD3" w:rsidR="00A37243" w:rsidRPr="00A37243" w:rsidRDefault="00A37243" w:rsidP="00A37243">
            <w:pPr>
              <w:jc w:val="right"/>
              <w:rPr>
                <w:rFonts w:ascii="Arial Narrow" w:hAnsi="Arial Narrow" w:cs="Arial"/>
                <w:spacing w:val="0"/>
                <w:sz w:val="22"/>
                <w:szCs w:val="22"/>
                <w:lang w:eastAsia="es-CO"/>
              </w:rPr>
            </w:pPr>
            <w:r w:rsidRPr="00A37243">
              <w:rPr>
                <w:rFonts w:ascii="Arial Narrow" w:hAnsi="Arial Narrow" w:cs="Arial"/>
                <w:spacing w:val="0"/>
                <w:sz w:val="22"/>
                <w:szCs w:val="22"/>
                <w:lang w:eastAsia="es-CO"/>
              </w:rPr>
              <w:t xml:space="preserve">                                           8</w:t>
            </w:r>
            <w:r w:rsidR="00EA0452">
              <w:rPr>
                <w:rFonts w:ascii="Arial Narrow" w:hAnsi="Arial Narrow" w:cs="Arial"/>
                <w:spacing w:val="0"/>
                <w:sz w:val="22"/>
                <w:szCs w:val="22"/>
                <w:lang w:eastAsia="es-CO"/>
              </w:rPr>
              <w:t>.</w:t>
            </w:r>
            <w:r w:rsidRPr="00A37243">
              <w:rPr>
                <w:rFonts w:ascii="Arial Narrow" w:hAnsi="Arial Narrow" w:cs="Arial"/>
                <w:spacing w:val="0"/>
                <w:sz w:val="22"/>
                <w:szCs w:val="22"/>
                <w:lang w:eastAsia="es-CO"/>
              </w:rPr>
              <w:t>664</w:t>
            </w:r>
            <w:r w:rsidR="00EA0452">
              <w:rPr>
                <w:rFonts w:ascii="Arial Narrow" w:hAnsi="Arial Narrow" w:cs="Arial"/>
                <w:spacing w:val="0"/>
                <w:sz w:val="22"/>
                <w:szCs w:val="22"/>
                <w:lang w:eastAsia="es-CO"/>
              </w:rPr>
              <w:t>.</w:t>
            </w:r>
            <w:r w:rsidRPr="00A37243">
              <w:rPr>
                <w:rFonts w:ascii="Arial Narrow" w:hAnsi="Arial Narrow" w:cs="Arial"/>
                <w:spacing w:val="0"/>
                <w:sz w:val="22"/>
                <w:szCs w:val="22"/>
                <w:lang w:eastAsia="es-CO"/>
              </w:rPr>
              <w:t xml:space="preserve">930 </w:t>
            </w:r>
          </w:p>
        </w:tc>
      </w:tr>
      <w:tr w:rsidR="00A37243" w:rsidRPr="00A37243" w14:paraId="35607DB1" w14:textId="77777777" w:rsidTr="00801382">
        <w:trPr>
          <w:trHeight w:val="29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44F5F754" w14:textId="1DBF0232" w:rsidR="00A37243" w:rsidRPr="00A37243" w:rsidRDefault="00A37243" w:rsidP="007114B5">
            <w:pPr>
              <w:jc w:val="left"/>
              <w:rPr>
                <w:rFonts w:ascii="Arial Narrow" w:hAnsi="Arial Narrow" w:cs="Arial"/>
                <w:spacing w:val="0"/>
                <w:sz w:val="22"/>
                <w:szCs w:val="22"/>
                <w:lang w:eastAsia="es-CO"/>
              </w:rPr>
            </w:pPr>
            <w:r w:rsidRPr="00A37243">
              <w:rPr>
                <w:rFonts w:ascii="Arial Narrow" w:hAnsi="Arial Narrow" w:cs="Arial"/>
                <w:spacing w:val="0"/>
                <w:sz w:val="22"/>
                <w:szCs w:val="22"/>
                <w:lang w:eastAsia="es-CO"/>
              </w:rPr>
              <w:t>Base Gravable Empresas sin Reporte E</w:t>
            </w:r>
            <w:r w:rsidR="00333F41">
              <w:rPr>
                <w:rFonts w:ascii="Arial Narrow" w:hAnsi="Arial Narrow" w:cs="Arial"/>
                <w:spacing w:val="0"/>
                <w:sz w:val="22"/>
                <w:szCs w:val="22"/>
                <w:lang w:eastAsia="es-CO"/>
              </w:rPr>
              <w:t>EF</w:t>
            </w:r>
            <w:r w:rsidRPr="00A37243">
              <w:rPr>
                <w:rFonts w:ascii="Arial Narrow" w:hAnsi="Arial Narrow" w:cs="Arial"/>
                <w:spacing w:val="0"/>
                <w:sz w:val="22"/>
                <w:szCs w:val="22"/>
                <w:lang w:eastAsia="es-CO"/>
              </w:rPr>
              <w:t>F 2018 Oper</w:t>
            </w:r>
            <w:r>
              <w:rPr>
                <w:rFonts w:ascii="Arial Narrow" w:hAnsi="Arial Narrow" w:cs="Arial"/>
                <w:spacing w:val="0"/>
                <w:sz w:val="22"/>
                <w:szCs w:val="22"/>
                <w:lang w:eastAsia="es-CO"/>
              </w:rPr>
              <w:t>ativos</w:t>
            </w:r>
            <w:r w:rsidRPr="00A37243">
              <w:rPr>
                <w:rFonts w:ascii="Arial Narrow" w:hAnsi="Arial Narrow" w:cs="Arial"/>
                <w:spacing w:val="0"/>
                <w:sz w:val="22"/>
                <w:szCs w:val="22"/>
                <w:lang w:eastAsia="es-CO"/>
              </w:rPr>
              <w:t xml:space="preserve"> (9)</w:t>
            </w:r>
          </w:p>
        </w:tc>
        <w:tc>
          <w:tcPr>
            <w:tcW w:w="1843" w:type="dxa"/>
            <w:tcBorders>
              <w:top w:val="nil"/>
              <w:left w:val="nil"/>
              <w:bottom w:val="single" w:sz="4" w:space="0" w:color="auto"/>
              <w:right w:val="single" w:sz="4" w:space="0" w:color="auto"/>
            </w:tcBorders>
            <w:shd w:val="clear" w:color="auto" w:fill="auto"/>
            <w:noWrap/>
            <w:vAlign w:val="center"/>
            <w:hideMark/>
          </w:tcPr>
          <w:p w14:paraId="2C1241AB" w14:textId="57E60751" w:rsidR="00A37243" w:rsidRPr="00A37243" w:rsidRDefault="00A37243" w:rsidP="00A37243">
            <w:pPr>
              <w:jc w:val="right"/>
              <w:rPr>
                <w:rFonts w:ascii="Arial Narrow" w:hAnsi="Arial Narrow" w:cs="Arial"/>
                <w:spacing w:val="0"/>
                <w:sz w:val="22"/>
                <w:szCs w:val="22"/>
                <w:lang w:eastAsia="es-CO"/>
              </w:rPr>
            </w:pPr>
            <w:r w:rsidRPr="00A37243">
              <w:rPr>
                <w:rFonts w:ascii="Arial Narrow" w:hAnsi="Arial Narrow" w:cs="Arial"/>
                <w:spacing w:val="0"/>
                <w:sz w:val="22"/>
                <w:szCs w:val="22"/>
                <w:lang w:eastAsia="es-CO"/>
              </w:rPr>
              <w:t xml:space="preserve">                             980</w:t>
            </w:r>
            <w:r w:rsidR="00EA0452">
              <w:rPr>
                <w:rFonts w:ascii="Arial Narrow" w:hAnsi="Arial Narrow" w:cs="Arial"/>
                <w:spacing w:val="0"/>
                <w:sz w:val="22"/>
                <w:szCs w:val="22"/>
                <w:lang w:eastAsia="es-CO"/>
              </w:rPr>
              <w:t>.</w:t>
            </w:r>
            <w:r w:rsidRPr="00A37243">
              <w:rPr>
                <w:rFonts w:ascii="Arial Narrow" w:hAnsi="Arial Narrow" w:cs="Arial"/>
                <w:spacing w:val="0"/>
                <w:sz w:val="22"/>
                <w:szCs w:val="22"/>
                <w:lang w:eastAsia="es-CO"/>
              </w:rPr>
              <w:t>377</w:t>
            </w:r>
            <w:r w:rsidR="00EA0452">
              <w:rPr>
                <w:rFonts w:ascii="Arial Narrow" w:hAnsi="Arial Narrow" w:cs="Arial"/>
                <w:spacing w:val="0"/>
                <w:sz w:val="22"/>
                <w:szCs w:val="22"/>
                <w:lang w:eastAsia="es-CO"/>
              </w:rPr>
              <w:t>.</w:t>
            </w:r>
            <w:r w:rsidRPr="00A37243">
              <w:rPr>
                <w:rFonts w:ascii="Arial Narrow" w:hAnsi="Arial Narrow" w:cs="Arial"/>
                <w:spacing w:val="0"/>
                <w:sz w:val="22"/>
                <w:szCs w:val="22"/>
                <w:lang w:eastAsia="es-CO"/>
              </w:rPr>
              <w:t xml:space="preserve">185 </w:t>
            </w:r>
          </w:p>
        </w:tc>
        <w:tc>
          <w:tcPr>
            <w:tcW w:w="2552" w:type="dxa"/>
            <w:tcBorders>
              <w:top w:val="nil"/>
              <w:left w:val="nil"/>
              <w:bottom w:val="single" w:sz="4" w:space="0" w:color="auto"/>
              <w:right w:val="single" w:sz="4" w:space="0" w:color="auto"/>
            </w:tcBorders>
            <w:shd w:val="clear" w:color="auto" w:fill="auto"/>
            <w:noWrap/>
            <w:vAlign w:val="center"/>
            <w:hideMark/>
          </w:tcPr>
          <w:p w14:paraId="536E0D98" w14:textId="2EB382B9" w:rsidR="00A37243" w:rsidRPr="00A37243" w:rsidRDefault="00A37243" w:rsidP="00A37243">
            <w:pPr>
              <w:jc w:val="right"/>
              <w:rPr>
                <w:rFonts w:ascii="Arial Narrow" w:hAnsi="Arial Narrow" w:cs="Arial"/>
                <w:spacing w:val="0"/>
                <w:sz w:val="22"/>
                <w:szCs w:val="22"/>
                <w:lang w:eastAsia="es-CO"/>
              </w:rPr>
            </w:pPr>
            <w:r w:rsidRPr="00A37243">
              <w:rPr>
                <w:rFonts w:ascii="Arial Narrow" w:hAnsi="Arial Narrow" w:cs="Arial"/>
                <w:spacing w:val="0"/>
                <w:sz w:val="22"/>
                <w:szCs w:val="22"/>
                <w:lang w:eastAsia="es-CO"/>
              </w:rPr>
              <w:t xml:space="preserve">                                     53</w:t>
            </w:r>
            <w:r w:rsidR="00EA0452">
              <w:rPr>
                <w:rFonts w:ascii="Arial Narrow" w:hAnsi="Arial Narrow" w:cs="Arial"/>
                <w:spacing w:val="0"/>
                <w:sz w:val="22"/>
                <w:szCs w:val="22"/>
                <w:lang w:eastAsia="es-CO"/>
              </w:rPr>
              <w:t>.</w:t>
            </w:r>
            <w:r w:rsidRPr="00A37243">
              <w:rPr>
                <w:rFonts w:ascii="Arial Narrow" w:hAnsi="Arial Narrow" w:cs="Arial"/>
                <w:spacing w:val="0"/>
                <w:sz w:val="22"/>
                <w:szCs w:val="22"/>
                <w:lang w:eastAsia="es-CO"/>
              </w:rPr>
              <w:t xml:space="preserve">454 </w:t>
            </w:r>
          </w:p>
        </w:tc>
        <w:tc>
          <w:tcPr>
            <w:tcW w:w="1984" w:type="dxa"/>
            <w:tcBorders>
              <w:top w:val="nil"/>
              <w:left w:val="nil"/>
              <w:bottom w:val="single" w:sz="4" w:space="0" w:color="auto"/>
              <w:right w:val="single" w:sz="4" w:space="0" w:color="auto"/>
            </w:tcBorders>
            <w:shd w:val="clear" w:color="auto" w:fill="auto"/>
            <w:noWrap/>
            <w:vAlign w:val="center"/>
            <w:hideMark/>
          </w:tcPr>
          <w:p w14:paraId="400C5D35" w14:textId="37AAB3F2" w:rsidR="00A37243" w:rsidRPr="00A37243" w:rsidRDefault="00A37243" w:rsidP="00A37243">
            <w:pPr>
              <w:jc w:val="right"/>
              <w:rPr>
                <w:rFonts w:ascii="Arial Narrow" w:hAnsi="Arial Narrow" w:cs="Arial"/>
                <w:spacing w:val="0"/>
                <w:sz w:val="22"/>
                <w:szCs w:val="22"/>
                <w:lang w:eastAsia="es-CO"/>
              </w:rPr>
            </w:pPr>
            <w:r w:rsidRPr="00A37243">
              <w:rPr>
                <w:rFonts w:ascii="Arial Narrow" w:hAnsi="Arial Narrow" w:cs="Arial"/>
                <w:spacing w:val="0"/>
                <w:sz w:val="22"/>
                <w:szCs w:val="22"/>
                <w:lang w:eastAsia="es-CO"/>
              </w:rPr>
              <w:t xml:space="preserve">                                               53</w:t>
            </w:r>
            <w:r w:rsidR="00EA0452">
              <w:rPr>
                <w:rFonts w:ascii="Arial Narrow" w:hAnsi="Arial Narrow" w:cs="Arial"/>
                <w:spacing w:val="0"/>
                <w:sz w:val="22"/>
                <w:szCs w:val="22"/>
                <w:lang w:eastAsia="es-CO"/>
              </w:rPr>
              <w:t>.</w:t>
            </w:r>
            <w:r w:rsidRPr="00A37243">
              <w:rPr>
                <w:rFonts w:ascii="Arial Narrow" w:hAnsi="Arial Narrow" w:cs="Arial"/>
                <w:spacing w:val="0"/>
                <w:sz w:val="22"/>
                <w:szCs w:val="22"/>
                <w:lang w:eastAsia="es-CO"/>
              </w:rPr>
              <w:t xml:space="preserve">454 </w:t>
            </w:r>
          </w:p>
        </w:tc>
      </w:tr>
      <w:tr w:rsidR="00271B60" w:rsidRPr="00271B60" w14:paraId="4140C35E" w14:textId="77777777" w:rsidTr="00271B60">
        <w:trPr>
          <w:trHeight w:val="290"/>
        </w:trPr>
        <w:tc>
          <w:tcPr>
            <w:tcW w:w="2830" w:type="dxa"/>
            <w:tcBorders>
              <w:top w:val="nil"/>
              <w:left w:val="single" w:sz="4" w:space="0" w:color="auto"/>
              <w:bottom w:val="single" w:sz="4" w:space="0" w:color="auto"/>
              <w:right w:val="single" w:sz="4" w:space="0" w:color="auto"/>
            </w:tcBorders>
            <w:shd w:val="clear" w:color="auto" w:fill="E7E6E6" w:themeFill="background2"/>
            <w:noWrap/>
            <w:vAlign w:val="center"/>
            <w:hideMark/>
          </w:tcPr>
          <w:p w14:paraId="51C2B50F" w14:textId="77777777" w:rsidR="00A37243" w:rsidRPr="00271B60" w:rsidRDefault="00A37243" w:rsidP="007114B5">
            <w:pPr>
              <w:jc w:val="left"/>
              <w:rPr>
                <w:rFonts w:ascii="Arial Narrow" w:hAnsi="Arial Narrow" w:cs="Arial"/>
                <w:b/>
                <w:bCs/>
                <w:spacing w:val="0"/>
                <w:sz w:val="22"/>
                <w:szCs w:val="22"/>
                <w:lang w:eastAsia="es-CO"/>
              </w:rPr>
            </w:pPr>
            <w:r w:rsidRPr="00271B60">
              <w:rPr>
                <w:rFonts w:ascii="Arial Narrow" w:hAnsi="Arial Narrow" w:cs="Arial"/>
                <w:b/>
                <w:bCs/>
                <w:spacing w:val="0"/>
                <w:sz w:val="22"/>
                <w:szCs w:val="22"/>
                <w:lang w:eastAsia="es-CO"/>
              </w:rPr>
              <w:t>Total Base Gravable</w:t>
            </w:r>
          </w:p>
        </w:tc>
        <w:tc>
          <w:tcPr>
            <w:tcW w:w="1843" w:type="dxa"/>
            <w:tcBorders>
              <w:top w:val="nil"/>
              <w:left w:val="nil"/>
              <w:bottom w:val="single" w:sz="4" w:space="0" w:color="auto"/>
              <w:right w:val="single" w:sz="4" w:space="0" w:color="auto"/>
            </w:tcBorders>
            <w:shd w:val="clear" w:color="auto" w:fill="E7E6E6" w:themeFill="background2"/>
            <w:noWrap/>
            <w:vAlign w:val="center"/>
            <w:hideMark/>
          </w:tcPr>
          <w:p w14:paraId="20E752F7" w14:textId="7070DBCD" w:rsidR="00A37243" w:rsidRPr="00271B60" w:rsidRDefault="00A37243" w:rsidP="00A37243">
            <w:pPr>
              <w:jc w:val="right"/>
              <w:rPr>
                <w:rFonts w:ascii="Arial Narrow" w:hAnsi="Arial Narrow" w:cs="Arial"/>
                <w:b/>
                <w:bCs/>
                <w:spacing w:val="0"/>
                <w:sz w:val="22"/>
                <w:szCs w:val="22"/>
                <w:lang w:eastAsia="es-CO"/>
              </w:rPr>
            </w:pPr>
            <w:r w:rsidRPr="00271B60">
              <w:rPr>
                <w:rFonts w:ascii="Arial Narrow" w:hAnsi="Arial Narrow" w:cs="Arial"/>
                <w:b/>
                <w:bCs/>
                <w:spacing w:val="0"/>
                <w:sz w:val="22"/>
                <w:szCs w:val="22"/>
                <w:lang w:eastAsia="es-CO"/>
              </w:rPr>
              <w:t xml:space="preserve">  8</w:t>
            </w:r>
            <w:r w:rsidR="00EA0452" w:rsidRPr="00271B60">
              <w:rPr>
                <w:rFonts w:ascii="Arial Narrow" w:hAnsi="Arial Narrow" w:cs="Arial"/>
                <w:b/>
                <w:bCs/>
                <w:spacing w:val="0"/>
                <w:sz w:val="22"/>
                <w:szCs w:val="22"/>
                <w:lang w:eastAsia="es-CO"/>
              </w:rPr>
              <w:t>.</w:t>
            </w:r>
            <w:r w:rsidRPr="00271B60">
              <w:rPr>
                <w:rFonts w:ascii="Arial Narrow" w:hAnsi="Arial Narrow" w:cs="Arial"/>
                <w:b/>
                <w:bCs/>
                <w:spacing w:val="0"/>
                <w:sz w:val="22"/>
                <w:szCs w:val="22"/>
                <w:lang w:eastAsia="es-CO"/>
              </w:rPr>
              <w:t>734</w:t>
            </w:r>
            <w:r w:rsidR="00EA0452" w:rsidRPr="00271B60">
              <w:rPr>
                <w:rFonts w:ascii="Arial Narrow" w:hAnsi="Arial Narrow" w:cs="Arial"/>
                <w:b/>
                <w:bCs/>
                <w:spacing w:val="0"/>
                <w:sz w:val="22"/>
                <w:szCs w:val="22"/>
                <w:lang w:eastAsia="es-CO"/>
              </w:rPr>
              <w:t>.</w:t>
            </w:r>
            <w:r w:rsidRPr="00271B60">
              <w:rPr>
                <w:rFonts w:ascii="Arial Narrow" w:hAnsi="Arial Narrow" w:cs="Arial"/>
                <w:b/>
                <w:bCs/>
                <w:spacing w:val="0"/>
                <w:sz w:val="22"/>
                <w:szCs w:val="22"/>
                <w:lang w:eastAsia="es-CO"/>
              </w:rPr>
              <w:t>712</w:t>
            </w:r>
            <w:r w:rsidR="00EA0452" w:rsidRPr="00271B60">
              <w:rPr>
                <w:rFonts w:ascii="Arial Narrow" w:hAnsi="Arial Narrow" w:cs="Arial"/>
                <w:b/>
                <w:bCs/>
                <w:spacing w:val="0"/>
                <w:sz w:val="22"/>
                <w:szCs w:val="22"/>
                <w:lang w:eastAsia="es-CO"/>
              </w:rPr>
              <w:t>.</w:t>
            </w:r>
            <w:r w:rsidRPr="00271B60">
              <w:rPr>
                <w:rFonts w:ascii="Arial Narrow" w:hAnsi="Arial Narrow" w:cs="Arial"/>
                <w:b/>
                <w:bCs/>
                <w:spacing w:val="0"/>
                <w:sz w:val="22"/>
                <w:szCs w:val="22"/>
                <w:lang w:eastAsia="es-CO"/>
              </w:rPr>
              <w:t>243</w:t>
            </w:r>
            <w:r w:rsidR="00EA0452" w:rsidRPr="00271B60">
              <w:rPr>
                <w:rFonts w:ascii="Arial Narrow" w:hAnsi="Arial Narrow" w:cs="Arial"/>
                <w:b/>
                <w:bCs/>
                <w:spacing w:val="0"/>
                <w:sz w:val="22"/>
                <w:szCs w:val="22"/>
                <w:lang w:eastAsia="es-CO"/>
              </w:rPr>
              <w:t>.</w:t>
            </w:r>
            <w:r w:rsidRPr="00271B60">
              <w:rPr>
                <w:rFonts w:ascii="Arial Narrow" w:hAnsi="Arial Narrow" w:cs="Arial"/>
                <w:b/>
                <w:bCs/>
                <w:spacing w:val="0"/>
                <w:sz w:val="22"/>
                <w:szCs w:val="22"/>
                <w:lang w:eastAsia="es-CO"/>
              </w:rPr>
              <w:t xml:space="preserve">135 </w:t>
            </w:r>
          </w:p>
        </w:tc>
        <w:tc>
          <w:tcPr>
            <w:tcW w:w="2552" w:type="dxa"/>
            <w:tcBorders>
              <w:top w:val="nil"/>
              <w:left w:val="nil"/>
              <w:bottom w:val="single" w:sz="4" w:space="0" w:color="auto"/>
              <w:right w:val="single" w:sz="4" w:space="0" w:color="auto"/>
            </w:tcBorders>
            <w:shd w:val="clear" w:color="auto" w:fill="E7E6E6" w:themeFill="background2"/>
            <w:noWrap/>
            <w:vAlign w:val="center"/>
            <w:hideMark/>
          </w:tcPr>
          <w:p w14:paraId="65668A32" w14:textId="692F5AAC" w:rsidR="00A37243" w:rsidRPr="00271B60" w:rsidRDefault="00A37243" w:rsidP="00A37243">
            <w:pPr>
              <w:jc w:val="right"/>
              <w:rPr>
                <w:rFonts w:ascii="Arial Narrow" w:hAnsi="Arial Narrow" w:cs="Arial"/>
                <w:b/>
                <w:bCs/>
                <w:spacing w:val="0"/>
                <w:sz w:val="22"/>
                <w:szCs w:val="22"/>
                <w:lang w:eastAsia="es-CO"/>
              </w:rPr>
            </w:pPr>
            <w:r w:rsidRPr="00271B60">
              <w:rPr>
                <w:rFonts w:ascii="Arial Narrow" w:hAnsi="Arial Narrow" w:cs="Arial"/>
                <w:b/>
                <w:bCs/>
                <w:spacing w:val="0"/>
                <w:sz w:val="22"/>
                <w:szCs w:val="22"/>
                <w:lang w:eastAsia="es-CO"/>
              </w:rPr>
              <w:t xml:space="preserve">           476</w:t>
            </w:r>
            <w:r w:rsidR="00EA0452" w:rsidRPr="00271B60">
              <w:rPr>
                <w:rFonts w:ascii="Arial Narrow" w:hAnsi="Arial Narrow" w:cs="Arial"/>
                <w:b/>
                <w:bCs/>
                <w:spacing w:val="0"/>
                <w:sz w:val="22"/>
                <w:szCs w:val="22"/>
                <w:lang w:eastAsia="es-CO"/>
              </w:rPr>
              <w:t>.</w:t>
            </w:r>
            <w:r w:rsidRPr="00271B60">
              <w:rPr>
                <w:rFonts w:ascii="Arial Narrow" w:hAnsi="Arial Narrow" w:cs="Arial"/>
                <w:b/>
                <w:bCs/>
                <w:spacing w:val="0"/>
                <w:sz w:val="22"/>
                <w:szCs w:val="22"/>
                <w:lang w:eastAsia="es-CO"/>
              </w:rPr>
              <w:t xml:space="preserve"> 254</w:t>
            </w:r>
            <w:r w:rsidR="00EA0452" w:rsidRPr="00271B60">
              <w:rPr>
                <w:rFonts w:ascii="Arial Narrow" w:hAnsi="Arial Narrow" w:cs="Arial"/>
                <w:b/>
                <w:bCs/>
                <w:spacing w:val="0"/>
                <w:sz w:val="22"/>
                <w:szCs w:val="22"/>
                <w:lang w:eastAsia="es-CO"/>
              </w:rPr>
              <w:t>.</w:t>
            </w:r>
            <w:r w:rsidRPr="00271B60">
              <w:rPr>
                <w:rFonts w:ascii="Arial Narrow" w:hAnsi="Arial Narrow" w:cs="Arial"/>
                <w:b/>
                <w:bCs/>
                <w:spacing w:val="0"/>
                <w:sz w:val="22"/>
                <w:szCs w:val="22"/>
                <w:lang w:eastAsia="es-CO"/>
              </w:rPr>
              <w:t xml:space="preserve">349 </w:t>
            </w:r>
          </w:p>
        </w:tc>
        <w:tc>
          <w:tcPr>
            <w:tcW w:w="1984" w:type="dxa"/>
            <w:tcBorders>
              <w:top w:val="nil"/>
              <w:left w:val="nil"/>
              <w:bottom w:val="single" w:sz="4" w:space="0" w:color="auto"/>
              <w:right w:val="single" w:sz="4" w:space="0" w:color="auto"/>
            </w:tcBorders>
            <w:shd w:val="clear" w:color="auto" w:fill="E7E6E6" w:themeFill="background2"/>
            <w:noWrap/>
            <w:vAlign w:val="center"/>
            <w:hideMark/>
          </w:tcPr>
          <w:p w14:paraId="29D09069" w14:textId="56D81490" w:rsidR="00A37243" w:rsidRPr="00271B60" w:rsidRDefault="00A37243" w:rsidP="00A37243">
            <w:pPr>
              <w:jc w:val="right"/>
              <w:rPr>
                <w:rFonts w:ascii="Arial Narrow" w:hAnsi="Arial Narrow" w:cs="Arial"/>
                <w:b/>
                <w:bCs/>
                <w:spacing w:val="0"/>
                <w:sz w:val="22"/>
                <w:szCs w:val="22"/>
                <w:lang w:eastAsia="es-CO"/>
              </w:rPr>
            </w:pPr>
            <w:r w:rsidRPr="00271B60">
              <w:rPr>
                <w:rFonts w:ascii="Arial Narrow" w:hAnsi="Arial Narrow" w:cs="Arial"/>
                <w:b/>
                <w:bCs/>
                <w:spacing w:val="0"/>
                <w:sz w:val="22"/>
                <w:szCs w:val="22"/>
                <w:lang w:eastAsia="es-CO"/>
              </w:rPr>
              <w:t xml:space="preserve">          32</w:t>
            </w:r>
            <w:r w:rsidR="00EA0452" w:rsidRPr="00271B60">
              <w:rPr>
                <w:rFonts w:ascii="Arial Narrow" w:hAnsi="Arial Narrow" w:cs="Arial"/>
                <w:b/>
                <w:bCs/>
                <w:spacing w:val="0"/>
                <w:sz w:val="22"/>
                <w:szCs w:val="22"/>
                <w:lang w:eastAsia="es-CO"/>
              </w:rPr>
              <w:t>.</w:t>
            </w:r>
            <w:r w:rsidRPr="00271B60">
              <w:rPr>
                <w:rFonts w:ascii="Arial Narrow" w:hAnsi="Arial Narrow" w:cs="Arial"/>
                <w:b/>
                <w:bCs/>
                <w:spacing w:val="0"/>
                <w:sz w:val="22"/>
                <w:szCs w:val="22"/>
                <w:lang w:eastAsia="es-CO"/>
              </w:rPr>
              <w:t>505</w:t>
            </w:r>
            <w:r w:rsidR="00EA0452" w:rsidRPr="00271B60">
              <w:rPr>
                <w:rFonts w:ascii="Arial Narrow" w:hAnsi="Arial Narrow" w:cs="Arial"/>
                <w:b/>
                <w:bCs/>
                <w:spacing w:val="0"/>
                <w:sz w:val="22"/>
                <w:szCs w:val="22"/>
                <w:lang w:eastAsia="es-CO"/>
              </w:rPr>
              <w:t>.</w:t>
            </w:r>
            <w:r w:rsidRPr="00271B60">
              <w:rPr>
                <w:rFonts w:ascii="Arial Narrow" w:hAnsi="Arial Narrow" w:cs="Arial"/>
                <w:b/>
                <w:bCs/>
                <w:spacing w:val="0"/>
                <w:sz w:val="22"/>
                <w:szCs w:val="22"/>
                <w:lang w:eastAsia="es-CO"/>
              </w:rPr>
              <w:t>742</w:t>
            </w:r>
            <w:r w:rsidR="00EA0452" w:rsidRPr="00271B60">
              <w:rPr>
                <w:rFonts w:ascii="Arial Narrow" w:hAnsi="Arial Narrow" w:cs="Arial"/>
                <w:b/>
                <w:bCs/>
                <w:spacing w:val="0"/>
                <w:sz w:val="22"/>
                <w:szCs w:val="22"/>
                <w:lang w:eastAsia="es-CO"/>
              </w:rPr>
              <w:t>.</w:t>
            </w:r>
            <w:r w:rsidRPr="00271B60">
              <w:rPr>
                <w:rFonts w:ascii="Arial Narrow" w:hAnsi="Arial Narrow" w:cs="Arial"/>
                <w:b/>
                <w:bCs/>
                <w:spacing w:val="0"/>
                <w:sz w:val="22"/>
                <w:szCs w:val="22"/>
                <w:lang w:eastAsia="es-CO"/>
              </w:rPr>
              <w:t xml:space="preserve">932 </w:t>
            </w:r>
          </w:p>
        </w:tc>
      </w:tr>
    </w:tbl>
    <w:p w14:paraId="0F43A142" w14:textId="3C156503" w:rsidR="003A0C99" w:rsidRDefault="003A0C99" w:rsidP="00CE5F55">
      <w:pPr>
        <w:ind w:right="-91"/>
        <w:rPr>
          <w:rFonts w:cs="Arial"/>
          <w:sz w:val="22"/>
          <w:szCs w:val="22"/>
        </w:rPr>
      </w:pPr>
    </w:p>
    <w:p w14:paraId="505FA944" w14:textId="73BDB664" w:rsidR="00A37243" w:rsidRDefault="00A37243" w:rsidP="00CE5F55">
      <w:pPr>
        <w:ind w:right="-91"/>
        <w:rPr>
          <w:rFonts w:cs="Arial"/>
          <w:sz w:val="22"/>
          <w:szCs w:val="22"/>
        </w:rPr>
      </w:pPr>
    </w:p>
    <w:p w14:paraId="500B08B2" w14:textId="525983EF" w:rsidR="007653BD" w:rsidRDefault="007653BD" w:rsidP="00CE5F55">
      <w:pPr>
        <w:ind w:right="-91"/>
        <w:rPr>
          <w:rFonts w:cs="Arial"/>
          <w:sz w:val="22"/>
          <w:szCs w:val="22"/>
        </w:rPr>
      </w:pPr>
    </w:p>
    <w:p w14:paraId="4F27378C" w14:textId="5504D89C" w:rsidR="007653BD" w:rsidRDefault="007653BD" w:rsidP="00CE5F55">
      <w:pPr>
        <w:ind w:right="-91"/>
        <w:rPr>
          <w:rFonts w:cs="Arial"/>
          <w:sz w:val="22"/>
          <w:szCs w:val="22"/>
        </w:rPr>
      </w:pPr>
    </w:p>
    <w:p w14:paraId="35F6B582" w14:textId="549E1816" w:rsidR="00871D8D" w:rsidRDefault="00871D8D" w:rsidP="00CE5F55">
      <w:pPr>
        <w:ind w:right="-91"/>
        <w:rPr>
          <w:rFonts w:cs="Arial"/>
          <w:sz w:val="22"/>
          <w:szCs w:val="22"/>
        </w:rPr>
      </w:pPr>
    </w:p>
    <w:p w14:paraId="500EF85B" w14:textId="695A9844" w:rsidR="00871D8D" w:rsidRDefault="00871D8D" w:rsidP="00CE5F55">
      <w:pPr>
        <w:ind w:right="-91"/>
        <w:rPr>
          <w:rFonts w:cs="Arial"/>
          <w:sz w:val="22"/>
          <w:szCs w:val="22"/>
        </w:rPr>
      </w:pPr>
    </w:p>
    <w:p w14:paraId="53906768" w14:textId="77777777" w:rsidR="00871D8D" w:rsidRDefault="00871D8D" w:rsidP="00CE5F55">
      <w:pPr>
        <w:ind w:right="-91"/>
        <w:rPr>
          <w:rFonts w:cs="Arial"/>
          <w:sz w:val="22"/>
          <w:szCs w:val="22"/>
        </w:rPr>
      </w:pPr>
    </w:p>
    <w:p w14:paraId="063ABDAD" w14:textId="77777777" w:rsidR="007653BD" w:rsidRDefault="007653BD" w:rsidP="00CE5F55">
      <w:pPr>
        <w:ind w:right="-91"/>
        <w:rPr>
          <w:rFonts w:cs="Arial"/>
          <w:sz w:val="22"/>
          <w:szCs w:val="22"/>
        </w:rPr>
      </w:pPr>
    </w:p>
    <w:p w14:paraId="33993E29" w14:textId="04D32631" w:rsidR="00A4267A" w:rsidRPr="004217E9" w:rsidRDefault="00A4267A" w:rsidP="00A4267A">
      <w:pPr>
        <w:pStyle w:val="Subttulo"/>
        <w:numPr>
          <w:ilvl w:val="1"/>
          <w:numId w:val="37"/>
        </w:numPr>
        <w:spacing w:after="0"/>
        <w:ind w:left="357" w:hanging="357"/>
        <w:jc w:val="left"/>
        <w:rPr>
          <w:b/>
          <w:bCs/>
          <w:sz w:val="22"/>
          <w:szCs w:val="22"/>
        </w:rPr>
      </w:pPr>
      <w:bookmarkStart w:id="58" w:name="_Toc88126861"/>
      <w:r>
        <w:rPr>
          <w:b/>
          <w:bCs/>
          <w:sz w:val="22"/>
          <w:szCs w:val="22"/>
        </w:rPr>
        <w:lastRenderedPageBreak/>
        <w:t>LIQUIDACIÓN CONTRIBUCIÓN ESPECIAL 2021.</w:t>
      </w:r>
      <w:bookmarkEnd w:id="58"/>
    </w:p>
    <w:p w14:paraId="0F88E9AF" w14:textId="77777777" w:rsidR="003A79AD" w:rsidRDefault="003A79AD" w:rsidP="00A4267A">
      <w:pPr>
        <w:rPr>
          <w:rFonts w:cs="Arial"/>
          <w:sz w:val="22"/>
          <w:szCs w:val="22"/>
        </w:rPr>
      </w:pPr>
    </w:p>
    <w:p w14:paraId="4CBE99B0" w14:textId="1D0197FF" w:rsidR="00A4267A" w:rsidRPr="00A43221" w:rsidRDefault="003A79AD" w:rsidP="00A4267A">
      <w:pPr>
        <w:rPr>
          <w:rFonts w:cs="Arial"/>
          <w:sz w:val="22"/>
          <w:szCs w:val="22"/>
        </w:rPr>
      </w:pPr>
      <w:r>
        <w:rPr>
          <w:rFonts w:cs="Arial"/>
          <w:sz w:val="22"/>
          <w:szCs w:val="22"/>
        </w:rPr>
        <w:t>Con se expuso anteriormente</w:t>
      </w:r>
      <w:r w:rsidR="00A4267A">
        <w:rPr>
          <w:rFonts w:cs="Arial"/>
          <w:sz w:val="22"/>
          <w:szCs w:val="22"/>
        </w:rPr>
        <w:t>, d</w:t>
      </w:r>
      <w:r w:rsidR="00A4267A" w:rsidRPr="00A43221">
        <w:rPr>
          <w:rFonts w:cs="Arial"/>
          <w:sz w:val="22"/>
          <w:szCs w:val="22"/>
        </w:rPr>
        <w:t>el total de gastos operativos por $8</w:t>
      </w:r>
      <w:r w:rsidR="00801382">
        <w:rPr>
          <w:rFonts w:cs="Arial"/>
          <w:sz w:val="22"/>
          <w:szCs w:val="22"/>
        </w:rPr>
        <w:t>.</w:t>
      </w:r>
      <w:r w:rsidR="00A4267A" w:rsidRPr="00A43221">
        <w:rPr>
          <w:rFonts w:cs="Arial"/>
          <w:sz w:val="22"/>
          <w:szCs w:val="22"/>
        </w:rPr>
        <w:t>734</w:t>
      </w:r>
      <w:r w:rsidR="00801382">
        <w:rPr>
          <w:rFonts w:cs="Arial"/>
          <w:sz w:val="22"/>
          <w:szCs w:val="22"/>
        </w:rPr>
        <w:t>.</w:t>
      </w:r>
      <w:r w:rsidR="00A4267A" w:rsidRPr="00A43221">
        <w:rPr>
          <w:rFonts w:cs="Arial"/>
          <w:sz w:val="22"/>
          <w:szCs w:val="22"/>
        </w:rPr>
        <w:t>712</w:t>
      </w:r>
      <w:r w:rsidR="00801382">
        <w:rPr>
          <w:rFonts w:cs="Arial"/>
          <w:sz w:val="22"/>
          <w:szCs w:val="22"/>
        </w:rPr>
        <w:t>.</w:t>
      </w:r>
      <w:r w:rsidR="00A4267A" w:rsidRPr="00A43221">
        <w:rPr>
          <w:rFonts w:cs="Arial"/>
          <w:sz w:val="22"/>
          <w:szCs w:val="22"/>
        </w:rPr>
        <w:t>243</w:t>
      </w:r>
      <w:r w:rsidR="00801382">
        <w:rPr>
          <w:rFonts w:cs="Arial"/>
          <w:sz w:val="22"/>
          <w:szCs w:val="22"/>
        </w:rPr>
        <w:t>.</w:t>
      </w:r>
      <w:r w:rsidR="00A4267A" w:rsidRPr="00A43221">
        <w:rPr>
          <w:rFonts w:cs="Arial"/>
          <w:sz w:val="22"/>
          <w:szCs w:val="22"/>
        </w:rPr>
        <w:t>135 se tomaron únicamente $476</w:t>
      </w:r>
      <w:r w:rsidR="00801382">
        <w:rPr>
          <w:rFonts w:cs="Arial"/>
          <w:sz w:val="22"/>
          <w:szCs w:val="22"/>
        </w:rPr>
        <w:t>.</w:t>
      </w:r>
      <w:r w:rsidR="00A4267A" w:rsidRPr="00A43221">
        <w:rPr>
          <w:rFonts w:cs="Arial"/>
          <w:sz w:val="22"/>
          <w:szCs w:val="22"/>
        </w:rPr>
        <w:t>254</w:t>
      </w:r>
      <w:r w:rsidR="00801382">
        <w:rPr>
          <w:rFonts w:cs="Arial"/>
          <w:sz w:val="22"/>
          <w:szCs w:val="22"/>
        </w:rPr>
        <w:t>.</w:t>
      </w:r>
      <w:r w:rsidR="00A4267A" w:rsidRPr="00A43221">
        <w:rPr>
          <w:rFonts w:cs="Arial"/>
          <w:sz w:val="22"/>
          <w:szCs w:val="22"/>
        </w:rPr>
        <w:t xml:space="preserve">349 en una proporción de 0,005452%, que son los indispensables para cubrir el faltante presupuestal para ser incluidos en la base gravable de la contribución especial de la vigencia 2021, </w:t>
      </w:r>
      <w:r w:rsidR="00A4267A">
        <w:rPr>
          <w:rFonts w:cs="Arial"/>
          <w:sz w:val="22"/>
          <w:szCs w:val="22"/>
        </w:rPr>
        <w:t>quedando como propuesta de liquidación especial la siguiente</w:t>
      </w:r>
      <w:r w:rsidR="00A4267A" w:rsidRPr="00A43221">
        <w:rPr>
          <w:rFonts w:cs="Arial"/>
          <w:sz w:val="22"/>
          <w:szCs w:val="22"/>
        </w:rPr>
        <w:t>:</w:t>
      </w:r>
    </w:p>
    <w:p w14:paraId="471AC509" w14:textId="77777777" w:rsidR="00A4267A" w:rsidRDefault="00A4267A" w:rsidP="00A4267A">
      <w:pPr>
        <w:rPr>
          <w:rFonts w:ascii="Bookman Old Style" w:hAnsi="Bookman Old Style" w:cs="Arial"/>
        </w:rPr>
      </w:pPr>
    </w:p>
    <w:tbl>
      <w:tblPr>
        <w:tblW w:w="8642" w:type="dxa"/>
        <w:tblCellMar>
          <w:left w:w="70" w:type="dxa"/>
          <w:right w:w="70" w:type="dxa"/>
        </w:tblCellMar>
        <w:tblLook w:val="04A0" w:firstRow="1" w:lastRow="0" w:firstColumn="1" w:lastColumn="0" w:noHBand="0" w:noVBand="1"/>
      </w:tblPr>
      <w:tblGrid>
        <w:gridCol w:w="3020"/>
        <w:gridCol w:w="1880"/>
        <w:gridCol w:w="1899"/>
        <w:gridCol w:w="1843"/>
      </w:tblGrid>
      <w:tr w:rsidR="00A4267A" w:rsidRPr="007653BD" w14:paraId="2F5B8D66" w14:textId="77777777" w:rsidTr="00CF1DE7">
        <w:trPr>
          <w:trHeight w:val="580"/>
        </w:trPr>
        <w:tc>
          <w:tcPr>
            <w:tcW w:w="3020"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hideMark/>
          </w:tcPr>
          <w:p w14:paraId="6905CAC6" w14:textId="77777777" w:rsidR="00A4267A" w:rsidRPr="007653BD" w:rsidRDefault="00A4267A" w:rsidP="007114B5">
            <w:pPr>
              <w:jc w:val="center"/>
              <w:rPr>
                <w:rFonts w:ascii="Arial Narrow" w:hAnsi="Arial Narrow" w:cs="Calibri"/>
                <w:b/>
                <w:bCs/>
                <w:color w:val="000000"/>
                <w:lang w:eastAsia="es-CO"/>
              </w:rPr>
            </w:pPr>
            <w:r w:rsidRPr="007653BD">
              <w:rPr>
                <w:rFonts w:ascii="Arial Narrow" w:hAnsi="Arial Narrow" w:cs="Calibri"/>
                <w:b/>
                <w:bCs/>
                <w:color w:val="000000"/>
                <w:lang w:eastAsia="es-CO"/>
              </w:rPr>
              <w:t xml:space="preserve">CONCEPTOS </w:t>
            </w:r>
          </w:p>
        </w:tc>
        <w:tc>
          <w:tcPr>
            <w:tcW w:w="1880" w:type="dxa"/>
            <w:tcBorders>
              <w:top w:val="single" w:sz="4" w:space="0" w:color="auto"/>
              <w:left w:val="nil"/>
              <w:bottom w:val="single" w:sz="4" w:space="0" w:color="auto"/>
              <w:right w:val="single" w:sz="4" w:space="0" w:color="auto"/>
            </w:tcBorders>
            <w:shd w:val="clear" w:color="auto" w:fill="EDEDED" w:themeFill="accent3" w:themeFillTint="33"/>
            <w:vAlign w:val="center"/>
            <w:hideMark/>
          </w:tcPr>
          <w:p w14:paraId="1E410C56" w14:textId="77777777" w:rsidR="00A4267A" w:rsidRPr="007653BD" w:rsidRDefault="00A4267A" w:rsidP="007114B5">
            <w:pPr>
              <w:jc w:val="center"/>
              <w:rPr>
                <w:rFonts w:ascii="Arial Narrow" w:hAnsi="Arial Narrow" w:cs="Calibri"/>
                <w:b/>
                <w:bCs/>
                <w:color w:val="000000"/>
                <w:lang w:eastAsia="es-CO"/>
              </w:rPr>
            </w:pPr>
            <w:r w:rsidRPr="007653BD">
              <w:rPr>
                <w:rFonts w:ascii="Arial Narrow" w:hAnsi="Arial Narrow" w:cs="Calibri"/>
                <w:b/>
                <w:bCs/>
                <w:color w:val="000000"/>
                <w:lang w:eastAsia="es-CO"/>
              </w:rPr>
              <w:t xml:space="preserve"> BASE GASTOS DE ADMINISTRACIÓN </w:t>
            </w:r>
          </w:p>
        </w:tc>
        <w:tc>
          <w:tcPr>
            <w:tcW w:w="1899" w:type="dxa"/>
            <w:tcBorders>
              <w:top w:val="single" w:sz="4" w:space="0" w:color="auto"/>
              <w:left w:val="nil"/>
              <w:bottom w:val="single" w:sz="4" w:space="0" w:color="auto"/>
              <w:right w:val="single" w:sz="4" w:space="0" w:color="auto"/>
            </w:tcBorders>
            <w:shd w:val="clear" w:color="auto" w:fill="EDEDED" w:themeFill="accent3" w:themeFillTint="33"/>
            <w:vAlign w:val="center"/>
            <w:hideMark/>
          </w:tcPr>
          <w:p w14:paraId="40830321" w14:textId="77777777" w:rsidR="00A4267A" w:rsidRPr="007653BD" w:rsidRDefault="00A4267A" w:rsidP="007114B5">
            <w:pPr>
              <w:jc w:val="center"/>
              <w:rPr>
                <w:rFonts w:ascii="Arial Narrow" w:hAnsi="Arial Narrow" w:cs="Calibri"/>
                <w:b/>
                <w:bCs/>
                <w:color w:val="000000"/>
                <w:lang w:eastAsia="es-CO"/>
              </w:rPr>
            </w:pPr>
            <w:r w:rsidRPr="007653BD">
              <w:rPr>
                <w:rFonts w:ascii="Arial Narrow" w:hAnsi="Arial Narrow" w:cs="Calibri"/>
                <w:b/>
                <w:bCs/>
                <w:color w:val="000000"/>
                <w:lang w:eastAsia="es-CO"/>
              </w:rPr>
              <w:t xml:space="preserve"> BASE GASTOS DE OPERACIÓN </w:t>
            </w:r>
          </w:p>
        </w:tc>
        <w:tc>
          <w:tcPr>
            <w:tcW w:w="1843" w:type="dxa"/>
            <w:tcBorders>
              <w:top w:val="single" w:sz="4" w:space="0" w:color="auto"/>
              <w:left w:val="nil"/>
              <w:bottom w:val="single" w:sz="4" w:space="0" w:color="auto"/>
              <w:right w:val="single" w:sz="4" w:space="0" w:color="auto"/>
            </w:tcBorders>
            <w:shd w:val="clear" w:color="auto" w:fill="EDEDED" w:themeFill="accent3" w:themeFillTint="33"/>
            <w:noWrap/>
            <w:vAlign w:val="center"/>
            <w:hideMark/>
          </w:tcPr>
          <w:p w14:paraId="7D1BD231" w14:textId="77777777" w:rsidR="00A4267A" w:rsidRPr="007653BD" w:rsidRDefault="00A4267A" w:rsidP="007114B5">
            <w:pPr>
              <w:jc w:val="center"/>
              <w:rPr>
                <w:rFonts w:ascii="Arial Narrow" w:hAnsi="Arial Narrow" w:cs="Calibri"/>
                <w:b/>
                <w:bCs/>
                <w:color w:val="000000"/>
                <w:lang w:eastAsia="es-CO"/>
              </w:rPr>
            </w:pPr>
            <w:r w:rsidRPr="007653BD">
              <w:rPr>
                <w:rFonts w:ascii="Arial Narrow" w:hAnsi="Arial Narrow" w:cs="Calibri"/>
                <w:b/>
                <w:bCs/>
                <w:color w:val="000000"/>
                <w:lang w:eastAsia="es-CO"/>
              </w:rPr>
              <w:t xml:space="preserve"> TOTALES </w:t>
            </w:r>
          </w:p>
        </w:tc>
      </w:tr>
      <w:tr w:rsidR="00A4267A" w:rsidRPr="007653BD" w14:paraId="17FDCCA9" w14:textId="77777777" w:rsidTr="007114B5">
        <w:trPr>
          <w:trHeight w:val="290"/>
        </w:trPr>
        <w:tc>
          <w:tcPr>
            <w:tcW w:w="3020" w:type="dxa"/>
            <w:tcBorders>
              <w:top w:val="nil"/>
              <w:left w:val="single" w:sz="4" w:space="0" w:color="auto"/>
              <w:bottom w:val="single" w:sz="4" w:space="0" w:color="auto"/>
              <w:right w:val="single" w:sz="4" w:space="0" w:color="auto"/>
            </w:tcBorders>
            <w:shd w:val="clear" w:color="auto" w:fill="auto"/>
            <w:noWrap/>
            <w:vAlign w:val="center"/>
            <w:hideMark/>
          </w:tcPr>
          <w:p w14:paraId="664C5599" w14:textId="77777777" w:rsidR="00A4267A" w:rsidRPr="007653BD" w:rsidRDefault="00A4267A" w:rsidP="007114B5">
            <w:pPr>
              <w:jc w:val="center"/>
              <w:rPr>
                <w:rFonts w:ascii="Arial Narrow" w:hAnsi="Arial Narrow" w:cs="Calibri"/>
                <w:color w:val="000000"/>
                <w:lang w:eastAsia="es-CO"/>
              </w:rPr>
            </w:pPr>
            <w:r w:rsidRPr="007653BD">
              <w:rPr>
                <w:rFonts w:ascii="Arial Narrow" w:hAnsi="Arial Narrow" w:cs="Calibri"/>
                <w:color w:val="000000"/>
                <w:lang w:eastAsia="es-CO"/>
              </w:rPr>
              <w:t>TOTAL BASE GRAVABLE</w:t>
            </w:r>
          </w:p>
        </w:tc>
        <w:tc>
          <w:tcPr>
            <w:tcW w:w="1880" w:type="dxa"/>
            <w:tcBorders>
              <w:top w:val="nil"/>
              <w:left w:val="nil"/>
              <w:bottom w:val="single" w:sz="4" w:space="0" w:color="auto"/>
              <w:right w:val="single" w:sz="4" w:space="0" w:color="auto"/>
            </w:tcBorders>
            <w:shd w:val="clear" w:color="auto" w:fill="auto"/>
            <w:noWrap/>
            <w:vAlign w:val="center"/>
            <w:hideMark/>
          </w:tcPr>
          <w:p w14:paraId="197CBCBB" w14:textId="0A883028" w:rsidR="00A4267A" w:rsidRPr="007653BD" w:rsidRDefault="00A4267A" w:rsidP="007114B5">
            <w:pPr>
              <w:jc w:val="right"/>
              <w:rPr>
                <w:rFonts w:ascii="Arial Narrow" w:hAnsi="Arial Narrow" w:cs="Calibri"/>
                <w:color w:val="000000"/>
                <w:lang w:eastAsia="es-CO"/>
              </w:rPr>
            </w:pPr>
            <w:r w:rsidRPr="007653BD">
              <w:rPr>
                <w:rFonts w:ascii="Arial Narrow" w:hAnsi="Arial Narrow" w:cs="Calibri"/>
                <w:color w:val="000000"/>
                <w:lang w:eastAsia="es-CO"/>
              </w:rPr>
              <w:t xml:space="preserve"> 3</w:t>
            </w:r>
            <w:r w:rsidR="00EA0452" w:rsidRPr="007653BD">
              <w:rPr>
                <w:rFonts w:ascii="Arial Narrow" w:hAnsi="Arial Narrow" w:cs="Calibri"/>
                <w:color w:val="000000"/>
                <w:lang w:eastAsia="es-CO"/>
              </w:rPr>
              <w:t>.</w:t>
            </w:r>
            <w:r w:rsidRPr="007653BD">
              <w:rPr>
                <w:rFonts w:ascii="Arial Narrow" w:hAnsi="Arial Narrow" w:cs="Calibri"/>
                <w:color w:val="000000"/>
                <w:lang w:eastAsia="es-CO"/>
              </w:rPr>
              <w:t>202</w:t>
            </w:r>
            <w:r w:rsidR="00EA0452" w:rsidRPr="007653BD">
              <w:rPr>
                <w:rFonts w:ascii="Arial Narrow" w:hAnsi="Arial Narrow" w:cs="Calibri"/>
                <w:color w:val="000000"/>
                <w:lang w:eastAsia="es-CO"/>
              </w:rPr>
              <w:t>.</w:t>
            </w:r>
            <w:r w:rsidRPr="007653BD">
              <w:rPr>
                <w:rFonts w:ascii="Arial Narrow" w:hAnsi="Arial Narrow" w:cs="Calibri"/>
                <w:color w:val="000000"/>
                <w:lang w:eastAsia="es-CO"/>
              </w:rPr>
              <w:t>948</w:t>
            </w:r>
            <w:r w:rsidR="00EA0452" w:rsidRPr="007653BD">
              <w:rPr>
                <w:rFonts w:ascii="Arial Narrow" w:hAnsi="Arial Narrow" w:cs="Calibri"/>
                <w:color w:val="000000"/>
                <w:lang w:eastAsia="es-CO"/>
              </w:rPr>
              <w:t>.</w:t>
            </w:r>
            <w:r w:rsidRPr="007653BD">
              <w:rPr>
                <w:rFonts w:ascii="Arial Narrow" w:hAnsi="Arial Narrow" w:cs="Calibri"/>
                <w:color w:val="000000"/>
                <w:lang w:eastAsia="es-CO"/>
              </w:rPr>
              <w:t>858</w:t>
            </w:r>
            <w:r w:rsidR="00EA0452" w:rsidRPr="007653BD">
              <w:rPr>
                <w:rFonts w:ascii="Arial Narrow" w:hAnsi="Arial Narrow" w:cs="Calibri"/>
                <w:color w:val="000000"/>
                <w:lang w:eastAsia="es-CO"/>
              </w:rPr>
              <w:t>.</w:t>
            </w:r>
            <w:r w:rsidRPr="007653BD">
              <w:rPr>
                <w:rFonts w:ascii="Arial Narrow" w:hAnsi="Arial Narrow" w:cs="Calibri"/>
                <w:color w:val="000000"/>
                <w:lang w:eastAsia="es-CO"/>
              </w:rPr>
              <w:t xml:space="preserve">317 </w:t>
            </w:r>
          </w:p>
        </w:tc>
        <w:tc>
          <w:tcPr>
            <w:tcW w:w="1899" w:type="dxa"/>
            <w:tcBorders>
              <w:top w:val="nil"/>
              <w:left w:val="nil"/>
              <w:bottom w:val="single" w:sz="4" w:space="0" w:color="auto"/>
              <w:right w:val="single" w:sz="4" w:space="0" w:color="auto"/>
            </w:tcBorders>
            <w:shd w:val="clear" w:color="auto" w:fill="auto"/>
            <w:noWrap/>
            <w:vAlign w:val="center"/>
            <w:hideMark/>
          </w:tcPr>
          <w:p w14:paraId="616105DB" w14:textId="1D642574" w:rsidR="00A4267A" w:rsidRPr="007653BD" w:rsidRDefault="00A4267A" w:rsidP="007114B5">
            <w:pPr>
              <w:jc w:val="right"/>
              <w:rPr>
                <w:rFonts w:ascii="Arial Narrow" w:hAnsi="Arial Narrow" w:cs="Calibri"/>
                <w:color w:val="000000"/>
                <w:lang w:eastAsia="es-CO"/>
              </w:rPr>
            </w:pPr>
            <w:r w:rsidRPr="007653BD">
              <w:rPr>
                <w:rFonts w:ascii="Arial Narrow" w:hAnsi="Arial Narrow" w:cs="Calibri"/>
                <w:color w:val="000000"/>
                <w:lang w:eastAsia="es-CO"/>
              </w:rPr>
              <w:t xml:space="preserve">        47</w:t>
            </w:r>
            <w:r w:rsidR="00EA0452" w:rsidRPr="007653BD">
              <w:rPr>
                <w:rFonts w:ascii="Arial Narrow" w:hAnsi="Arial Narrow" w:cs="Calibri"/>
                <w:color w:val="000000"/>
                <w:lang w:eastAsia="es-CO"/>
              </w:rPr>
              <w:t>.</w:t>
            </w:r>
            <w:r w:rsidRPr="007653BD">
              <w:rPr>
                <w:rFonts w:ascii="Arial Narrow" w:hAnsi="Arial Narrow" w:cs="Calibri"/>
                <w:color w:val="000000"/>
                <w:lang w:eastAsia="es-CO"/>
              </w:rPr>
              <w:t>625</w:t>
            </w:r>
            <w:r w:rsidR="00EA0452" w:rsidRPr="007653BD">
              <w:rPr>
                <w:rFonts w:ascii="Arial Narrow" w:hAnsi="Arial Narrow" w:cs="Calibri"/>
                <w:color w:val="000000"/>
                <w:lang w:eastAsia="es-CO"/>
              </w:rPr>
              <w:t>.</w:t>
            </w:r>
            <w:r w:rsidRPr="007653BD">
              <w:rPr>
                <w:rFonts w:ascii="Arial Narrow" w:hAnsi="Arial Narrow" w:cs="Calibri"/>
                <w:color w:val="000000"/>
                <w:lang w:eastAsia="es-CO"/>
              </w:rPr>
              <w:t>434</w:t>
            </w:r>
            <w:r w:rsidR="00EA0452" w:rsidRPr="007653BD">
              <w:rPr>
                <w:rFonts w:ascii="Arial Narrow" w:hAnsi="Arial Narrow" w:cs="Calibri"/>
                <w:color w:val="000000"/>
                <w:lang w:eastAsia="es-CO"/>
              </w:rPr>
              <w:t>.</w:t>
            </w:r>
            <w:r w:rsidRPr="007653BD">
              <w:rPr>
                <w:rFonts w:ascii="Arial Narrow" w:hAnsi="Arial Narrow" w:cs="Calibri"/>
                <w:color w:val="000000"/>
                <w:lang w:eastAsia="es-CO"/>
              </w:rPr>
              <w:t xml:space="preserve">883 </w:t>
            </w:r>
          </w:p>
        </w:tc>
        <w:tc>
          <w:tcPr>
            <w:tcW w:w="1843" w:type="dxa"/>
            <w:tcBorders>
              <w:top w:val="nil"/>
              <w:left w:val="nil"/>
              <w:bottom w:val="single" w:sz="4" w:space="0" w:color="auto"/>
              <w:right w:val="single" w:sz="4" w:space="0" w:color="auto"/>
            </w:tcBorders>
            <w:shd w:val="clear" w:color="auto" w:fill="auto"/>
            <w:noWrap/>
            <w:vAlign w:val="center"/>
            <w:hideMark/>
          </w:tcPr>
          <w:p w14:paraId="622A9E0A" w14:textId="47DE1819" w:rsidR="00A4267A" w:rsidRPr="007653BD" w:rsidRDefault="00A4267A" w:rsidP="007114B5">
            <w:pPr>
              <w:jc w:val="right"/>
              <w:rPr>
                <w:rFonts w:ascii="Arial Narrow" w:hAnsi="Arial Narrow" w:cs="Calibri"/>
                <w:color w:val="000000"/>
                <w:lang w:eastAsia="es-CO"/>
              </w:rPr>
            </w:pPr>
            <w:r w:rsidRPr="007653BD">
              <w:rPr>
                <w:rFonts w:ascii="Arial Narrow" w:hAnsi="Arial Narrow" w:cs="Calibri"/>
                <w:color w:val="000000"/>
                <w:lang w:eastAsia="es-CO"/>
              </w:rPr>
              <w:t xml:space="preserve">  3</w:t>
            </w:r>
            <w:r w:rsidR="00EA0452" w:rsidRPr="007653BD">
              <w:rPr>
                <w:rFonts w:ascii="Arial Narrow" w:hAnsi="Arial Narrow" w:cs="Calibri"/>
                <w:color w:val="000000"/>
                <w:lang w:eastAsia="es-CO"/>
              </w:rPr>
              <w:t>.</w:t>
            </w:r>
            <w:r w:rsidRPr="007653BD">
              <w:rPr>
                <w:rFonts w:ascii="Arial Narrow" w:hAnsi="Arial Narrow" w:cs="Calibri"/>
                <w:color w:val="000000"/>
                <w:lang w:eastAsia="es-CO"/>
              </w:rPr>
              <w:t>250</w:t>
            </w:r>
            <w:r w:rsidR="00EA0452" w:rsidRPr="007653BD">
              <w:rPr>
                <w:rFonts w:ascii="Arial Narrow" w:hAnsi="Arial Narrow" w:cs="Calibri"/>
                <w:color w:val="000000"/>
                <w:lang w:eastAsia="es-CO"/>
              </w:rPr>
              <w:t>.</w:t>
            </w:r>
            <w:r w:rsidRPr="007653BD">
              <w:rPr>
                <w:rFonts w:ascii="Arial Narrow" w:hAnsi="Arial Narrow" w:cs="Calibri"/>
                <w:color w:val="000000"/>
                <w:lang w:eastAsia="es-CO"/>
              </w:rPr>
              <w:t>574</w:t>
            </w:r>
            <w:r w:rsidR="00EA0452" w:rsidRPr="007653BD">
              <w:rPr>
                <w:rFonts w:ascii="Arial Narrow" w:hAnsi="Arial Narrow" w:cs="Calibri"/>
                <w:color w:val="000000"/>
                <w:lang w:eastAsia="es-CO"/>
              </w:rPr>
              <w:t>.</w:t>
            </w:r>
            <w:r w:rsidRPr="007653BD">
              <w:rPr>
                <w:rFonts w:ascii="Arial Narrow" w:hAnsi="Arial Narrow" w:cs="Calibri"/>
                <w:color w:val="000000"/>
                <w:lang w:eastAsia="es-CO"/>
              </w:rPr>
              <w:t>293</w:t>
            </w:r>
            <w:r w:rsidR="00EA0452" w:rsidRPr="007653BD">
              <w:rPr>
                <w:rFonts w:ascii="Arial Narrow" w:hAnsi="Arial Narrow" w:cs="Calibri"/>
                <w:color w:val="000000"/>
                <w:lang w:eastAsia="es-CO"/>
              </w:rPr>
              <w:t>.</w:t>
            </w:r>
            <w:r w:rsidRPr="007653BD">
              <w:rPr>
                <w:rFonts w:ascii="Arial Narrow" w:hAnsi="Arial Narrow" w:cs="Calibri"/>
                <w:color w:val="000000"/>
                <w:lang w:eastAsia="es-CO"/>
              </w:rPr>
              <w:t xml:space="preserve">200 </w:t>
            </w:r>
          </w:p>
        </w:tc>
      </w:tr>
      <w:tr w:rsidR="00A4267A" w:rsidRPr="007653BD" w14:paraId="7DB57D72" w14:textId="77777777" w:rsidTr="007114B5">
        <w:trPr>
          <w:trHeight w:val="290"/>
        </w:trPr>
        <w:tc>
          <w:tcPr>
            <w:tcW w:w="3020" w:type="dxa"/>
            <w:tcBorders>
              <w:top w:val="nil"/>
              <w:left w:val="single" w:sz="4" w:space="0" w:color="auto"/>
              <w:bottom w:val="single" w:sz="4" w:space="0" w:color="auto"/>
              <w:right w:val="single" w:sz="4" w:space="0" w:color="auto"/>
            </w:tcBorders>
            <w:shd w:val="clear" w:color="auto" w:fill="auto"/>
            <w:noWrap/>
            <w:vAlign w:val="center"/>
            <w:hideMark/>
          </w:tcPr>
          <w:p w14:paraId="7EA13FDD" w14:textId="77777777" w:rsidR="00A4267A" w:rsidRPr="007653BD" w:rsidRDefault="00A4267A" w:rsidP="007114B5">
            <w:pPr>
              <w:jc w:val="center"/>
              <w:rPr>
                <w:rFonts w:ascii="Arial Narrow" w:hAnsi="Arial Narrow" w:cs="Calibri"/>
                <w:color w:val="000000"/>
                <w:lang w:eastAsia="es-CO"/>
              </w:rPr>
            </w:pPr>
            <w:r w:rsidRPr="007653BD">
              <w:rPr>
                <w:rFonts w:ascii="Arial Narrow" w:hAnsi="Arial Narrow" w:cs="Calibri"/>
                <w:color w:val="000000"/>
                <w:lang w:eastAsia="es-CO"/>
              </w:rPr>
              <w:t>1%</w:t>
            </w:r>
          </w:p>
        </w:tc>
        <w:tc>
          <w:tcPr>
            <w:tcW w:w="1880" w:type="dxa"/>
            <w:tcBorders>
              <w:top w:val="nil"/>
              <w:left w:val="nil"/>
              <w:bottom w:val="single" w:sz="4" w:space="0" w:color="auto"/>
              <w:right w:val="single" w:sz="4" w:space="0" w:color="auto"/>
            </w:tcBorders>
            <w:shd w:val="clear" w:color="auto" w:fill="auto"/>
            <w:noWrap/>
            <w:vAlign w:val="center"/>
            <w:hideMark/>
          </w:tcPr>
          <w:p w14:paraId="0B1C04A3" w14:textId="15CB7AEF" w:rsidR="00A4267A" w:rsidRPr="007653BD" w:rsidRDefault="00A4267A" w:rsidP="007114B5">
            <w:pPr>
              <w:jc w:val="right"/>
              <w:rPr>
                <w:rFonts w:ascii="Arial Narrow" w:hAnsi="Arial Narrow" w:cs="Calibri"/>
                <w:color w:val="000000"/>
                <w:lang w:eastAsia="es-CO"/>
              </w:rPr>
            </w:pPr>
            <w:r w:rsidRPr="007653BD">
              <w:rPr>
                <w:rFonts w:ascii="Arial Narrow" w:hAnsi="Arial Narrow" w:cs="Calibri"/>
                <w:color w:val="000000"/>
                <w:lang w:eastAsia="es-CO"/>
              </w:rPr>
              <w:t xml:space="preserve">       32</w:t>
            </w:r>
            <w:r w:rsidR="00EA0452" w:rsidRPr="007653BD">
              <w:rPr>
                <w:rFonts w:ascii="Arial Narrow" w:hAnsi="Arial Narrow" w:cs="Calibri"/>
                <w:color w:val="000000"/>
                <w:lang w:eastAsia="es-CO"/>
              </w:rPr>
              <w:t>.</w:t>
            </w:r>
            <w:r w:rsidRPr="007653BD">
              <w:rPr>
                <w:rFonts w:ascii="Arial Narrow" w:hAnsi="Arial Narrow" w:cs="Calibri"/>
                <w:color w:val="000000"/>
                <w:lang w:eastAsia="es-CO"/>
              </w:rPr>
              <w:t>029</w:t>
            </w:r>
            <w:r w:rsidR="00EA0452" w:rsidRPr="007653BD">
              <w:rPr>
                <w:rFonts w:ascii="Arial Narrow" w:hAnsi="Arial Narrow" w:cs="Calibri"/>
                <w:color w:val="000000"/>
                <w:lang w:eastAsia="es-CO"/>
              </w:rPr>
              <w:t>.</w:t>
            </w:r>
            <w:r w:rsidRPr="007653BD">
              <w:rPr>
                <w:rFonts w:ascii="Arial Narrow" w:hAnsi="Arial Narrow" w:cs="Calibri"/>
                <w:color w:val="000000"/>
                <w:lang w:eastAsia="es-CO"/>
              </w:rPr>
              <w:t>488</w:t>
            </w:r>
            <w:r w:rsidR="00EA0452" w:rsidRPr="007653BD">
              <w:rPr>
                <w:rFonts w:ascii="Arial Narrow" w:hAnsi="Arial Narrow" w:cs="Calibri"/>
                <w:color w:val="000000"/>
                <w:lang w:eastAsia="es-CO"/>
              </w:rPr>
              <w:t>.</w:t>
            </w:r>
            <w:r w:rsidRPr="007653BD">
              <w:rPr>
                <w:rFonts w:ascii="Arial Narrow" w:hAnsi="Arial Narrow" w:cs="Calibri"/>
                <w:color w:val="000000"/>
                <w:lang w:eastAsia="es-CO"/>
              </w:rPr>
              <w:t xml:space="preserve">583 </w:t>
            </w:r>
          </w:p>
        </w:tc>
        <w:tc>
          <w:tcPr>
            <w:tcW w:w="1899" w:type="dxa"/>
            <w:tcBorders>
              <w:top w:val="nil"/>
              <w:left w:val="nil"/>
              <w:bottom w:val="single" w:sz="4" w:space="0" w:color="auto"/>
              <w:right w:val="single" w:sz="4" w:space="0" w:color="auto"/>
            </w:tcBorders>
            <w:shd w:val="clear" w:color="auto" w:fill="auto"/>
            <w:noWrap/>
            <w:vAlign w:val="center"/>
            <w:hideMark/>
          </w:tcPr>
          <w:p w14:paraId="4CEAA4BA" w14:textId="0D52C08F" w:rsidR="00A4267A" w:rsidRPr="007653BD" w:rsidRDefault="00A4267A" w:rsidP="007114B5">
            <w:pPr>
              <w:jc w:val="right"/>
              <w:rPr>
                <w:rFonts w:ascii="Arial Narrow" w:hAnsi="Arial Narrow" w:cs="Calibri"/>
                <w:color w:val="000000"/>
                <w:lang w:eastAsia="es-CO"/>
              </w:rPr>
            </w:pPr>
            <w:r w:rsidRPr="007653BD">
              <w:rPr>
                <w:rFonts w:ascii="Arial Narrow" w:hAnsi="Arial Narrow" w:cs="Calibri"/>
                <w:color w:val="000000"/>
                <w:lang w:eastAsia="es-CO"/>
              </w:rPr>
              <w:t xml:space="preserve">             476</w:t>
            </w:r>
            <w:r w:rsidR="00EA0452" w:rsidRPr="007653BD">
              <w:rPr>
                <w:rFonts w:ascii="Arial Narrow" w:hAnsi="Arial Narrow" w:cs="Calibri"/>
                <w:color w:val="000000"/>
                <w:lang w:eastAsia="es-CO"/>
              </w:rPr>
              <w:t>.</w:t>
            </w:r>
            <w:r w:rsidRPr="007653BD">
              <w:rPr>
                <w:rFonts w:ascii="Arial Narrow" w:hAnsi="Arial Narrow" w:cs="Calibri"/>
                <w:color w:val="000000"/>
                <w:lang w:eastAsia="es-CO"/>
              </w:rPr>
              <w:t>254</w:t>
            </w:r>
            <w:r w:rsidR="00EA0452" w:rsidRPr="007653BD">
              <w:rPr>
                <w:rFonts w:ascii="Arial Narrow" w:hAnsi="Arial Narrow" w:cs="Calibri"/>
                <w:color w:val="000000"/>
                <w:lang w:eastAsia="es-CO"/>
              </w:rPr>
              <w:t>.</w:t>
            </w:r>
            <w:r w:rsidRPr="007653BD">
              <w:rPr>
                <w:rFonts w:ascii="Arial Narrow" w:hAnsi="Arial Narrow" w:cs="Calibri"/>
                <w:color w:val="000000"/>
                <w:lang w:eastAsia="es-CO"/>
              </w:rPr>
              <w:t xml:space="preserve">349 </w:t>
            </w:r>
          </w:p>
        </w:tc>
        <w:tc>
          <w:tcPr>
            <w:tcW w:w="1843" w:type="dxa"/>
            <w:tcBorders>
              <w:top w:val="nil"/>
              <w:left w:val="nil"/>
              <w:bottom w:val="single" w:sz="4" w:space="0" w:color="auto"/>
              <w:right w:val="single" w:sz="4" w:space="0" w:color="auto"/>
            </w:tcBorders>
            <w:shd w:val="clear" w:color="auto" w:fill="auto"/>
            <w:noWrap/>
            <w:vAlign w:val="center"/>
            <w:hideMark/>
          </w:tcPr>
          <w:p w14:paraId="60BE404C" w14:textId="4D267425" w:rsidR="00A4267A" w:rsidRPr="007653BD" w:rsidRDefault="00A4267A" w:rsidP="007114B5">
            <w:pPr>
              <w:jc w:val="right"/>
              <w:rPr>
                <w:rFonts w:ascii="Arial Narrow" w:hAnsi="Arial Narrow" w:cs="Calibri"/>
                <w:color w:val="000000"/>
                <w:lang w:eastAsia="es-CO"/>
              </w:rPr>
            </w:pPr>
            <w:r w:rsidRPr="007653BD">
              <w:rPr>
                <w:rFonts w:ascii="Arial Narrow" w:hAnsi="Arial Narrow" w:cs="Calibri"/>
                <w:color w:val="000000"/>
                <w:lang w:eastAsia="es-CO"/>
              </w:rPr>
              <w:t xml:space="preserve">        32</w:t>
            </w:r>
            <w:r w:rsidR="00EA0452" w:rsidRPr="007653BD">
              <w:rPr>
                <w:rFonts w:ascii="Arial Narrow" w:hAnsi="Arial Narrow" w:cs="Calibri"/>
                <w:color w:val="000000"/>
                <w:lang w:eastAsia="es-CO"/>
              </w:rPr>
              <w:t>.</w:t>
            </w:r>
            <w:r w:rsidRPr="007653BD">
              <w:rPr>
                <w:rFonts w:ascii="Arial Narrow" w:hAnsi="Arial Narrow" w:cs="Calibri"/>
                <w:color w:val="000000"/>
                <w:lang w:eastAsia="es-CO"/>
              </w:rPr>
              <w:t>505</w:t>
            </w:r>
            <w:r w:rsidR="00EA0452" w:rsidRPr="007653BD">
              <w:rPr>
                <w:rFonts w:ascii="Arial Narrow" w:hAnsi="Arial Narrow" w:cs="Calibri"/>
                <w:color w:val="000000"/>
                <w:lang w:eastAsia="es-CO"/>
              </w:rPr>
              <w:t>.</w:t>
            </w:r>
            <w:r w:rsidRPr="007653BD">
              <w:rPr>
                <w:rFonts w:ascii="Arial Narrow" w:hAnsi="Arial Narrow" w:cs="Calibri"/>
                <w:color w:val="000000"/>
                <w:lang w:eastAsia="es-CO"/>
              </w:rPr>
              <w:t>742</w:t>
            </w:r>
            <w:r w:rsidR="00EA0452" w:rsidRPr="007653BD">
              <w:rPr>
                <w:rFonts w:ascii="Arial Narrow" w:hAnsi="Arial Narrow" w:cs="Calibri"/>
                <w:color w:val="000000"/>
                <w:lang w:eastAsia="es-CO"/>
              </w:rPr>
              <w:t>.</w:t>
            </w:r>
            <w:r w:rsidRPr="007653BD">
              <w:rPr>
                <w:rFonts w:ascii="Arial Narrow" w:hAnsi="Arial Narrow" w:cs="Calibri"/>
                <w:color w:val="000000"/>
                <w:lang w:eastAsia="es-CO"/>
              </w:rPr>
              <w:t xml:space="preserve">932 </w:t>
            </w:r>
          </w:p>
        </w:tc>
      </w:tr>
      <w:tr w:rsidR="00A4267A" w:rsidRPr="007653BD" w14:paraId="04442CE1" w14:textId="77777777" w:rsidTr="007114B5">
        <w:trPr>
          <w:trHeight w:val="580"/>
        </w:trPr>
        <w:tc>
          <w:tcPr>
            <w:tcW w:w="3020" w:type="dxa"/>
            <w:tcBorders>
              <w:top w:val="nil"/>
              <w:left w:val="single" w:sz="4" w:space="0" w:color="auto"/>
              <w:bottom w:val="single" w:sz="4" w:space="0" w:color="auto"/>
              <w:right w:val="single" w:sz="4" w:space="0" w:color="auto"/>
            </w:tcBorders>
            <w:shd w:val="clear" w:color="auto" w:fill="auto"/>
            <w:vAlign w:val="center"/>
            <w:hideMark/>
          </w:tcPr>
          <w:p w14:paraId="369A7673" w14:textId="77777777" w:rsidR="00A4267A" w:rsidRPr="007653BD" w:rsidRDefault="00A4267A" w:rsidP="007114B5">
            <w:pPr>
              <w:jc w:val="center"/>
              <w:rPr>
                <w:rFonts w:ascii="Arial Narrow" w:hAnsi="Arial Narrow" w:cs="Calibri"/>
                <w:color w:val="000000"/>
                <w:lang w:eastAsia="es-CO"/>
              </w:rPr>
            </w:pPr>
            <w:r w:rsidRPr="007653BD">
              <w:rPr>
                <w:rFonts w:ascii="Arial Narrow" w:hAnsi="Arial Narrow" w:cs="Calibri"/>
                <w:color w:val="000000"/>
                <w:lang w:eastAsia="es-CO"/>
              </w:rPr>
              <w:t>PORCENTAJE DEL PRESUPUESTO POR BASE</w:t>
            </w:r>
          </w:p>
        </w:tc>
        <w:tc>
          <w:tcPr>
            <w:tcW w:w="1880" w:type="dxa"/>
            <w:tcBorders>
              <w:top w:val="nil"/>
              <w:left w:val="nil"/>
              <w:bottom w:val="single" w:sz="4" w:space="0" w:color="auto"/>
              <w:right w:val="single" w:sz="4" w:space="0" w:color="auto"/>
            </w:tcBorders>
            <w:shd w:val="clear" w:color="auto" w:fill="auto"/>
            <w:noWrap/>
            <w:vAlign w:val="center"/>
            <w:hideMark/>
          </w:tcPr>
          <w:p w14:paraId="5EBEF351" w14:textId="2BE08357" w:rsidR="00A4267A" w:rsidRPr="007653BD" w:rsidRDefault="00A4267A" w:rsidP="007114B5">
            <w:pPr>
              <w:jc w:val="right"/>
              <w:rPr>
                <w:rFonts w:ascii="Arial Narrow" w:hAnsi="Arial Narrow" w:cs="Calibri"/>
                <w:lang w:eastAsia="es-CO"/>
              </w:rPr>
            </w:pPr>
            <w:r w:rsidRPr="007653BD">
              <w:rPr>
                <w:rFonts w:ascii="Arial Narrow" w:hAnsi="Arial Narrow" w:cs="Calibri"/>
                <w:lang w:eastAsia="es-CO"/>
              </w:rPr>
              <w:t>98</w:t>
            </w:r>
            <w:r w:rsidR="00801382" w:rsidRPr="007653BD">
              <w:rPr>
                <w:rFonts w:ascii="Arial Narrow" w:hAnsi="Arial Narrow" w:cs="Calibri"/>
                <w:lang w:eastAsia="es-CO"/>
              </w:rPr>
              <w:t>,</w:t>
            </w:r>
            <w:r w:rsidRPr="007653BD">
              <w:rPr>
                <w:rFonts w:ascii="Arial Narrow" w:hAnsi="Arial Narrow" w:cs="Calibri"/>
                <w:lang w:eastAsia="es-CO"/>
              </w:rPr>
              <w:t>534861%</w:t>
            </w:r>
          </w:p>
        </w:tc>
        <w:tc>
          <w:tcPr>
            <w:tcW w:w="1899" w:type="dxa"/>
            <w:tcBorders>
              <w:top w:val="nil"/>
              <w:left w:val="nil"/>
              <w:bottom w:val="single" w:sz="4" w:space="0" w:color="auto"/>
              <w:right w:val="single" w:sz="4" w:space="0" w:color="auto"/>
            </w:tcBorders>
            <w:shd w:val="clear" w:color="auto" w:fill="auto"/>
            <w:noWrap/>
            <w:vAlign w:val="center"/>
            <w:hideMark/>
          </w:tcPr>
          <w:p w14:paraId="5E894696" w14:textId="5BA9BE41" w:rsidR="00A4267A" w:rsidRPr="007653BD" w:rsidRDefault="00A4267A" w:rsidP="007114B5">
            <w:pPr>
              <w:jc w:val="right"/>
              <w:rPr>
                <w:rFonts w:ascii="Arial Narrow" w:hAnsi="Arial Narrow" w:cs="Calibri"/>
                <w:lang w:eastAsia="es-CO"/>
              </w:rPr>
            </w:pPr>
            <w:r w:rsidRPr="007653BD">
              <w:rPr>
                <w:rFonts w:ascii="Arial Narrow" w:hAnsi="Arial Narrow" w:cs="Calibri"/>
                <w:lang w:eastAsia="es-CO"/>
              </w:rPr>
              <w:t>1</w:t>
            </w:r>
            <w:r w:rsidR="00756169" w:rsidRPr="007653BD">
              <w:rPr>
                <w:rFonts w:ascii="Arial Narrow" w:hAnsi="Arial Narrow" w:cs="Calibri"/>
                <w:lang w:eastAsia="es-CO"/>
              </w:rPr>
              <w:t>,</w:t>
            </w:r>
            <w:r w:rsidRPr="007653BD">
              <w:rPr>
                <w:rFonts w:ascii="Arial Narrow" w:hAnsi="Arial Narrow" w:cs="Calibri"/>
                <w:lang w:eastAsia="es-CO"/>
              </w:rPr>
              <w:t>465139%</w:t>
            </w:r>
          </w:p>
        </w:tc>
        <w:tc>
          <w:tcPr>
            <w:tcW w:w="1843" w:type="dxa"/>
            <w:tcBorders>
              <w:top w:val="nil"/>
              <w:left w:val="nil"/>
              <w:bottom w:val="single" w:sz="4" w:space="0" w:color="auto"/>
              <w:right w:val="single" w:sz="4" w:space="0" w:color="auto"/>
            </w:tcBorders>
            <w:shd w:val="clear" w:color="auto" w:fill="auto"/>
            <w:noWrap/>
            <w:vAlign w:val="center"/>
            <w:hideMark/>
          </w:tcPr>
          <w:p w14:paraId="5365D25D" w14:textId="77777777" w:rsidR="00A4267A" w:rsidRPr="007653BD" w:rsidRDefault="00A4267A" w:rsidP="007114B5">
            <w:pPr>
              <w:jc w:val="right"/>
              <w:rPr>
                <w:rFonts w:ascii="Arial Narrow" w:hAnsi="Arial Narrow" w:cs="Calibri"/>
                <w:lang w:eastAsia="es-CO"/>
              </w:rPr>
            </w:pPr>
            <w:r w:rsidRPr="007653BD">
              <w:rPr>
                <w:rFonts w:ascii="Arial Narrow" w:hAnsi="Arial Narrow" w:cs="Calibri"/>
                <w:lang w:eastAsia="es-CO"/>
              </w:rPr>
              <w:t>100.000000%</w:t>
            </w:r>
          </w:p>
        </w:tc>
      </w:tr>
      <w:tr w:rsidR="00A4267A" w:rsidRPr="007653BD" w14:paraId="1429B39A" w14:textId="77777777" w:rsidTr="007114B5">
        <w:trPr>
          <w:trHeight w:val="290"/>
        </w:trPr>
        <w:tc>
          <w:tcPr>
            <w:tcW w:w="3020" w:type="dxa"/>
            <w:tcBorders>
              <w:top w:val="nil"/>
              <w:left w:val="single" w:sz="4" w:space="0" w:color="auto"/>
              <w:bottom w:val="single" w:sz="4" w:space="0" w:color="auto"/>
              <w:right w:val="single" w:sz="4" w:space="0" w:color="auto"/>
            </w:tcBorders>
            <w:shd w:val="clear" w:color="000000" w:fill="E7E6E6"/>
            <w:noWrap/>
            <w:vAlign w:val="center"/>
            <w:hideMark/>
          </w:tcPr>
          <w:p w14:paraId="467A6737" w14:textId="77777777" w:rsidR="00A4267A" w:rsidRPr="007653BD" w:rsidRDefault="00A4267A" w:rsidP="007114B5">
            <w:pPr>
              <w:jc w:val="center"/>
              <w:rPr>
                <w:rFonts w:ascii="Arial Narrow" w:hAnsi="Arial Narrow" w:cs="Calibri"/>
                <w:b/>
                <w:bCs/>
                <w:color w:val="000000"/>
                <w:lang w:eastAsia="es-CO"/>
              </w:rPr>
            </w:pPr>
            <w:r w:rsidRPr="007653BD">
              <w:rPr>
                <w:rFonts w:ascii="Arial Narrow" w:hAnsi="Arial Narrow" w:cs="Calibri"/>
                <w:b/>
                <w:bCs/>
                <w:color w:val="000000"/>
                <w:lang w:eastAsia="es-CO"/>
              </w:rPr>
              <w:t>TOTAL PRESUPUESTO 2021</w:t>
            </w:r>
          </w:p>
        </w:tc>
        <w:tc>
          <w:tcPr>
            <w:tcW w:w="1880" w:type="dxa"/>
            <w:tcBorders>
              <w:top w:val="nil"/>
              <w:left w:val="nil"/>
              <w:bottom w:val="single" w:sz="4" w:space="0" w:color="auto"/>
              <w:right w:val="single" w:sz="4" w:space="0" w:color="auto"/>
            </w:tcBorders>
            <w:shd w:val="clear" w:color="000000" w:fill="E7E6E6"/>
            <w:noWrap/>
            <w:vAlign w:val="center"/>
            <w:hideMark/>
          </w:tcPr>
          <w:p w14:paraId="60D67AA7" w14:textId="39078FCE" w:rsidR="00A4267A" w:rsidRPr="007653BD" w:rsidRDefault="00A4267A" w:rsidP="007114B5">
            <w:pPr>
              <w:rPr>
                <w:rFonts w:ascii="Arial Narrow" w:hAnsi="Arial Narrow" w:cs="Calibri"/>
                <w:b/>
                <w:bCs/>
                <w:color w:val="000000"/>
                <w:lang w:eastAsia="es-CO"/>
              </w:rPr>
            </w:pPr>
            <w:r w:rsidRPr="007653BD">
              <w:rPr>
                <w:rFonts w:ascii="Arial Narrow" w:hAnsi="Arial Narrow" w:cs="Calibri"/>
                <w:b/>
                <w:bCs/>
                <w:color w:val="000000"/>
                <w:lang w:eastAsia="es-CO"/>
              </w:rPr>
              <w:t xml:space="preserve">      32</w:t>
            </w:r>
            <w:r w:rsidR="00EA0452" w:rsidRPr="007653BD">
              <w:rPr>
                <w:rFonts w:ascii="Arial Narrow" w:hAnsi="Arial Narrow" w:cs="Calibri"/>
                <w:b/>
                <w:bCs/>
                <w:color w:val="000000"/>
                <w:lang w:eastAsia="es-CO"/>
              </w:rPr>
              <w:t>.</w:t>
            </w:r>
            <w:r w:rsidRPr="007653BD">
              <w:rPr>
                <w:rFonts w:ascii="Arial Narrow" w:hAnsi="Arial Narrow" w:cs="Calibri"/>
                <w:b/>
                <w:bCs/>
                <w:color w:val="000000"/>
                <w:lang w:eastAsia="es-CO"/>
              </w:rPr>
              <w:t>505</w:t>
            </w:r>
            <w:r w:rsidR="00EA0452" w:rsidRPr="007653BD">
              <w:rPr>
                <w:rFonts w:ascii="Arial Narrow" w:hAnsi="Arial Narrow" w:cs="Calibri"/>
                <w:b/>
                <w:bCs/>
                <w:color w:val="000000"/>
                <w:lang w:eastAsia="es-CO"/>
              </w:rPr>
              <w:t>.</w:t>
            </w:r>
            <w:r w:rsidRPr="007653BD">
              <w:rPr>
                <w:rFonts w:ascii="Arial Narrow" w:hAnsi="Arial Narrow" w:cs="Calibri"/>
                <w:b/>
                <w:bCs/>
                <w:color w:val="000000"/>
                <w:lang w:eastAsia="es-CO"/>
              </w:rPr>
              <w:t>742</w:t>
            </w:r>
            <w:r w:rsidR="00EA0452" w:rsidRPr="007653BD">
              <w:rPr>
                <w:rFonts w:ascii="Arial Narrow" w:hAnsi="Arial Narrow" w:cs="Calibri"/>
                <w:b/>
                <w:bCs/>
                <w:color w:val="000000"/>
                <w:lang w:eastAsia="es-CO"/>
              </w:rPr>
              <w:t>.</w:t>
            </w:r>
            <w:r w:rsidRPr="007653BD">
              <w:rPr>
                <w:rFonts w:ascii="Arial Narrow" w:hAnsi="Arial Narrow" w:cs="Calibri"/>
                <w:b/>
                <w:bCs/>
                <w:color w:val="000000"/>
                <w:lang w:eastAsia="es-CO"/>
              </w:rPr>
              <w:t xml:space="preserve">932 </w:t>
            </w:r>
          </w:p>
        </w:tc>
        <w:tc>
          <w:tcPr>
            <w:tcW w:w="1899" w:type="dxa"/>
            <w:tcBorders>
              <w:top w:val="nil"/>
              <w:left w:val="nil"/>
              <w:bottom w:val="single" w:sz="4" w:space="0" w:color="auto"/>
              <w:right w:val="single" w:sz="4" w:space="0" w:color="auto"/>
            </w:tcBorders>
            <w:shd w:val="clear" w:color="auto" w:fill="auto"/>
            <w:noWrap/>
            <w:vAlign w:val="center"/>
            <w:hideMark/>
          </w:tcPr>
          <w:p w14:paraId="1F2C320F" w14:textId="77777777" w:rsidR="00A4267A" w:rsidRPr="007653BD" w:rsidRDefault="00A4267A" w:rsidP="007114B5">
            <w:pPr>
              <w:rPr>
                <w:rFonts w:ascii="Arial Narrow" w:hAnsi="Arial Narrow" w:cs="Calibri"/>
                <w:color w:val="000000"/>
                <w:lang w:eastAsia="es-CO"/>
              </w:rPr>
            </w:pPr>
            <w:r w:rsidRPr="007653BD">
              <w:rPr>
                <w:rFonts w:ascii="Arial Narrow" w:hAnsi="Arial Narrow" w:cs="Calibri"/>
                <w:color w:val="000000"/>
                <w:lang w:eastAsia="es-CO"/>
              </w:rPr>
              <w:t> </w:t>
            </w:r>
          </w:p>
        </w:tc>
        <w:tc>
          <w:tcPr>
            <w:tcW w:w="1843" w:type="dxa"/>
            <w:tcBorders>
              <w:top w:val="nil"/>
              <w:left w:val="nil"/>
              <w:bottom w:val="single" w:sz="4" w:space="0" w:color="auto"/>
              <w:right w:val="single" w:sz="4" w:space="0" w:color="auto"/>
            </w:tcBorders>
            <w:shd w:val="clear" w:color="auto" w:fill="auto"/>
            <w:noWrap/>
            <w:vAlign w:val="center"/>
            <w:hideMark/>
          </w:tcPr>
          <w:p w14:paraId="7D8937AC" w14:textId="77777777" w:rsidR="00A4267A" w:rsidRPr="007653BD" w:rsidRDefault="00A4267A" w:rsidP="007114B5">
            <w:pPr>
              <w:rPr>
                <w:rFonts w:ascii="Arial Narrow" w:hAnsi="Arial Narrow" w:cs="Calibri"/>
                <w:color w:val="000000"/>
                <w:lang w:eastAsia="es-CO"/>
              </w:rPr>
            </w:pPr>
            <w:r w:rsidRPr="007653BD">
              <w:rPr>
                <w:rFonts w:ascii="Arial Narrow" w:hAnsi="Arial Narrow" w:cs="Calibri"/>
                <w:color w:val="000000"/>
                <w:lang w:eastAsia="es-CO"/>
              </w:rPr>
              <w:t> </w:t>
            </w:r>
          </w:p>
        </w:tc>
      </w:tr>
      <w:tr w:rsidR="00A4267A" w:rsidRPr="007653BD" w14:paraId="636C19C5" w14:textId="77777777" w:rsidTr="007114B5">
        <w:trPr>
          <w:trHeight w:val="100"/>
        </w:trPr>
        <w:tc>
          <w:tcPr>
            <w:tcW w:w="3020" w:type="dxa"/>
            <w:tcBorders>
              <w:top w:val="nil"/>
              <w:left w:val="nil"/>
              <w:bottom w:val="nil"/>
              <w:right w:val="nil"/>
            </w:tcBorders>
            <w:shd w:val="clear" w:color="auto" w:fill="auto"/>
            <w:noWrap/>
            <w:vAlign w:val="center"/>
            <w:hideMark/>
          </w:tcPr>
          <w:p w14:paraId="1EDBE700" w14:textId="77777777" w:rsidR="00A4267A" w:rsidRPr="007653BD" w:rsidRDefault="00A4267A" w:rsidP="007114B5">
            <w:pPr>
              <w:rPr>
                <w:rFonts w:ascii="Arial Narrow" w:hAnsi="Arial Narrow" w:cs="Calibri"/>
                <w:color w:val="000000"/>
                <w:lang w:eastAsia="es-CO"/>
              </w:rPr>
            </w:pPr>
          </w:p>
        </w:tc>
        <w:tc>
          <w:tcPr>
            <w:tcW w:w="1880" w:type="dxa"/>
            <w:tcBorders>
              <w:top w:val="nil"/>
              <w:left w:val="nil"/>
              <w:bottom w:val="nil"/>
              <w:right w:val="nil"/>
            </w:tcBorders>
            <w:shd w:val="clear" w:color="auto" w:fill="auto"/>
            <w:noWrap/>
            <w:vAlign w:val="center"/>
            <w:hideMark/>
          </w:tcPr>
          <w:p w14:paraId="7539AC7C" w14:textId="77777777" w:rsidR="00A4267A" w:rsidRPr="007653BD" w:rsidRDefault="00A4267A" w:rsidP="007114B5">
            <w:pPr>
              <w:jc w:val="center"/>
              <w:rPr>
                <w:rFonts w:ascii="Arial Narrow" w:hAnsi="Arial Narrow"/>
                <w:lang w:eastAsia="es-CO"/>
              </w:rPr>
            </w:pPr>
          </w:p>
        </w:tc>
        <w:tc>
          <w:tcPr>
            <w:tcW w:w="1899" w:type="dxa"/>
            <w:tcBorders>
              <w:top w:val="nil"/>
              <w:left w:val="nil"/>
              <w:bottom w:val="nil"/>
              <w:right w:val="nil"/>
            </w:tcBorders>
            <w:shd w:val="clear" w:color="auto" w:fill="auto"/>
            <w:noWrap/>
            <w:vAlign w:val="center"/>
            <w:hideMark/>
          </w:tcPr>
          <w:p w14:paraId="409B07CF" w14:textId="77777777" w:rsidR="00A4267A" w:rsidRPr="007653BD" w:rsidRDefault="00A4267A" w:rsidP="007114B5">
            <w:pPr>
              <w:rPr>
                <w:rFonts w:ascii="Arial Narrow" w:hAnsi="Arial Narrow"/>
                <w:lang w:eastAsia="es-CO"/>
              </w:rPr>
            </w:pPr>
          </w:p>
        </w:tc>
        <w:tc>
          <w:tcPr>
            <w:tcW w:w="1843" w:type="dxa"/>
            <w:tcBorders>
              <w:top w:val="nil"/>
              <w:left w:val="nil"/>
              <w:bottom w:val="nil"/>
              <w:right w:val="nil"/>
            </w:tcBorders>
            <w:shd w:val="clear" w:color="auto" w:fill="auto"/>
            <w:noWrap/>
            <w:vAlign w:val="center"/>
            <w:hideMark/>
          </w:tcPr>
          <w:p w14:paraId="1687664B" w14:textId="77777777" w:rsidR="00A4267A" w:rsidRPr="007653BD" w:rsidRDefault="00A4267A" w:rsidP="007114B5">
            <w:pPr>
              <w:rPr>
                <w:rFonts w:ascii="Arial Narrow" w:hAnsi="Arial Narrow"/>
                <w:lang w:eastAsia="es-CO"/>
              </w:rPr>
            </w:pPr>
          </w:p>
        </w:tc>
      </w:tr>
      <w:tr w:rsidR="00A4267A" w:rsidRPr="007653BD" w14:paraId="6A58FB7F" w14:textId="77777777" w:rsidTr="007114B5">
        <w:trPr>
          <w:trHeight w:val="290"/>
        </w:trPr>
        <w:tc>
          <w:tcPr>
            <w:tcW w:w="3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258231" w14:textId="77777777" w:rsidR="00A4267A" w:rsidRPr="007653BD" w:rsidRDefault="00A4267A" w:rsidP="007114B5">
            <w:pPr>
              <w:jc w:val="center"/>
              <w:rPr>
                <w:rFonts w:ascii="Arial Narrow" w:hAnsi="Arial Narrow" w:cs="Calibri"/>
                <w:color w:val="000000"/>
                <w:lang w:eastAsia="es-CO"/>
              </w:rPr>
            </w:pPr>
            <w:r w:rsidRPr="007653BD">
              <w:rPr>
                <w:rFonts w:ascii="Arial Narrow" w:hAnsi="Arial Narrow" w:cs="Calibri"/>
                <w:color w:val="000000"/>
                <w:lang w:eastAsia="es-CO"/>
              </w:rPr>
              <w:t>BASE GASTOS OPERATIVOS</w:t>
            </w:r>
          </w:p>
        </w:tc>
        <w:tc>
          <w:tcPr>
            <w:tcW w:w="1880" w:type="dxa"/>
            <w:tcBorders>
              <w:top w:val="single" w:sz="4" w:space="0" w:color="auto"/>
              <w:left w:val="nil"/>
              <w:bottom w:val="single" w:sz="4" w:space="0" w:color="auto"/>
              <w:right w:val="single" w:sz="4" w:space="0" w:color="auto"/>
            </w:tcBorders>
            <w:shd w:val="clear" w:color="auto" w:fill="auto"/>
            <w:noWrap/>
            <w:vAlign w:val="center"/>
            <w:hideMark/>
          </w:tcPr>
          <w:p w14:paraId="4B0073A8" w14:textId="77777777" w:rsidR="00A4267A" w:rsidRPr="007653BD" w:rsidRDefault="00A4267A" w:rsidP="007114B5">
            <w:pPr>
              <w:rPr>
                <w:rFonts w:ascii="Arial Narrow" w:hAnsi="Arial Narrow" w:cs="Calibri"/>
                <w:color w:val="000000"/>
                <w:lang w:eastAsia="es-CO"/>
              </w:rPr>
            </w:pPr>
            <w:r w:rsidRPr="007653BD">
              <w:rPr>
                <w:rFonts w:ascii="Arial Narrow" w:hAnsi="Arial Narrow" w:cs="Calibri"/>
                <w:color w:val="000000"/>
                <w:lang w:eastAsia="es-CO"/>
              </w:rPr>
              <w:t> </w:t>
            </w:r>
          </w:p>
        </w:tc>
        <w:tc>
          <w:tcPr>
            <w:tcW w:w="1899" w:type="dxa"/>
            <w:tcBorders>
              <w:top w:val="single" w:sz="4" w:space="0" w:color="auto"/>
              <w:left w:val="nil"/>
              <w:bottom w:val="single" w:sz="4" w:space="0" w:color="auto"/>
              <w:right w:val="single" w:sz="4" w:space="0" w:color="auto"/>
            </w:tcBorders>
            <w:shd w:val="clear" w:color="auto" w:fill="auto"/>
            <w:noWrap/>
            <w:vAlign w:val="center"/>
            <w:hideMark/>
          </w:tcPr>
          <w:p w14:paraId="6B61D669" w14:textId="2081D309" w:rsidR="00A4267A" w:rsidRPr="007653BD" w:rsidRDefault="00A4267A" w:rsidP="007114B5">
            <w:pPr>
              <w:jc w:val="right"/>
              <w:rPr>
                <w:rFonts w:ascii="Arial Narrow" w:hAnsi="Arial Narrow" w:cs="Calibri"/>
                <w:color w:val="000000"/>
                <w:lang w:eastAsia="es-CO"/>
              </w:rPr>
            </w:pPr>
            <w:r w:rsidRPr="007653BD">
              <w:rPr>
                <w:rFonts w:ascii="Arial Narrow" w:hAnsi="Arial Narrow" w:cs="Calibri"/>
                <w:color w:val="000000"/>
                <w:lang w:eastAsia="es-CO"/>
              </w:rPr>
              <w:t xml:space="preserve">  8</w:t>
            </w:r>
            <w:r w:rsidR="00EA0452" w:rsidRPr="007653BD">
              <w:rPr>
                <w:rFonts w:ascii="Arial Narrow" w:hAnsi="Arial Narrow" w:cs="Calibri"/>
                <w:color w:val="000000"/>
                <w:lang w:eastAsia="es-CO"/>
              </w:rPr>
              <w:t>.</w:t>
            </w:r>
            <w:r w:rsidRPr="007653BD">
              <w:rPr>
                <w:rFonts w:ascii="Arial Narrow" w:hAnsi="Arial Narrow" w:cs="Calibri"/>
                <w:color w:val="000000"/>
                <w:lang w:eastAsia="es-CO"/>
              </w:rPr>
              <w:t>734</w:t>
            </w:r>
            <w:r w:rsidR="00EA0452" w:rsidRPr="007653BD">
              <w:rPr>
                <w:rFonts w:ascii="Arial Narrow" w:hAnsi="Arial Narrow" w:cs="Calibri"/>
                <w:color w:val="000000"/>
                <w:lang w:eastAsia="es-CO"/>
              </w:rPr>
              <w:t>.</w:t>
            </w:r>
            <w:r w:rsidRPr="007653BD">
              <w:rPr>
                <w:rFonts w:ascii="Arial Narrow" w:hAnsi="Arial Narrow" w:cs="Calibri"/>
                <w:color w:val="000000"/>
                <w:lang w:eastAsia="es-CO"/>
              </w:rPr>
              <w:t>712</w:t>
            </w:r>
            <w:r w:rsidR="00EA0452" w:rsidRPr="007653BD">
              <w:rPr>
                <w:rFonts w:ascii="Arial Narrow" w:hAnsi="Arial Narrow" w:cs="Calibri"/>
                <w:color w:val="000000"/>
                <w:lang w:eastAsia="es-CO"/>
              </w:rPr>
              <w:t>.</w:t>
            </w:r>
            <w:r w:rsidRPr="007653BD">
              <w:rPr>
                <w:rFonts w:ascii="Arial Narrow" w:hAnsi="Arial Narrow" w:cs="Calibri"/>
                <w:color w:val="000000"/>
                <w:lang w:eastAsia="es-CO"/>
              </w:rPr>
              <w:t>243</w:t>
            </w:r>
            <w:r w:rsidR="00EA0452" w:rsidRPr="007653BD">
              <w:rPr>
                <w:rFonts w:ascii="Arial Narrow" w:hAnsi="Arial Narrow" w:cs="Calibri"/>
                <w:color w:val="000000"/>
                <w:lang w:eastAsia="es-CO"/>
              </w:rPr>
              <w:t>.</w:t>
            </w:r>
            <w:r w:rsidRPr="007653BD">
              <w:rPr>
                <w:rFonts w:ascii="Arial Narrow" w:hAnsi="Arial Narrow" w:cs="Calibri"/>
                <w:color w:val="000000"/>
                <w:lang w:eastAsia="es-CO"/>
              </w:rPr>
              <w:t xml:space="preserve">135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236B66F1" w14:textId="77777777" w:rsidR="00A4267A" w:rsidRPr="007653BD" w:rsidRDefault="00A4267A" w:rsidP="007114B5">
            <w:pPr>
              <w:rPr>
                <w:rFonts w:ascii="Arial Narrow" w:hAnsi="Arial Narrow" w:cs="Calibri"/>
                <w:color w:val="000000"/>
                <w:lang w:eastAsia="es-CO"/>
              </w:rPr>
            </w:pPr>
            <w:r w:rsidRPr="007653BD">
              <w:rPr>
                <w:rFonts w:ascii="Arial Narrow" w:hAnsi="Arial Narrow" w:cs="Calibri"/>
                <w:color w:val="000000"/>
                <w:lang w:eastAsia="es-CO"/>
              </w:rPr>
              <w:t> </w:t>
            </w:r>
          </w:p>
        </w:tc>
      </w:tr>
      <w:tr w:rsidR="00A4267A" w:rsidRPr="007653BD" w14:paraId="593F4CD2" w14:textId="77777777" w:rsidTr="007114B5">
        <w:trPr>
          <w:trHeight w:val="580"/>
        </w:trPr>
        <w:tc>
          <w:tcPr>
            <w:tcW w:w="3020" w:type="dxa"/>
            <w:tcBorders>
              <w:top w:val="nil"/>
              <w:left w:val="single" w:sz="4" w:space="0" w:color="auto"/>
              <w:bottom w:val="single" w:sz="4" w:space="0" w:color="auto"/>
              <w:right w:val="single" w:sz="4" w:space="0" w:color="auto"/>
            </w:tcBorders>
            <w:shd w:val="clear" w:color="auto" w:fill="auto"/>
            <w:vAlign w:val="center"/>
            <w:hideMark/>
          </w:tcPr>
          <w:p w14:paraId="72B53011" w14:textId="77777777" w:rsidR="00A4267A" w:rsidRPr="007653BD" w:rsidRDefault="00A4267A" w:rsidP="007114B5">
            <w:pPr>
              <w:jc w:val="center"/>
              <w:rPr>
                <w:rFonts w:ascii="Arial Narrow" w:hAnsi="Arial Narrow" w:cs="Calibri"/>
                <w:color w:val="000000"/>
                <w:lang w:eastAsia="es-CO"/>
              </w:rPr>
            </w:pPr>
            <w:r w:rsidRPr="007653BD">
              <w:rPr>
                <w:rFonts w:ascii="Arial Narrow" w:hAnsi="Arial Narrow" w:cs="Calibri"/>
                <w:color w:val="000000"/>
                <w:lang w:eastAsia="es-CO"/>
              </w:rPr>
              <w:t>PORCENTAJE ADICIONAL GASTOS OPERATIVOS</w:t>
            </w:r>
          </w:p>
        </w:tc>
        <w:tc>
          <w:tcPr>
            <w:tcW w:w="1880" w:type="dxa"/>
            <w:tcBorders>
              <w:top w:val="nil"/>
              <w:left w:val="nil"/>
              <w:bottom w:val="single" w:sz="4" w:space="0" w:color="auto"/>
              <w:right w:val="single" w:sz="4" w:space="0" w:color="auto"/>
            </w:tcBorders>
            <w:shd w:val="clear" w:color="auto" w:fill="auto"/>
            <w:noWrap/>
            <w:vAlign w:val="center"/>
            <w:hideMark/>
          </w:tcPr>
          <w:p w14:paraId="2C0202D3" w14:textId="77777777" w:rsidR="00A4267A" w:rsidRPr="007653BD" w:rsidRDefault="00A4267A" w:rsidP="007114B5">
            <w:pPr>
              <w:rPr>
                <w:rFonts w:ascii="Arial Narrow" w:hAnsi="Arial Narrow" w:cs="Calibri"/>
                <w:color w:val="000000"/>
                <w:lang w:eastAsia="es-CO"/>
              </w:rPr>
            </w:pPr>
            <w:r w:rsidRPr="007653BD">
              <w:rPr>
                <w:rFonts w:ascii="Arial Narrow" w:hAnsi="Arial Narrow" w:cs="Calibri"/>
                <w:color w:val="000000"/>
                <w:lang w:eastAsia="es-CO"/>
              </w:rPr>
              <w:t> </w:t>
            </w:r>
          </w:p>
        </w:tc>
        <w:tc>
          <w:tcPr>
            <w:tcW w:w="1899" w:type="dxa"/>
            <w:tcBorders>
              <w:top w:val="nil"/>
              <w:left w:val="nil"/>
              <w:bottom w:val="single" w:sz="4" w:space="0" w:color="auto"/>
              <w:right w:val="single" w:sz="4" w:space="0" w:color="auto"/>
            </w:tcBorders>
            <w:shd w:val="clear" w:color="auto" w:fill="auto"/>
            <w:noWrap/>
            <w:vAlign w:val="center"/>
            <w:hideMark/>
          </w:tcPr>
          <w:p w14:paraId="64331BDC" w14:textId="39CE14C3" w:rsidR="00A4267A" w:rsidRPr="007653BD" w:rsidRDefault="00A4267A" w:rsidP="007114B5">
            <w:pPr>
              <w:jc w:val="right"/>
              <w:rPr>
                <w:rFonts w:ascii="Arial Narrow" w:hAnsi="Arial Narrow" w:cs="Calibri"/>
                <w:lang w:eastAsia="es-CO"/>
              </w:rPr>
            </w:pPr>
            <w:r w:rsidRPr="007653BD">
              <w:rPr>
                <w:rFonts w:ascii="Arial Narrow" w:hAnsi="Arial Narrow" w:cs="Calibri"/>
                <w:lang w:eastAsia="es-CO"/>
              </w:rPr>
              <w:t>0</w:t>
            </w:r>
            <w:r w:rsidR="00801382" w:rsidRPr="007653BD">
              <w:rPr>
                <w:rFonts w:ascii="Arial Narrow" w:hAnsi="Arial Narrow" w:cs="Calibri"/>
                <w:lang w:eastAsia="es-CO"/>
              </w:rPr>
              <w:t>,</w:t>
            </w:r>
            <w:r w:rsidRPr="007653BD">
              <w:rPr>
                <w:rFonts w:ascii="Arial Narrow" w:hAnsi="Arial Narrow" w:cs="Calibri"/>
                <w:lang w:eastAsia="es-CO"/>
              </w:rPr>
              <w:t>005452%</w:t>
            </w:r>
          </w:p>
        </w:tc>
        <w:tc>
          <w:tcPr>
            <w:tcW w:w="1843" w:type="dxa"/>
            <w:tcBorders>
              <w:top w:val="nil"/>
              <w:left w:val="nil"/>
              <w:bottom w:val="single" w:sz="4" w:space="0" w:color="auto"/>
              <w:right w:val="single" w:sz="4" w:space="0" w:color="auto"/>
            </w:tcBorders>
            <w:shd w:val="clear" w:color="auto" w:fill="auto"/>
            <w:noWrap/>
            <w:vAlign w:val="center"/>
            <w:hideMark/>
          </w:tcPr>
          <w:p w14:paraId="17C0C481" w14:textId="77777777" w:rsidR="00A4267A" w:rsidRPr="007653BD" w:rsidRDefault="00A4267A" w:rsidP="007114B5">
            <w:pPr>
              <w:rPr>
                <w:rFonts w:ascii="Arial Narrow" w:hAnsi="Arial Narrow" w:cs="Calibri"/>
                <w:color w:val="000000"/>
                <w:lang w:eastAsia="es-CO"/>
              </w:rPr>
            </w:pPr>
            <w:r w:rsidRPr="007653BD">
              <w:rPr>
                <w:rFonts w:ascii="Arial Narrow" w:hAnsi="Arial Narrow" w:cs="Calibri"/>
                <w:color w:val="000000"/>
                <w:lang w:eastAsia="es-CO"/>
              </w:rPr>
              <w:t> </w:t>
            </w:r>
          </w:p>
        </w:tc>
      </w:tr>
      <w:tr w:rsidR="00A4267A" w:rsidRPr="007653BD" w14:paraId="2D809EDB" w14:textId="77777777" w:rsidTr="007114B5">
        <w:trPr>
          <w:trHeight w:val="290"/>
        </w:trPr>
        <w:tc>
          <w:tcPr>
            <w:tcW w:w="3020" w:type="dxa"/>
            <w:tcBorders>
              <w:top w:val="nil"/>
              <w:left w:val="single" w:sz="4" w:space="0" w:color="auto"/>
              <w:bottom w:val="single" w:sz="4" w:space="0" w:color="auto"/>
              <w:right w:val="single" w:sz="4" w:space="0" w:color="auto"/>
            </w:tcBorders>
            <w:shd w:val="clear" w:color="000000" w:fill="E7E6E6"/>
            <w:noWrap/>
            <w:vAlign w:val="center"/>
            <w:hideMark/>
          </w:tcPr>
          <w:p w14:paraId="6C730AD3" w14:textId="77777777" w:rsidR="00A4267A" w:rsidRPr="007653BD" w:rsidRDefault="00A4267A" w:rsidP="007114B5">
            <w:pPr>
              <w:jc w:val="center"/>
              <w:rPr>
                <w:rFonts w:ascii="Arial Narrow" w:hAnsi="Arial Narrow" w:cs="Calibri"/>
                <w:b/>
                <w:bCs/>
                <w:color w:val="000000"/>
                <w:lang w:eastAsia="es-CO"/>
              </w:rPr>
            </w:pPr>
            <w:r w:rsidRPr="007653BD">
              <w:rPr>
                <w:rFonts w:ascii="Arial Narrow" w:hAnsi="Arial Narrow" w:cs="Calibri"/>
                <w:b/>
                <w:bCs/>
                <w:color w:val="000000"/>
                <w:lang w:eastAsia="es-CO"/>
              </w:rPr>
              <w:t>FALTANTE PRESUPUESTAL</w:t>
            </w:r>
          </w:p>
        </w:tc>
        <w:tc>
          <w:tcPr>
            <w:tcW w:w="1880" w:type="dxa"/>
            <w:tcBorders>
              <w:top w:val="nil"/>
              <w:left w:val="nil"/>
              <w:bottom w:val="single" w:sz="4" w:space="0" w:color="auto"/>
              <w:right w:val="single" w:sz="4" w:space="0" w:color="auto"/>
            </w:tcBorders>
            <w:shd w:val="clear" w:color="000000" w:fill="E7E6E6"/>
            <w:noWrap/>
            <w:vAlign w:val="center"/>
            <w:hideMark/>
          </w:tcPr>
          <w:p w14:paraId="14732822" w14:textId="77777777" w:rsidR="00A4267A" w:rsidRPr="007653BD" w:rsidRDefault="00A4267A" w:rsidP="007114B5">
            <w:pPr>
              <w:rPr>
                <w:rFonts w:ascii="Arial Narrow" w:hAnsi="Arial Narrow" w:cs="Calibri"/>
                <w:b/>
                <w:bCs/>
                <w:color w:val="000000"/>
                <w:lang w:eastAsia="es-CO"/>
              </w:rPr>
            </w:pPr>
            <w:r w:rsidRPr="007653BD">
              <w:rPr>
                <w:rFonts w:ascii="Arial Narrow" w:hAnsi="Arial Narrow" w:cs="Calibri"/>
                <w:b/>
                <w:bCs/>
                <w:color w:val="000000"/>
                <w:lang w:eastAsia="es-CO"/>
              </w:rPr>
              <w:t> </w:t>
            </w:r>
          </w:p>
        </w:tc>
        <w:tc>
          <w:tcPr>
            <w:tcW w:w="1899" w:type="dxa"/>
            <w:tcBorders>
              <w:top w:val="nil"/>
              <w:left w:val="nil"/>
              <w:bottom w:val="single" w:sz="4" w:space="0" w:color="auto"/>
              <w:right w:val="single" w:sz="4" w:space="0" w:color="auto"/>
            </w:tcBorders>
            <w:shd w:val="clear" w:color="000000" w:fill="E7E6E6"/>
            <w:noWrap/>
            <w:vAlign w:val="center"/>
            <w:hideMark/>
          </w:tcPr>
          <w:p w14:paraId="20D74DFC" w14:textId="51D84B83" w:rsidR="00A4267A" w:rsidRPr="007653BD" w:rsidRDefault="00A4267A" w:rsidP="007114B5">
            <w:pPr>
              <w:jc w:val="right"/>
              <w:rPr>
                <w:rFonts w:ascii="Arial Narrow" w:hAnsi="Arial Narrow" w:cs="Calibri"/>
                <w:b/>
                <w:bCs/>
                <w:color w:val="000000"/>
                <w:lang w:eastAsia="es-CO"/>
              </w:rPr>
            </w:pPr>
            <w:r w:rsidRPr="007653BD">
              <w:rPr>
                <w:rFonts w:ascii="Arial Narrow" w:hAnsi="Arial Narrow" w:cs="Calibri"/>
                <w:b/>
                <w:bCs/>
                <w:color w:val="000000"/>
                <w:lang w:eastAsia="es-CO"/>
              </w:rPr>
              <w:t xml:space="preserve">             476</w:t>
            </w:r>
            <w:r w:rsidR="00EA0452" w:rsidRPr="007653BD">
              <w:rPr>
                <w:rFonts w:ascii="Arial Narrow" w:hAnsi="Arial Narrow" w:cs="Calibri"/>
                <w:b/>
                <w:bCs/>
                <w:color w:val="000000"/>
                <w:lang w:eastAsia="es-CO"/>
              </w:rPr>
              <w:t>.</w:t>
            </w:r>
            <w:r w:rsidRPr="007653BD">
              <w:rPr>
                <w:rFonts w:ascii="Arial Narrow" w:hAnsi="Arial Narrow" w:cs="Calibri"/>
                <w:b/>
                <w:bCs/>
                <w:color w:val="000000"/>
                <w:lang w:eastAsia="es-CO"/>
              </w:rPr>
              <w:t>254</w:t>
            </w:r>
            <w:r w:rsidR="00EA0452" w:rsidRPr="007653BD">
              <w:rPr>
                <w:rFonts w:ascii="Arial Narrow" w:hAnsi="Arial Narrow" w:cs="Calibri"/>
                <w:b/>
                <w:bCs/>
                <w:color w:val="000000"/>
                <w:lang w:eastAsia="es-CO"/>
              </w:rPr>
              <w:t>.</w:t>
            </w:r>
            <w:r w:rsidRPr="007653BD">
              <w:rPr>
                <w:rFonts w:ascii="Arial Narrow" w:hAnsi="Arial Narrow" w:cs="Calibri"/>
                <w:b/>
                <w:bCs/>
                <w:color w:val="000000"/>
                <w:lang w:eastAsia="es-CO"/>
              </w:rPr>
              <w:t xml:space="preserve">349 </w:t>
            </w:r>
          </w:p>
        </w:tc>
        <w:tc>
          <w:tcPr>
            <w:tcW w:w="1843" w:type="dxa"/>
            <w:tcBorders>
              <w:top w:val="nil"/>
              <w:left w:val="nil"/>
              <w:bottom w:val="single" w:sz="4" w:space="0" w:color="auto"/>
              <w:right w:val="single" w:sz="4" w:space="0" w:color="auto"/>
            </w:tcBorders>
            <w:shd w:val="clear" w:color="auto" w:fill="auto"/>
            <w:noWrap/>
            <w:vAlign w:val="center"/>
            <w:hideMark/>
          </w:tcPr>
          <w:p w14:paraId="7ED787C5" w14:textId="77777777" w:rsidR="00A4267A" w:rsidRPr="007653BD" w:rsidRDefault="00A4267A" w:rsidP="007114B5">
            <w:pPr>
              <w:rPr>
                <w:rFonts w:ascii="Arial Narrow" w:hAnsi="Arial Narrow" w:cs="Calibri"/>
                <w:color w:val="000000"/>
                <w:lang w:eastAsia="es-CO"/>
              </w:rPr>
            </w:pPr>
            <w:r w:rsidRPr="007653BD">
              <w:rPr>
                <w:rFonts w:ascii="Arial Narrow" w:hAnsi="Arial Narrow" w:cs="Calibri"/>
                <w:color w:val="000000"/>
                <w:lang w:eastAsia="es-CO"/>
              </w:rPr>
              <w:t> </w:t>
            </w:r>
          </w:p>
        </w:tc>
      </w:tr>
    </w:tbl>
    <w:p w14:paraId="3A5B0F00" w14:textId="77777777" w:rsidR="00A4267A" w:rsidRDefault="00A4267A" w:rsidP="00A4267A">
      <w:pPr>
        <w:rPr>
          <w:rFonts w:ascii="Bookman Old Style" w:hAnsi="Bookman Old Style" w:cs="Arial"/>
        </w:rPr>
      </w:pPr>
    </w:p>
    <w:p w14:paraId="18E0C93C" w14:textId="592ED044" w:rsidR="00CF1DE7" w:rsidRPr="004217E9" w:rsidRDefault="00CF1DE7" w:rsidP="00CF1DE7">
      <w:pPr>
        <w:pStyle w:val="Subttulo"/>
        <w:numPr>
          <w:ilvl w:val="1"/>
          <w:numId w:val="37"/>
        </w:numPr>
        <w:spacing w:after="0"/>
        <w:ind w:left="357" w:hanging="357"/>
        <w:jc w:val="left"/>
        <w:rPr>
          <w:b/>
          <w:bCs/>
          <w:sz w:val="22"/>
          <w:szCs w:val="22"/>
        </w:rPr>
      </w:pPr>
      <w:bookmarkStart w:id="59" w:name="_Toc88126862"/>
      <w:r>
        <w:rPr>
          <w:b/>
          <w:bCs/>
          <w:sz w:val="22"/>
          <w:szCs w:val="22"/>
        </w:rPr>
        <w:t>EMPRESAS REGULADAS POR SECTOR CONTRIBUCIÓN ESPECIAL 2021.</w:t>
      </w:r>
      <w:bookmarkEnd w:id="59"/>
    </w:p>
    <w:p w14:paraId="3F221086" w14:textId="77777777" w:rsidR="00CF1DE7" w:rsidRDefault="00CF1DE7" w:rsidP="00CE5F55">
      <w:pPr>
        <w:ind w:right="-91"/>
        <w:rPr>
          <w:rFonts w:cs="Arial"/>
          <w:sz w:val="22"/>
          <w:szCs w:val="22"/>
        </w:rPr>
      </w:pPr>
    </w:p>
    <w:p w14:paraId="63FD5B7A" w14:textId="77777777" w:rsidR="00CF1DE7" w:rsidRDefault="00CF1DE7" w:rsidP="00CF1DE7">
      <w:pPr>
        <w:rPr>
          <w:rFonts w:cs="Arial"/>
          <w:sz w:val="22"/>
          <w:szCs w:val="22"/>
        </w:rPr>
      </w:pPr>
      <w:r w:rsidRPr="008A6C3A">
        <w:rPr>
          <w:rFonts w:cs="Arial"/>
          <w:sz w:val="22"/>
          <w:szCs w:val="22"/>
        </w:rPr>
        <w:t xml:space="preserve">A continuación, se relaciona el número de </w:t>
      </w:r>
      <w:r>
        <w:rPr>
          <w:rFonts w:cs="Arial"/>
          <w:sz w:val="22"/>
          <w:szCs w:val="22"/>
        </w:rPr>
        <w:t xml:space="preserve">empresas reguladas por sector </w:t>
      </w:r>
      <w:r w:rsidRPr="008A6C3A">
        <w:rPr>
          <w:rFonts w:cs="Arial"/>
          <w:sz w:val="22"/>
          <w:szCs w:val="22"/>
        </w:rPr>
        <w:t>y el valor estimado de la contribución para el año 20</w:t>
      </w:r>
      <w:r>
        <w:rPr>
          <w:rFonts w:cs="Arial"/>
          <w:sz w:val="22"/>
          <w:szCs w:val="22"/>
        </w:rPr>
        <w:t>21.</w:t>
      </w:r>
    </w:p>
    <w:p w14:paraId="09AB4505" w14:textId="77777777" w:rsidR="00CF1DE7" w:rsidRDefault="00CF1DE7" w:rsidP="00CF1DE7">
      <w:pPr>
        <w:rPr>
          <w:rFonts w:cs="Arial"/>
          <w:sz w:val="22"/>
          <w:szCs w:val="22"/>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00"/>
        <w:gridCol w:w="1389"/>
        <w:gridCol w:w="2768"/>
        <w:gridCol w:w="2743"/>
      </w:tblGrid>
      <w:tr w:rsidR="00CF1DE7" w:rsidRPr="00871D8D" w14:paraId="4DAEB60A" w14:textId="77777777" w:rsidTr="00AB0B17">
        <w:trPr>
          <w:trHeight w:val="490"/>
        </w:trPr>
        <w:tc>
          <w:tcPr>
            <w:tcW w:w="1600" w:type="dxa"/>
            <w:shd w:val="clear" w:color="000000" w:fill="F2F2F2"/>
            <w:vAlign w:val="center"/>
            <w:hideMark/>
          </w:tcPr>
          <w:p w14:paraId="0A83814C" w14:textId="77777777" w:rsidR="00CF1DE7" w:rsidRPr="00871D8D" w:rsidRDefault="00CF1DE7" w:rsidP="007114B5">
            <w:pPr>
              <w:jc w:val="center"/>
              <w:rPr>
                <w:rFonts w:ascii="Arial Narrow" w:hAnsi="Arial Narrow" w:cs="Calibri"/>
                <w:b/>
                <w:bCs/>
                <w:color w:val="000000"/>
                <w:spacing w:val="0"/>
                <w:lang w:eastAsia="es-CO"/>
              </w:rPr>
            </w:pPr>
            <w:r w:rsidRPr="00871D8D">
              <w:rPr>
                <w:rFonts w:ascii="Arial Narrow" w:hAnsi="Arial Narrow" w:cs="Calibri"/>
                <w:b/>
                <w:bCs/>
                <w:color w:val="000000"/>
                <w:spacing w:val="0"/>
                <w:lang w:eastAsia="es-CO"/>
              </w:rPr>
              <w:t>SERVICIO</w:t>
            </w:r>
          </w:p>
        </w:tc>
        <w:tc>
          <w:tcPr>
            <w:tcW w:w="1200" w:type="dxa"/>
            <w:shd w:val="clear" w:color="000000" w:fill="F2F2F2"/>
            <w:vAlign w:val="center"/>
            <w:hideMark/>
          </w:tcPr>
          <w:p w14:paraId="72040817" w14:textId="4C0540E7" w:rsidR="00CF1DE7" w:rsidRPr="00871D8D" w:rsidRDefault="00CF1DE7" w:rsidP="007114B5">
            <w:pPr>
              <w:jc w:val="center"/>
              <w:rPr>
                <w:rFonts w:ascii="Arial Narrow" w:hAnsi="Arial Narrow" w:cs="Calibri"/>
                <w:b/>
                <w:bCs/>
                <w:color w:val="000000"/>
                <w:spacing w:val="0"/>
                <w:lang w:eastAsia="es-CO"/>
              </w:rPr>
            </w:pPr>
            <w:r w:rsidRPr="00871D8D">
              <w:rPr>
                <w:rFonts w:ascii="Arial Narrow" w:hAnsi="Arial Narrow" w:cs="Calibri"/>
                <w:b/>
                <w:bCs/>
                <w:color w:val="000000"/>
                <w:spacing w:val="0"/>
                <w:lang w:eastAsia="es-CO"/>
              </w:rPr>
              <w:t xml:space="preserve">N°  </w:t>
            </w:r>
            <w:r w:rsidR="00871D8D">
              <w:rPr>
                <w:rFonts w:ascii="Arial Narrow" w:hAnsi="Arial Narrow" w:cs="Calibri"/>
                <w:b/>
                <w:bCs/>
                <w:color w:val="000000"/>
                <w:spacing w:val="0"/>
                <w:lang w:eastAsia="es-CO"/>
              </w:rPr>
              <w:t>PRESTADORES</w:t>
            </w:r>
          </w:p>
        </w:tc>
        <w:tc>
          <w:tcPr>
            <w:tcW w:w="2860" w:type="dxa"/>
            <w:shd w:val="clear" w:color="000000" w:fill="F2F2F2"/>
            <w:vAlign w:val="center"/>
            <w:hideMark/>
          </w:tcPr>
          <w:p w14:paraId="1FB73F23" w14:textId="77777777" w:rsidR="00CF1DE7" w:rsidRPr="00871D8D" w:rsidRDefault="00CF1DE7" w:rsidP="007114B5">
            <w:pPr>
              <w:jc w:val="center"/>
              <w:rPr>
                <w:rFonts w:ascii="Arial Narrow" w:hAnsi="Arial Narrow" w:cs="Calibri"/>
                <w:b/>
                <w:bCs/>
                <w:color w:val="000000"/>
                <w:spacing w:val="0"/>
                <w:lang w:eastAsia="es-CO"/>
              </w:rPr>
            </w:pPr>
            <w:r w:rsidRPr="00871D8D">
              <w:rPr>
                <w:rFonts w:ascii="Arial Narrow" w:hAnsi="Arial Narrow" w:cs="Calibri"/>
                <w:b/>
                <w:bCs/>
                <w:color w:val="000000"/>
                <w:spacing w:val="0"/>
                <w:lang w:eastAsia="es-CO"/>
              </w:rPr>
              <w:t>TOTAL BASES GRAVABLES</w:t>
            </w:r>
          </w:p>
        </w:tc>
        <w:tc>
          <w:tcPr>
            <w:tcW w:w="2840" w:type="dxa"/>
            <w:shd w:val="clear" w:color="000000" w:fill="F2F2F2"/>
            <w:vAlign w:val="center"/>
            <w:hideMark/>
          </w:tcPr>
          <w:p w14:paraId="53FDE107" w14:textId="77777777" w:rsidR="00CF1DE7" w:rsidRPr="00871D8D" w:rsidRDefault="00CF1DE7" w:rsidP="007114B5">
            <w:pPr>
              <w:jc w:val="center"/>
              <w:rPr>
                <w:rFonts w:ascii="Arial Narrow" w:hAnsi="Arial Narrow" w:cs="Calibri"/>
                <w:b/>
                <w:bCs/>
                <w:color w:val="000000"/>
                <w:spacing w:val="0"/>
                <w:lang w:eastAsia="es-CO"/>
              </w:rPr>
            </w:pPr>
            <w:r w:rsidRPr="00871D8D">
              <w:rPr>
                <w:rFonts w:ascii="Arial Narrow" w:hAnsi="Arial Narrow" w:cs="Calibri"/>
                <w:b/>
                <w:bCs/>
                <w:color w:val="000000"/>
                <w:spacing w:val="0"/>
                <w:lang w:eastAsia="es-CO"/>
              </w:rPr>
              <w:t xml:space="preserve">VALOR </w:t>
            </w:r>
            <w:r w:rsidRPr="00871D8D">
              <w:rPr>
                <w:rFonts w:ascii="Arial Narrow" w:hAnsi="Arial Narrow" w:cs="Calibri"/>
                <w:b/>
                <w:bCs/>
                <w:color w:val="000000"/>
                <w:spacing w:val="0"/>
                <w:lang w:eastAsia="es-CO"/>
              </w:rPr>
              <w:br/>
              <w:t>CONTRIBUCIÓN ESPECIAL 2021</w:t>
            </w:r>
          </w:p>
        </w:tc>
      </w:tr>
      <w:tr w:rsidR="00871D8D" w:rsidRPr="00871D8D" w14:paraId="6218426F" w14:textId="77777777" w:rsidTr="00AB0B17">
        <w:trPr>
          <w:trHeight w:val="300"/>
        </w:trPr>
        <w:tc>
          <w:tcPr>
            <w:tcW w:w="1600" w:type="dxa"/>
            <w:shd w:val="clear" w:color="auto" w:fill="auto"/>
            <w:noWrap/>
            <w:vAlign w:val="center"/>
            <w:hideMark/>
          </w:tcPr>
          <w:p w14:paraId="428A7812" w14:textId="77777777" w:rsidR="00871D8D" w:rsidRPr="00871D8D" w:rsidRDefault="00871D8D" w:rsidP="00871D8D">
            <w:pPr>
              <w:jc w:val="left"/>
              <w:rPr>
                <w:rFonts w:ascii="Arial Narrow" w:hAnsi="Arial Narrow" w:cs="Calibri"/>
                <w:color w:val="000000"/>
                <w:spacing w:val="0"/>
                <w:lang w:eastAsia="es-CO"/>
              </w:rPr>
            </w:pPr>
            <w:r w:rsidRPr="00871D8D">
              <w:rPr>
                <w:rFonts w:ascii="Arial Narrow" w:hAnsi="Arial Narrow" w:cs="Calibri"/>
                <w:color w:val="000000"/>
                <w:spacing w:val="0"/>
                <w:lang w:eastAsia="es-CO"/>
              </w:rPr>
              <w:t>ENERGÍA ELÉCTRICA</w:t>
            </w:r>
          </w:p>
        </w:tc>
        <w:tc>
          <w:tcPr>
            <w:tcW w:w="1200" w:type="dxa"/>
            <w:shd w:val="clear" w:color="auto" w:fill="auto"/>
            <w:noWrap/>
            <w:vAlign w:val="center"/>
            <w:hideMark/>
          </w:tcPr>
          <w:p w14:paraId="552D2D98" w14:textId="4566AE2E" w:rsidR="00871D8D" w:rsidRPr="00871D8D" w:rsidRDefault="00871D8D" w:rsidP="00871D8D">
            <w:pPr>
              <w:jc w:val="center"/>
              <w:rPr>
                <w:rFonts w:ascii="Arial Narrow" w:hAnsi="Arial Narrow" w:cs="Calibri"/>
                <w:color w:val="000000"/>
                <w:spacing w:val="0"/>
                <w:lang w:eastAsia="es-CO"/>
              </w:rPr>
            </w:pPr>
            <w:r w:rsidRPr="00871D8D">
              <w:rPr>
                <w:rFonts w:ascii="Arial Narrow" w:hAnsi="Arial Narrow" w:cs="Calibri"/>
                <w:color w:val="000000"/>
                <w:spacing w:val="0"/>
                <w:lang w:eastAsia="es-CO"/>
              </w:rPr>
              <w:t>185</w:t>
            </w:r>
          </w:p>
        </w:tc>
        <w:tc>
          <w:tcPr>
            <w:tcW w:w="2860" w:type="dxa"/>
            <w:shd w:val="clear" w:color="000000" w:fill="FFFFFF"/>
            <w:vAlign w:val="center"/>
            <w:hideMark/>
          </w:tcPr>
          <w:p w14:paraId="413AFF01" w14:textId="1D32C71B" w:rsidR="00871D8D" w:rsidRPr="00871D8D" w:rsidRDefault="00871D8D" w:rsidP="00871D8D">
            <w:pPr>
              <w:jc w:val="right"/>
              <w:rPr>
                <w:rFonts w:ascii="Arial Narrow" w:hAnsi="Arial Narrow" w:cs="Calibri"/>
                <w:color w:val="000000"/>
                <w:spacing w:val="0"/>
                <w:lang w:eastAsia="es-CO"/>
              </w:rPr>
            </w:pPr>
            <w:r w:rsidRPr="00871D8D">
              <w:rPr>
                <w:rFonts w:ascii="Arial Narrow" w:hAnsi="Arial Narrow" w:cs="Calibri"/>
                <w:color w:val="000000"/>
              </w:rPr>
              <w:t xml:space="preserve">  1</w:t>
            </w:r>
            <w:r w:rsidR="00312247">
              <w:rPr>
                <w:rFonts w:ascii="Arial Narrow" w:hAnsi="Arial Narrow" w:cs="Calibri"/>
                <w:color w:val="000000"/>
              </w:rPr>
              <w:t>.</w:t>
            </w:r>
            <w:r w:rsidRPr="00871D8D">
              <w:rPr>
                <w:rFonts w:ascii="Arial Narrow" w:hAnsi="Arial Narrow" w:cs="Calibri"/>
                <w:color w:val="000000"/>
              </w:rPr>
              <w:t>978</w:t>
            </w:r>
            <w:r w:rsidR="00312247">
              <w:rPr>
                <w:rFonts w:ascii="Arial Narrow" w:hAnsi="Arial Narrow" w:cs="Calibri"/>
                <w:color w:val="000000"/>
              </w:rPr>
              <w:t>.</w:t>
            </w:r>
            <w:r w:rsidRPr="00871D8D">
              <w:rPr>
                <w:rFonts w:ascii="Arial Narrow" w:hAnsi="Arial Narrow" w:cs="Calibri"/>
                <w:color w:val="000000"/>
              </w:rPr>
              <w:t>979</w:t>
            </w:r>
            <w:r w:rsidR="00312247">
              <w:rPr>
                <w:rFonts w:ascii="Arial Narrow" w:hAnsi="Arial Narrow" w:cs="Calibri"/>
                <w:color w:val="000000"/>
              </w:rPr>
              <w:t>.</w:t>
            </w:r>
            <w:r w:rsidRPr="00871D8D">
              <w:rPr>
                <w:rFonts w:ascii="Arial Narrow" w:hAnsi="Arial Narrow" w:cs="Calibri"/>
                <w:color w:val="000000"/>
              </w:rPr>
              <w:t>087</w:t>
            </w:r>
            <w:r w:rsidR="00312247">
              <w:rPr>
                <w:rFonts w:ascii="Arial Narrow" w:hAnsi="Arial Narrow" w:cs="Calibri"/>
                <w:color w:val="000000"/>
              </w:rPr>
              <w:t>.</w:t>
            </w:r>
            <w:r w:rsidRPr="00871D8D">
              <w:rPr>
                <w:rFonts w:ascii="Arial Narrow" w:hAnsi="Arial Narrow" w:cs="Calibri"/>
                <w:color w:val="000000"/>
              </w:rPr>
              <w:t xml:space="preserve">543 </w:t>
            </w:r>
          </w:p>
        </w:tc>
        <w:tc>
          <w:tcPr>
            <w:tcW w:w="2840" w:type="dxa"/>
            <w:shd w:val="clear" w:color="000000" w:fill="FFFFFF"/>
            <w:vAlign w:val="center"/>
            <w:hideMark/>
          </w:tcPr>
          <w:p w14:paraId="0F559A97" w14:textId="36313B61" w:rsidR="00871D8D" w:rsidRPr="00871D8D" w:rsidRDefault="00871D8D" w:rsidP="00871D8D">
            <w:pPr>
              <w:jc w:val="right"/>
              <w:rPr>
                <w:rFonts w:ascii="Arial Narrow" w:hAnsi="Arial Narrow" w:cs="Calibri"/>
                <w:color w:val="000000"/>
                <w:spacing w:val="0"/>
                <w:lang w:eastAsia="es-CO"/>
              </w:rPr>
            </w:pPr>
            <w:r w:rsidRPr="00871D8D">
              <w:rPr>
                <w:rFonts w:ascii="Arial Narrow" w:hAnsi="Arial Narrow" w:cs="Calibri"/>
                <w:color w:val="000000"/>
              </w:rPr>
              <w:t xml:space="preserve">         19</w:t>
            </w:r>
            <w:r w:rsidR="00312247">
              <w:rPr>
                <w:rFonts w:ascii="Arial Narrow" w:hAnsi="Arial Narrow" w:cs="Calibri"/>
                <w:color w:val="000000"/>
              </w:rPr>
              <w:t>.</w:t>
            </w:r>
            <w:r w:rsidRPr="00871D8D">
              <w:rPr>
                <w:rFonts w:ascii="Arial Narrow" w:hAnsi="Arial Narrow" w:cs="Calibri"/>
                <w:color w:val="000000"/>
              </w:rPr>
              <w:t>789</w:t>
            </w:r>
            <w:r w:rsidR="00312247">
              <w:rPr>
                <w:rFonts w:ascii="Arial Narrow" w:hAnsi="Arial Narrow" w:cs="Calibri"/>
                <w:color w:val="000000"/>
              </w:rPr>
              <w:t>.</w:t>
            </w:r>
            <w:r w:rsidRPr="00871D8D">
              <w:rPr>
                <w:rFonts w:ascii="Arial Narrow" w:hAnsi="Arial Narrow" w:cs="Calibri"/>
                <w:color w:val="000000"/>
              </w:rPr>
              <w:t>790</w:t>
            </w:r>
            <w:r w:rsidR="00312247">
              <w:rPr>
                <w:rFonts w:ascii="Arial Narrow" w:hAnsi="Arial Narrow" w:cs="Calibri"/>
                <w:color w:val="000000"/>
              </w:rPr>
              <w:t>.</w:t>
            </w:r>
            <w:r w:rsidRPr="00871D8D">
              <w:rPr>
                <w:rFonts w:ascii="Arial Narrow" w:hAnsi="Arial Narrow" w:cs="Calibri"/>
                <w:color w:val="000000"/>
              </w:rPr>
              <w:t xml:space="preserve">875 </w:t>
            </w:r>
          </w:p>
        </w:tc>
      </w:tr>
      <w:tr w:rsidR="00871D8D" w:rsidRPr="00871D8D" w14:paraId="2F7BFD8F" w14:textId="77777777" w:rsidTr="00AB0B17">
        <w:trPr>
          <w:trHeight w:val="300"/>
        </w:trPr>
        <w:tc>
          <w:tcPr>
            <w:tcW w:w="1600" w:type="dxa"/>
            <w:shd w:val="clear" w:color="auto" w:fill="auto"/>
            <w:noWrap/>
            <w:vAlign w:val="center"/>
            <w:hideMark/>
          </w:tcPr>
          <w:p w14:paraId="57B98346" w14:textId="77777777" w:rsidR="00871D8D" w:rsidRPr="00871D8D" w:rsidRDefault="00871D8D" w:rsidP="00871D8D">
            <w:pPr>
              <w:jc w:val="left"/>
              <w:rPr>
                <w:rFonts w:ascii="Arial Narrow" w:hAnsi="Arial Narrow" w:cs="Calibri"/>
                <w:color w:val="000000"/>
                <w:spacing w:val="0"/>
                <w:lang w:eastAsia="es-CO"/>
              </w:rPr>
            </w:pPr>
            <w:r w:rsidRPr="00871D8D">
              <w:rPr>
                <w:rFonts w:ascii="Arial Narrow" w:hAnsi="Arial Narrow" w:cs="Calibri"/>
                <w:color w:val="000000"/>
                <w:spacing w:val="0"/>
                <w:lang w:eastAsia="es-CO"/>
              </w:rPr>
              <w:t>GAS NATURAL</w:t>
            </w:r>
          </w:p>
        </w:tc>
        <w:tc>
          <w:tcPr>
            <w:tcW w:w="1200" w:type="dxa"/>
            <w:shd w:val="clear" w:color="auto" w:fill="auto"/>
            <w:noWrap/>
            <w:vAlign w:val="center"/>
            <w:hideMark/>
          </w:tcPr>
          <w:p w14:paraId="02EE044D" w14:textId="4F168470" w:rsidR="00871D8D" w:rsidRPr="00871D8D" w:rsidRDefault="00871D8D" w:rsidP="00871D8D">
            <w:pPr>
              <w:jc w:val="center"/>
              <w:rPr>
                <w:rFonts w:ascii="Arial Narrow" w:hAnsi="Arial Narrow" w:cs="Calibri"/>
                <w:color w:val="000000"/>
                <w:spacing w:val="0"/>
                <w:lang w:eastAsia="es-CO"/>
              </w:rPr>
            </w:pPr>
            <w:r w:rsidRPr="00871D8D">
              <w:rPr>
                <w:rFonts w:ascii="Arial Narrow" w:hAnsi="Arial Narrow" w:cs="Calibri"/>
                <w:color w:val="000000"/>
                <w:spacing w:val="0"/>
                <w:lang w:eastAsia="es-CO"/>
              </w:rPr>
              <w:t>118</w:t>
            </w:r>
          </w:p>
        </w:tc>
        <w:tc>
          <w:tcPr>
            <w:tcW w:w="2860" w:type="dxa"/>
            <w:shd w:val="clear" w:color="000000" w:fill="FFFFFF"/>
            <w:vAlign w:val="center"/>
            <w:hideMark/>
          </w:tcPr>
          <w:p w14:paraId="0027B8B8" w14:textId="3DB3CB30" w:rsidR="00871D8D" w:rsidRPr="00871D8D" w:rsidRDefault="00871D8D" w:rsidP="00871D8D">
            <w:pPr>
              <w:jc w:val="right"/>
              <w:rPr>
                <w:rFonts w:ascii="Arial Narrow" w:hAnsi="Arial Narrow" w:cs="Calibri"/>
                <w:color w:val="000000"/>
                <w:spacing w:val="0"/>
                <w:lang w:eastAsia="es-CO"/>
              </w:rPr>
            </w:pPr>
            <w:r w:rsidRPr="00871D8D">
              <w:rPr>
                <w:rFonts w:ascii="Arial Narrow" w:hAnsi="Arial Narrow" w:cs="Calibri"/>
                <w:color w:val="000000"/>
              </w:rPr>
              <w:t xml:space="preserve">    1</w:t>
            </w:r>
            <w:r w:rsidR="00312247">
              <w:rPr>
                <w:rFonts w:ascii="Arial Narrow" w:hAnsi="Arial Narrow" w:cs="Calibri"/>
                <w:color w:val="000000"/>
              </w:rPr>
              <w:t>.</w:t>
            </w:r>
            <w:r w:rsidRPr="00871D8D">
              <w:rPr>
                <w:rFonts w:ascii="Arial Narrow" w:hAnsi="Arial Narrow" w:cs="Calibri"/>
                <w:color w:val="000000"/>
              </w:rPr>
              <w:t>022</w:t>
            </w:r>
            <w:r w:rsidR="00312247">
              <w:rPr>
                <w:rFonts w:ascii="Arial Narrow" w:hAnsi="Arial Narrow" w:cs="Calibri"/>
                <w:color w:val="000000"/>
              </w:rPr>
              <w:t>.</w:t>
            </w:r>
            <w:r w:rsidRPr="00871D8D">
              <w:rPr>
                <w:rFonts w:ascii="Arial Narrow" w:hAnsi="Arial Narrow" w:cs="Calibri"/>
                <w:color w:val="000000"/>
              </w:rPr>
              <w:t>149</w:t>
            </w:r>
            <w:r w:rsidR="00312247">
              <w:rPr>
                <w:rFonts w:ascii="Arial Narrow" w:hAnsi="Arial Narrow" w:cs="Calibri"/>
                <w:color w:val="000000"/>
              </w:rPr>
              <w:t>.</w:t>
            </w:r>
            <w:r w:rsidRPr="00871D8D">
              <w:rPr>
                <w:rFonts w:ascii="Arial Narrow" w:hAnsi="Arial Narrow" w:cs="Calibri"/>
                <w:color w:val="000000"/>
              </w:rPr>
              <w:t>560</w:t>
            </w:r>
            <w:r w:rsidR="00312247">
              <w:rPr>
                <w:rFonts w:ascii="Arial Narrow" w:hAnsi="Arial Narrow" w:cs="Calibri"/>
                <w:color w:val="000000"/>
              </w:rPr>
              <w:t>.</w:t>
            </w:r>
            <w:r w:rsidRPr="00871D8D">
              <w:rPr>
                <w:rFonts w:ascii="Arial Narrow" w:hAnsi="Arial Narrow" w:cs="Calibri"/>
                <w:color w:val="000000"/>
              </w:rPr>
              <w:t xml:space="preserve">298 </w:t>
            </w:r>
          </w:p>
        </w:tc>
        <w:tc>
          <w:tcPr>
            <w:tcW w:w="2840" w:type="dxa"/>
            <w:shd w:val="clear" w:color="000000" w:fill="FFFFFF"/>
            <w:vAlign w:val="center"/>
            <w:hideMark/>
          </w:tcPr>
          <w:p w14:paraId="0EE62DE9" w14:textId="49128EC9" w:rsidR="00871D8D" w:rsidRPr="00871D8D" w:rsidRDefault="00871D8D" w:rsidP="00871D8D">
            <w:pPr>
              <w:jc w:val="right"/>
              <w:rPr>
                <w:rFonts w:ascii="Arial Narrow" w:hAnsi="Arial Narrow" w:cs="Calibri"/>
                <w:color w:val="000000"/>
                <w:spacing w:val="0"/>
                <w:lang w:eastAsia="es-CO"/>
              </w:rPr>
            </w:pPr>
            <w:r w:rsidRPr="00871D8D">
              <w:rPr>
                <w:rFonts w:ascii="Arial Narrow" w:hAnsi="Arial Narrow" w:cs="Calibri"/>
                <w:color w:val="000000"/>
              </w:rPr>
              <w:t xml:space="preserve">             10</w:t>
            </w:r>
            <w:r w:rsidR="00312247">
              <w:rPr>
                <w:rFonts w:ascii="Arial Narrow" w:hAnsi="Arial Narrow" w:cs="Calibri"/>
                <w:color w:val="000000"/>
              </w:rPr>
              <w:t>.</w:t>
            </w:r>
            <w:r w:rsidRPr="00871D8D">
              <w:rPr>
                <w:rFonts w:ascii="Arial Narrow" w:hAnsi="Arial Narrow" w:cs="Calibri"/>
                <w:color w:val="000000"/>
              </w:rPr>
              <w:t>221</w:t>
            </w:r>
            <w:r w:rsidR="00312247">
              <w:rPr>
                <w:rFonts w:ascii="Arial Narrow" w:hAnsi="Arial Narrow" w:cs="Calibri"/>
                <w:color w:val="000000"/>
              </w:rPr>
              <w:t>.</w:t>
            </w:r>
            <w:r w:rsidRPr="00871D8D">
              <w:rPr>
                <w:rFonts w:ascii="Arial Narrow" w:hAnsi="Arial Narrow" w:cs="Calibri"/>
                <w:color w:val="000000"/>
              </w:rPr>
              <w:t>495</w:t>
            </w:r>
            <w:r w:rsidR="00312247">
              <w:rPr>
                <w:rFonts w:ascii="Arial Narrow" w:hAnsi="Arial Narrow" w:cs="Calibri"/>
                <w:color w:val="000000"/>
              </w:rPr>
              <w:t>.</w:t>
            </w:r>
            <w:r w:rsidRPr="00871D8D">
              <w:rPr>
                <w:rFonts w:ascii="Arial Narrow" w:hAnsi="Arial Narrow" w:cs="Calibri"/>
                <w:color w:val="000000"/>
              </w:rPr>
              <w:t xml:space="preserve">603 </w:t>
            </w:r>
          </w:p>
        </w:tc>
      </w:tr>
      <w:tr w:rsidR="00871D8D" w:rsidRPr="00871D8D" w14:paraId="2501AEA9" w14:textId="77777777" w:rsidTr="00AB0B17">
        <w:trPr>
          <w:trHeight w:val="300"/>
        </w:trPr>
        <w:tc>
          <w:tcPr>
            <w:tcW w:w="1600" w:type="dxa"/>
            <w:shd w:val="clear" w:color="auto" w:fill="auto"/>
            <w:noWrap/>
            <w:vAlign w:val="center"/>
            <w:hideMark/>
          </w:tcPr>
          <w:p w14:paraId="42BB3030" w14:textId="77777777" w:rsidR="00871D8D" w:rsidRPr="00871D8D" w:rsidRDefault="00871D8D" w:rsidP="00871D8D">
            <w:pPr>
              <w:jc w:val="left"/>
              <w:rPr>
                <w:rFonts w:ascii="Arial Narrow" w:hAnsi="Arial Narrow" w:cs="Calibri"/>
                <w:color w:val="000000"/>
                <w:spacing w:val="0"/>
                <w:lang w:eastAsia="es-CO"/>
              </w:rPr>
            </w:pPr>
            <w:r w:rsidRPr="00871D8D">
              <w:rPr>
                <w:rFonts w:ascii="Arial Narrow" w:hAnsi="Arial Narrow" w:cs="Calibri"/>
                <w:color w:val="000000"/>
                <w:spacing w:val="0"/>
                <w:lang w:eastAsia="es-CO"/>
              </w:rPr>
              <w:t>GLP</w:t>
            </w:r>
          </w:p>
        </w:tc>
        <w:tc>
          <w:tcPr>
            <w:tcW w:w="1200" w:type="dxa"/>
            <w:shd w:val="clear" w:color="auto" w:fill="auto"/>
            <w:noWrap/>
            <w:vAlign w:val="center"/>
            <w:hideMark/>
          </w:tcPr>
          <w:p w14:paraId="22348817" w14:textId="2D83E1FE" w:rsidR="00871D8D" w:rsidRPr="00871D8D" w:rsidRDefault="00871D8D" w:rsidP="00871D8D">
            <w:pPr>
              <w:jc w:val="center"/>
              <w:rPr>
                <w:rFonts w:ascii="Arial Narrow" w:hAnsi="Arial Narrow" w:cs="Calibri"/>
                <w:color w:val="000000"/>
                <w:spacing w:val="0"/>
                <w:lang w:eastAsia="es-CO"/>
              </w:rPr>
            </w:pPr>
            <w:r w:rsidRPr="00871D8D">
              <w:rPr>
                <w:rFonts w:ascii="Arial Narrow" w:hAnsi="Arial Narrow" w:cs="Calibri"/>
                <w:color w:val="000000"/>
                <w:spacing w:val="0"/>
                <w:lang w:eastAsia="es-CO"/>
              </w:rPr>
              <w:t>68</w:t>
            </w:r>
          </w:p>
        </w:tc>
        <w:tc>
          <w:tcPr>
            <w:tcW w:w="2860" w:type="dxa"/>
            <w:shd w:val="clear" w:color="000000" w:fill="FFFFFF"/>
            <w:vAlign w:val="center"/>
            <w:hideMark/>
          </w:tcPr>
          <w:p w14:paraId="5455AE59" w14:textId="20F62C3B" w:rsidR="00871D8D" w:rsidRPr="00871D8D" w:rsidRDefault="00871D8D" w:rsidP="00871D8D">
            <w:pPr>
              <w:jc w:val="right"/>
              <w:rPr>
                <w:rFonts w:ascii="Arial Narrow" w:hAnsi="Arial Narrow" w:cs="Calibri"/>
                <w:color w:val="000000"/>
                <w:spacing w:val="0"/>
                <w:lang w:eastAsia="es-CO"/>
              </w:rPr>
            </w:pPr>
            <w:r w:rsidRPr="00871D8D">
              <w:rPr>
                <w:rFonts w:ascii="Arial Narrow" w:hAnsi="Arial Narrow" w:cs="Calibri"/>
                <w:color w:val="000000"/>
              </w:rPr>
              <w:t xml:space="preserve">     200</w:t>
            </w:r>
            <w:r w:rsidR="00312247">
              <w:rPr>
                <w:rFonts w:ascii="Arial Narrow" w:hAnsi="Arial Narrow" w:cs="Calibri"/>
                <w:color w:val="000000"/>
              </w:rPr>
              <w:t>.</w:t>
            </w:r>
            <w:r w:rsidRPr="00871D8D">
              <w:rPr>
                <w:rFonts w:ascii="Arial Narrow" w:hAnsi="Arial Narrow" w:cs="Calibri"/>
                <w:color w:val="000000"/>
              </w:rPr>
              <w:t>902</w:t>
            </w:r>
            <w:r w:rsidR="00312247">
              <w:rPr>
                <w:rFonts w:ascii="Arial Narrow" w:hAnsi="Arial Narrow" w:cs="Calibri"/>
                <w:color w:val="000000"/>
              </w:rPr>
              <w:t>.</w:t>
            </w:r>
            <w:r w:rsidRPr="00871D8D">
              <w:rPr>
                <w:rFonts w:ascii="Arial Narrow" w:hAnsi="Arial Narrow" w:cs="Calibri"/>
                <w:color w:val="000000"/>
              </w:rPr>
              <w:t>180</w:t>
            </w:r>
            <w:r w:rsidR="00312247">
              <w:rPr>
                <w:rFonts w:ascii="Arial Narrow" w:hAnsi="Arial Narrow" w:cs="Calibri"/>
                <w:color w:val="000000"/>
              </w:rPr>
              <w:t>.</w:t>
            </w:r>
            <w:r w:rsidRPr="00871D8D">
              <w:rPr>
                <w:rFonts w:ascii="Arial Narrow" w:hAnsi="Arial Narrow" w:cs="Calibri"/>
                <w:color w:val="000000"/>
              </w:rPr>
              <w:t xml:space="preserve">089 </w:t>
            </w:r>
          </w:p>
        </w:tc>
        <w:tc>
          <w:tcPr>
            <w:tcW w:w="2840" w:type="dxa"/>
            <w:shd w:val="clear" w:color="000000" w:fill="FFFFFF"/>
            <w:vAlign w:val="center"/>
            <w:hideMark/>
          </w:tcPr>
          <w:p w14:paraId="760E7DEC" w14:textId="1D0A6232" w:rsidR="00871D8D" w:rsidRPr="00871D8D" w:rsidRDefault="00871D8D" w:rsidP="00871D8D">
            <w:pPr>
              <w:jc w:val="right"/>
              <w:rPr>
                <w:rFonts w:ascii="Arial Narrow" w:hAnsi="Arial Narrow" w:cs="Calibri"/>
                <w:color w:val="000000"/>
                <w:spacing w:val="0"/>
                <w:lang w:eastAsia="es-CO"/>
              </w:rPr>
            </w:pPr>
            <w:r w:rsidRPr="00871D8D">
              <w:rPr>
                <w:rFonts w:ascii="Arial Narrow" w:hAnsi="Arial Narrow" w:cs="Calibri"/>
                <w:color w:val="000000"/>
              </w:rPr>
              <w:t xml:space="preserve">        2</w:t>
            </w:r>
            <w:r w:rsidR="00312247">
              <w:rPr>
                <w:rFonts w:ascii="Arial Narrow" w:hAnsi="Arial Narrow" w:cs="Calibri"/>
                <w:color w:val="000000"/>
              </w:rPr>
              <w:t>.</w:t>
            </w:r>
            <w:r w:rsidRPr="00871D8D">
              <w:rPr>
                <w:rFonts w:ascii="Arial Narrow" w:hAnsi="Arial Narrow" w:cs="Calibri"/>
                <w:color w:val="000000"/>
              </w:rPr>
              <w:t>009</w:t>
            </w:r>
            <w:r w:rsidR="00312247">
              <w:rPr>
                <w:rFonts w:ascii="Arial Narrow" w:hAnsi="Arial Narrow" w:cs="Calibri"/>
                <w:color w:val="000000"/>
              </w:rPr>
              <w:t>.</w:t>
            </w:r>
            <w:r w:rsidRPr="00871D8D">
              <w:rPr>
                <w:rFonts w:ascii="Arial Narrow" w:hAnsi="Arial Narrow" w:cs="Calibri"/>
                <w:color w:val="000000"/>
              </w:rPr>
              <w:t>021</w:t>
            </w:r>
            <w:r w:rsidR="00312247">
              <w:rPr>
                <w:rFonts w:ascii="Arial Narrow" w:hAnsi="Arial Narrow" w:cs="Calibri"/>
                <w:color w:val="000000"/>
              </w:rPr>
              <w:t>.</w:t>
            </w:r>
            <w:r w:rsidRPr="00871D8D">
              <w:rPr>
                <w:rFonts w:ascii="Arial Narrow" w:hAnsi="Arial Narrow" w:cs="Calibri"/>
                <w:color w:val="000000"/>
              </w:rPr>
              <w:t xml:space="preserve">801 </w:t>
            </w:r>
          </w:p>
        </w:tc>
      </w:tr>
      <w:tr w:rsidR="00871D8D" w:rsidRPr="00871D8D" w14:paraId="7A6D8ADF" w14:textId="77777777" w:rsidTr="00AB0B17">
        <w:trPr>
          <w:trHeight w:val="300"/>
        </w:trPr>
        <w:tc>
          <w:tcPr>
            <w:tcW w:w="1600" w:type="dxa"/>
            <w:shd w:val="clear" w:color="auto" w:fill="auto"/>
            <w:noWrap/>
            <w:vAlign w:val="center"/>
            <w:hideMark/>
          </w:tcPr>
          <w:p w14:paraId="4C9660D6" w14:textId="77777777" w:rsidR="00871D8D" w:rsidRPr="00871D8D" w:rsidRDefault="00871D8D" w:rsidP="00871D8D">
            <w:pPr>
              <w:jc w:val="left"/>
              <w:rPr>
                <w:rFonts w:ascii="Arial Narrow" w:hAnsi="Arial Narrow" w:cs="Calibri"/>
                <w:color w:val="000000"/>
                <w:spacing w:val="0"/>
                <w:lang w:eastAsia="es-CO"/>
              </w:rPr>
            </w:pPr>
            <w:r w:rsidRPr="00871D8D">
              <w:rPr>
                <w:rFonts w:ascii="Arial Narrow" w:hAnsi="Arial Narrow" w:cs="Calibri"/>
                <w:color w:val="000000"/>
                <w:spacing w:val="0"/>
                <w:lang w:eastAsia="es-CO"/>
              </w:rPr>
              <w:t>AGENTE ESPECIAL</w:t>
            </w:r>
          </w:p>
        </w:tc>
        <w:tc>
          <w:tcPr>
            <w:tcW w:w="1200" w:type="dxa"/>
            <w:shd w:val="clear" w:color="auto" w:fill="auto"/>
            <w:noWrap/>
            <w:vAlign w:val="center"/>
            <w:hideMark/>
          </w:tcPr>
          <w:p w14:paraId="400DCA9C" w14:textId="77777777" w:rsidR="00871D8D" w:rsidRPr="00871D8D" w:rsidRDefault="00871D8D" w:rsidP="00871D8D">
            <w:pPr>
              <w:jc w:val="center"/>
              <w:rPr>
                <w:rFonts w:ascii="Arial Narrow" w:hAnsi="Arial Narrow" w:cs="Calibri"/>
                <w:color w:val="000000"/>
                <w:spacing w:val="0"/>
                <w:lang w:eastAsia="es-CO"/>
              </w:rPr>
            </w:pPr>
            <w:r w:rsidRPr="00871D8D">
              <w:rPr>
                <w:rFonts w:ascii="Arial Narrow" w:hAnsi="Arial Narrow" w:cs="Calibri"/>
                <w:color w:val="000000"/>
                <w:spacing w:val="0"/>
                <w:lang w:eastAsia="es-CO"/>
              </w:rPr>
              <w:t>1</w:t>
            </w:r>
          </w:p>
        </w:tc>
        <w:tc>
          <w:tcPr>
            <w:tcW w:w="2860" w:type="dxa"/>
            <w:shd w:val="clear" w:color="000000" w:fill="FFFFFF"/>
            <w:vAlign w:val="center"/>
            <w:hideMark/>
          </w:tcPr>
          <w:p w14:paraId="6C22867B" w14:textId="29CC8BBF" w:rsidR="00871D8D" w:rsidRPr="00871D8D" w:rsidRDefault="00871D8D" w:rsidP="00871D8D">
            <w:pPr>
              <w:jc w:val="right"/>
              <w:rPr>
                <w:rFonts w:ascii="Arial Narrow" w:hAnsi="Arial Narrow" w:cs="Calibri"/>
                <w:color w:val="000000"/>
                <w:spacing w:val="0"/>
                <w:lang w:eastAsia="es-CO"/>
              </w:rPr>
            </w:pPr>
            <w:r w:rsidRPr="00871D8D">
              <w:rPr>
                <w:rFonts w:ascii="Arial Narrow" w:hAnsi="Arial Narrow" w:cs="Calibri"/>
                <w:color w:val="000000"/>
              </w:rPr>
              <w:t xml:space="preserve">       48</w:t>
            </w:r>
            <w:r w:rsidR="00312247">
              <w:rPr>
                <w:rFonts w:ascii="Arial Narrow" w:hAnsi="Arial Narrow" w:cs="Calibri"/>
                <w:color w:val="000000"/>
              </w:rPr>
              <w:t>.</w:t>
            </w:r>
            <w:r w:rsidRPr="00871D8D">
              <w:rPr>
                <w:rFonts w:ascii="Arial Narrow" w:hAnsi="Arial Narrow" w:cs="Calibri"/>
                <w:color w:val="000000"/>
              </w:rPr>
              <w:t>543</w:t>
            </w:r>
            <w:r w:rsidR="00312247">
              <w:rPr>
                <w:rFonts w:ascii="Arial Narrow" w:hAnsi="Arial Narrow" w:cs="Calibri"/>
                <w:color w:val="000000"/>
              </w:rPr>
              <w:t>.</w:t>
            </w:r>
            <w:r w:rsidRPr="00871D8D">
              <w:rPr>
                <w:rFonts w:ascii="Arial Narrow" w:hAnsi="Arial Narrow" w:cs="Calibri"/>
                <w:color w:val="000000"/>
              </w:rPr>
              <w:t>465</w:t>
            </w:r>
            <w:r w:rsidR="00312247">
              <w:rPr>
                <w:rFonts w:ascii="Arial Narrow" w:hAnsi="Arial Narrow" w:cs="Calibri"/>
                <w:color w:val="000000"/>
              </w:rPr>
              <w:t>.</w:t>
            </w:r>
            <w:r w:rsidRPr="00871D8D">
              <w:rPr>
                <w:rFonts w:ascii="Arial Narrow" w:hAnsi="Arial Narrow" w:cs="Calibri"/>
                <w:color w:val="000000"/>
              </w:rPr>
              <w:t xml:space="preserve">271 </w:t>
            </w:r>
          </w:p>
        </w:tc>
        <w:tc>
          <w:tcPr>
            <w:tcW w:w="2840" w:type="dxa"/>
            <w:shd w:val="clear" w:color="000000" w:fill="FFFFFF"/>
            <w:vAlign w:val="center"/>
            <w:hideMark/>
          </w:tcPr>
          <w:p w14:paraId="038E054A" w14:textId="591D7F71" w:rsidR="00871D8D" w:rsidRPr="00871D8D" w:rsidRDefault="00871D8D" w:rsidP="00871D8D">
            <w:pPr>
              <w:jc w:val="right"/>
              <w:rPr>
                <w:rFonts w:ascii="Arial Narrow" w:hAnsi="Arial Narrow" w:cs="Calibri"/>
                <w:color w:val="000000"/>
                <w:spacing w:val="0"/>
                <w:lang w:eastAsia="es-CO"/>
              </w:rPr>
            </w:pPr>
            <w:r w:rsidRPr="00871D8D">
              <w:rPr>
                <w:rFonts w:ascii="Arial Narrow" w:hAnsi="Arial Narrow" w:cs="Calibri"/>
                <w:color w:val="000000"/>
              </w:rPr>
              <w:t xml:space="preserve">                     485</w:t>
            </w:r>
            <w:r w:rsidR="00312247">
              <w:rPr>
                <w:rFonts w:ascii="Arial Narrow" w:hAnsi="Arial Narrow" w:cs="Calibri"/>
                <w:color w:val="000000"/>
              </w:rPr>
              <w:t>.</w:t>
            </w:r>
            <w:r w:rsidRPr="00871D8D">
              <w:rPr>
                <w:rFonts w:ascii="Arial Narrow" w:hAnsi="Arial Narrow" w:cs="Calibri"/>
                <w:color w:val="000000"/>
              </w:rPr>
              <w:t>434</w:t>
            </w:r>
            <w:r w:rsidR="00312247">
              <w:rPr>
                <w:rFonts w:ascii="Arial Narrow" w:hAnsi="Arial Narrow" w:cs="Calibri"/>
                <w:color w:val="000000"/>
              </w:rPr>
              <w:t>.</w:t>
            </w:r>
            <w:r w:rsidRPr="00871D8D">
              <w:rPr>
                <w:rFonts w:ascii="Arial Narrow" w:hAnsi="Arial Narrow" w:cs="Calibri"/>
                <w:color w:val="000000"/>
              </w:rPr>
              <w:t xml:space="preserve">653 </w:t>
            </w:r>
          </w:p>
        </w:tc>
      </w:tr>
      <w:tr w:rsidR="00CF1DE7" w:rsidRPr="00871D8D" w14:paraId="762B7A29" w14:textId="77777777" w:rsidTr="00AB0B17">
        <w:trPr>
          <w:trHeight w:val="300"/>
        </w:trPr>
        <w:tc>
          <w:tcPr>
            <w:tcW w:w="1600" w:type="dxa"/>
            <w:shd w:val="clear" w:color="000000" w:fill="F2F2F2"/>
            <w:vAlign w:val="center"/>
            <w:hideMark/>
          </w:tcPr>
          <w:p w14:paraId="5775868B" w14:textId="77777777" w:rsidR="00CF1DE7" w:rsidRPr="00871D8D" w:rsidRDefault="00CF1DE7" w:rsidP="007114B5">
            <w:pPr>
              <w:jc w:val="center"/>
              <w:rPr>
                <w:rFonts w:ascii="Arial Narrow" w:hAnsi="Arial Narrow" w:cs="Calibri"/>
                <w:b/>
                <w:bCs/>
                <w:color w:val="000000"/>
                <w:spacing w:val="0"/>
                <w:lang w:eastAsia="es-CO"/>
              </w:rPr>
            </w:pPr>
            <w:r w:rsidRPr="00871D8D">
              <w:rPr>
                <w:rFonts w:ascii="Arial Narrow" w:hAnsi="Arial Narrow" w:cs="Calibri"/>
                <w:b/>
                <w:bCs/>
                <w:color w:val="000000"/>
                <w:spacing w:val="0"/>
                <w:lang w:eastAsia="es-CO"/>
              </w:rPr>
              <w:t>TOTAL</w:t>
            </w:r>
          </w:p>
        </w:tc>
        <w:tc>
          <w:tcPr>
            <w:tcW w:w="1200" w:type="dxa"/>
            <w:shd w:val="clear" w:color="000000" w:fill="F2F2F2"/>
            <w:vAlign w:val="center"/>
            <w:hideMark/>
          </w:tcPr>
          <w:p w14:paraId="52B77450" w14:textId="7328D2E3" w:rsidR="00CF1DE7" w:rsidRPr="00871D8D" w:rsidRDefault="00CF1DE7" w:rsidP="007114B5">
            <w:pPr>
              <w:jc w:val="center"/>
              <w:rPr>
                <w:rFonts w:ascii="Arial Narrow" w:hAnsi="Arial Narrow" w:cs="Calibri"/>
                <w:b/>
                <w:bCs/>
                <w:color w:val="000000"/>
                <w:spacing w:val="0"/>
                <w:lang w:eastAsia="es-CO"/>
              </w:rPr>
            </w:pPr>
            <w:r w:rsidRPr="00871D8D">
              <w:rPr>
                <w:rFonts w:ascii="Arial Narrow" w:hAnsi="Arial Narrow" w:cs="Calibri"/>
                <w:b/>
                <w:bCs/>
                <w:color w:val="000000"/>
                <w:spacing w:val="0"/>
                <w:lang w:eastAsia="es-CO"/>
              </w:rPr>
              <w:t>3</w:t>
            </w:r>
            <w:r w:rsidR="00871D8D" w:rsidRPr="00871D8D">
              <w:rPr>
                <w:rFonts w:ascii="Arial Narrow" w:hAnsi="Arial Narrow" w:cs="Calibri"/>
                <w:b/>
                <w:bCs/>
                <w:color w:val="000000"/>
                <w:spacing w:val="0"/>
                <w:lang w:eastAsia="es-CO"/>
              </w:rPr>
              <w:t>72</w:t>
            </w:r>
          </w:p>
        </w:tc>
        <w:tc>
          <w:tcPr>
            <w:tcW w:w="2860" w:type="dxa"/>
            <w:shd w:val="clear" w:color="000000" w:fill="F2F2F2"/>
            <w:vAlign w:val="center"/>
            <w:hideMark/>
          </w:tcPr>
          <w:p w14:paraId="62F5F787" w14:textId="7AD7A442" w:rsidR="00CF1DE7" w:rsidRPr="00871D8D" w:rsidRDefault="00CF1DE7" w:rsidP="007114B5">
            <w:pPr>
              <w:jc w:val="right"/>
              <w:rPr>
                <w:rFonts w:ascii="Arial Narrow" w:hAnsi="Arial Narrow" w:cs="Calibri"/>
                <w:b/>
                <w:bCs/>
                <w:color w:val="000000"/>
                <w:spacing w:val="0"/>
                <w:lang w:eastAsia="es-CO"/>
              </w:rPr>
            </w:pPr>
            <w:r w:rsidRPr="00871D8D">
              <w:rPr>
                <w:rFonts w:ascii="Arial Narrow" w:hAnsi="Arial Narrow" w:cs="Calibri"/>
                <w:b/>
                <w:bCs/>
                <w:color w:val="000000"/>
                <w:spacing w:val="0"/>
                <w:lang w:eastAsia="es-CO"/>
              </w:rPr>
              <w:t>$ 3</w:t>
            </w:r>
            <w:r w:rsidR="00EA0452" w:rsidRPr="00871D8D">
              <w:rPr>
                <w:rFonts w:ascii="Arial Narrow" w:hAnsi="Arial Narrow" w:cs="Calibri"/>
                <w:b/>
                <w:bCs/>
                <w:color w:val="000000"/>
                <w:spacing w:val="0"/>
                <w:lang w:eastAsia="es-CO"/>
              </w:rPr>
              <w:t>.</w:t>
            </w:r>
            <w:r w:rsidRPr="00871D8D">
              <w:rPr>
                <w:rFonts w:ascii="Arial Narrow" w:hAnsi="Arial Narrow" w:cs="Calibri"/>
                <w:b/>
                <w:bCs/>
                <w:color w:val="000000"/>
                <w:spacing w:val="0"/>
                <w:lang w:eastAsia="es-CO"/>
              </w:rPr>
              <w:t>250</w:t>
            </w:r>
            <w:r w:rsidR="00EA0452" w:rsidRPr="00871D8D">
              <w:rPr>
                <w:rFonts w:ascii="Arial Narrow" w:hAnsi="Arial Narrow" w:cs="Calibri"/>
                <w:b/>
                <w:bCs/>
                <w:color w:val="000000"/>
                <w:spacing w:val="0"/>
                <w:lang w:eastAsia="es-CO"/>
              </w:rPr>
              <w:t>.</w:t>
            </w:r>
            <w:r w:rsidRPr="00871D8D">
              <w:rPr>
                <w:rFonts w:ascii="Arial Narrow" w:hAnsi="Arial Narrow" w:cs="Calibri"/>
                <w:b/>
                <w:bCs/>
                <w:color w:val="000000"/>
                <w:spacing w:val="0"/>
                <w:lang w:eastAsia="es-CO"/>
              </w:rPr>
              <w:t>574</w:t>
            </w:r>
            <w:r w:rsidR="00EA0452" w:rsidRPr="00871D8D">
              <w:rPr>
                <w:rFonts w:ascii="Arial Narrow" w:hAnsi="Arial Narrow" w:cs="Calibri"/>
                <w:b/>
                <w:bCs/>
                <w:color w:val="000000"/>
                <w:spacing w:val="0"/>
                <w:lang w:eastAsia="es-CO"/>
              </w:rPr>
              <w:t>.</w:t>
            </w:r>
            <w:r w:rsidRPr="00871D8D">
              <w:rPr>
                <w:rFonts w:ascii="Arial Narrow" w:hAnsi="Arial Narrow" w:cs="Calibri"/>
                <w:b/>
                <w:bCs/>
                <w:color w:val="000000"/>
                <w:spacing w:val="0"/>
                <w:lang w:eastAsia="es-CO"/>
              </w:rPr>
              <w:t>293</w:t>
            </w:r>
            <w:r w:rsidR="00EA0452" w:rsidRPr="00871D8D">
              <w:rPr>
                <w:rFonts w:ascii="Arial Narrow" w:hAnsi="Arial Narrow" w:cs="Calibri"/>
                <w:b/>
                <w:bCs/>
                <w:color w:val="000000"/>
                <w:spacing w:val="0"/>
                <w:lang w:eastAsia="es-CO"/>
              </w:rPr>
              <w:t>.</w:t>
            </w:r>
            <w:r w:rsidRPr="00871D8D">
              <w:rPr>
                <w:rFonts w:ascii="Arial Narrow" w:hAnsi="Arial Narrow" w:cs="Calibri"/>
                <w:b/>
                <w:bCs/>
                <w:color w:val="000000"/>
                <w:spacing w:val="0"/>
                <w:lang w:eastAsia="es-CO"/>
              </w:rPr>
              <w:t>195</w:t>
            </w:r>
          </w:p>
        </w:tc>
        <w:tc>
          <w:tcPr>
            <w:tcW w:w="2840" w:type="dxa"/>
            <w:shd w:val="clear" w:color="000000" w:fill="F2F2F2"/>
            <w:vAlign w:val="center"/>
            <w:hideMark/>
          </w:tcPr>
          <w:p w14:paraId="1125E76A" w14:textId="6F5B8405" w:rsidR="00CF1DE7" w:rsidRPr="00871D8D" w:rsidRDefault="00CF1DE7" w:rsidP="007114B5">
            <w:pPr>
              <w:jc w:val="right"/>
              <w:rPr>
                <w:rFonts w:ascii="Arial Narrow" w:hAnsi="Arial Narrow" w:cs="Calibri"/>
                <w:b/>
                <w:bCs/>
                <w:color w:val="000000"/>
                <w:spacing w:val="0"/>
                <w:lang w:eastAsia="es-CO"/>
              </w:rPr>
            </w:pPr>
            <w:r w:rsidRPr="00871D8D">
              <w:rPr>
                <w:rFonts w:ascii="Arial Narrow" w:hAnsi="Arial Narrow" w:cs="Calibri"/>
                <w:b/>
                <w:bCs/>
                <w:color w:val="000000"/>
                <w:spacing w:val="0"/>
                <w:lang w:eastAsia="es-CO"/>
              </w:rPr>
              <w:t>$ 32</w:t>
            </w:r>
            <w:r w:rsidR="00EA0452" w:rsidRPr="00871D8D">
              <w:rPr>
                <w:rFonts w:ascii="Arial Narrow" w:hAnsi="Arial Narrow" w:cs="Calibri"/>
                <w:b/>
                <w:bCs/>
                <w:color w:val="000000"/>
                <w:spacing w:val="0"/>
                <w:lang w:eastAsia="es-CO"/>
              </w:rPr>
              <w:t>.</w:t>
            </w:r>
            <w:r w:rsidRPr="00871D8D">
              <w:rPr>
                <w:rFonts w:ascii="Arial Narrow" w:hAnsi="Arial Narrow" w:cs="Calibri"/>
                <w:b/>
                <w:bCs/>
                <w:color w:val="000000"/>
                <w:spacing w:val="0"/>
                <w:lang w:eastAsia="es-CO"/>
              </w:rPr>
              <w:t>505</w:t>
            </w:r>
            <w:r w:rsidR="00EA0452" w:rsidRPr="00871D8D">
              <w:rPr>
                <w:rFonts w:ascii="Arial Narrow" w:hAnsi="Arial Narrow" w:cs="Calibri"/>
                <w:b/>
                <w:bCs/>
                <w:color w:val="000000"/>
                <w:spacing w:val="0"/>
                <w:lang w:eastAsia="es-CO"/>
              </w:rPr>
              <w:t>.</w:t>
            </w:r>
            <w:r w:rsidRPr="00871D8D">
              <w:rPr>
                <w:rFonts w:ascii="Arial Narrow" w:hAnsi="Arial Narrow" w:cs="Calibri"/>
                <w:b/>
                <w:bCs/>
                <w:color w:val="000000"/>
                <w:spacing w:val="0"/>
                <w:lang w:eastAsia="es-CO"/>
              </w:rPr>
              <w:t>742</w:t>
            </w:r>
            <w:r w:rsidR="00EA0452" w:rsidRPr="00871D8D">
              <w:rPr>
                <w:rFonts w:ascii="Arial Narrow" w:hAnsi="Arial Narrow" w:cs="Calibri"/>
                <w:b/>
                <w:bCs/>
                <w:color w:val="000000"/>
                <w:spacing w:val="0"/>
                <w:lang w:eastAsia="es-CO"/>
              </w:rPr>
              <w:t>.</w:t>
            </w:r>
            <w:r w:rsidRPr="00871D8D">
              <w:rPr>
                <w:rFonts w:ascii="Arial Narrow" w:hAnsi="Arial Narrow" w:cs="Calibri"/>
                <w:b/>
                <w:bCs/>
                <w:color w:val="000000"/>
                <w:spacing w:val="0"/>
                <w:lang w:eastAsia="es-CO"/>
              </w:rPr>
              <w:t>932</w:t>
            </w:r>
          </w:p>
        </w:tc>
      </w:tr>
    </w:tbl>
    <w:p w14:paraId="7CFA80FC" w14:textId="77777777" w:rsidR="00CF1DE7" w:rsidRDefault="00CF1DE7" w:rsidP="00CF1DE7">
      <w:pPr>
        <w:rPr>
          <w:rFonts w:cs="Arial"/>
          <w:sz w:val="22"/>
          <w:szCs w:val="22"/>
        </w:rPr>
      </w:pPr>
    </w:p>
    <w:p w14:paraId="31333AC2" w14:textId="359ACA9B" w:rsidR="00CF1DE7" w:rsidRDefault="00CF1DE7" w:rsidP="00CF1DE7">
      <w:pPr>
        <w:rPr>
          <w:rFonts w:cs="Arial"/>
          <w:sz w:val="22"/>
          <w:szCs w:val="22"/>
        </w:rPr>
      </w:pPr>
      <w:r>
        <w:rPr>
          <w:rFonts w:cs="Arial"/>
          <w:sz w:val="22"/>
          <w:szCs w:val="22"/>
        </w:rPr>
        <w:t>Tener en cuenta que hay empresas multiservicios, es decir, son aportantes por el servicio de energía y de gas combustible simultáneamente y de manera proporcional a la información reportada al SUI.</w:t>
      </w:r>
    </w:p>
    <w:p w14:paraId="0E5B5F86" w14:textId="626C4888" w:rsidR="00AB0B17" w:rsidRDefault="00AB0B17" w:rsidP="00CF1DE7">
      <w:pPr>
        <w:rPr>
          <w:rFonts w:cs="Arial"/>
          <w:sz w:val="22"/>
          <w:szCs w:val="22"/>
        </w:rPr>
      </w:pPr>
    </w:p>
    <w:p w14:paraId="6F2773BA" w14:textId="578F9D1B" w:rsidR="00AB0B17" w:rsidRDefault="00AB0B17" w:rsidP="00CF1DE7">
      <w:pPr>
        <w:rPr>
          <w:rFonts w:cs="Arial"/>
          <w:sz w:val="22"/>
          <w:szCs w:val="22"/>
        </w:rPr>
      </w:pPr>
    </w:p>
    <w:p w14:paraId="3B8AFC6F" w14:textId="77777777" w:rsidR="00AB0B17" w:rsidRDefault="00AB0B17" w:rsidP="00CF1DE7">
      <w:pPr>
        <w:rPr>
          <w:rFonts w:cs="Arial"/>
          <w:sz w:val="22"/>
          <w:szCs w:val="22"/>
        </w:rPr>
      </w:pPr>
    </w:p>
    <w:p w14:paraId="565136FF" w14:textId="77777777" w:rsidR="00CF1DE7" w:rsidRDefault="00CF1DE7" w:rsidP="00CE5F55">
      <w:pPr>
        <w:ind w:right="-91"/>
        <w:rPr>
          <w:rFonts w:cs="Arial"/>
          <w:sz w:val="22"/>
          <w:szCs w:val="22"/>
        </w:rPr>
      </w:pPr>
    </w:p>
    <w:p w14:paraId="713BF17A" w14:textId="6D1582A3" w:rsidR="007F2319" w:rsidRPr="00E23AF2" w:rsidRDefault="007F2319" w:rsidP="00E23AF2">
      <w:pPr>
        <w:pStyle w:val="Ttulo10"/>
        <w:numPr>
          <w:ilvl w:val="0"/>
          <w:numId w:val="37"/>
        </w:numPr>
        <w:spacing w:before="0" w:after="0"/>
        <w:rPr>
          <w:sz w:val="22"/>
          <w:szCs w:val="22"/>
        </w:rPr>
      </w:pPr>
      <w:bookmarkStart w:id="60" w:name="_Toc88126863"/>
      <w:r w:rsidRPr="00E23AF2">
        <w:rPr>
          <w:sz w:val="22"/>
          <w:szCs w:val="22"/>
        </w:rPr>
        <w:lastRenderedPageBreak/>
        <w:t>B</w:t>
      </w:r>
      <w:r w:rsidR="0036083C" w:rsidRPr="00E23AF2">
        <w:rPr>
          <w:sz w:val="22"/>
          <w:szCs w:val="22"/>
        </w:rPr>
        <w:t xml:space="preserve">ASE </w:t>
      </w:r>
      <w:r w:rsidR="00E23AF2">
        <w:rPr>
          <w:sz w:val="22"/>
          <w:szCs w:val="22"/>
        </w:rPr>
        <w:t xml:space="preserve">GRAVABLE </w:t>
      </w:r>
      <w:r w:rsidR="004217E9" w:rsidRPr="00E23AF2">
        <w:rPr>
          <w:sz w:val="22"/>
          <w:szCs w:val="22"/>
        </w:rPr>
        <w:t xml:space="preserve">Y </w:t>
      </w:r>
      <w:r w:rsidRPr="00E23AF2">
        <w:rPr>
          <w:sz w:val="22"/>
          <w:szCs w:val="22"/>
        </w:rPr>
        <w:t xml:space="preserve">CONTRIBUCIÓN ESPECIAL AÑO </w:t>
      </w:r>
      <w:r w:rsidR="00BD4E53" w:rsidRPr="00E23AF2">
        <w:rPr>
          <w:sz w:val="22"/>
          <w:szCs w:val="22"/>
        </w:rPr>
        <w:t>20</w:t>
      </w:r>
      <w:r w:rsidR="00446E1E" w:rsidRPr="00E23AF2">
        <w:rPr>
          <w:sz w:val="22"/>
          <w:szCs w:val="22"/>
        </w:rPr>
        <w:t>21</w:t>
      </w:r>
      <w:bookmarkEnd w:id="60"/>
    </w:p>
    <w:p w14:paraId="08B27D37" w14:textId="77777777" w:rsidR="00E23AF2" w:rsidRDefault="00E23AF2" w:rsidP="00507C6F">
      <w:pPr>
        <w:rPr>
          <w:rFonts w:cs="Arial"/>
          <w:sz w:val="22"/>
          <w:szCs w:val="22"/>
        </w:rPr>
      </w:pPr>
    </w:p>
    <w:p w14:paraId="12F75E53" w14:textId="57FB29DF" w:rsidR="00471213" w:rsidRDefault="00585A76" w:rsidP="00507C6F">
      <w:pPr>
        <w:rPr>
          <w:rFonts w:cs="Arial"/>
          <w:sz w:val="22"/>
          <w:szCs w:val="22"/>
        </w:rPr>
      </w:pPr>
      <w:r>
        <w:rPr>
          <w:rFonts w:cs="Arial"/>
          <w:sz w:val="22"/>
          <w:szCs w:val="22"/>
        </w:rPr>
        <w:t xml:space="preserve">Se relacionan por </w:t>
      </w:r>
      <w:r w:rsidR="00507C6F">
        <w:rPr>
          <w:rFonts w:cs="Arial"/>
          <w:sz w:val="22"/>
          <w:szCs w:val="22"/>
        </w:rPr>
        <w:t xml:space="preserve">cada </w:t>
      </w:r>
      <w:r>
        <w:rPr>
          <w:rFonts w:cs="Arial"/>
          <w:sz w:val="22"/>
          <w:szCs w:val="22"/>
        </w:rPr>
        <w:t>sector la contribución especial para cada uno de los regulados la base gravable</w:t>
      </w:r>
      <w:r w:rsidR="000C0A64">
        <w:rPr>
          <w:rFonts w:cs="Arial"/>
          <w:sz w:val="22"/>
          <w:szCs w:val="22"/>
        </w:rPr>
        <w:t xml:space="preserve"> que incluye los gastos de funcionamiento (</w:t>
      </w:r>
      <w:r>
        <w:rPr>
          <w:rFonts w:cs="Arial"/>
          <w:sz w:val="22"/>
          <w:szCs w:val="22"/>
        </w:rPr>
        <w:t>gastos administrativos</w:t>
      </w:r>
      <w:r w:rsidR="000C0A64">
        <w:rPr>
          <w:rFonts w:cs="Arial"/>
          <w:sz w:val="22"/>
          <w:szCs w:val="22"/>
        </w:rPr>
        <w:t>)</w:t>
      </w:r>
      <w:r>
        <w:rPr>
          <w:rFonts w:cs="Arial"/>
          <w:sz w:val="22"/>
          <w:szCs w:val="22"/>
        </w:rPr>
        <w:t xml:space="preserve"> y la porción de base gravable de gastos operativos </w:t>
      </w:r>
      <w:r w:rsidR="000C0A64">
        <w:rPr>
          <w:rFonts w:cs="Arial"/>
          <w:sz w:val="22"/>
          <w:szCs w:val="22"/>
        </w:rPr>
        <w:t xml:space="preserve">indispensables </w:t>
      </w:r>
      <w:r>
        <w:rPr>
          <w:rFonts w:cs="Arial"/>
          <w:sz w:val="22"/>
          <w:szCs w:val="22"/>
        </w:rPr>
        <w:t>para cubrir el faltante presupuestal</w:t>
      </w:r>
      <w:r w:rsidR="000C0A64">
        <w:rPr>
          <w:rFonts w:cs="Arial"/>
          <w:sz w:val="22"/>
          <w:szCs w:val="22"/>
        </w:rPr>
        <w:t xml:space="preserve">, </w:t>
      </w:r>
      <w:r>
        <w:rPr>
          <w:rFonts w:cs="Arial"/>
          <w:sz w:val="22"/>
          <w:szCs w:val="22"/>
        </w:rPr>
        <w:t xml:space="preserve">con el fin de financiar el </w:t>
      </w:r>
      <w:r w:rsidR="00507C6F">
        <w:rPr>
          <w:rFonts w:cs="Arial"/>
          <w:sz w:val="22"/>
          <w:szCs w:val="22"/>
        </w:rPr>
        <w:t xml:space="preserve">total de </w:t>
      </w:r>
      <w:r>
        <w:rPr>
          <w:rFonts w:cs="Arial"/>
          <w:sz w:val="22"/>
          <w:szCs w:val="22"/>
        </w:rPr>
        <w:t>presupuesto de la CREG para la vigencia 20</w:t>
      </w:r>
      <w:r w:rsidR="000C0A64">
        <w:rPr>
          <w:rFonts w:cs="Arial"/>
          <w:sz w:val="22"/>
          <w:szCs w:val="22"/>
        </w:rPr>
        <w:t>21</w:t>
      </w:r>
      <w:r>
        <w:rPr>
          <w:rFonts w:cs="Arial"/>
          <w:sz w:val="22"/>
          <w:szCs w:val="22"/>
        </w:rPr>
        <w:t xml:space="preserve"> por</w:t>
      </w:r>
      <w:r w:rsidR="000C0A64">
        <w:rPr>
          <w:rFonts w:cs="Arial"/>
          <w:sz w:val="22"/>
          <w:szCs w:val="22"/>
        </w:rPr>
        <w:t xml:space="preserve"> la suma de</w:t>
      </w:r>
      <w:r w:rsidR="00507C6F">
        <w:rPr>
          <w:rFonts w:cs="Arial"/>
          <w:sz w:val="22"/>
          <w:szCs w:val="22"/>
        </w:rPr>
        <w:t xml:space="preserve"> </w:t>
      </w:r>
      <w:r w:rsidR="000C0A64" w:rsidRPr="000C0A64">
        <w:rPr>
          <w:rFonts w:cs="Arial"/>
          <w:sz w:val="22"/>
          <w:szCs w:val="22"/>
        </w:rPr>
        <w:t>TREINTA Y DOS MIL QUINIENTOS CINCO MILLONES SETECIENTOS CUARENTA Y DOS MIL NOVECIENTOS TREINTA Y DOS PESOS M/CTE CON 00/100 CTVOS. ($32</w:t>
      </w:r>
      <w:r w:rsidR="00801382">
        <w:rPr>
          <w:rFonts w:cs="Arial"/>
          <w:sz w:val="22"/>
          <w:szCs w:val="22"/>
        </w:rPr>
        <w:t>.</w:t>
      </w:r>
      <w:r w:rsidR="000C0A64" w:rsidRPr="000C0A64">
        <w:rPr>
          <w:rFonts w:cs="Arial"/>
          <w:sz w:val="22"/>
          <w:szCs w:val="22"/>
        </w:rPr>
        <w:t>505</w:t>
      </w:r>
      <w:r w:rsidR="00801382">
        <w:rPr>
          <w:rFonts w:cs="Arial"/>
          <w:sz w:val="22"/>
          <w:szCs w:val="22"/>
        </w:rPr>
        <w:t>.</w:t>
      </w:r>
      <w:r w:rsidR="000C0A64" w:rsidRPr="000C0A64">
        <w:rPr>
          <w:rFonts w:cs="Arial"/>
          <w:sz w:val="22"/>
          <w:szCs w:val="22"/>
        </w:rPr>
        <w:t>742</w:t>
      </w:r>
      <w:r w:rsidR="00801382">
        <w:rPr>
          <w:rFonts w:cs="Arial"/>
          <w:sz w:val="22"/>
          <w:szCs w:val="22"/>
        </w:rPr>
        <w:t>.</w:t>
      </w:r>
      <w:r w:rsidR="000C0A64" w:rsidRPr="000C0A64">
        <w:rPr>
          <w:rFonts w:cs="Arial"/>
          <w:sz w:val="22"/>
          <w:szCs w:val="22"/>
        </w:rPr>
        <w:t>932</w:t>
      </w:r>
      <w:r w:rsidR="00801382">
        <w:rPr>
          <w:rFonts w:cs="Arial"/>
          <w:sz w:val="22"/>
          <w:szCs w:val="22"/>
        </w:rPr>
        <w:t>,</w:t>
      </w:r>
      <w:r w:rsidR="000C0A64" w:rsidRPr="000C0A64">
        <w:rPr>
          <w:rFonts w:cs="Arial"/>
          <w:sz w:val="22"/>
          <w:szCs w:val="22"/>
        </w:rPr>
        <w:t>00)</w:t>
      </w:r>
      <w:r w:rsidR="00471213">
        <w:rPr>
          <w:rFonts w:cs="Arial"/>
          <w:sz w:val="22"/>
          <w:szCs w:val="22"/>
        </w:rPr>
        <w:t>.</w:t>
      </w:r>
    </w:p>
    <w:p w14:paraId="36EA3F10" w14:textId="77777777" w:rsidR="00471213" w:rsidRDefault="00471213" w:rsidP="00507C6F">
      <w:pPr>
        <w:rPr>
          <w:rFonts w:cs="Arial"/>
          <w:sz w:val="22"/>
          <w:szCs w:val="22"/>
        </w:rPr>
      </w:pPr>
    </w:p>
    <w:p w14:paraId="53822965" w14:textId="41D7FB0C" w:rsidR="00585A76" w:rsidRDefault="00471213" w:rsidP="00507C6F">
      <w:pPr>
        <w:rPr>
          <w:rFonts w:cs="Arial"/>
          <w:sz w:val="22"/>
          <w:szCs w:val="22"/>
        </w:rPr>
      </w:pPr>
      <w:r>
        <w:rPr>
          <w:rFonts w:cs="Arial"/>
          <w:sz w:val="22"/>
          <w:szCs w:val="22"/>
        </w:rPr>
        <w:t xml:space="preserve">A continuación, se relacionan las contribuciones que deben pagar por reguladas clasificadas por servicio de: (i) energía, (ii) Gas </w:t>
      </w:r>
      <w:r w:rsidR="008E2C67">
        <w:rPr>
          <w:rFonts w:cs="Arial"/>
          <w:sz w:val="22"/>
          <w:szCs w:val="22"/>
        </w:rPr>
        <w:t>Natur</w:t>
      </w:r>
      <w:r w:rsidR="0053003D">
        <w:rPr>
          <w:rFonts w:cs="Arial"/>
          <w:sz w:val="22"/>
          <w:szCs w:val="22"/>
        </w:rPr>
        <w:t xml:space="preserve">al, </w:t>
      </w:r>
      <w:r>
        <w:rPr>
          <w:rFonts w:cs="Arial"/>
          <w:sz w:val="22"/>
          <w:szCs w:val="22"/>
        </w:rPr>
        <w:t>(iii) GLP</w:t>
      </w:r>
      <w:r w:rsidR="0053003D">
        <w:rPr>
          <w:rFonts w:cs="Arial"/>
          <w:sz w:val="22"/>
          <w:szCs w:val="22"/>
        </w:rPr>
        <w:t xml:space="preserve"> y (iv) XM</w:t>
      </w:r>
      <w:r w:rsidR="000C0A64">
        <w:rPr>
          <w:rFonts w:cs="Arial"/>
          <w:sz w:val="22"/>
          <w:szCs w:val="22"/>
        </w:rPr>
        <w:t>.</w:t>
      </w:r>
    </w:p>
    <w:p w14:paraId="437AE6B3" w14:textId="77777777" w:rsidR="00471213" w:rsidRDefault="00471213" w:rsidP="00507C6F">
      <w:pPr>
        <w:rPr>
          <w:rFonts w:cs="Arial"/>
          <w:sz w:val="22"/>
          <w:szCs w:val="22"/>
        </w:rPr>
      </w:pPr>
    </w:p>
    <w:p w14:paraId="0B408A2E" w14:textId="77777777" w:rsidR="00583C5E" w:rsidRPr="00767202" w:rsidRDefault="007A5B34" w:rsidP="00767202">
      <w:pPr>
        <w:pStyle w:val="Subttulo"/>
        <w:numPr>
          <w:ilvl w:val="1"/>
          <w:numId w:val="37"/>
        </w:numPr>
        <w:spacing w:after="0"/>
        <w:ind w:left="357" w:hanging="357"/>
        <w:jc w:val="left"/>
        <w:rPr>
          <w:b/>
          <w:bCs/>
          <w:sz w:val="22"/>
          <w:szCs w:val="22"/>
        </w:rPr>
      </w:pPr>
      <w:bookmarkStart w:id="61" w:name="_Toc88126864"/>
      <w:r w:rsidRPr="00767202">
        <w:rPr>
          <w:b/>
          <w:bCs/>
          <w:sz w:val="22"/>
          <w:szCs w:val="22"/>
        </w:rPr>
        <w:t xml:space="preserve">SERVICIO DE </w:t>
      </w:r>
      <w:r w:rsidR="006A5A99" w:rsidRPr="00767202">
        <w:rPr>
          <w:b/>
          <w:bCs/>
          <w:sz w:val="22"/>
          <w:szCs w:val="22"/>
        </w:rPr>
        <w:t>ENERGÍA</w:t>
      </w:r>
      <w:r w:rsidR="00147F70" w:rsidRPr="00767202">
        <w:rPr>
          <w:b/>
          <w:bCs/>
          <w:sz w:val="22"/>
          <w:szCs w:val="22"/>
        </w:rPr>
        <w:t>.</w:t>
      </w:r>
      <w:bookmarkEnd w:id="61"/>
      <w:r w:rsidR="00D43FE6" w:rsidRPr="00767202">
        <w:rPr>
          <w:b/>
          <w:bCs/>
          <w:sz w:val="22"/>
          <w:szCs w:val="22"/>
        </w:rPr>
        <w:t xml:space="preserve"> </w:t>
      </w:r>
    </w:p>
    <w:p w14:paraId="4BB267B5" w14:textId="77777777" w:rsidR="00583C5E" w:rsidRDefault="00583C5E" w:rsidP="00583C5E">
      <w:pPr>
        <w:pStyle w:val="Prrafodelista"/>
        <w:rPr>
          <w:rFonts w:cs="Arial"/>
          <w:b/>
        </w:rPr>
      </w:pPr>
    </w:p>
    <w:p w14:paraId="26BE3331" w14:textId="08605D58" w:rsidR="00CA7FA1" w:rsidRDefault="00DE22BA" w:rsidP="00F154A7">
      <w:pPr>
        <w:pStyle w:val="Prrafodelista"/>
        <w:spacing w:line="240" w:lineRule="auto"/>
        <w:ind w:left="0"/>
        <w:rPr>
          <w:rFonts w:ascii="Arial" w:hAnsi="Arial" w:cs="Arial"/>
          <w:bCs/>
        </w:rPr>
      </w:pPr>
      <w:r w:rsidRPr="00C6331D">
        <w:rPr>
          <w:rFonts w:ascii="Arial" w:hAnsi="Arial" w:cs="Arial"/>
          <w:bCs/>
        </w:rPr>
        <w:t>A continuación, se relacionan</w:t>
      </w:r>
      <w:r w:rsidR="00D43FE6" w:rsidRPr="00C6331D">
        <w:rPr>
          <w:rFonts w:ascii="Arial" w:hAnsi="Arial" w:cs="Arial"/>
          <w:bCs/>
        </w:rPr>
        <w:t xml:space="preserve"> </w:t>
      </w:r>
      <w:r w:rsidRPr="00C6331D">
        <w:rPr>
          <w:rFonts w:ascii="Arial" w:hAnsi="Arial" w:cs="Arial"/>
          <w:bCs/>
        </w:rPr>
        <w:t xml:space="preserve">las </w:t>
      </w:r>
      <w:r w:rsidR="00D43FE6" w:rsidRPr="00C6331D">
        <w:rPr>
          <w:rFonts w:ascii="Arial" w:hAnsi="Arial" w:cs="Arial"/>
          <w:bCs/>
        </w:rPr>
        <w:t xml:space="preserve">empresas reguladas que prestan el servicio de </w:t>
      </w:r>
      <w:r w:rsidR="008E2C67" w:rsidRPr="00C6331D">
        <w:rPr>
          <w:rFonts w:ascii="Arial" w:hAnsi="Arial" w:cs="Arial"/>
          <w:bCs/>
        </w:rPr>
        <w:t>energía</w:t>
      </w:r>
      <w:r w:rsidR="00D43FE6" w:rsidRPr="00C6331D">
        <w:rPr>
          <w:rFonts w:ascii="Arial" w:hAnsi="Arial" w:cs="Arial"/>
          <w:bCs/>
        </w:rPr>
        <w:t>:</w:t>
      </w:r>
    </w:p>
    <w:p w14:paraId="73E99BE2" w14:textId="640E1FAA" w:rsidR="00AE6A98" w:rsidRDefault="00AE6A98" w:rsidP="00F154A7">
      <w:pPr>
        <w:pStyle w:val="Prrafodelista"/>
        <w:spacing w:line="240" w:lineRule="auto"/>
        <w:ind w:left="0"/>
        <w:rPr>
          <w:rFonts w:ascii="Arial" w:hAnsi="Arial" w:cs="Arial"/>
          <w:bCs/>
        </w:rPr>
      </w:pPr>
    </w:p>
    <w:tbl>
      <w:tblPr>
        <w:tblW w:w="8642" w:type="dxa"/>
        <w:tblCellMar>
          <w:left w:w="70" w:type="dxa"/>
          <w:right w:w="70" w:type="dxa"/>
        </w:tblCellMar>
        <w:tblLook w:val="04A0" w:firstRow="1" w:lastRow="0" w:firstColumn="1" w:lastColumn="0" w:noHBand="0" w:noVBand="1"/>
      </w:tblPr>
      <w:tblGrid>
        <w:gridCol w:w="387"/>
        <w:gridCol w:w="879"/>
        <w:gridCol w:w="4258"/>
        <w:gridCol w:w="1559"/>
        <w:gridCol w:w="1559"/>
      </w:tblGrid>
      <w:tr w:rsidR="00AE6A98" w:rsidRPr="00AE6A98" w14:paraId="4AC8A565" w14:textId="77777777" w:rsidTr="00AE6A98">
        <w:trPr>
          <w:trHeight w:val="290"/>
          <w:tblHeader/>
        </w:trPr>
        <w:tc>
          <w:tcPr>
            <w:tcW w:w="387"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187A7CF" w14:textId="77777777" w:rsidR="00AE6A98" w:rsidRPr="00AE6A98" w:rsidRDefault="00AE6A98" w:rsidP="00AE6A98">
            <w:pPr>
              <w:jc w:val="center"/>
              <w:rPr>
                <w:rFonts w:ascii="Arial Narrow" w:hAnsi="Arial Narrow" w:cs="Calibri"/>
                <w:b/>
                <w:bCs/>
                <w:color w:val="000000"/>
                <w:spacing w:val="0"/>
                <w:sz w:val="18"/>
                <w:szCs w:val="18"/>
                <w:lang w:eastAsia="es-CO"/>
              </w:rPr>
            </w:pPr>
            <w:r w:rsidRPr="00AE6A98">
              <w:rPr>
                <w:rFonts w:ascii="Arial Narrow" w:hAnsi="Arial Narrow" w:cs="Calibri"/>
                <w:b/>
                <w:bCs/>
                <w:color w:val="000000"/>
                <w:spacing w:val="0"/>
                <w:sz w:val="18"/>
                <w:szCs w:val="18"/>
                <w:lang w:eastAsia="es-CO"/>
              </w:rPr>
              <w:t>N°</w:t>
            </w:r>
          </w:p>
        </w:tc>
        <w:tc>
          <w:tcPr>
            <w:tcW w:w="879" w:type="dxa"/>
            <w:tcBorders>
              <w:top w:val="single" w:sz="4" w:space="0" w:color="auto"/>
              <w:left w:val="nil"/>
              <w:bottom w:val="single" w:sz="4" w:space="0" w:color="auto"/>
              <w:right w:val="single" w:sz="4" w:space="0" w:color="auto"/>
            </w:tcBorders>
            <w:shd w:val="clear" w:color="000000" w:fill="F2F2F2"/>
            <w:noWrap/>
            <w:vAlign w:val="center"/>
            <w:hideMark/>
          </w:tcPr>
          <w:p w14:paraId="5C3D8B29" w14:textId="77777777" w:rsidR="00AE6A98" w:rsidRPr="00AE6A98" w:rsidRDefault="00AE6A98" w:rsidP="00AE6A98">
            <w:pPr>
              <w:jc w:val="center"/>
              <w:rPr>
                <w:rFonts w:ascii="Arial Narrow" w:hAnsi="Arial Narrow" w:cs="Calibri"/>
                <w:b/>
                <w:bCs/>
                <w:color w:val="000000"/>
                <w:spacing w:val="0"/>
                <w:sz w:val="18"/>
                <w:szCs w:val="18"/>
                <w:lang w:eastAsia="es-CO"/>
              </w:rPr>
            </w:pPr>
            <w:r w:rsidRPr="00AE6A98">
              <w:rPr>
                <w:rFonts w:ascii="Arial Narrow" w:hAnsi="Arial Narrow" w:cs="Calibri"/>
                <w:b/>
                <w:bCs/>
                <w:color w:val="000000"/>
                <w:spacing w:val="0"/>
                <w:sz w:val="18"/>
                <w:szCs w:val="18"/>
                <w:lang w:eastAsia="es-CO"/>
              </w:rPr>
              <w:t>NIT</w:t>
            </w:r>
          </w:p>
        </w:tc>
        <w:tc>
          <w:tcPr>
            <w:tcW w:w="4258" w:type="dxa"/>
            <w:tcBorders>
              <w:top w:val="single" w:sz="4" w:space="0" w:color="auto"/>
              <w:left w:val="nil"/>
              <w:bottom w:val="single" w:sz="4" w:space="0" w:color="auto"/>
              <w:right w:val="single" w:sz="4" w:space="0" w:color="auto"/>
            </w:tcBorders>
            <w:shd w:val="clear" w:color="000000" w:fill="F2F2F2"/>
            <w:vAlign w:val="center"/>
            <w:hideMark/>
          </w:tcPr>
          <w:p w14:paraId="4010915D" w14:textId="77777777" w:rsidR="00AE6A98" w:rsidRPr="00AE6A98" w:rsidRDefault="00AE6A98" w:rsidP="00AE6A98">
            <w:pPr>
              <w:jc w:val="center"/>
              <w:rPr>
                <w:rFonts w:ascii="Arial Narrow" w:hAnsi="Arial Narrow" w:cs="Calibri"/>
                <w:b/>
                <w:bCs/>
                <w:color w:val="000000"/>
                <w:spacing w:val="0"/>
                <w:sz w:val="18"/>
                <w:szCs w:val="18"/>
                <w:lang w:eastAsia="es-CO"/>
              </w:rPr>
            </w:pPr>
            <w:r w:rsidRPr="00AE6A98">
              <w:rPr>
                <w:rFonts w:ascii="Arial Narrow" w:hAnsi="Arial Narrow" w:cs="Calibri"/>
                <w:b/>
                <w:bCs/>
                <w:color w:val="000000"/>
                <w:spacing w:val="0"/>
                <w:sz w:val="18"/>
                <w:szCs w:val="18"/>
                <w:lang w:eastAsia="es-CO"/>
              </w:rPr>
              <w:t>RAZÓN SOCIAL DEL REGULADO</w:t>
            </w:r>
          </w:p>
        </w:tc>
        <w:tc>
          <w:tcPr>
            <w:tcW w:w="1559" w:type="dxa"/>
            <w:tcBorders>
              <w:top w:val="single" w:sz="4" w:space="0" w:color="auto"/>
              <w:left w:val="nil"/>
              <w:bottom w:val="single" w:sz="4" w:space="0" w:color="auto"/>
              <w:right w:val="single" w:sz="4" w:space="0" w:color="auto"/>
            </w:tcBorders>
            <w:shd w:val="clear" w:color="000000" w:fill="F2F2F2"/>
            <w:noWrap/>
            <w:vAlign w:val="center"/>
            <w:hideMark/>
          </w:tcPr>
          <w:p w14:paraId="56A58516" w14:textId="77777777" w:rsidR="00AE6A98" w:rsidRPr="00AE6A98" w:rsidRDefault="00AE6A98" w:rsidP="00AE6A98">
            <w:pPr>
              <w:jc w:val="center"/>
              <w:rPr>
                <w:rFonts w:ascii="Arial Narrow" w:hAnsi="Arial Narrow" w:cs="Calibri"/>
                <w:b/>
                <w:bCs/>
                <w:color w:val="000000"/>
                <w:spacing w:val="0"/>
                <w:sz w:val="18"/>
                <w:szCs w:val="18"/>
                <w:lang w:eastAsia="es-CO"/>
              </w:rPr>
            </w:pPr>
            <w:r w:rsidRPr="00AE6A98">
              <w:rPr>
                <w:rFonts w:ascii="Arial Narrow" w:hAnsi="Arial Narrow" w:cs="Calibri"/>
                <w:b/>
                <w:bCs/>
                <w:color w:val="000000"/>
                <w:spacing w:val="0"/>
                <w:sz w:val="18"/>
                <w:szCs w:val="18"/>
                <w:lang w:eastAsia="es-CO"/>
              </w:rPr>
              <w:t>Base Gravable</w:t>
            </w:r>
          </w:p>
        </w:tc>
        <w:tc>
          <w:tcPr>
            <w:tcW w:w="1559" w:type="dxa"/>
            <w:tcBorders>
              <w:top w:val="single" w:sz="4" w:space="0" w:color="auto"/>
              <w:left w:val="nil"/>
              <w:bottom w:val="single" w:sz="4" w:space="0" w:color="auto"/>
              <w:right w:val="single" w:sz="4" w:space="0" w:color="auto"/>
            </w:tcBorders>
            <w:shd w:val="clear" w:color="000000" w:fill="F2F2F2"/>
            <w:noWrap/>
            <w:vAlign w:val="center"/>
            <w:hideMark/>
          </w:tcPr>
          <w:p w14:paraId="26EF70D7" w14:textId="77777777" w:rsidR="00AE6A98" w:rsidRPr="00AE6A98" w:rsidRDefault="00AE6A98" w:rsidP="00AE6A98">
            <w:pPr>
              <w:jc w:val="center"/>
              <w:rPr>
                <w:rFonts w:ascii="Arial Narrow" w:hAnsi="Arial Narrow" w:cs="Calibri"/>
                <w:b/>
                <w:bCs/>
                <w:color w:val="000000"/>
                <w:spacing w:val="0"/>
                <w:sz w:val="18"/>
                <w:szCs w:val="18"/>
                <w:lang w:eastAsia="es-CO"/>
              </w:rPr>
            </w:pPr>
            <w:r w:rsidRPr="00AE6A98">
              <w:rPr>
                <w:rFonts w:ascii="Arial Narrow" w:hAnsi="Arial Narrow" w:cs="Calibri"/>
                <w:b/>
                <w:bCs/>
                <w:color w:val="000000"/>
                <w:spacing w:val="0"/>
                <w:sz w:val="18"/>
                <w:szCs w:val="18"/>
                <w:lang w:eastAsia="es-CO"/>
              </w:rPr>
              <w:t>Contribución 2021</w:t>
            </w:r>
          </w:p>
        </w:tc>
      </w:tr>
      <w:tr w:rsidR="00AE6A98" w:rsidRPr="00AE6A98" w14:paraId="03E05DDA" w14:textId="77777777" w:rsidTr="00AE6A98">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0E7E03DD"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1</w:t>
            </w:r>
          </w:p>
        </w:tc>
        <w:tc>
          <w:tcPr>
            <w:tcW w:w="879" w:type="dxa"/>
            <w:tcBorders>
              <w:top w:val="nil"/>
              <w:left w:val="nil"/>
              <w:bottom w:val="single" w:sz="4" w:space="0" w:color="auto"/>
              <w:right w:val="single" w:sz="4" w:space="0" w:color="auto"/>
            </w:tcBorders>
            <w:shd w:val="clear" w:color="auto" w:fill="auto"/>
            <w:noWrap/>
            <w:vAlign w:val="center"/>
            <w:hideMark/>
          </w:tcPr>
          <w:p w14:paraId="1366E58B"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814002979</w:t>
            </w:r>
          </w:p>
        </w:tc>
        <w:tc>
          <w:tcPr>
            <w:tcW w:w="4258" w:type="dxa"/>
            <w:tcBorders>
              <w:top w:val="nil"/>
              <w:left w:val="nil"/>
              <w:bottom w:val="single" w:sz="4" w:space="0" w:color="auto"/>
              <w:right w:val="single" w:sz="4" w:space="0" w:color="auto"/>
            </w:tcBorders>
            <w:shd w:val="clear" w:color="auto" w:fill="auto"/>
            <w:vAlign w:val="center"/>
            <w:hideMark/>
          </w:tcPr>
          <w:p w14:paraId="6D80B812"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A.S.C INGENIERIA SOCIEDAD ANONIMA SA ESP.</w:t>
            </w:r>
          </w:p>
        </w:tc>
        <w:tc>
          <w:tcPr>
            <w:tcW w:w="1559" w:type="dxa"/>
            <w:tcBorders>
              <w:top w:val="nil"/>
              <w:left w:val="nil"/>
              <w:bottom w:val="single" w:sz="4" w:space="0" w:color="auto"/>
              <w:right w:val="single" w:sz="4" w:space="0" w:color="auto"/>
            </w:tcBorders>
            <w:shd w:val="clear" w:color="auto" w:fill="auto"/>
            <w:noWrap/>
            <w:vAlign w:val="center"/>
            <w:hideMark/>
          </w:tcPr>
          <w:p w14:paraId="7E227BAD" w14:textId="31750CBA"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214</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019</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088 </w:t>
            </w:r>
          </w:p>
        </w:tc>
        <w:tc>
          <w:tcPr>
            <w:tcW w:w="1559" w:type="dxa"/>
            <w:tcBorders>
              <w:top w:val="nil"/>
              <w:left w:val="nil"/>
              <w:bottom w:val="single" w:sz="4" w:space="0" w:color="auto"/>
              <w:right w:val="single" w:sz="4" w:space="0" w:color="auto"/>
            </w:tcBorders>
            <w:shd w:val="clear" w:color="auto" w:fill="auto"/>
            <w:noWrap/>
            <w:vAlign w:val="center"/>
            <w:hideMark/>
          </w:tcPr>
          <w:p w14:paraId="0BEFA6D8" w14:textId="4E5074E1"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2</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140</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191 </w:t>
            </w:r>
          </w:p>
        </w:tc>
      </w:tr>
      <w:tr w:rsidR="00AE6A98" w:rsidRPr="00AE6A98" w14:paraId="152602B5" w14:textId="77777777" w:rsidTr="00AE6A98">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517D1C35"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2</w:t>
            </w:r>
          </w:p>
        </w:tc>
        <w:tc>
          <w:tcPr>
            <w:tcW w:w="879" w:type="dxa"/>
            <w:tcBorders>
              <w:top w:val="nil"/>
              <w:left w:val="nil"/>
              <w:bottom w:val="single" w:sz="4" w:space="0" w:color="auto"/>
              <w:right w:val="single" w:sz="4" w:space="0" w:color="auto"/>
            </w:tcBorders>
            <w:shd w:val="clear" w:color="auto" w:fill="auto"/>
            <w:noWrap/>
            <w:vAlign w:val="center"/>
            <w:hideMark/>
          </w:tcPr>
          <w:p w14:paraId="47AFF6F1"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830025205</w:t>
            </w:r>
          </w:p>
        </w:tc>
        <w:tc>
          <w:tcPr>
            <w:tcW w:w="4258" w:type="dxa"/>
            <w:tcBorders>
              <w:top w:val="nil"/>
              <w:left w:val="nil"/>
              <w:bottom w:val="single" w:sz="4" w:space="0" w:color="auto"/>
              <w:right w:val="single" w:sz="4" w:space="0" w:color="auto"/>
            </w:tcBorders>
            <w:shd w:val="clear" w:color="auto" w:fill="auto"/>
            <w:vAlign w:val="center"/>
            <w:hideMark/>
          </w:tcPr>
          <w:p w14:paraId="44A165A6"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AES CHIVOR &amp; CIA SCA ESP</w:t>
            </w:r>
          </w:p>
        </w:tc>
        <w:tc>
          <w:tcPr>
            <w:tcW w:w="1559" w:type="dxa"/>
            <w:tcBorders>
              <w:top w:val="nil"/>
              <w:left w:val="nil"/>
              <w:bottom w:val="single" w:sz="4" w:space="0" w:color="auto"/>
              <w:right w:val="single" w:sz="4" w:space="0" w:color="auto"/>
            </w:tcBorders>
            <w:shd w:val="clear" w:color="auto" w:fill="auto"/>
            <w:noWrap/>
            <w:vAlign w:val="center"/>
            <w:hideMark/>
          </w:tcPr>
          <w:p w14:paraId="7EC572EF" w14:textId="1B590A02"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86</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419</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123</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544 </w:t>
            </w:r>
          </w:p>
        </w:tc>
        <w:tc>
          <w:tcPr>
            <w:tcW w:w="1559" w:type="dxa"/>
            <w:tcBorders>
              <w:top w:val="nil"/>
              <w:left w:val="nil"/>
              <w:bottom w:val="single" w:sz="4" w:space="0" w:color="auto"/>
              <w:right w:val="single" w:sz="4" w:space="0" w:color="auto"/>
            </w:tcBorders>
            <w:shd w:val="clear" w:color="auto" w:fill="auto"/>
            <w:noWrap/>
            <w:vAlign w:val="center"/>
            <w:hideMark/>
          </w:tcPr>
          <w:p w14:paraId="77D72EA9" w14:textId="50F95AE4"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864</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191</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235 </w:t>
            </w:r>
          </w:p>
        </w:tc>
      </w:tr>
      <w:tr w:rsidR="00AE6A98" w:rsidRPr="00AE6A98" w14:paraId="205D1D4B" w14:textId="77777777" w:rsidTr="00AE6A98">
        <w:trPr>
          <w:trHeight w:val="46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6E429039"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3</w:t>
            </w:r>
          </w:p>
        </w:tc>
        <w:tc>
          <w:tcPr>
            <w:tcW w:w="879" w:type="dxa"/>
            <w:tcBorders>
              <w:top w:val="nil"/>
              <w:left w:val="nil"/>
              <w:bottom w:val="single" w:sz="4" w:space="0" w:color="auto"/>
              <w:right w:val="single" w:sz="4" w:space="0" w:color="auto"/>
            </w:tcBorders>
            <w:shd w:val="clear" w:color="auto" w:fill="auto"/>
            <w:noWrap/>
            <w:vAlign w:val="center"/>
            <w:hideMark/>
          </w:tcPr>
          <w:p w14:paraId="0AA3DCF0"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900325920</w:t>
            </w:r>
          </w:p>
        </w:tc>
        <w:tc>
          <w:tcPr>
            <w:tcW w:w="4258" w:type="dxa"/>
            <w:tcBorders>
              <w:top w:val="nil"/>
              <w:left w:val="nil"/>
              <w:bottom w:val="single" w:sz="4" w:space="0" w:color="auto"/>
              <w:right w:val="single" w:sz="4" w:space="0" w:color="auto"/>
            </w:tcBorders>
            <w:shd w:val="clear" w:color="auto" w:fill="auto"/>
            <w:vAlign w:val="center"/>
            <w:hideMark/>
          </w:tcPr>
          <w:p w14:paraId="4B5F8AF9"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AGENTE EXPERTO EN SERVICIOS PUBLICOS SA ESP</w:t>
            </w:r>
          </w:p>
        </w:tc>
        <w:tc>
          <w:tcPr>
            <w:tcW w:w="1559" w:type="dxa"/>
            <w:tcBorders>
              <w:top w:val="nil"/>
              <w:left w:val="nil"/>
              <w:bottom w:val="single" w:sz="4" w:space="0" w:color="auto"/>
              <w:right w:val="single" w:sz="4" w:space="0" w:color="auto"/>
            </w:tcBorders>
            <w:shd w:val="clear" w:color="auto" w:fill="auto"/>
            <w:noWrap/>
            <w:vAlign w:val="center"/>
            <w:hideMark/>
          </w:tcPr>
          <w:p w14:paraId="2B635D9B" w14:textId="22A013FC"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866</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914</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032 </w:t>
            </w:r>
          </w:p>
        </w:tc>
        <w:tc>
          <w:tcPr>
            <w:tcW w:w="1559" w:type="dxa"/>
            <w:tcBorders>
              <w:top w:val="nil"/>
              <w:left w:val="nil"/>
              <w:bottom w:val="single" w:sz="4" w:space="0" w:color="auto"/>
              <w:right w:val="single" w:sz="4" w:space="0" w:color="auto"/>
            </w:tcBorders>
            <w:shd w:val="clear" w:color="auto" w:fill="auto"/>
            <w:noWrap/>
            <w:vAlign w:val="center"/>
            <w:hideMark/>
          </w:tcPr>
          <w:p w14:paraId="1E0AD369" w14:textId="70B86455"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8</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669</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140 </w:t>
            </w:r>
          </w:p>
        </w:tc>
      </w:tr>
      <w:tr w:rsidR="00AE6A98" w:rsidRPr="00AE6A98" w14:paraId="361D3B85" w14:textId="77777777" w:rsidTr="00AE6A98">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2F3977ED"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4</w:t>
            </w:r>
          </w:p>
        </w:tc>
        <w:tc>
          <w:tcPr>
            <w:tcW w:w="879" w:type="dxa"/>
            <w:tcBorders>
              <w:top w:val="nil"/>
              <w:left w:val="nil"/>
              <w:bottom w:val="single" w:sz="4" w:space="0" w:color="auto"/>
              <w:right w:val="single" w:sz="4" w:space="0" w:color="auto"/>
            </w:tcBorders>
            <w:shd w:val="clear" w:color="auto" w:fill="auto"/>
            <w:noWrap/>
            <w:vAlign w:val="center"/>
            <w:hideMark/>
          </w:tcPr>
          <w:p w14:paraId="4ABA82FB"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901380930</w:t>
            </w:r>
          </w:p>
        </w:tc>
        <w:tc>
          <w:tcPr>
            <w:tcW w:w="4258" w:type="dxa"/>
            <w:tcBorders>
              <w:top w:val="nil"/>
              <w:left w:val="nil"/>
              <w:bottom w:val="single" w:sz="4" w:space="0" w:color="auto"/>
              <w:right w:val="single" w:sz="4" w:space="0" w:color="auto"/>
            </w:tcBorders>
            <w:shd w:val="clear" w:color="auto" w:fill="auto"/>
            <w:vAlign w:val="center"/>
            <w:hideMark/>
          </w:tcPr>
          <w:p w14:paraId="703FC6C0"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AIR-E S.A.S. E.S.P.</w:t>
            </w:r>
          </w:p>
        </w:tc>
        <w:tc>
          <w:tcPr>
            <w:tcW w:w="1559" w:type="dxa"/>
            <w:tcBorders>
              <w:top w:val="nil"/>
              <w:left w:val="nil"/>
              <w:bottom w:val="single" w:sz="4" w:space="0" w:color="auto"/>
              <w:right w:val="single" w:sz="4" w:space="0" w:color="auto"/>
            </w:tcBorders>
            <w:shd w:val="clear" w:color="auto" w:fill="auto"/>
            <w:noWrap/>
            <w:vAlign w:val="center"/>
            <w:hideMark/>
          </w:tcPr>
          <w:p w14:paraId="59B89F59" w14:textId="4D1008F6"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17</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140</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448</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947 </w:t>
            </w:r>
          </w:p>
        </w:tc>
        <w:tc>
          <w:tcPr>
            <w:tcW w:w="1559" w:type="dxa"/>
            <w:tcBorders>
              <w:top w:val="nil"/>
              <w:left w:val="nil"/>
              <w:bottom w:val="single" w:sz="4" w:space="0" w:color="auto"/>
              <w:right w:val="single" w:sz="4" w:space="0" w:color="auto"/>
            </w:tcBorders>
            <w:shd w:val="clear" w:color="auto" w:fill="auto"/>
            <w:noWrap/>
            <w:vAlign w:val="center"/>
            <w:hideMark/>
          </w:tcPr>
          <w:p w14:paraId="1AC5ECE1" w14:textId="13858C25"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171</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404</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489 </w:t>
            </w:r>
          </w:p>
        </w:tc>
      </w:tr>
      <w:tr w:rsidR="00AE6A98" w:rsidRPr="00AE6A98" w14:paraId="2312F67A" w14:textId="77777777" w:rsidTr="00AE6A98">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1A81379C"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5</w:t>
            </w:r>
          </w:p>
        </w:tc>
        <w:tc>
          <w:tcPr>
            <w:tcW w:w="879" w:type="dxa"/>
            <w:tcBorders>
              <w:top w:val="nil"/>
              <w:left w:val="nil"/>
              <w:bottom w:val="single" w:sz="4" w:space="0" w:color="auto"/>
              <w:right w:val="single" w:sz="4" w:space="0" w:color="auto"/>
            </w:tcBorders>
            <w:shd w:val="clear" w:color="auto" w:fill="auto"/>
            <w:noWrap/>
            <w:vAlign w:val="center"/>
            <w:hideMark/>
          </w:tcPr>
          <w:p w14:paraId="6A3F0A6D"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900154878</w:t>
            </w:r>
          </w:p>
        </w:tc>
        <w:tc>
          <w:tcPr>
            <w:tcW w:w="4258" w:type="dxa"/>
            <w:tcBorders>
              <w:top w:val="nil"/>
              <w:left w:val="nil"/>
              <w:bottom w:val="single" w:sz="4" w:space="0" w:color="auto"/>
              <w:right w:val="single" w:sz="4" w:space="0" w:color="auto"/>
            </w:tcBorders>
            <w:shd w:val="clear" w:color="auto" w:fill="auto"/>
            <w:vAlign w:val="center"/>
            <w:hideMark/>
          </w:tcPr>
          <w:p w14:paraId="0F7FDEA1"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AMERICANA DE ENERGIA S.A.S. E.S.P.</w:t>
            </w:r>
          </w:p>
        </w:tc>
        <w:tc>
          <w:tcPr>
            <w:tcW w:w="1559" w:type="dxa"/>
            <w:tcBorders>
              <w:top w:val="nil"/>
              <w:left w:val="nil"/>
              <w:bottom w:val="single" w:sz="4" w:space="0" w:color="auto"/>
              <w:right w:val="single" w:sz="4" w:space="0" w:color="auto"/>
            </w:tcBorders>
            <w:shd w:val="clear" w:color="auto" w:fill="auto"/>
            <w:noWrap/>
            <w:vAlign w:val="center"/>
            <w:hideMark/>
          </w:tcPr>
          <w:p w14:paraId="378C7099" w14:textId="189E9145"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127</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922</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859 </w:t>
            </w:r>
          </w:p>
        </w:tc>
        <w:tc>
          <w:tcPr>
            <w:tcW w:w="1559" w:type="dxa"/>
            <w:tcBorders>
              <w:top w:val="nil"/>
              <w:left w:val="nil"/>
              <w:bottom w:val="single" w:sz="4" w:space="0" w:color="auto"/>
              <w:right w:val="single" w:sz="4" w:space="0" w:color="auto"/>
            </w:tcBorders>
            <w:shd w:val="clear" w:color="auto" w:fill="auto"/>
            <w:noWrap/>
            <w:vAlign w:val="center"/>
            <w:hideMark/>
          </w:tcPr>
          <w:p w14:paraId="21C87A92" w14:textId="06C52F25"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1</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279</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229 </w:t>
            </w:r>
          </w:p>
        </w:tc>
      </w:tr>
      <w:tr w:rsidR="00AE6A98" w:rsidRPr="00AE6A98" w14:paraId="4ECEAC09" w14:textId="77777777" w:rsidTr="00AE6A98">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29866C15"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6</w:t>
            </w:r>
          </w:p>
        </w:tc>
        <w:tc>
          <w:tcPr>
            <w:tcW w:w="879" w:type="dxa"/>
            <w:tcBorders>
              <w:top w:val="nil"/>
              <w:left w:val="nil"/>
              <w:bottom w:val="single" w:sz="4" w:space="0" w:color="auto"/>
              <w:right w:val="single" w:sz="4" w:space="0" w:color="auto"/>
            </w:tcBorders>
            <w:shd w:val="clear" w:color="auto" w:fill="auto"/>
            <w:noWrap/>
            <w:vAlign w:val="center"/>
            <w:hideMark/>
          </w:tcPr>
          <w:p w14:paraId="24ED193A"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900932147</w:t>
            </w:r>
          </w:p>
        </w:tc>
        <w:tc>
          <w:tcPr>
            <w:tcW w:w="4258" w:type="dxa"/>
            <w:tcBorders>
              <w:top w:val="nil"/>
              <w:left w:val="nil"/>
              <w:bottom w:val="single" w:sz="4" w:space="0" w:color="auto"/>
              <w:right w:val="single" w:sz="4" w:space="0" w:color="auto"/>
            </w:tcBorders>
            <w:shd w:val="clear" w:color="auto" w:fill="auto"/>
            <w:vAlign w:val="center"/>
            <w:hideMark/>
          </w:tcPr>
          <w:p w14:paraId="36ED975E"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AMPERIA SA ESP</w:t>
            </w:r>
          </w:p>
        </w:tc>
        <w:tc>
          <w:tcPr>
            <w:tcW w:w="1559" w:type="dxa"/>
            <w:tcBorders>
              <w:top w:val="nil"/>
              <w:left w:val="nil"/>
              <w:bottom w:val="single" w:sz="4" w:space="0" w:color="auto"/>
              <w:right w:val="single" w:sz="4" w:space="0" w:color="auto"/>
            </w:tcBorders>
            <w:shd w:val="clear" w:color="auto" w:fill="auto"/>
            <w:noWrap/>
            <w:vAlign w:val="center"/>
            <w:hideMark/>
          </w:tcPr>
          <w:p w14:paraId="53D4CE0F" w14:textId="4A5755B9"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241</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055</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800 </w:t>
            </w:r>
          </w:p>
        </w:tc>
        <w:tc>
          <w:tcPr>
            <w:tcW w:w="1559" w:type="dxa"/>
            <w:tcBorders>
              <w:top w:val="nil"/>
              <w:left w:val="nil"/>
              <w:bottom w:val="single" w:sz="4" w:space="0" w:color="auto"/>
              <w:right w:val="single" w:sz="4" w:space="0" w:color="auto"/>
            </w:tcBorders>
            <w:shd w:val="clear" w:color="auto" w:fill="auto"/>
            <w:noWrap/>
            <w:vAlign w:val="center"/>
            <w:hideMark/>
          </w:tcPr>
          <w:p w14:paraId="25F1F848" w14:textId="3F6D2661"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2</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410</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558 </w:t>
            </w:r>
          </w:p>
        </w:tc>
      </w:tr>
      <w:tr w:rsidR="00AE6A98" w:rsidRPr="00AE6A98" w14:paraId="4DF9B33F" w14:textId="77777777" w:rsidTr="00AE6A98">
        <w:trPr>
          <w:trHeight w:val="46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69AAB2DA"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7</w:t>
            </w:r>
          </w:p>
        </w:tc>
        <w:tc>
          <w:tcPr>
            <w:tcW w:w="879" w:type="dxa"/>
            <w:tcBorders>
              <w:top w:val="nil"/>
              <w:left w:val="nil"/>
              <w:bottom w:val="single" w:sz="4" w:space="0" w:color="auto"/>
              <w:right w:val="single" w:sz="4" w:space="0" w:color="auto"/>
            </w:tcBorders>
            <w:shd w:val="clear" w:color="auto" w:fill="auto"/>
            <w:noWrap/>
            <w:vAlign w:val="center"/>
            <w:hideMark/>
          </w:tcPr>
          <w:p w14:paraId="549C5060"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900428270</w:t>
            </w:r>
          </w:p>
        </w:tc>
        <w:tc>
          <w:tcPr>
            <w:tcW w:w="4258" w:type="dxa"/>
            <w:tcBorders>
              <w:top w:val="nil"/>
              <w:left w:val="nil"/>
              <w:bottom w:val="single" w:sz="4" w:space="0" w:color="auto"/>
              <w:right w:val="single" w:sz="4" w:space="0" w:color="auto"/>
            </w:tcBorders>
            <w:shd w:val="clear" w:color="auto" w:fill="auto"/>
            <w:vAlign w:val="center"/>
            <w:hideMark/>
          </w:tcPr>
          <w:p w14:paraId="0BC46465"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ASOCIACION DE ENERGIA DE LAS ZONAS RURALES DEL MUNICIPIO DE EL CHARCO</w:t>
            </w:r>
          </w:p>
        </w:tc>
        <w:tc>
          <w:tcPr>
            <w:tcW w:w="1559" w:type="dxa"/>
            <w:tcBorders>
              <w:top w:val="nil"/>
              <w:left w:val="nil"/>
              <w:bottom w:val="single" w:sz="4" w:space="0" w:color="auto"/>
              <w:right w:val="single" w:sz="4" w:space="0" w:color="auto"/>
            </w:tcBorders>
            <w:shd w:val="clear" w:color="auto" w:fill="auto"/>
            <w:noWrap/>
            <w:vAlign w:val="center"/>
            <w:hideMark/>
          </w:tcPr>
          <w:p w14:paraId="084C314A" w14:textId="68C21AB4"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465</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429</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383 </w:t>
            </w:r>
          </w:p>
        </w:tc>
        <w:tc>
          <w:tcPr>
            <w:tcW w:w="1559" w:type="dxa"/>
            <w:tcBorders>
              <w:top w:val="nil"/>
              <w:left w:val="nil"/>
              <w:bottom w:val="single" w:sz="4" w:space="0" w:color="auto"/>
              <w:right w:val="single" w:sz="4" w:space="0" w:color="auto"/>
            </w:tcBorders>
            <w:shd w:val="clear" w:color="auto" w:fill="auto"/>
            <w:noWrap/>
            <w:vAlign w:val="center"/>
            <w:hideMark/>
          </w:tcPr>
          <w:p w14:paraId="6E0B9901" w14:textId="5F944F4D"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4</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654</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294 </w:t>
            </w:r>
          </w:p>
        </w:tc>
      </w:tr>
      <w:tr w:rsidR="00AE6A98" w:rsidRPr="00AE6A98" w14:paraId="58903868" w14:textId="77777777" w:rsidTr="00AE6A98">
        <w:trPr>
          <w:trHeight w:val="46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7F5E69B3"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8</w:t>
            </w:r>
          </w:p>
        </w:tc>
        <w:tc>
          <w:tcPr>
            <w:tcW w:w="879" w:type="dxa"/>
            <w:tcBorders>
              <w:top w:val="nil"/>
              <w:left w:val="nil"/>
              <w:bottom w:val="single" w:sz="4" w:space="0" w:color="auto"/>
              <w:right w:val="single" w:sz="4" w:space="0" w:color="auto"/>
            </w:tcBorders>
            <w:shd w:val="clear" w:color="auto" w:fill="auto"/>
            <w:noWrap/>
            <w:vAlign w:val="center"/>
            <w:hideMark/>
          </w:tcPr>
          <w:p w14:paraId="6409F4DB"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900274902</w:t>
            </w:r>
          </w:p>
        </w:tc>
        <w:tc>
          <w:tcPr>
            <w:tcW w:w="4258" w:type="dxa"/>
            <w:tcBorders>
              <w:top w:val="nil"/>
              <w:left w:val="nil"/>
              <w:bottom w:val="single" w:sz="4" w:space="0" w:color="auto"/>
              <w:right w:val="single" w:sz="4" w:space="0" w:color="auto"/>
            </w:tcBorders>
            <w:shd w:val="clear" w:color="auto" w:fill="auto"/>
            <w:vAlign w:val="center"/>
            <w:hideMark/>
          </w:tcPr>
          <w:p w14:paraId="6D036713"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ASOCIACION DE USUARIOS DE SERVICIOS PUBLICOS DEL MEDIO BAUDO</w:t>
            </w:r>
          </w:p>
        </w:tc>
        <w:tc>
          <w:tcPr>
            <w:tcW w:w="1559" w:type="dxa"/>
            <w:tcBorders>
              <w:top w:val="nil"/>
              <w:left w:val="nil"/>
              <w:bottom w:val="single" w:sz="4" w:space="0" w:color="auto"/>
              <w:right w:val="single" w:sz="4" w:space="0" w:color="auto"/>
            </w:tcBorders>
            <w:shd w:val="clear" w:color="auto" w:fill="auto"/>
            <w:noWrap/>
            <w:vAlign w:val="center"/>
            <w:hideMark/>
          </w:tcPr>
          <w:p w14:paraId="369624DC" w14:textId="45E571B8"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220</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148</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398 </w:t>
            </w:r>
          </w:p>
        </w:tc>
        <w:tc>
          <w:tcPr>
            <w:tcW w:w="1559" w:type="dxa"/>
            <w:tcBorders>
              <w:top w:val="nil"/>
              <w:left w:val="nil"/>
              <w:bottom w:val="single" w:sz="4" w:space="0" w:color="auto"/>
              <w:right w:val="single" w:sz="4" w:space="0" w:color="auto"/>
            </w:tcBorders>
            <w:shd w:val="clear" w:color="auto" w:fill="auto"/>
            <w:noWrap/>
            <w:vAlign w:val="center"/>
            <w:hideMark/>
          </w:tcPr>
          <w:p w14:paraId="3910E78F" w14:textId="64E4BEEE"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2</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201</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484 </w:t>
            </w:r>
          </w:p>
        </w:tc>
      </w:tr>
      <w:tr w:rsidR="00AE6A98" w:rsidRPr="00AE6A98" w14:paraId="5378D372" w14:textId="77777777" w:rsidTr="00AE6A98">
        <w:trPr>
          <w:trHeight w:val="6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2FD0D75B"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9</w:t>
            </w:r>
          </w:p>
        </w:tc>
        <w:tc>
          <w:tcPr>
            <w:tcW w:w="879" w:type="dxa"/>
            <w:tcBorders>
              <w:top w:val="nil"/>
              <w:left w:val="nil"/>
              <w:bottom w:val="single" w:sz="4" w:space="0" w:color="auto"/>
              <w:right w:val="single" w:sz="4" w:space="0" w:color="auto"/>
            </w:tcBorders>
            <w:shd w:val="clear" w:color="auto" w:fill="auto"/>
            <w:noWrap/>
            <w:vAlign w:val="center"/>
            <w:hideMark/>
          </w:tcPr>
          <w:p w14:paraId="79E29546"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900260857</w:t>
            </w:r>
          </w:p>
        </w:tc>
        <w:tc>
          <w:tcPr>
            <w:tcW w:w="4258" w:type="dxa"/>
            <w:tcBorders>
              <w:top w:val="nil"/>
              <w:left w:val="nil"/>
              <w:bottom w:val="single" w:sz="4" w:space="0" w:color="auto"/>
              <w:right w:val="single" w:sz="4" w:space="0" w:color="auto"/>
            </w:tcBorders>
            <w:shd w:val="clear" w:color="auto" w:fill="auto"/>
            <w:vAlign w:val="center"/>
            <w:hideMark/>
          </w:tcPr>
          <w:p w14:paraId="048588C2"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ASOCIACIÓN DE USUARIOS DEL SERVICIO DE ENERGÍA ELÉCTRICA DE LA ZONA RURAL DE SANTA BARBARA DE ISCUANDE </w:t>
            </w:r>
          </w:p>
        </w:tc>
        <w:tc>
          <w:tcPr>
            <w:tcW w:w="1559" w:type="dxa"/>
            <w:tcBorders>
              <w:top w:val="nil"/>
              <w:left w:val="nil"/>
              <w:bottom w:val="single" w:sz="4" w:space="0" w:color="auto"/>
              <w:right w:val="single" w:sz="4" w:space="0" w:color="auto"/>
            </w:tcBorders>
            <w:shd w:val="clear" w:color="auto" w:fill="auto"/>
            <w:noWrap/>
            <w:vAlign w:val="center"/>
            <w:hideMark/>
          </w:tcPr>
          <w:p w14:paraId="11DC245D" w14:textId="4390E9C2"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47</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016</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955 </w:t>
            </w:r>
          </w:p>
        </w:tc>
        <w:tc>
          <w:tcPr>
            <w:tcW w:w="1559" w:type="dxa"/>
            <w:tcBorders>
              <w:top w:val="nil"/>
              <w:left w:val="nil"/>
              <w:bottom w:val="single" w:sz="4" w:space="0" w:color="auto"/>
              <w:right w:val="single" w:sz="4" w:space="0" w:color="auto"/>
            </w:tcBorders>
            <w:shd w:val="clear" w:color="auto" w:fill="auto"/>
            <w:noWrap/>
            <w:vAlign w:val="center"/>
            <w:hideMark/>
          </w:tcPr>
          <w:p w14:paraId="456BCBDE" w14:textId="133B95AF"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470</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170 </w:t>
            </w:r>
          </w:p>
        </w:tc>
      </w:tr>
      <w:tr w:rsidR="00AE6A98" w:rsidRPr="00AE6A98" w14:paraId="47AAA4C1" w14:textId="77777777" w:rsidTr="00AE6A98">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5D54A769"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10</w:t>
            </w:r>
          </w:p>
        </w:tc>
        <w:tc>
          <w:tcPr>
            <w:tcW w:w="879" w:type="dxa"/>
            <w:tcBorders>
              <w:top w:val="nil"/>
              <w:left w:val="nil"/>
              <w:bottom w:val="single" w:sz="4" w:space="0" w:color="auto"/>
              <w:right w:val="single" w:sz="4" w:space="0" w:color="auto"/>
            </w:tcBorders>
            <w:shd w:val="clear" w:color="auto" w:fill="auto"/>
            <w:noWrap/>
            <w:vAlign w:val="center"/>
            <w:hideMark/>
          </w:tcPr>
          <w:p w14:paraId="13A74FAC"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900740329</w:t>
            </w:r>
          </w:p>
        </w:tc>
        <w:tc>
          <w:tcPr>
            <w:tcW w:w="4258" w:type="dxa"/>
            <w:tcBorders>
              <w:top w:val="nil"/>
              <w:left w:val="nil"/>
              <w:bottom w:val="single" w:sz="4" w:space="0" w:color="auto"/>
              <w:right w:val="single" w:sz="4" w:space="0" w:color="auto"/>
            </w:tcBorders>
            <w:shd w:val="clear" w:color="auto" w:fill="auto"/>
            <w:vAlign w:val="center"/>
            <w:hideMark/>
          </w:tcPr>
          <w:p w14:paraId="14A83BE0"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AURES BAJO S.A.S. E.S.P.</w:t>
            </w:r>
          </w:p>
        </w:tc>
        <w:tc>
          <w:tcPr>
            <w:tcW w:w="1559" w:type="dxa"/>
            <w:tcBorders>
              <w:top w:val="nil"/>
              <w:left w:val="nil"/>
              <w:bottom w:val="single" w:sz="4" w:space="0" w:color="auto"/>
              <w:right w:val="single" w:sz="4" w:space="0" w:color="auto"/>
            </w:tcBorders>
            <w:shd w:val="clear" w:color="auto" w:fill="auto"/>
            <w:noWrap/>
            <w:vAlign w:val="center"/>
            <w:hideMark/>
          </w:tcPr>
          <w:p w14:paraId="150DB14E" w14:textId="06951004"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313</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624</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382 </w:t>
            </w:r>
          </w:p>
        </w:tc>
        <w:tc>
          <w:tcPr>
            <w:tcW w:w="1559" w:type="dxa"/>
            <w:tcBorders>
              <w:top w:val="nil"/>
              <w:left w:val="nil"/>
              <w:bottom w:val="single" w:sz="4" w:space="0" w:color="auto"/>
              <w:right w:val="single" w:sz="4" w:space="0" w:color="auto"/>
            </w:tcBorders>
            <w:shd w:val="clear" w:color="auto" w:fill="auto"/>
            <w:noWrap/>
            <w:vAlign w:val="center"/>
            <w:hideMark/>
          </w:tcPr>
          <w:p w14:paraId="4957C844" w14:textId="51290EDE"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3</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136</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244 </w:t>
            </w:r>
          </w:p>
        </w:tc>
      </w:tr>
      <w:tr w:rsidR="00AE6A98" w:rsidRPr="00AE6A98" w14:paraId="6F289B9A" w14:textId="77777777" w:rsidTr="00AE6A98">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787F67F6"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11</w:t>
            </w:r>
          </w:p>
        </w:tc>
        <w:tc>
          <w:tcPr>
            <w:tcW w:w="879" w:type="dxa"/>
            <w:tcBorders>
              <w:top w:val="nil"/>
              <w:left w:val="nil"/>
              <w:bottom w:val="single" w:sz="4" w:space="0" w:color="auto"/>
              <w:right w:val="single" w:sz="4" w:space="0" w:color="auto"/>
            </w:tcBorders>
            <w:shd w:val="clear" w:color="auto" w:fill="auto"/>
            <w:noWrap/>
            <w:vAlign w:val="center"/>
            <w:hideMark/>
          </w:tcPr>
          <w:p w14:paraId="4AC43F21"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900275349</w:t>
            </w:r>
          </w:p>
        </w:tc>
        <w:tc>
          <w:tcPr>
            <w:tcW w:w="4258" w:type="dxa"/>
            <w:tcBorders>
              <w:top w:val="nil"/>
              <w:left w:val="nil"/>
              <w:bottom w:val="single" w:sz="4" w:space="0" w:color="auto"/>
              <w:right w:val="single" w:sz="4" w:space="0" w:color="auto"/>
            </w:tcBorders>
            <w:shd w:val="clear" w:color="auto" w:fill="auto"/>
            <w:vAlign w:val="center"/>
            <w:hideMark/>
          </w:tcPr>
          <w:p w14:paraId="65B6AB14" w14:textId="237B8A12"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BARROSO S.A.S. E.S.P</w:t>
            </w:r>
            <w:r w:rsidR="00EF50A4">
              <w:rPr>
                <w:rFonts w:ascii="Arial Narrow" w:hAnsi="Arial Narrow" w:cs="Calibri"/>
                <w:color w:val="000000"/>
                <w:spacing w:val="0"/>
                <w:sz w:val="18"/>
                <w:szCs w:val="18"/>
                <w:lang w:eastAsia="es-CO"/>
              </w:rPr>
              <w:t>.</w:t>
            </w:r>
          </w:p>
        </w:tc>
        <w:tc>
          <w:tcPr>
            <w:tcW w:w="1559" w:type="dxa"/>
            <w:tcBorders>
              <w:top w:val="nil"/>
              <w:left w:val="nil"/>
              <w:bottom w:val="single" w:sz="4" w:space="0" w:color="auto"/>
              <w:right w:val="single" w:sz="4" w:space="0" w:color="auto"/>
            </w:tcBorders>
            <w:shd w:val="clear" w:color="auto" w:fill="auto"/>
            <w:noWrap/>
            <w:vAlign w:val="center"/>
            <w:hideMark/>
          </w:tcPr>
          <w:p w14:paraId="2BCE1328" w14:textId="3AAD0D83"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2</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099</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328</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500 </w:t>
            </w:r>
          </w:p>
        </w:tc>
        <w:tc>
          <w:tcPr>
            <w:tcW w:w="1559" w:type="dxa"/>
            <w:tcBorders>
              <w:top w:val="nil"/>
              <w:left w:val="nil"/>
              <w:bottom w:val="single" w:sz="4" w:space="0" w:color="auto"/>
              <w:right w:val="single" w:sz="4" w:space="0" w:color="auto"/>
            </w:tcBorders>
            <w:shd w:val="clear" w:color="auto" w:fill="auto"/>
            <w:noWrap/>
            <w:vAlign w:val="center"/>
            <w:hideMark/>
          </w:tcPr>
          <w:p w14:paraId="1BC1A6CC" w14:textId="4854FA99"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20</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993</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285 </w:t>
            </w:r>
          </w:p>
        </w:tc>
      </w:tr>
      <w:tr w:rsidR="00AE6A98" w:rsidRPr="00AE6A98" w14:paraId="2BEE79CB" w14:textId="77777777" w:rsidTr="00AE6A98">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03E64555"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12</w:t>
            </w:r>
          </w:p>
        </w:tc>
        <w:tc>
          <w:tcPr>
            <w:tcW w:w="879" w:type="dxa"/>
            <w:tcBorders>
              <w:top w:val="nil"/>
              <w:left w:val="nil"/>
              <w:bottom w:val="single" w:sz="4" w:space="0" w:color="auto"/>
              <w:right w:val="single" w:sz="4" w:space="0" w:color="auto"/>
            </w:tcBorders>
            <w:shd w:val="clear" w:color="auto" w:fill="auto"/>
            <w:noWrap/>
            <w:vAlign w:val="center"/>
            <w:hideMark/>
          </w:tcPr>
          <w:p w14:paraId="33FE6E06"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900475298</w:t>
            </w:r>
          </w:p>
        </w:tc>
        <w:tc>
          <w:tcPr>
            <w:tcW w:w="4258" w:type="dxa"/>
            <w:tcBorders>
              <w:top w:val="nil"/>
              <w:left w:val="nil"/>
              <w:bottom w:val="single" w:sz="4" w:space="0" w:color="auto"/>
              <w:right w:val="single" w:sz="4" w:space="0" w:color="auto"/>
            </w:tcBorders>
            <w:shd w:val="clear" w:color="auto" w:fill="auto"/>
            <w:vAlign w:val="center"/>
            <w:hideMark/>
          </w:tcPr>
          <w:p w14:paraId="42CFB319"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BIOGAS COLOMBIA GENERSA S.A.S E.S.P.</w:t>
            </w:r>
          </w:p>
        </w:tc>
        <w:tc>
          <w:tcPr>
            <w:tcW w:w="1559" w:type="dxa"/>
            <w:tcBorders>
              <w:top w:val="nil"/>
              <w:left w:val="nil"/>
              <w:bottom w:val="single" w:sz="4" w:space="0" w:color="auto"/>
              <w:right w:val="single" w:sz="4" w:space="0" w:color="auto"/>
            </w:tcBorders>
            <w:shd w:val="clear" w:color="auto" w:fill="auto"/>
            <w:noWrap/>
            <w:vAlign w:val="center"/>
            <w:hideMark/>
          </w:tcPr>
          <w:p w14:paraId="35169488" w14:textId="1CDC711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961</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845</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142 </w:t>
            </w:r>
          </w:p>
        </w:tc>
        <w:tc>
          <w:tcPr>
            <w:tcW w:w="1559" w:type="dxa"/>
            <w:tcBorders>
              <w:top w:val="nil"/>
              <w:left w:val="nil"/>
              <w:bottom w:val="single" w:sz="4" w:space="0" w:color="auto"/>
              <w:right w:val="single" w:sz="4" w:space="0" w:color="auto"/>
            </w:tcBorders>
            <w:shd w:val="clear" w:color="auto" w:fill="auto"/>
            <w:noWrap/>
            <w:vAlign w:val="center"/>
            <w:hideMark/>
          </w:tcPr>
          <w:p w14:paraId="3E4D0610" w14:textId="01B2712D"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9</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618</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451 </w:t>
            </w:r>
          </w:p>
        </w:tc>
      </w:tr>
      <w:tr w:rsidR="00AE6A98" w:rsidRPr="00AE6A98" w14:paraId="216456C8" w14:textId="77777777" w:rsidTr="00AE6A98">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76C31C63"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13</w:t>
            </w:r>
          </w:p>
        </w:tc>
        <w:tc>
          <w:tcPr>
            <w:tcW w:w="879" w:type="dxa"/>
            <w:tcBorders>
              <w:top w:val="nil"/>
              <w:left w:val="nil"/>
              <w:bottom w:val="single" w:sz="4" w:space="0" w:color="auto"/>
              <w:right w:val="single" w:sz="4" w:space="0" w:color="auto"/>
            </w:tcBorders>
            <w:shd w:val="clear" w:color="auto" w:fill="auto"/>
            <w:noWrap/>
            <w:vAlign w:val="center"/>
            <w:hideMark/>
          </w:tcPr>
          <w:p w14:paraId="3624F249"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900181508</w:t>
            </w:r>
          </w:p>
        </w:tc>
        <w:tc>
          <w:tcPr>
            <w:tcW w:w="4258" w:type="dxa"/>
            <w:tcBorders>
              <w:top w:val="nil"/>
              <w:left w:val="nil"/>
              <w:bottom w:val="single" w:sz="4" w:space="0" w:color="auto"/>
              <w:right w:val="single" w:sz="4" w:space="0" w:color="auto"/>
            </w:tcBorders>
            <w:shd w:val="clear" w:color="auto" w:fill="auto"/>
            <w:vAlign w:val="center"/>
            <w:hideMark/>
          </w:tcPr>
          <w:p w14:paraId="426F98C9"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BIOGAS DONA JUANA S.A.S  E.S.P.</w:t>
            </w:r>
          </w:p>
        </w:tc>
        <w:tc>
          <w:tcPr>
            <w:tcW w:w="1559" w:type="dxa"/>
            <w:tcBorders>
              <w:top w:val="nil"/>
              <w:left w:val="nil"/>
              <w:bottom w:val="single" w:sz="4" w:space="0" w:color="auto"/>
              <w:right w:val="single" w:sz="4" w:space="0" w:color="auto"/>
            </w:tcBorders>
            <w:shd w:val="clear" w:color="auto" w:fill="auto"/>
            <w:noWrap/>
            <w:vAlign w:val="center"/>
            <w:hideMark/>
          </w:tcPr>
          <w:p w14:paraId="4E452EAF" w14:textId="5084E255"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137</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616</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291 </w:t>
            </w:r>
          </w:p>
        </w:tc>
        <w:tc>
          <w:tcPr>
            <w:tcW w:w="1559" w:type="dxa"/>
            <w:tcBorders>
              <w:top w:val="nil"/>
              <w:left w:val="nil"/>
              <w:bottom w:val="single" w:sz="4" w:space="0" w:color="auto"/>
              <w:right w:val="single" w:sz="4" w:space="0" w:color="auto"/>
            </w:tcBorders>
            <w:shd w:val="clear" w:color="auto" w:fill="auto"/>
            <w:noWrap/>
            <w:vAlign w:val="center"/>
            <w:hideMark/>
          </w:tcPr>
          <w:p w14:paraId="4F1CDD58" w14:textId="68950B86"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1</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376</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163 </w:t>
            </w:r>
          </w:p>
        </w:tc>
      </w:tr>
      <w:tr w:rsidR="00AE6A98" w:rsidRPr="00AE6A98" w14:paraId="66BE221C" w14:textId="77777777" w:rsidTr="00AE6A98">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2161FA05"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14</w:t>
            </w:r>
          </w:p>
        </w:tc>
        <w:tc>
          <w:tcPr>
            <w:tcW w:w="879" w:type="dxa"/>
            <w:tcBorders>
              <w:top w:val="nil"/>
              <w:left w:val="nil"/>
              <w:bottom w:val="single" w:sz="4" w:space="0" w:color="auto"/>
              <w:right w:val="single" w:sz="4" w:space="0" w:color="auto"/>
            </w:tcBorders>
            <w:shd w:val="clear" w:color="auto" w:fill="auto"/>
            <w:noWrap/>
            <w:vAlign w:val="center"/>
            <w:hideMark/>
          </w:tcPr>
          <w:p w14:paraId="46C1509B"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901380949</w:t>
            </w:r>
          </w:p>
        </w:tc>
        <w:tc>
          <w:tcPr>
            <w:tcW w:w="4258" w:type="dxa"/>
            <w:tcBorders>
              <w:top w:val="nil"/>
              <w:left w:val="nil"/>
              <w:bottom w:val="single" w:sz="4" w:space="0" w:color="auto"/>
              <w:right w:val="single" w:sz="4" w:space="0" w:color="auto"/>
            </w:tcBorders>
            <w:shd w:val="clear" w:color="auto" w:fill="auto"/>
            <w:vAlign w:val="center"/>
            <w:hideMark/>
          </w:tcPr>
          <w:p w14:paraId="013E2C65"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CARIBEMAR DE LA COSTA S.A.S. E.S.P.</w:t>
            </w:r>
          </w:p>
        </w:tc>
        <w:tc>
          <w:tcPr>
            <w:tcW w:w="1559" w:type="dxa"/>
            <w:tcBorders>
              <w:top w:val="nil"/>
              <w:left w:val="nil"/>
              <w:bottom w:val="single" w:sz="4" w:space="0" w:color="auto"/>
              <w:right w:val="single" w:sz="4" w:space="0" w:color="auto"/>
            </w:tcBorders>
            <w:shd w:val="clear" w:color="auto" w:fill="auto"/>
            <w:noWrap/>
            <w:vAlign w:val="center"/>
            <w:hideMark/>
          </w:tcPr>
          <w:p w14:paraId="4939C940" w14:textId="2226A750"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9</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128</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527</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138 </w:t>
            </w:r>
          </w:p>
        </w:tc>
        <w:tc>
          <w:tcPr>
            <w:tcW w:w="1559" w:type="dxa"/>
            <w:tcBorders>
              <w:top w:val="nil"/>
              <w:left w:val="nil"/>
              <w:bottom w:val="single" w:sz="4" w:space="0" w:color="auto"/>
              <w:right w:val="single" w:sz="4" w:space="0" w:color="auto"/>
            </w:tcBorders>
            <w:shd w:val="clear" w:color="auto" w:fill="auto"/>
            <w:noWrap/>
            <w:vAlign w:val="center"/>
            <w:hideMark/>
          </w:tcPr>
          <w:p w14:paraId="48EA7CAF" w14:textId="516C5A3C"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91</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285</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271 </w:t>
            </w:r>
          </w:p>
        </w:tc>
      </w:tr>
      <w:tr w:rsidR="00AE6A98" w:rsidRPr="00AE6A98" w14:paraId="46E73F29" w14:textId="77777777" w:rsidTr="00AE6A98">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272F7287"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15</w:t>
            </w:r>
          </w:p>
        </w:tc>
        <w:tc>
          <w:tcPr>
            <w:tcW w:w="879" w:type="dxa"/>
            <w:tcBorders>
              <w:top w:val="nil"/>
              <w:left w:val="nil"/>
              <w:bottom w:val="single" w:sz="4" w:space="0" w:color="auto"/>
              <w:right w:val="single" w:sz="4" w:space="0" w:color="auto"/>
            </w:tcBorders>
            <w:shd w:val="clear" w:color="auto" w:fill="auto"/>
            <w:noWrap/>
            <w:vAlign w:val="center"/>
            <w:hideMark/>
          </w:tcPr>
          <w:p w14:paraId="62495D2A"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900185106</w:t>
            </w:r>
          </w:p>
        </w:tc>
        <w:tc>
          <w:tcPr>
            <w:tcW w:w="4258" w:type="dxa"/>
            <w:tcBorders>
              <w:top w:val="nil"/>
              <w:left w:val="nil"/>
              <w:bottom w:val="single" w:sz="4" w:space="0" w:color="auto"/>
              <w:right w:val="single" w:sz="4" w:space="0" w:color="auto"/>
            </w:tcBorders>
            <w:shd w:val="clear" w:color="auto" w:fill="auto"/>
            <w:vAlign w:val="center"/>
            <w:hideMark/>
          </w:tcPr>
          <w:p w14:paraId="3387EFF9" w14:textId="76D34E9B"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CARUQUIA S.A.S E.S.P</w:t>
            </w:r>
            <w:r w:rsidR="00EF50A4">
              <w:rPr>
                <w:rFonts w:ascii="Arial Narrow" w:hAnsi="Arial Narrow" w:cs="Calibri"/>
                <w:color w:val="000000"/>
                <w:spacing w:val="0"/>
                <w:sz w:val="18"/>
                <w:szCs w:val="18"/>
                <w:lang w:eastAsia="es-CO"/>
              </w:rPr>
              <w:t>.</w:t>
            </w:r>
          </w:p>
        </w:tc>
        <w:tc>
          <w:tcPr>
            <w:tcW w:w="1559" w:type="dxa"/>
            <w:tcBorders>
              <w:top w:val="nil"/>
              <w:left w:val="nil"/>
              <w:bottom w:val="single" w:sz="4" w:space="0" w:color="auto"/>
              <w:right w:val="single" w:sz="4" w:space="0" w:color="auto"/>
            </w:tcBorders>
            <w:shd w:val="clear" w:color="auto" w:fill="auto"/>
            <w:noWrap/>
            <w:vAlign w:val="center"/>
            <w:hideMark/>
          </w:tcPr>
          <w:p w14:paraId="010DE386" w14:textId="6779EF94"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231</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732</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137 </w:t>
            </w:r>
          </w:p>
        </w:tc>
        <w:tc>
          <w:tcPr>
            <w:tcW w:w="1559" w:type="dxa"/>
            <w:tcBorders>
              <w:top w:val="nil"/>
              <w:left w:val="nil"/>
              <w:bottom w:val="single" w:sz="4" w:space="0" w:color="auto"/>
              <w:right w:val="single" w:sz="4" w:space="0" w:color="auto"/>
            </w:tcBorders>
            <w:shd w:val="clear" w:color="auto" w:fill="auto"/>
            <w:noWrap/>
            <w:vAlign w:val="center"/>
            <w:hideMark/>
          </w:tcPr>
          <w:p w14:paraId="0CDE4AC6" w14:textId="7D14AC2A"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2</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317</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321 </w:t>
            </w:r>
          </w:p>
        </w:tc>
      </w:tr>
      <w:tr w:rsidR="00AE6A98" w:rsidRPr="00AE6A98" w14:paraId="5227194C" w14:textId="77777777" w:rsidTr="00AE6A98">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306ED3D6"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16</w:t>
            </w:r>
          </w:p>
        </w:tc>
        <w:tc>
          <w:tcPr>
            <w:tcW w:w="879" w:type="dxa"/>
            <w:tcBorders>
              <w:top w:val="nil"/>
              <w:left w:val="nil"/>
              <w:bottom w:val="single" w:sz="4" w:space="0" w:color="auto"/>
              <w:right w:val="single" w:sz="4" w:space="0" w:color="auto"/>
            </w:tcBorders>
            <w:shd w:val="clear" w:color="auto" w:fill="auto"/>
            <w:noWrap/>
            <w:vAlign w:val="center"/>
            <w:hideMark/>
          </w:tcPr>
          <w:p w14:paraId="26C182EC"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900746422</w:t>
            </w:r>
          </w:p>
        </w:tc>
        <w:tc>
          <w:tcPr>
            <w:tcW w:w="4258" w:type="dxa"/>
            <w:tcBorders>
              <w:top w:val="nil"/>
              <w:left w:val="nil"/>
              <w:bottom w:val="single" w:sz="4" w:space="0" w:color="auto"/>
              <w:right w:val="single" w:sz="4" w:space="0" w:color="auto"/>
            </w:tcBorders>
            <w:shd w:val="clear" w:color="auto" w:fill="auto"/>
            <w:vAlign w:val="center"/>
            <w:hideMark/>
          </w:tcPr>
          <w:p w14:paraId="68C86AD4"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CEMEX ENERGY SAS ESP</w:t>
            </w:r>
          </w:p>
        </w:tc>
        <w:tc>
          <w:tcPr>
            <w:tcW w:w="1559" w:type="dxa"/>
            <w:tcBorders>
              <w:top w:val="nil"/>
              <w:left w:val="nil"/>
              <w:bottom w:val="single" w:sz="4" w:space="0" w:color="auto"/>
              <w:right w:val="single" w:sz="4" w:space="0" w:color="auto"/>
            </w:tcBorders>
            <w:shd w:val="clear" w:color="auto" w:fill="auto"/>
            <w:noWrap/>
            <w:vAlign w:val="center"/>
            <w:hideMark/>
          </w:tcPr>
          <w:p w14:paraId="6BB731B6" w14:textId="4B80A754"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318</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434</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849 </w:t>
            </w:r>
          </w:p>
        </w:tc>
        <w:tc>
          <w:tcPr>
            <w:tcW w:w="1559" w:type="dxa"/>
            <w:tcBorders>
              <w:top w:val="nil"/>
              <w:left w:val="nil"/>
              <w:bottom w:val="single" w:sz="4" w:space="0" w:color="auto"/>
              <w:right w:val="single" w:sz="4" w:space="0" w:color="auto"/>
            </w:tcBorders>
            <w:shd w:val="clear" w:color="auto" w:fill="auto"/>
            <w:noWrap/>
            <w:vAlign w:val="center"/>
            <w:hideMark/>
          </w:tcPr>
          <w:p w14:paraId="6DFB0621" w14:textId="676F2BD3"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3</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184</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348 </w:t>
            </w:r>
          </w:p>
        </w:tc>
      </w:tr>
      <w:tr w:rsidR="00AE6A98" w:rsidRPr="00AE6A98" w14:paraId="4E3331BA" w14:textId="77777777" w:rsidTr="00AE6A98">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41025572"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17</w:t>
            </w:r>
          </w:p>
        </w:tc>
        <w:tc>
          <w:tcPr>
            <w:tcW w:w="879" w:type="dxa"/>
            <w:tcBorders>
              <w:top w:val="nil"/>
              <w:left w:val="nil"/>
              <w:bottom w:val="single" w:sz="4" w:space="0" w:color="auto"/>
              <w:right w:val="single" w:sz="4" w:space="0" w:color="auto"/>
            </w:tcBorders>
            <w:shd w:val="clear" w:color="auto" w:fill="auto"/>
            <w:noWrap/>
            <w:vAlign w:val="center"/>
            <w:hideMark/>
          </w:tcPr>
          <w:p w14:paraId="1194D248"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901094947</w:t>
            </w:r>
          </w:p>
        </w:tc>
        <w:tc>
          <w:tcPr>
            <w:tcW w:w="4258" w:type="dxa"/>
            <w:tcBorders>
              <w:top w:val="nil"/>
              <w:left w:val="nil"/>
              <w:bottom w:val="single" w:sz="4" w:space="0" w:color="auto"/>
              <w:right w:val="single" w:sz="4" w:space="0" w:color="auto"/>
            </w:tcBorders>
            <w:shd w:val="clear" w:color="auto" w:fill="auto"/>
            <w:vAlign w:val="center"/>
            <w:hideMark/>
          </w:tcPr>
          <w:p w14:paraId="1553BBCC"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CEN ENERGY S.A.S E.S.P</w:t>
            </w:r>
          </w:p>
        </w:tc>
        <w:tc>
          <w:tcPr>
            <w:tcW w:w="1559" w:type="dxa"/>
            <w:tcBorders>
              <w:top w:val="nil"/>
              <w:left w:val="nil"/>
              <w:bottom w:val="single" w:sz="4" w:space="0" w:color="auto"/>
              <w:right w:val="single" w:sz="4" w:space="0" w:color="auto"/>
            </w:tcBorders>
            <w:shd w:val="clear" w:color="auto" w:fill="auto"/>
            <w:noWrap/>
            <w:vAlign w:val="center"/>
            <w:hideMark/>
          </w:tcPr>
          <w:p w14:paraId="485837F5" w14:textId="67F0315B"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852</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271</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916 </w:t>
            </w:r>
          </w:p>
        </w:tc>
        <w:tc>
          <w:tcPr>
            <w:tcW w:w="1559" w:type="dxa"/>
            <w:tcBorders>
              <w:top w:val="nil"/>
              <w:left w:val="nil"/>
              <w:bottom w:val="single" w:sz="4" w:space="0" w:color="auto"/>
              <w:right w:val="single" w:sz="4" w:space="0" w:color="auto"/>
            </w:tcBorders>
            <w:shd w:val="clear" w:color="auto" w:fill="auto"/>
            <w:noWrap/>
            <w:vAlign w:val="center"/>
            <w:hideMark/>
          </w:tcPr>
          <w:p w14:paraId="7B678A57" w14:textId="027DDDF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8</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522</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719 </w:t>
            </w:r>
          </w:p>
        </w:tc>
      </w:tr>
      <w:tr w:rsidR="00AE6A98" w:rsidRPr="00AE6A98" w14:paraId="2529517A" w14:textId="77777777" w:rsidTr="00AE6A98">
        <w:trPr>
          <w:trHeight w:val="46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1D078BCE"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lastRenderedPageBreak/>
              <w:t>18</w:t>
            </w:r>
          </w:p>
        </w:tc>
        <w:tc>
          <w:tcPr>
            <w:tcW w:w="879" w:type="dxa"/>
            <w:tcBorders>
              <w:top w:val="nil"/>
              <w:left w:val="nil"/>
              <w:bottom w:val="single" w:sz="4" w:space="0" w:color="auto"/>
              <w:right w:val="single" w:sz="4" w:space="0" w:color="auto"/>
            </w:tcBorders>
            <w:shd w:val="clear" w:color="auto" w:fill="auto"/>
            <w:noWrap/>
            <w:vAlign w:val="center"/>
            <w:hideMark/>
          </w:tcPr>
          <w:p w14:paraId="458B3281"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900759883</w:t>
            </w:r>
          </w:p>
        </w:tc>
        <w:tc>
          <w:tcPr>
            <w:tcW w:w="4258" w:type="dxa"/>
            <w:tcBorders>
              <w:top w:val="nil"/>
              <w:left w:val="nil"/>
              <w:bottom w:val="single" w:sz="4" w:space="0" w:color="auto"/>
              <w:right w:val="single" w:sz="4" w:space="0" w:color="auto"/>
            </w:tcBorders>
            <w:shd w:val="clear" w:color="auto" w:fill="auto"/>
            <w:vAlign w:val="center"/>
            <w:hideMark/>
          </w:tcPr>
          <w:p w14:paraId="081D6272"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CENTRAL HIDROELÉCTRICA CONCORDIA SAS ESP </w:t>
            </w:r>
          </w:p>
        </w:tc>
        <w:tc>
          <w:tcPr>
            <w:tcW w:w="1559" w:type="dxa"/>
            <w:tcBorders>
              <w:top w:val="nil"/>
              <w:left w:val="nil"/>
              <w:bottom w:val="single" w:sz="4" w:space="0" w:color="auto"/>
              <w:right w:val="single" w:sz="4" w:space="0" w:color="auto"/>
            </w:tcBorders>
            <w:shd w:val="clear" w:color="auto" w:fill="auto"/>
            <w:noWrap/>
            <w:vAlign w:val="center"/>
            <w:hideMark/>
          </w:tcPr>
          <w:p w14:paraId="6A56723F" w14:textId="530EA6CE"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1</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902</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797</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036 </w:t>
            </w:r>
          </w:p>
        </w:tc>
        <w:tc>
          <w:tcPr>
            <w:tcW w:w="1559" w:type="dxa"/>
            <w:tcBorders>
              <w:top w:val="nil"/>
              <w:left w:val="nil"/>
              <w:bottom w:val="single" w:sz="4" w:space="0" w:color="auto"/>
              <w:right w:val="single" w:sz="4" w:space="0" w:color="auto"/>
            </w:tcBorders>
            <w:shd w:val="clear" w:color="auto" w:fill="auto"/>
            <w:noWrap/>
            <w:vAlign w:val="center"/>
            <w:hideMark/>
          </w:tcPr>
          <w:p w14:paraId="1169DBFE" w14:textId="26832AC5"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19</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027</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970 </w:t>
            </w:r>
          </w:p>
        </w:tc>
      </w:tr>
      <w:tr w:rsidR="00AE6A98" w:rsidRPr="00AE6A98" w14:paraId="31775A5F" w14:textId="77777777" w:rsidTr="00AE6A98">
        <w:trPr>
          <w:trHeight w:val="46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3D27839F"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19</w:t>
            </w:r>
          </w:p>
        </w:tc>
        <w:tc>
          <w:tcPr>
            <w:tcW w:w="879" w:type="dxa"/>
            <w:tcBorders>
              <w:top w:val="nil"/>
              <w:left w:val="nil"/>
              <w:bottom w:val="single" w:sz="4" w:space="0" w:color="auto"/>
              <w:right w:val="single" w:sz="4" w:space="0" w:color="auto"/>
            </w:tcBorders>
            <w:shd w:val="clear" w:color="auto" w:fill="auto"/>
            <w:noWrap/>
            <w:vAlign w:val="center"/>
            <w:hideMark/>
          </w:tcPr>
          <w:p w14:paraId="2FF13D7C"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890800128</w:t>
            </w:r>
          </w:p>
        </w:tc>
        <w:tc>
          <w:tcPr>
            <w:tcW w:w="4258" w:type="dxa"/>
            <w:tcBorders>
              <w:top w:val="nil"/>
              <w:left w:val="nil"/>
              <w:bottom w:val="single" w:sz="4" w:space="0" w:color="auto"/>
              <w:right w:val="single" w:sz="4" w:space="0" w:color="auto"/>
            </w:tcBorders>
            <w:shd w:val="clear" w:color="auto" w:fill="auto"/>
            <w:vAlign w:val="center"/>
            <w:hideMark/>
          </w:tcPr>
          <w:p w14:paraId="54D085E7"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CENTRAL HIDROELECTRICA DE CALDAS S.A. E.S.P.</w:t>
            </w:r>
          </w:p>
        </w:tc>
        <w:tc>
          <w:tcPr>
            <w:tcW w:w="1559" w:type="dxa"/>
            <w:tcBorders>
              <w:top w:val="nil"/>
              <w:left w:val="nil"/>
              <w:bottom w:val="single" w:sz="4" w:space="0" w:color="auto"/>
              <w:right w:val="single" w:sz="4" w:space="0" w:color="auto"/>
            </w:tcBorders>
            <w:shd w:val="clear" w:color="auto" w:fill="auto"/>
            <w:noWrap/>
            <w:vAlign w:val="center"/>
            <w:hideMark/>
          </w:tcPr>
          <w:p w14:paraId="5EADD02C" w14:textId="0F202BF6"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46</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188</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984</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039 </w:t>
            </w:r>
          </w:p>
        </w:tc>
        <w:tc>
          <w:tcPr>
            <w:tcW w:w="1559" w:type="dxa"/>
            <w:tcBorders>
              <w:top w:val="nil"/>
              <w:left w:val="nil"/>
              <w:bottom w:val="single" w:sz="4" w:space="0" w:color="auto"/>
              <w:right w:val="single" w:sz="4" w:space="0" w:color="auto"/>
            </w:tcBorders>
            <w:shd w:val="clear" w:color="auto" w:fill="auto"/>
            <w:noWrap/>
            <w:vAlign w:val="center"/>
            <w:hideMark/>
          </w:tcPr>
          <w:p w14:paraId="4D181F58" w14:textId="1241FF1E"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461</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889</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840 </w:t>
            </w:r>
          </w:p>
        </w:tc>
      </w:tr>
      <w:tr w:rsidR="00AE6A98" w:rsidRPr="00AE6A98" w14:paraId="5018946B" w14:textId="77777777" w:rsidTr="00AE6A98">
        <w:trPr>
          <w:trHeight w:val="46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4AD2BB76"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20</w:t>
            </w:r>
          </w:p>
        </w:tc>
        <w:tc>
          <w:tcPr>
            <w:tcW w:w="879" w:type="dxa"/>
            <w:tcBorders>
              <w:top w:val="nil"/>
              <w:left w:val="nil"/>
              <w:bottom w:val="single" w:sz="4" w:space="0" w:color="auto"/>
              <w:right w:val="single" w:sz="4" w:space="0" w:color="auto"/>
            </w:tcBorders>
            <w:shd w:val="clear" w:color="auto" w:fill="auto"/>
            <w:noWrap/>
            <w:vAlign w:val="center"/>
            <w:hideMark/>
          </w:tcPr>
          <w:p w14:paraId="116E8C9D"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900448956</w:t>
            </w:r>
          </w:p>
        </w:tc>
        <w:tc>
          <w:tcPr>
            <w:tcW w:w="4258" w:type="dxa"/>
            <w:tcBorders>
              <w:top w:val="nil"/>
              <w:left w:val="nil"/>
              <w:bottom w:val="single" w:sz="4" w:space="0" w:color="auto"/>
              <w:right w:val="single" w:sz="4" w:space="0" w:color="auto"/>
            </w:tcBorders>
            <w:shd w:val="clear" w:color="auto" w:fill="auto"/>
            <w:vAlign w:val="center"/>
            <w:hideMark/>
          </w:tcPr>
          <w:p w14:paraId="59152858"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CENTRAL HIDROELÉCTRICA EL EDÉN S.A.S. E.S.P</w:t>
            </w:r>
          </w:p>
        </w:tc>
        <w:tc>
          <w:tcPr>
            <w:tcW w:w="1559" w:type="dxa"/>
            <w:tcBorders>
              <w:top w:val="nil"/>
              <w:left w:val="nil"/>
              <w:bottom w:val="single" w:sz="4" w:space="0" w:color="auto"/>
              <w:right w:val="single" w:sz="4" w:space="0" w:color="auto"/>
            </w:tcBorders>
            <w:shd w:val="clear" w:color="auto" w:fill="auto"/>
            <w:noWrap/>
            <w:vAlign w:val="center"/>
            <w:hideMark/>
          </w:tcPr>
          <w:p w14:paraId="1BB9927C" w14:textId="7B2CAB5B"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143</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323</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922 </w:t>
            </w:r>
          </w:p>
        </w:tc>
        <w:tc>
          <w:tcPr>
            <w:tcW w:w="1559" w:type="dxa"/>
            <w:tcBorders>
              <w:top w:val="nil"/>
              <w:left w:val="nil"/>
              <w:bottom w:val="single" w:sz="4" w:space="0" w:color="auto"/>
              <w:right w:val="single" w:sz="4" w:space="0" w:color="auto"/>
            </w:tcBorders>
            <w:shd w:val="clear" w:color="auto" w:fill="auto"/>
            <w:noWrap/>
            <w:vAlign w:val="center"/>
            <w:hideMark/>
          </w:tcPr>
          <w:p w14:paraId="393562B5" w14:textId="526C9503"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1</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433</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239 </w:t>
            </w:r>
          </w:p>
        </w:tc>
      </w:tr>
      <w:tr w:rsidR="00AE6A98" w:rsidRPr="00AE6A98" w14:paraId="0E0133CB" w14:textId="77777777" w:rsidTr="00AE6A98">
        <w:trPr>
          <w:trHeight w:val="46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5A029E77"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21</w:t>
            </w:r>
          </w:p>
        </w:tc>
        <w:tc>
          <w:tcPr>
            <w:tcW w:w="879" w:type="dxa"/>
            <w:tcBorders>
              <w:top w:val="nil"/>
              <w:left w:val="nil"/>
              <w:bottom w:val="single" w:sz="4" w:space="0" w:color="auto"/>
              <w:right w:val="single" w:sz="4" w:space="0" w:color="auto"/>
            </w:tcBorders>
            <w:shd w:val="clear" w:color="auto" w:fill="auto"/>
            <w:noWrap/>
            <w:vAlign w:val="center"/>
            <w:hideMark/>
          </w:tcPr>
          <w:p w14:paraId="31863404"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900038232</w:t>
            </w:r>
          </w:p>
        </w:tc>
        <w:tc>
          <w:tcPr>
            <w:tcW w:w="4258" w:type="dxa"/>
            <w:tcBorders>
              <w:top w:val="nil"/>
              <w:left w:val="nil"/>
              <w:bottom w:val="single" w:sz="4" w:space="0" w:color="auto"/>
              <w:right w:val="single" w:sz="4" w:space="0" w:color="auto"/>
            </w:tcBorders>
            <w:shd w:val="clear" w:color="auto" w:fill="auto"/>
            <w:vAlign w:val="center"/>
            <w:hideMark/>
          </w:tcPr>
          <w:p w14:paraId="04864FCE"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CENTRAL TERMOELECTRICA EL MORRO 2 SAS ESP</w:t>
            </w:r>
          </w:p>
        </w:tc>
        <w:tc>
          <w:tcPr>
            <w:tcW w:w="1559" w:type="dxa"/>
            <w:tcBorders>
              <w:top w:val="nil"/>
              <w:left w:val="nil"/>
              <w:bottom w:val="single" w:sz="4" w:space="0" w:color="auto"/>
              <w:right w:val="single" w:sz="4" w:space="0" w:color="auto"/>
            </w:tcBorders>
            <w:shd w:val="clear" w:color="auto" w:fill="auto"/>
            <w:noWrap/>
            <w:vAlign w:val="center"/>
            <w:hideMark/>
          </w:tcPr>
          <w:p w14:paraId="2FB036DA" w14:textId="39058910"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2</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320</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564</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712 </w:t>
            </w:r>
          </w:p>
        </w:tc>
        <w:tc>
          <w:tcPr>
            <w:tcW w:w="1559" w:type="dxa"/>
            <w:tcBorders>
              <w:top w:val="nil"/>
              <w:left w:val="nil"/>
              <w:bottom w:val="single" w:sz="4" w:space="0" w:color="auto"/>
              <w:right w:val="single" w:sz="4" w:space="0" w:color="auto"/>
            </w:tcBorders>
            <w:shd w:val="clear" w:color="auto" w:fill="auto"/>
            <w:noWrap/>
            <w:vAlign w:val="center"/>
            <w:hideMark/>
          </w:tcPr>
          <w:p w14:paraId="163518B2" w14:textId="553558A1"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23</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205</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647 </w:t>
            </w:r>
          </w:p>
        </w:tc>
      </w:tr>
      <w:tr w:rsidR="00AE6A98" w:rsidRPr="00AE6A98" w14:paraId="11289CC2" w14:textId="77777777" w:rsidTr="00AE6A98">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5F2C9F07"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22</w:t>
            </w:r>
          </w:p>
        </w:tc>
        <w:tc>
          <w:tcPr>
            <w:tcW w:w="879" w:type="dxa"/>
            <w:tcBorders>
              <w:top w:val="nil"/>
              <w:left w:val="nil"/>
              <w:bottom w:val="single" w:sz="4" w:space="0" w:color="auto"/>
              <w:right w:val="single" w:sz="4" w:space="0" w:color="auto"/>
            </w:tcBorders>
            <w:shd w:val="clear" w:color="auto" w:fill="auto"/>
            <w:noWrap/>
            <w:vAlign w:val="center"/>
            <w:hideMark/>
          </w:tcPr>
          <w:p w14:paraId="4DDDB6CB"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891200200</w:t>
            </w:r>
          </w:p>
        </w:tc>
        <w:tc>
          <w:tcPr>
            <w:tcW w:w="4258" w:type="dxa"/>
            <w:tcBorders>
              <w:top w:val="nil"/>
              <w:left w:val="nil"/>
              <w:bottom w:val="single" w:sz="4" w:space="0" w:color="auto"/>
              <w:right w:val="single" w:sz="4" w:space="0" w:color="auto"/>
            </w:tcBorders>
            <w:shd w:val="clear" w:color="auto" w:fill="auto"/>
            <w:vAlign w:val="center"/>
            <w:hideMark/>
          </w:tcPr>
          <w:p w14:paraId="4DBA6F20"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CENTRALES ELECTRICAS DE NARIÑO S.A. E.S.P.</w:t>
            </w:r>
          </w:p>
        </w:tc>
        <w:tc>
          <w:tcPr>
            <w:tcW w:w="1559" w:type="dxa"/>
            <w:tcBorders>
              <w:top w:val="nil"/>
              <w:left w:val="nil"/>
              <w:bottom w:val="single" w:sz="4" w:space="0" w:color="auto"/>
              <w:right w:val="single" w:sz="4" w:space="0" w:color="auto"/>
            </w:tcBorders>
            <w:shd w:val="clear" w:color="auto" w:fill="auto"/>
            <w:noWrap/>
            <w:vAlign w:val="center"/>
            <w:hideMark/>
          </w:tcPr>
          <w:p w14:paraId="0445EF40" w14:textId="0FF908F0"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20</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680</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667</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227 </w:t>
            </w:r>
          </w:p>
        </w:tc>
        <w:tc>
          <w:tcPr>
            <w:tcW w:w="1559" w:type="dxa"/>
            <w:tcBorders>
              <w:top w:val="nil"/>
              <w:left w:val="nil"/>
              <w:bottom w:val="single" w:sz="4" w:space="0" w:color="auto"/>
              <w:right w:val="single" w:sz="4" w:space="0" w:color="auto"/>
            </w:tcBorders>
            <w:shd w:val="clear" w:color="auto" w:fill="auto"/>
            <w:noWrap/>
            <w:vAlign w:val="center"/>
            <w:hideMark/>
          </w:tcPr>
          <w:p w14:paraId="09F82ED0" w14:textId="5F2982D6"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206</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806</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672 </w:t>
            </w:r>
          </w:p>
        </w:tc>
      </w:tr>
      <w:tr w:rsidR="00AE6A98" w:rsidRPr="00AE6A98" w14:paraId="3D6D0622" w14:textId="77777777" w:rsidTr="00AE6A98">
        <w:trPr>
          <w:trHeight w:val="46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5E1284FC"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23</w:t>
            </w:r>
          </w:p>
        </w:tc>
        <w:tc>
          <w:tcPr>
            <w:tcW w:w="879" w:type="dxa"/>
            <w:tcBorders>
              <w:top w:val="nil"/>
              <w:left w:val="nil"/>
              <w:bottom w:val="single" w:sz="4" w:space="0" w:color="auto"/>
              <w:right w:val="single" w:sz="4" w:space="0" w:color="auto"/>
            </w:tcBorders>
            <w:shd w:val="clear" w:color="auto" w:fill="auto"/>
            <w:noWrap/>
            <w:vAlign w:val="center"/>
            <w:hideMark/>
          </w:tcPr>
          <w:p w14:paraId="07848E78"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890500514</w:t>
            </w:r>
          </w:p>
        </w:tc>
        <w:tc>
          <w:tcPr>
            <w:tcW w:w="4258" w:type="dxa"/>
            <w:tcBorders>
              <w:top w:val="nil"/>
              <w:left w:val="nil"/>
              <w:bottom w:val="single" w:sz="4" w:space="0" w:color="auto"/>
              <w:right w:val="single" w:sz="4" w:space="0" w:color="auto"/>
            </w:tcBorders>
            <w:shd w:val="clear" w:color="auto" w:fill="auto"/>
            <w:vAlign w:val="center"/>
            <w:hideMark/>
          </w:tcPr>
          <w:p w14:paraId="035A39AF"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CENTRALES ELECTRICAS DEL NORTE DE SANTANDER S.A. ESP</w:t>
            </w:r>
          </w:p>
        </w:tc>
        <w:tc>
          <w:tcPr>
            <w:tcW w:w="1559" w:type="dxa"/>
            <w:tcBorders>
              <w:top w:val="nil"/>
              <w:left w:val="nil"/>
              <w:bottom w:val="single" w:sz="4" w:space="0" w:color="auto"/>
              <w:right w:val="single" w:sz="4" w:space="0" w:color="auto"/>
            </w:tcBorders>
            <w:shd w:val="clear" w:color="auto" w:fill="auto"/>
            <w:noWrap/>
            <w:vAlign w:val="center"/>
            <w:hideMark/>
          </w:tcPr>
          <w:p w14:paraId="3763A8DF" w14:textId="087163B9"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48</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670</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173</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231 </w:t>
            </w:r>
          </w:p>
        </w:tc>
        <w:tc>
          <w:tcPr>
            <w:tcW w:w="1559" w:type="dxa"/>
            <w:tcBorders>
              <w:top w:val="nil"/>
              <w:left w:val="nil"/>
              <w:bottom w:val="single" w:sz="4" w:space="0" w:color="auto"/>
              <w:right w:val="single" w:sz="4" w:space="0" w:color="auto"/>
            </w:tcBorders>
            <w:shd w:val="clear" w:color="auto" w:fill="auto"/>
            <w:noWrap/>
            <w:vAlign w:val="center"/>
            <w:hideMark/>
          </w:tcPr>
          <w:p w14:paraId="055232A1" w14:textId="4823945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486</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701</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732 </w:t>
            </w:r>
          </w:p>
        </w:tc>
      </w:tr>
      <w:tr w:rsidR="00AE6A98" w:rsidRPr="00AE6A98" w14:paraId="66F95633" w14:textId="77777777" w:rsidTr="00AE6A98">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1A91104F"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24</w:t>
            </w:r>
          </w:p>
        </w:tc>
        <w:tc>
          <w:tcPr>
            <w:tcW w:w="879" w:type="dxa"/>
            <w:tcBorders>
              <w:top w:val="nil"/>
              <w:left w:val="nil"/>
              <w:bottom w:val="single" w:sz="4" w:space="0" w:color="auto"/>
              <w:right w:val="single" w:sz="4" w:space="0" w:color="auto"/>
            </w:tcBorders>
            <w:shd w:val="clear" w:color="auto" w:fill="auto"/>
            <w:noWrap/>
            <w:vAlign w:val="center"/>
            <w:hideMark/>
          </w:tcPr>
          <w:p w14:paraId="4A2B64E4"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900460429</w:t>
            </w:r>
          </w:p>
        </w:tc>
        <w:tc>
          <w:tcPr>
            <w:tcW w:w="4258" w:type="dxa"/>
            <w:tcBorders>
              <w:top w:val="nil"/>
              <w:left w:val="nil"/>
              <w:bottom w:val="single" w:sz="4" w:space="0" w:color="auto"/>
              <w:right w:val="single" w:sz="4" w:space="0" w:color="auto"/>
            </w:tcBorders>
            <w:shd w:val="clear" w:color="auto" w:fill="auto"/>
            <w:vAlign w:val="center"/>
            <w:hideMark/>
          </w:tcPr>
          <w:p w14:paraId="7DCA4F86"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CH SAN MIGUEL SAS ESP</w:t>
            </w:r>
          </w:p>
        </w:tc>
        <w:tc>
          <w:tcPr>
            <w:tcW w:w="1559" w:type="dxa"/>
            <w:tcBorders>
              <w:top w:val="nil"/>
              <w:left w:val="nil"/>
              <w:bottom w:val="single" w:sz="4" w:space="0" w:color="auto"/>
              <w:right w:val="single" w:sz="4" w:space="0" w:color="auto"/>
            </w:tcBorders>
            <w:shd w:val="clear" w:color="auto" w:fill="auto"/>
            <w:noWrap/>
            <w:vAlign w:val="center"/>
            <w:hideMark/>
          </w:tcPr>
          <w:p w14:paraId="5559B992" w14:textId="4CFB3755"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1</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506</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526</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207 </w:t>
            </w:r>
          </w:p>
        </w:tc>
        <w:tc>
          <w:tcPr>
            <w:tcW w:w="1559" w:type="dxa"/>
            <w:tcBorders>
              <w:top w:val="nil"/>
              <w:left w:val="nil"/>
              <w:bottom w:val="single" w:sz="4" w:space="0" w:color="auto"/>
              <w:right w:val="single" w:sz="4" w:space="0" w:color="auto"/>
            </w:tcBorders>
            <w:shd w:val="clear" w:color="auto" w:fill="auto"/>
            <w:noWrap/>
            <w:vAlign w:val="center"/>
            <w:hideMark/>
          </w:tcPr>
          <w:p w14:paraId="6E30F379" w14:textId="4E94B156"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15</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065</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262 </w:t>
            </w:r>
          </w:p>
        </w:tc>
      </w:tr>
      <w:tr w:rsidR="00AE6A98" w:rsidRPr="00AE6A98" w14:paraId="1B373BFD" w14:textId="77777777" w:rsidTr="00AE6A98">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066CDC71"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25</w:t>
            </w:r>
          </w:p>
        </w:tc>
        <w:tc>
          <w:tcPr>
            <w:tcW w:w="879" w:type="dxa"/>
            <w:tcBorders>
              <w:top w:val="nil"/>
              <w:left w:val="nil"/>
              <w:bottom w:val="single" w:sz="4" w:space="0" w:color="auto"/>
              <w:right w:val="single" w:sz="4" w:space="0" w:color="auto"/>
            </w:tcBorders>
            <w:shd w:val="clear" w:color="auto" w:fill="auto"/>
            <w:noWrap/>
            <w:vAlign w:val="center"/>
            <w:hideMark/>
          </w:tcPr>
          <w:p w14:paraId="19517C79"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830037248</w:t>
            </w:r>
          </w:p>
        </w:tc>
        <w:tc>
          <w:tcPr>
            <w:tcW w:w="4258" w:type="dxa"/>
            <w:tcBorders>
              <w:top w:val="nil"/>
              <w:left w:val="nil"/>
              <w:bottom w:val="single" w:sz="4" w:space="0" w:color="auto"/>
              <w:right w:val="single" w:sz="4" w:space="0" w:color="auto"/>
            </w:tcBorders>
            <w:shd w:val="clear" w:color="auto" w:fill="auto"/>
            <w:vAlign w:val="center"/>
            <w:hideMark/>
          </w:tcPr>
          <w:p w14:paraId="6620E1E1"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CODENSA S.A. ESP</w:t>
            </w:r>
          </w:p>
        </w:tc>
        <w:tc>
          <w:tcPr>
            <w:tcW w:w="1559" w:type="dxa"/>
            <w:tcBorders>
              <w:top w:val="nil"/>
              <w:left w:val="nil"/>
              <w:bottom w:val="single" w:sz="4" w:space="0" w:color="auto"/>
              <w:right w:val="single" w:sz="4" w:space="0" w:color="auto"/>
            </w:tcBorders>
            <w:shd w:val="clear" w:color="auto" w:fill="auto"/>
            <w:noWrap/>
            <w:vAlign w:val="center"/>
            <w:hideMark/>
          </w:tcPr>
          <w:p w14:paraId="16867039" w14:textId="4067734F"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123</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721</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523</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844 </w:t>
            </w:r>
          </w:p>
        </w:tc>
        <w:tc>
          <w:tcPr>
            <w:tcW w:w="1559" w:type="dxa"/>
            <w:tcBorders>
              <w:top w:val="nil"/>
              <w:left w:val="nil"/>
              <w:bottom w:val="single" w:sz="4" w:space="0" w:color="auto"/>
              <w:right w:val="single" w:sz="4" w:space="0" w:color="auto"/>
            </w:tcBorders>
            <w:shd w:val="clear" w:color="auto" w:fill="auto"/>
            <w:noWrap/>
            <w:vAlign w:val="center"/>
            <w:hideMark/>
          </w:tcPr>
          <w:p w14:paraId="3E8BFB5F" w14:textId="66F4E9FC"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1</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237</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215</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238 </w:t>
            </w:r>
          </w:p>
        </w:tc>
      </w:tr>
      <w:tr w:rsidR="00AE6A98" w:rsidRPr="00AE6A98" w14:paraId="63321ABA" w14:textId="77777777" w:rsidTr="00AE6A98">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31050F89"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26</w:t>
            </w:r>
          </w:p>
        </w:tc>
        <w:tc>
          <w:tcPr>
            <w:tcW w:w="879" w:type="dxa"/>
            <w:tcBorders>
              <w:top w:val="nil"/>
              <w:left w:val="nil"/>
              <w:bottom w:val="single" w:sz="4" w:space="0" w:color="auto"/>
              <w:right w:val="single" w:sz="4" w:space="0" w:color="auto"/>
            </w:tcBorders>
            <w:shd w:val="clear" w:color="auto" w:fill="auto"/>
            <w:noWrap/>
            <w:vAlign w:val="center"/>
            <w:hideMark/>
          </w:tcPr>
          <w:p w14:paraId="2A31BE35"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900076284</w:t>
            </w:r>
          </w:p>
        </w:tc>
        <w:tc>
          <w:tcPr>
            <w:tcW w:w="4258" w:type="dxa"/>
            <w:tcBorders>
              <w:top w:val="nil"/>
              <w:left w:val="nil"/>
              <w:bottom w:val="single" w:sz="4" w:space="0" w:color="auto"/>
              <w:right w:val="single" w:sz="4" w:space="0" w:color="auto"/>
            </w:tcBorders>
            <w:shd w:val="clear" w:color="auto" w:fill="auto"/>
            <w:vAlign w:val="center"/>
            <w:hideMark/>
          </w:tcPr>
          <w:p w14:paraId="515ABD03"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COENERSA S.A.S E.S.P.</w:t>
            </w:r>
          </w:p>
        </w:tc>
        <w:tc>
          <w:tcPr>
            <w:tcW w:w="1559" w:type="dxa"/>
            <w:tcBorders>
              <w:top w:val="nil"/>
              <w:left w:val="nil"/>
              <w:bottom w:val="single" w:sz="4" w:space="0" w:color="auto"/>
              <w:right w:val="single" w:sz="4" w:space="0" w:color="auto"/>
            </w:tcBorders>
            <w:shd w:val="clear" w:color="auto" w:fill="auto"/>
            <w:noWrap/>
            <w:vAlign w:val="center"/>
            <w:hideMark/>
          </w:tcPr>
          <w:p w14:paraId="2111FA0D" w14:textId="6B2A34B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159</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287</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404 </w:t>
            </w:r>
          </w:p>
        </w:tc>
        <w:tc>
          <w:tcPr>
            <w:tcW w:w="1559" w:type="dxa"/>
            <w:tcBorders>
              <w:top w:val="nil"/>
              <w:left w:val="nil"/>
              <w:bottom w:val="single" w:sz="4" w:space="0" w:color="auto"/>
              <w:right w:val="single" w:sz="4" w:space="0" w:color="auto"/>
            </w:tcBorders>
            <w:shd w:val="clear" w:color="auto" w:fill="auto"/>
            <w:noWrap/>
            <w:vAlign w:val="center"/>
            <w:hideMark/>
          </w:tcPr>
          <w:p w14:paraId="49B29605" w14:textId="581FD54B"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1</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592</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874 </w:t>
            </w:r>
          </w:p>
        </w:tc>
      </w:tr>
      <w:tr w:rsidR="00AE6A98" w:rsidRPr="00AE6A98" w14:paraId="6F8A9DFB" w14:textId="77777777" w:rsidTr="00AE6A98">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14383467"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27</w:t>
            </w:r>
          </w:p>
        </w:tc>
        <w:tc>
          <w:tcPr>
            <w:tcW w:w="879" w:type="dxa"/>
            <w:tcBorders>
              <w:top w:val="nil"/>
              <w:left w:val="nil"/>
              <w:bottom w:val="single" w:sz="4" w:space="0" w:color="auto"/>
              <w:right w:val="single" w:sz="4" w:space="0" w:color="auto"/>
            </w:tcBorders>
            <w:shd w:val="clear" w:color="auto" w:fill="auto"/>
            <w:noWrap/>
            <w:vAlign w:val="center"/>
            <w:hideMark/>
          </w:tcPr>
          <w:p w14:paraId="4B3F1D4C"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900282813</w:t>
            </w:r>
          </w:p>
        </w:tc>
        <w:tc>
          <w:tcPr>
            <w:tcW w:w="4258" w:type="dxa"/>
            <w:tcBorders>
              <w:top w:val="nil"/>
              <w:left w:val="nil"/>
              <w:bottom w:val="single" w:sz="4" w:space="0" w:color="auto"/>
              <w:right w:val="single" w:sz="4" w:space="0" w:color="auto"/>
            </w:tcBorders>
            <w:shd w:val="clear" w:color="auto" w:fill="auto"/>
            <w:vAlign w:val="center"/>
            <w:hideMark/>
          </w:tcPr>
          <w:p w14:paraId="4F53CA32"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COLENERGIA S.A.  ESP</w:t>
            </w:r>
          </w:p>
        </w:tc>
        <w:tc>
          <w:tcPr>
            <w:tcW w:w="1559" w:type="dxa"/>
            <w:tcBorders>
              <w:top w:val="nil"/>
              <w:left w:val="nil"/>
              <w:bottom w:val="single" w:sz="4" w:space="0" w:color="auto"/>
              <w:right w:val="single" w:sz="4" w:space="0" w:color="auto"/>
            </w:tcBorders>
            <w:shd w:val="clear" w:color="auto" w:fill="auto"/>
            <w:noWrap/>
            <w:vAlign w:val="center"/>
            <w:hideMark/>
          </w:tcPr>
          <w:p w14:paraId="5C80B4FB" w14:textId="48C9F586"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372</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995</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663 </w:t>
            </w:r>
          </w:p>
        </w:tc>
        <w:tc>
          <w:tcPr>
            <w:tcW w:w="1559" w:type="dxa"/>
            <w:tcBorders>
              <w:top w:val="nil"/>
              <w:left w:val="nil"/>
              <w:bottom w:val="single" w:sz="4" w:space="0" w:color="auto"/>
              <w:right w:val="single" w:sz="4" w:space="0" w:color="auto"/>
            </w:tcBorders>
            <w:shd w:val="clear" w:color="auto" w:fill="auto"/>
            <w:noWrap/>
            <w:vAlign w:val="center"/>
            <w:hideMark/>
          </w:tcPr>
          <w:p w14:paraId="50ABF2B3" w14:textId="1C8DFF60"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3</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729</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957 </w:t>
            </w:r>
          </w:p>
        </w:tc>
      </w:tr>
      <w:tr w:rsidR="00AE6A98" w:rsidRPr="00AE6A98" w14:paraId="279A4A1F" w14:textId="77777777" w:rsidTr="00AE6A98">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33DBA809"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28</w:t>
            </w:r>
          </w:p>
        </w:tc>
        <w:tc>
          <w:tcPr>
            <w:tcW w:w="879" w:type="dxa"/>
            <w:tcBorders>
              <w:top w:val="nil"/>
              <w:left w:val="nil"/>
              <w:bottom w:val="single" w:sz="4" w:space="0" w:color="auto"/>
              <w:right w:val="single" w:sz="4" w:space="0" w:color="auto"/>
            </w:tcBorders>
            <w:shd w:val="clear" w:color="auto" w:fill="auto"/>
            <w:noWrap/>
            <w:vAlign w:val="center"/>
            <w:hideMark/>
          </w:tcPr>
          <w:p w14:paraId="0CCA32DF"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830147341</w:t>
            </w:r>
          </w:p>
        </w:tc>
        <w:tc>
          <w:tcPr>
            <w:tcW w:w="4258" w:type="dxa"/>
            <w:tcBorders>
              <w:top w:val="nil"/>
              <w:left w:val="nil"/>
              <w:bottom w:val="single" w:sz="4" w:space="0" w:color="auto"/>
              <w:right w:val="single" w:sz="4" w:space="0" w:color="auto"/>
            </w:tcBorders>
            <w:shd w:val="clear" w:color="auto" w:fill="auto"/>
            <w:vAlign w:val="center"/>
            <w:hideMark/>
          </w:tcPr>
          <w:p w14:paraId="440E4112"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COMERCIALIZADORA DEL CAFE S.A.S. E.S.P.</w:t>
            </w:r>
          </w:p>
        </w:tc>
        <w:tc>
          <w:tcPr>
            <w:tcW w:w="1559" w:type="dxa"/>
            <w:tcBorders>
              <w:top w:val="nil"/>
              <w:left w:val="nil"/>
              <w:bottom w:val="single" w:sz="4" w:space="0" w:color="auto"/>
              <w:right w:val="single" w:sz="4" w:space="0" w:color="auto"/>
            </w:tcBorders>
            <w:shd w:val="clear" w:color="auto" w:fill="auto"/>
            <w:noWrap/>
            <w:vAlign w:val="center"/>
            <w:hideMark/>
          </w:tcPr>
          <w:p w14:paraId="71E321E2" w14:textId="03ECCA03"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62</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441</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316 </w:t>
            </w:r>
          </w:p>
        </w:tc>
        <w:tc>
          <w:tcPr>
            <w:tcW w:w="1559" w:type="dxa"/>
            <w:tcBorders>
              <w:top w:val="nil"/>
              <w:left w:val="nil"/>
              <w:bottom w:val="single" w:sz="4" w:space="0" w:color="auto"/>
              <w:right w:val="single" w:sz="4" w:space="0" w:color="auto"/>
            </w:tcBorders>
            <w:shd w:val="clear" w:color="auto" w:fill="auto"/>
            <w:noWrap/>
            <w:vAlign w:val="center"/>
            <w:hideMark/>
          </w:tcPr>
          <w:p w14:paraId="3197CCD8" w14:textId="7EF5F035"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624</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413 </w:t>
            </w:r>
          </w:p>
        </w:tc>
      </w:tr>
      <w:tr w:rsidR="00AE6A98" w:rsidRPr="00AE6A98" w14:paraId="4C6A5EF4" w14:textId="77777777" w:rsidTr="00AE6A98">
        <w:trPr>
          <w:trHeight w:val="46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651A3DF5"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29</w:t>
            </w:r>
          </w:p>
        </w:tc>
        <w:tc>
          <w:tcPr>
            <w:tcW w:w="879" w:type="dxa"/>
            <w:tcBorders>
              <w:top w:val="nil"/>
              <w:left w:val="nil"/>
              <w:bottom w:val="single" w:sz="4" w:space="0" w:color="auto"/>
              <w:right w:val="single" w:sz="4" w:space="0" w:color="auto"/>
            </w:tcBorders>
            <w:shd w:val="clear" w:color="auto" w:fill="auto"/>
            <w:noWrap/>
            <w:vAlign w:val="center"/>
            <w:hideMark/>
          </w:tcPr>
          <w:p w14:paraId="3AC7D0C6"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891900101</w:t>
            </w:r>
          </w:p>
        </w:tc>
        <w:tc>
          <w:tcPr>
            <w:tcW w:w="4258" w:type="dxa"/>
            <w:tcBorders>
              <w:top w:val="nil"/>
              <w:left w:val="nil"/>
              <w:bottom w:val="single" w:sz="4" w:space="0" w:color="auto"/>
              <w:right w:val="single" w:sz="4" w:space="0" w:color="auto"/>
            </w:tcBorders>
            <w:shd w:val="clear" w:color="auto" w:fill="auto"/>
            <w:vAlign w:val="center"/>
            <w:hideMark/>
          </w:tcPr>
          <w:p w14:paraId="1EA0FD92"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COMPAÑÍA DE ELECTRICIDAD DE TULUÁ S.A. E.S.P.</w:t>
            </w:r>
          </w:p>
        </w:tc>
        <w:tc>
          <w:tcPr>
            <w:tcW w:w="1559" w:type="dxa"/>
            <w:tcBorders>
              <w:top w:val="nil"/>
              <w:left w:val="nil"/>
              <w:bottom w:val="single" w:sz="4" w:space="0" w:color="auto"/>
              <w:right w:val="single" w:sz="4" w:space="0" w:color="auto"/>
            </w:tcBorders>
            <w:shd w:val="clear" w:color="auto" w:fill="auto"/>
            <w:noWrap/>
            <w:vAlign w:val="center"/>
            <w:hideMark/>
          </w:tcPr>
          <w:p w14:paraId="212C8203" w14:textId="075C9536"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2</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629</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794</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092 </w:t>
            </w:r>
          </w:p>
        </w:tc>
        <w:tc>
          <w:tcPr>
            <w:tcW w:w="1559" w:type="dxa"/>
            <w:tcBorders>
              <w:top w:val="nil"/>
              <w:left w:val="nil"/>
              <w:bottom w:val="single" w:sz="4" w:space="0" w:color="auto"/>
              <w:right w:val="single" w:sz="4" w:space="0" w:color="auto"/>
            </w:tcBorders>
            <w:shd w:val="clear" w:color="auto" w:fill="auto"/>
            <w:noWrap/>
            <w:vAlign w:val="center"/>
            <w:hideMark/>
          </w:tcPr>
          <w:p w14:paraId="43847ADE" w14:textId="420F5342"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26</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297</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941 </w:t>
            </w:r>
          </w:p>
        </w:tc>
      </w:tr>
      <w:tr w:rsidR="00AE6A98" w:rsidRPr="00AE6A98" w14:paraId="0623C418" w14:textId="77777777" w:rsidTr="00AE6A98">
        <w:trPr>
          <w:trHeight w:val="46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27C99B59"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30</w:t>
            </w:r>
          </w:p>
        </w:tc>
        <w:tc>
          <w:tcPr>
            <w:tcW w:w="879" w:type="dxa"/>
            <w:tcBorders>
              <w:top w:val="nil"/>
              <w:left w:val="nil"/>
              <w:bottom w:val="single" w:sz="4" w:space="0" w:color="auto"/>
              <w:right w:val="single" w:sz="4" w:space="0" w:color="auto"/>
            </w:tcBorders>
            <w:shd w:val="clear" w:color="auto" w:fill="auto"/>
            <w:noWrap/>
            <w:vAlign w:val="center"/>
            <w:hideMark/>
          </w:tcPr>
          <w:p w14:paraId="7C595D9A"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900519539</w:t>
            </w:r>
          </w:p>
        </w:tc>
        <w:tc>
          <w:tcPr>
            <w:tcW w:w="4258" w:type="dxa"/>
            <w:tcBorders>
              <w:top w:val="nil"/>
              <w:left w:val="nil"/>
              <w:bottom w:val="single" w:sz="4" w:space="0" w:color="auto"/>
              <w:right w:val="single" w:sz="4" w:space="0" w:color="auto"/>
            </w:tcBorders>
            <w:shd w:val="clear" w:color="auto" w:fill="auto"/>
            <w:vAlign w:val="center"/>
            <w:hideMark/>
          </w:tcPr>
          <w:p w14:paraId="0B68C699"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COMPAÑIA DE SERVICIOS PUBLICOS DOMICILIARIOS DE BOJAYA S.A E.S.P.</w:t>
            </w:r>
          </w:p>
        </w:tc>
        <w:tc>
          <w:tcPr>
            <w:tcW w:w="1559" w:type="dxa"/>
            <w:tcBorders>
              <w:top w:val="nil"/>
              <w:left w:val="nil"/>
              <w:bottom w:val="single" w:sz="4" w:space="0" w:color="auto"/>
              <w:right w:val="single" w:sz="4" w:space="0" w:color="auto"/>
            </w:tcBorders>
            <w:shd w:val="clear" w:color="auto" w:fill="auto"/>
            <w:noWrap/>
            <w:vAlign w:val="center"/>
            <w:hideMark/>
          </w:tcPr>
          <w:p w14:paraId="4D97938E" w14:textId="649A2445"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39</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771</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980 </w:t>
            </w:r>
          </w:p>
        </w:tc>
        <w:tc>
          <w:tcPr>
            <w:tcW w:w="1559" w:type="dxa"/>
            <w:tcBorders>
              <w:top w:val="nil"/>
              <w:left w:val="nil"/>
              <w:bottom w:val="single" w:sz="4" w:space="0" w:color="auto"/>
              <w:right w:val="single" w:sz="4" w:space="0" w:color="auto"/>
            </w:tcBorders>
            <w:shd w:val="clear" w:color="auto" w:fill="auto"/>
            <w:noWrap/>
            <w:vAlign w:val="center"/>
            <w:hideMark/>
          </w:tcPr>
          <w:p w14:paraId="4B047C5C" w14:textId="0ED9AA75"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397</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720 </w:t>
            </w:r>
          </w:p>
        </w:tc>
      </w:tr>
      <w:tr w:rsidR="00AE6A98" w:rsidRPr="00AE6A98" w14:paraId="5E0D57B8" w14:textId="77777777" w:rsidTr="00AE6A98">
        <w:trPr>
          <w:trHeight w:val="46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25268B10"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31</w:t>
            </w:r>
          </w:p>
        </w:tc>
        <w:tc>
          <w:tcPr>
            <w:tcW w:w="879" w:type="dxa"/>
            <w:tcBorders>
              <w:top w:val="nil"/>
              <w:left w:val="nil"/>
              <w:bottom w:val="single" w:sz="4" w:space="0" w:color="auto"/>
              <w:right w:val="single" w:sz="4" w:space="0" w:color="auto"/>
            </w:tcBorders>
            <w:shd w:val="clear" w:color="auto" w:fill="auto"/>
            <w:noWrap/>
            <w:vAlign w:val="center"/>
            <w:hideMark/>
          </w:tcPr>
          <w:p w14:paraId="52B19D15"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800219925</w:t>
            </w:r>
          </w:p>
        </w:tc>
        <w:tc>
          <w:tcPr>
            <w:tcW w:w="4258" w:type="dxa"/>
            <w:tcBorders>
              <w:top w:val="nil"/>
              <w:left w:val="nil"/>
              <w:bottom w:val="single" w:sz="4" w:space="0" w:color="auto"/>
              <w:right w:val="single" w:sz="4" w:space="0" w:color="auto"/>
            </w:tcBorders>
            <w:shd w:val="clear" w:color="auto" w:fill="auto"/>
            <w:vAlign w:val="center"/>
            <w:hideMark/>
          </w:tcPr>
          <w:p w14:paraId="02E41848"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COMPAÑIA ELECTRICA DE SOCHAGOTA S.A. E.S.P.</w:t>
            </w:r>
          </w:p>
        </w:tc>
        <w:tc>
          <w:tcPr>
            <w:tcW w:w="1559" w:type="dxa"/>
            <w:tcBorders>
              <w:top w:val="nil"/>
              <w:left w:val="nil"/>
              <w:bottom w:val="single" w:sz="4" w:space="0" w:color="auto"/>
              <w:right w:val="single" w:sz="4" w:space="0" w:color="auto"/>
            </w:tcBorders>
            <w:shd w:val="clear" w:color="auto" w:fill="auto"/>
            <w:noWrap/>
            <w:vAlign w:val="center"/>
            <w:hideMark/>
          </w:tcPr>
          <w:p w14:paraId="038439FB" w14:textId="255015AF"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5</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230</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964</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240 </w:t>
            </w:r>
          </w:p>
        </w:tc>
        <w:tc>
          <w:tcPr>
            <w:tcW w:w="1559" w:type="dxa"/>
            <w:tcBorders>
              <w:top w:val="nil"/>
              <w:left w:val="nil"/>
              <w:bottom w:val="single" w:sz="4" w:space="0" w:color="auto"/>
              <w:right w:val="single" w:sz="4" w:space="0" w:color="auto"/>
            </w:tcBorders>
            <w:shd w:val="clear" w:color="auto" w:fill="auto"/>
            <w:noWrap/>
            <w:vAlign w:val="center"/>
            <w:hideMark/>
          </w:tcPr>
          <w:p w14:paraId="02B11207" w14:textId="787F37A8"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52</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309</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642 </w:t>
            </w:r>
          </w:p>
        </w:tc>
      </w:tr>
      <w:tr w:rsidR="00AE6A98" w:rsidRPr="00AE6A98" w14:paraId="18057830" w14:textId="77777777" w:rsidTr="00AE6A98">
        <w:trPr>
          <w:trHeight w:val="46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40EB1FD7"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32</w:t>
            </w:r>
          </w:p>
        </w:tc>
        <w:tc>
          <w:tcPr>
            <w:tcW w:w="879" w:type="dxa"/>
            <w:tcBorders>
              <w:top w:val="nil"/>
              <w:left w:val="nil"/>
              <w:bottom w:val="single" w:sz="4" w:space="0" w:color="auto"/>
              <w:right w:val="single" w:sz="4" w:space="0" w:color="auto"/>
            </w:tcBorders>
            <w:shd w:val="clear" w:color="auto" w:fill="auto"/>
            <w:noWrap/>
            <w:vAlign w:val="center"/>
            <w:hideMark/>
          </w:tcPr>
          <w:p w14:paraId="17315792"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900366010</w:t>
            </w:r>
          </w:p>
        </w:tc>
        <w:tc>
          <w:tcPr>
            <w:tcW w:w="4258" w:type="dxa"/>
            <w:tcBorders>
              <w:top w:val="nil"/>
              <w:left w:val="nil"/>
              <w:bottom w:val="single" w:sz="4" w:space="0" w:color="auto"/>
              <w:right w:val="single" w:sz="4" w:space="0" w:color="auto"/>
            </w:tcBorders>
            <w:shd w:val="clear" w:color="auto" w:fill="auto"/>
            <w:vAlign w:val="center"/>
            <w:hideMark/>
          </w:tcPr>
          <w:p w14:paraId="5AF9350F"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COMPAÑIA ENERGETICA DE OCCIDENTE S.A.S.  E.S.P.</w:t>
            </w:r>
          </w:p>
        </w:tc>
        <w:tc>
          <w:tcPr>
            <w:tcW w:w="1559" w:type="dxa"/>
            <w:tcBorders>
              <w:top w:val="nil"/>
              <w:left w:val="nil"/>
              <w:bottom w:val="single" w:sz="4" w:space="0" w:color="auto"/>
              <w:right w:val="single" w:sz="4" w:space="0" w:color="auto"/>
            </w:tcBorders>
            <w:shd w:val="clear" w:color="auto" w:fill="auto"/>
            <w:noWrap/>
            <w:vAlign w:val="center"/>
            <w:hideMark/>
          </w:tcPr>
          <w:p w14:paraId="2575630F" w14:textId="1B33ED30"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22</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579</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117</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407 </w:t>
            </w:r>
          </w:p>
        </w:tc>
        <w:tc>
          <w:tcPr>
            <w:tcW w:w="1559" w:type="dxa"/>
            <w:tcBorders>
              <w:top w:val="nil"/>
              <w:left w:val="nil"/>
              <w:bottom w:val="single" w:sz="4" w:space="0" w:color="auto"/>
              <w:right w:val="single" w:sz="4" w:space="0" w:color="auto"/>
            </w:tcBorders>
            <w:shd w:val="clear" w:color="auto" w:fill="auto"/>
            <w:noWrap/>
            <w:vAlign w:val="center"/>
            <w:hideMark/>
          </w:tcPr>
          <w:p w14:paraId="2365EB6D" w14:textId="58C30200"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225</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791</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174 </w:t>
            </w:r>
          </w:p>
        </w:tc>
      </w:tr>
      <w:tr w:rsidR="00AE6A98" w:rsidRPr="00AE6A98" w14:paraId="7D3BC30C" w14:textId="77777777" w:rsidTr="00AE6A98">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24E076C5"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33</w:t>
            </w:r>
          </w:p>
        </w:tc>
        <w:tc>
          <w:tcPr>
            <w:tcW w:w="879" w:type="dxa"/>
            <w:tcBorders>
              <w:top w:val="nil"/>
              <w:left w:val="nil"/>
              <w:bottom w:val="single" w:sz="4" w:space="0" w:color="auto"/>
              <w:right w:val="single" w:sz="4" w:space="0" w:color="auto"/>
            </w:tcBorders>
            <w:shd w:val="clear" w:color="auto" w:fill="auto"/>
            <w:noWrap/>
            <w:vAlign w:val="center"/>
            <w:hideMark/>
          </w:tcPr>
          <w:p w14:paraId="52393949"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900879149</w:t>
            </w:r>
          </w:p>
        </w:tc>
        <w:tc>
          <w:tcPr>
            <w:tcW w:w="4258" w:type="dxa"/>
            <w:tcBorders>
              <w:top w:val="nil"/>
              <w:left w:val="nil"/>
              <w:bottom w:val="single" w:sz="4" w:space="0" w:color="auto"/>
              <w:right w:val="single" w:sz="4" w:space="0" w:color="auto"/>
            </w:tcBorders>
            <w:shd w:val="clear" w:color="auto" w:fill="auto"/>
            <w:vAlign w:val="center"/>
            <w:hideMark/>
          </w:tcPr>
          <w:p w14:paraId="78577790"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CONELCA  S.A.S.  E.S.P.</w:t>
            </w:r>
          </w:p>
        </w:tc>
        <w:tc>
          <w:tcPr>
            <w:tcW w:w="1559" w:type="dxa"/>
            <w:tcBorders>
              <w:top w:val="nil"/>
              <w:left w:val="nil"/>
              <w:bottom w:val="single" w:sz="4" w:space="0" w:color="auto"/>
              <w:right w:val="single" w:sz="4" w:space="0" w:color="auto"/>
            </w:tcBorders>
            <w:shd w:val="clear" w:color="auto" w:fill="auto"/>
            <w:noWrap/>
            <w:vAlign w:val="center"/>
            <w:hideMark/>
          </w:tcPr>
          <w:p w14:paraId="4E92CB8B" w14:textId="4BEB4838"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553</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822</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909 </w:t>
            </w:r>
          </w:p>
        </w:tc>
        <w:tc>
          <w:tcPr>
            <w:tcW w:w="1559" w:type="dxa"/>
            <w:tcBorders>
              <w:top w:val="nil"/>
              <w:left w:val="nil"/>
              <w:bottom w:val="single" w:sz="4" w:space="0" w:color="auto"/>
              <w:right w:val="single" w:sz="4" w:space="0" w:color="auto"/>
            </w:tcBorders>
            <w:shd w:val="clear" w:color="auto" w:fill="auto"/>
            <w:noWrap/>
            <w:vAlign w:val="center"/>
            <w:hideMark/>
          </w:tcPr>
          <w:p w14:paraId="709773A0" w14:textId="7F796180"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5</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538</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229 </w:t>
            </w:r>
          </w:p>
        </w:tc>
      </w:tr>
      <w:tr w:rsidR="00AE6A98" w:rsidRPr="00AE6A98" w14:paraId="7DF81A62" w14:textId="77777777" w:rsidTr="00AE6A98">
        <w:trPr>
          <w:trHeight w:val="46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78B6A25C"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34</w:t>
            </w:r>
          </w:p>
        </w:tc>
        <w:tc>
          <w:tcPr>
            <w:tcW w:w="879" w:type="dxa"/>
            <w:tcBorders>
              <w:top w:val="nil"/>
              <w:left w:val="nil"/>
              <w:bottom w:val="single" w:sz="4" w:space="0" w:color="auto"/>
              <w:right w:val="single" w:sz="4" w:space="0" w:color="auto"/>
            </w:tcBorders>
            <w:shd w:val="clear" w:color="auto" w:fill="auto"/>
            <w:noWrap/>
            <w:vAlign w:val="center"/>
            <w:hideMark/>
          </w:tcPr>
          <w:p w14:paraId="117F9F22"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900122435</w:t>
            </w:r>
          </w:p>
        </w:tc>
        <w:tc>
          <w:tcPr>
            <w:tcW w:w="4258" w:type="dxa"/>
            <w:tcBorders>
              <w:top w:val="nil"/>
              <w:left w:val="nil"/>
              <w:bottom w:val="single" w:sz="4" w:space="0" w:color="auto"/>
              <w:right w:val="single" w:sz="4" w:space="0" w:color="auto"/>
            </w:tcBorders>
            <w:shd w:val="clear" w:color="auto" w:fill="auto"/>
            <w:vAlign w:val="center"/>
            <w:hideMark/>
          </w:tcPr>
          <w:p w14:paraId="68088AA1"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COOPERATIVA DE SERVICIOS PÚBLICOS DE LÓPEZ DE MICAY</w:t>
            </w:r>
          </w:p>
        </w:tc>
        <w:tc>
          <w:tcPr>
            <w:tcW w:w="1559" w:type="dxa"/>
            <w:tcBorders>
              <w:top w:val="nil"/>
              <w:left w:val="nil"/>
              <w:bottom w:val="single" w:sz="4" w:space="0" w:color="auto"/>
              <w:right w:val="single" w:sz="4" w:space="0" w:color="auto"/>
            </w:tcBorders>
            <w:shd w:val="clear" w:color="auto" w:fill="auto"/>
            <w:noWrap/>
            <w:vAlign w:val="center"/>
            <w:hideMark/>
          </w:tcPr>
          <w:p w14:paraId="2ABB33EE" w14:textId="7058634C"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662</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508</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311 </w:t>
            </w:r>
          </w:p>
        </w:tc>
        <w:tc>
          <w:tcPr>
            <w:tcW w:w="1559" w:type="dxa"/>
            <w:tcBorders>
              <w:top w:val="nil"/>
              <w:left w:val="nil"/>
              <w:bottom w:val="single" w:sz="4" w:space="0" w:color="auto"/>
              <w:right w:val="single" w:sz="4" w:space="0" w:color="auto"/>
            </w:tcBorders>
            <w:shd w:val="clear" w:color="auto" w:fill="auto"/>
            <w:noWrap/>
            <w:vAlign w:val="center"/>
            <w:hideMark/>
          </w:tcPr>
          <w:p w14:paraId="6AC40B73" w14:textId="72E27BA9"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6</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625</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083 </w:t>
            </w:r>
          </w:p>
        </w:tc>
      </w:tr>
      <w:tr w:rsidR="00AE6A98" w:rsidRPr="00AE6A98" w14:paraId="33C21D53" w14:textId="77777777" w:rsidTr="00AE6A98">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3219191D"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35</w:t>
            </w:r>
          </w:p>
        </w:tc>
        <w:tc>
          <w:tcPr>
            <w:tcW w:w="879" w:type="dxa"/>
            <w:tcBorders>
              <w:top w:val="nil"/>
              <w:left w:val="nil"/>
              <w:bottom w:val="single" w:sz="4" w:space="0" w:color="auto"/>
              <w:right w:val="single" w:sz="4" w:space="0" w:color="auto"/>
            </w:tcBorders>
            <w:shd w:val="clear" w:color="auto" w:fill="auto"/>
            <w:noWrap/>
            <w:vAlign w:val="center"/>
            <w:hideMark/>
          </w:tcPr>
          <w:p w14:paraId="07E53C97"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845000021</w:t>
            </w:r>
          </w:p>
        </w:tc>
        <w:tc>
          <w:tcPr>
            <w:tcW w:w="4258" w:type="dxa"/>
            <w:tcBorders>
              <w:top w:val="nil"/>
              <w:left w:val="nil"/>
              <w:bottom w:val="single" w:sz="4" w:space="0" w:color="auto"/>
              <w:right w:val="single" w:sz="4" w:space="0" w:color="auto"/>
            </w:tcBorders>
            <w:shd w:val="clear" w:color="auto" w:fill="auto"/>
            <w:vAlign w:val="center"/>
            <w:hideMark/>
          </w:tcPr>
          <w:p w14:paraId="0052122D"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DEPARTAMENTO DEL VAUPES</w:t>
            </w:r>
          </w:p>
        </w:tc>
        <w:tc>
          <w:tcPr>
            <w:tcW w:w="1559" w:type="dxa"/>
            <w:tcBorders>
              <w:top w:val="nil"/>
              <w:left w:val="nil"/>
              <w:bottom w:val="single" w:sz="4" w:space="0" w:color="auto"/>
              <w:right w:val="single" w:sz="4" w:space="0" w:color="auto"/>
            </w:tcBorders>
            <w:shd w:val="clear" w:color="auto" w:fill="auto"/>
            <w:noWrap/>
            <w:vAlign w:val="center"/>
            <w:hideMark/>
          </w:tcPr>
          <w:p w14:paraId="678FE6FE" w14:textId="49602092"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427</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983</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723 </w:t>
            </w:r>
          </w:p>
        </w:tc>
        <w:tc>
          <w:tcPr>
            <w:tcW w:w="1559" w:type="dxa"/>
            <w:tcBorders>
              <w:top w:val="nil"/>
              <w:left w:val="nil"/>
              <w:bottom w:val="single" w:sz="4" w:space="0" w:color="auto"/>
              <w:right w:val="single" w:sz="4" w:space="0" w:color="auto"/>
            </w:tcBorders>
            <w:shd w:val="clear" w:color="auto" w:fill="auto"/>
            <w:noWrap/>
            <w:vAlign w:val="center"/>
            <w:hideMark/>
          </w:tcPr>
          <w:p w14:paraId="169D8348" w14:textId="1E37D8A2"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4</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279</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837 </w:t>
            </w:r>
          </w:p>
        </w:tc>
      </w:tr>
      <w:tr w:rsidR="00AE6A98" w:rsidRPr="00AE6A98" w14:paraId="001BBDFD" w14:textId="77777777" w:rsidTr="00AE6A98">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38EBCD86"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36</w:t>
            </w:r>
          </w:p>
        </w:tc>
        <w:tc>
          <w:tcPr>
            <w:tcW w:w="879" w:type="dxa"/>
            <w:tcBorders>
              <w:top w:val="nil"/>
              <w:left w:val="nil"/>
              <w:bottom w:val="single" w:sz="4" w:space="0" w:color="auto"/>
              <w:right w:val="single" w:sz="4" w:space="0" w:color="auto"/>
            </w:tcBorders>
            <w:shd w:val="clear" w:color="auto" w:fill="auto"/>
            <w:noWrap/>
            <w:vAlign w:val="center"/>
            <w:hideMark/>
          </w:tcPr>
          <w:p w14:paraId="49385563"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901288781</w:t>
            </w:r>
          </w:p>
        </w:tc>
        <w:tc>
          <w:tcPr>
            <w:tcW w:w="4258" w:type="dxa"/>
            <w:tcBorders>
              <w:top w:val="nil"/>
              <w:left w:val="nil"/>
              <w:bottom w:val="single" w:sz="4" w:space="0" w:color="auto"/>
              <w:right w:val="single" w:sz="4" w:space="0" w:color="auto"/>
            </w:tcBorders>
            <w:shd w:val="clear" w:color="auto" w:fill="auto"/>
            <w:vAlign w:val="center"/>
            <w:hideMark/>
          </w:tcPr>
          <w:p w14:paraId="11308A4A"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DEPI ENERGY S.A.S. E.S.P.</w:t>
            </w:r>
          </w:p>
        </w:tc>
        <w:tc>
          <w:tcPr>
            <w:tcW w:w="1559" w:type="dxa"/>
            <w:tcBorders>
              <w:top w:val="nil"/>
              <w:left w:val="nil"/>
              <w:bottom w:val="single" w:sz="4" w:space="0" w:color="auto"/>
              <w:right w:val="single" w:sz="4" w:space="0" w:color="auto"/>
            </w:tcBorders>
            <w:shd w:val="clear" w:color="auto" w:fill="auto"/>
            <w:noWrap/>
            <w:vAlign w:val="center"/>
            <w:hideMark/>
          </w:tcPr>
          <w:p w14:paraId="0E35EBC3" w14:textId="157E6D2E"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320</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664</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027 </w:t>
            </w:r>
          </w:p>
        </w:tc>
        <w:tc>
          <w:tcPr>
            <w:tcW w:w="1559" w:type="dxa"/>
            <w:tcBorders>
              <w:top w:val="nil"/>
              <w:left w:val="nil"/>
              <w:bottom w:val="single" w:sz="4" w:space="0" w:color="auto"/>
              <w:right w:val="single" w:sz="4" w:space="0" w:color="auto"/>
            </w:tcBorders>
            <w:shd w:val="clear" w:color="auto" w:fill="auto"/>
            <w:noWrap/>
            <w:vAlign w:val="center"/>
            <w:hideMark/>
          </w:tcPr>
          <w:p w14:paraId="45A25821" w14:textId="50E127D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3</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206</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640 </w:t>
            </w:r>
          </w:p>
        </w:tc>
      </w:tr>
      <w:tr w:rsidR="00AE6A98" w:rsidRPr="00AE6A98" w14:paraId="63B302D5" w14:textId="77777777" w:rsidTr="00AE6A98">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435437C6"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37</w:t>
            </w:r>
          </w:p>
        </w:tc>
        <w:tc>
          <w:tcPr>
            <w:tcW w:w="879" w:type="dxa"/>
            <w:tcBorders>
              <w:top w:val="nil"/>
              <w:left w:val="nil"/>
              <w:bottom w:val="single" w:sz="4" w:space="0" w:color="auto"/>
              <w:right w:val="single" w:sz="4" w:space="0" w:color="auto"/>
            </w:tcBorders>
            <w:shd w:val="clear" w:color="auto" w:fill="auto"/>
            <w:noWrap/>
            <w:vAlign w:val="center"/>
            <w:hideMark/>
          </w:tcPr>
          <w:p w14:paraId="10EC8EDC"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815001901</w:t>
            </w:r>
          </w:p>
        </w:tc>
        <w:tc>
          <w:tcPr>
            <w:tcW w:w="4258" w:type="dxa"/>
            <w:tcBorders>
              <w:top w:val="nil"/>
              <w:left w:val="nil"/>
              <w:bottom w:val="single" w:sz="4" w:space="0" w:color="auto"/>
              <w:right w:val="single" w:sz="4" w:space="0" w:color="auto"/>
            </w:tcBorders>
            <w:shd w:val="clear" w:color="auto" w:fill="auto"/>
            <w:vAlign w:val="center"/>
            <w:hideMark/>
          </w:tcPr>
          <w:p w14:paraId="5E314D4F"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DICELER S.A E.S.P.</w:t>
            </w:r>
          </w:p>
        </w:tc>
        <w:tc>
          <w:tcPr>
            <w:tcW w:w="1559" w:type="dxa"/>
            <w:tcBorders>
              <w:top w:val="nil"/>
              <w:left w:val="nil"/>
              <w:bottom w:val="single" w:sz="4" w:space="0" w:color="auto"/>
              <w:right w:val="single" w:sz="4" w:space="0" w:color="auto"/>
            </w:tcBorders>
            <w:shd w:val="clear" w:color="auto" w:fill="auto"/>
            <w:noWrap/>
            <w:vAlign w:val="center"/>
            <w:hideMark/>
          </w:tcPr>
          <w:p w14:paraId="246FC32A" w14:textId="4351F44B"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364</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017</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883 </w:t>
            </w:r>
          </w:p>
        </w:tc>
        <w:tc>
          <w:tcPr>
            <w:tcW w:w="1559" w:type="dxa"/>
            <w:tcBorders>
              <w:top w:val="nil"/>
              <w:left w:val="nil"/>
              <w:bottom w:val="single" w:sz="4" w:space="0" w:color="auto"/>
              <w:right w:val="single" w:sz="4" w:space="0" w:color="auto"/>
            </w:tcBorders>
            <w:shd w:val="clear" w:color="auto" w:fill="auto"/>
            <w:noWrap/>
            <w:vAlign w:val="center"/>
            <w:hideMark/>
          </w:tcPr>
          <w:p w14:paraId="6E9EF893" w14:textId="7F187848"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3</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640</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179 </w:t>
            </w:r>
          </w:p>
        </w:tc>
      </w:tr>
      <w:tr w:rsidR="00AE6A98" w:rsidRPr="00AE6A98" w14:paraId="0ACC160E" w14:textId="77777777" w:rsidTr="00AE6A98">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658080B7"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38</w:t>
            </w:r>
          </w:p>
        </w:tc>
        <w:tc>
          <w:tcPr>
            <w:tcW w:w="879" w:type="dxa"/>
            <w:tcBorders>
              <w:top w:val="nil"/>
              <w:left w:val="nil"/>
              <w:bottom w:val="single" w:sz="4" w:space="0" w:color="auto"/>
              <w:right w:val="single" w:sz="4" w:space="0" w:color="auto"/>
            </w:tcBorders>
            <w:shd w:val="clear" w:color="auto" w:fill="auto"/>
            <w:noWrap/>
            <w:vAlign w:val="center"/>
            <w:hideMark/>
          </w:tcPr>
          <w:p w14:paraId="0DD6D66F"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807001845</w:t>
            </w:r>
          </w:p>
        </w:tc>
        <w:tc>
          <w:tcPr>
            <w:tcW w:w="4258" w:type="dxa"/>
            <w:tcBorders>
              <w:top w:val="nil"/>
              <w:left w:val="nil"/>
              <w:bottom w:val="single" w:sz="4" w:space="0" w:color="auto"/>
              <w:right w:val="single" w:sz="4" w:space="0" w:color="auto"/>
            </w:tcBorders>
            <w:shd w:val="clear" w:color="auto" w:fill="auto"/>
            <w:vAlign w:val="center"/>
            <w:hideMark/>
          </w:tcPr>
          <w:p w14:paraId="05ED0DA9"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DISTASA S.A. E.S.P.</w:t>
            </w:r>
          </w:p>
        </w:tc>
        <w:tc>
          <w:tcPr>
            <w:tcW w:w="1559" w:type="dxa"/>
            <w:tcBorders>
              <w:top w:val="nil"/>
              <w:left w:val="nil"/>
              <w:bottom w:val="single" w:sz="4" w:space="0" w:color="auto"/>
              <w:right w:val="single" w:sz="4" w:space="0" w:color="auto"/>
            </w:tcBorders>
            <w:shd w:val="clear" w:color="auto" w:fill="auto"/>
            <w:noWrap/>
            <w:vAlign w:val="center"/>
            <w:hideMark/>
          </w:tcPr>
          <w:p w14:paraId="7231BBBF" w14:textId="530217F5"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2</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199</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389</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071 </w:t>
            </w:r>
          </w:p>
        </w:tc>
        <w:tc>
          <w:tcPr>
            <w:tcW w:w="1559" w:type="dxa"/>
            <w:tcBorders>
              <w:top w:val="nil"/>
              <w:left w:val="nil"/>
              <w:bottom w:val="single" w:sz="4" w:space="0" w:color="auto"/>
              <w:right w:val="single" w:sz="4" w:space="0" w:color="auto"/>
            </w:tcBorders>
            <w:shd w:val="clear" w:color="auto" w:fill="auto"/>
            <w:noWrap/>
            <w:vAlign w:val="center"/>
            <w:hideMark/>
          </w:tcPr>
          <w:p w14:paraId="78FC86CB" w14:textId="4B25D13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21</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993</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891 </w:t>
            </w:r>
          </w:p>
        </w:tc>
      </w:tr>
      <w:tr w:rsidR="00AE6A98" w:rsidRPr="00AE6A98" w14:paraId="76453BD9" w14:textId="77777777" w:rsidTr="00AE6A98">
        <w:trPr>
          <w:trHeight w:val="46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5276D7C0"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39</w:t>
            </w:r>
          </w:p>
        </w:tc>
        <w:tc>
          <w:tcPr>
            <w:tcW w:w="879" w:type="dxa"/>
            <w:tcBorders>
              <w:top w:val="nil"/>
              <w:left w:val="nil"/>
              <w:bottom w:val="single" w:sz="4" w:space="0" w:color="auto"/>
              <w:right w:val="single" w:sz="4" w:space="0" w:color="auto"/>
            </w:tcBorders>
            <w:shd w:val="clear" w:color="auto" w:fill="auto"/>
            <w:noWrap/>
            <w:vAlign w:val="center"/>
            <w:hideMark/>
          </w:tcPr>
          <w:p w14:paraId="343FB139"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815000896</w:t>
            </w:r>
          </w:p>
        </w:tc>
        <w:tc>
          <w:tcPr>
            <w:tcW w:w="4258" w:type="dxa"/>
            <w:tcBorders>
              <w:top w:val="nil"/>
              <w:left w:val="nil"/>
              <w:bottom w:val="single" w:sz="4" w:space="0" w:color="auto"/>
              <w:right w:val="single" w:sz="4" w:space="0" w:color="auto"/>
            </w:tcBorders>
            <w:shd w:val="clear" w:color="auto" w:fill="auto"/>
            <w:vAlign w:val="center"/>
            <w:hideMark/>
          </w:tcPr>
          <w:p w14:paraId="0A7EB4B2"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DISTRIBUIDORA Y COMERCIALIZADORA DE ENERGIA ELECTRICA S.A. E.S.P.</w:t>
            </w:r>
          </w:p>
        </w:tc>
        <w:tc>
          <w:tcPr>
            <w:tcW w:w="1559" w:type="dxa"/>
            <w:tcBorders>
              <w:top w:val="nil"/>
              <w:left w:val="nil"/>
              <w:bottom w:val="single" w:sz="4" w:space="0" w:color="auto"/>
              <w:right w:val="single" w:sz="4" w:space="0" w:color="auto"/>
            </w:tcBorders>
            <w:shd w:val="clear" w:color="auto" w:fill="auto"/>
            <w:noWrap/>
            <w:vAlign w:val="center"/>
            <w:hideMark/>
          </w:tcPr>
          <w:p w14:paraId="39E6D41A" w14:textId="4BD72FF4"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3</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442</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966</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700 </w:t>
            </w:r>
          </w:p>
        </w:tc>
        <w:tc>
          <w:tcPr>
            <w:tcW w:w="1559" w:type="dxa"/>
            <w:tcBorders>
              <w:top w:val="nil"/>
              <w:left w:val="nil"/>
              <w:bottom w:val="single" w:sz="4" w:space="0" w:color="auto"/>
              <w:right w:val="single" w:sz="4" w:space="0" w:color="auto"/>
            </w:tcBorders>
            <w:shd w:val="clear" w:color="auto" w:fill="auto"/>
            <w:noWrap/>
            <w:vAlign w:val="center"/>
            <w:hideMark/>
          </w:tcPr>
          <w:p w14:paraId="6763AF34" w14:textId="5FEBFEE9"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34</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429</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667 </w:t>
            </w:r>
          </w:p>
        </w:tc>
      </w:tr>
      <w:tr w:rsidR="00AE6A98" w:rsidRPr="00AE6A98" w14:paraId="661A895F" w14:textId="77777777" w:rsidTr="00AE6A98">
        <w:trPr>
          <w:trHeight w:val="46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5915EB7E"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40</w:t>
            </w:r>
          </w:p>
        </w:tc>
        <w:tc>
          <w:tcPr>
            <w:tcW w:w="879" w:type="dxa"/>
            <w:tcBorders>
              <w:top w:val="nil"/>
              <w:left w:val="nil"/>
              <w:bottom w:val="single" w:sz="4" w:space="0" w:color="auto"/>
              <w:right w:val="single" w:sz="4" w:space="0" w:color="auto"/>
            </w:tcBorders>
            <w:shd w:val="clear" w:color="auto" w:fill="auto"/>
            <w:noWrap/>
            <w:vAlign w:val="center"/>
            <w:hideMark/>
          </w:tcPr>
          <w:p w14:paraId="38F81DC3"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818000202</w:t>
            </w:r>
          </w:p>
        </w:tc>
        <w:tc>
          <w:tcPr>
            <w:tcW w:w="4258" w:type="dxa"/>
            <w:tcBorders>
              <w:top w:val="nil"/>
              <w:left w:val="nil"/>
              <w:bottom w:val="single" w:sz="4" w:space="0" w:color="auto"/>
              <w:right w:val="single" w:sz="4" w:space="0" w:color="auto"/>
            </w:tcBorders>
            <w:shd w:val="clear" w:color="auto" w:fill="auto"/>
            <w:vAlign w:val="center"/>
            <w:hideMark/>
          </w:tcPr>
          <w:p w14:paraId="219A8547"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E. S. P. DE ENERGIA ELECTRICA DE BAJO BAUDO PIZARRO S.A.</w:t>
            </w:r>
          </w:p>
        </w:tc>
        <w:tc>
          <w:tcPr>
            <w:tcW w:w="1559" w:type="dxa"/>
            <w:tcBorders>
              <w:top w:val="nil"/>
              <w:left w:val="nil"/>
              <w:bottom w:val="single" w:sz="4" w:space="0" w:color="auto"/>
              <w:right w:val="single" w:sz="4" w:space="0" w:color="auto"/>
            </w:tcBorders>
            <w:shd w:val="clear" w:color="auto" w:fill="auto"/>
            <w:noWrap/>
            <w:vAlign w:val="center"/>
            <w:hideMark/>
          </w:tcPr>
          <w:p w14:paraId="3FF7BA8D" w14:textId="4DBCA55E"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115</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024</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524 </w:t>
            </w:r>
          </w:p>
        </w:tc>
        <w:tc>
          <w:tcPr>
            <w:tcW w:w="1559" w:type="dxa"/>
            <w:tcBorders>
              <w:top w:val="nil"/>
              <w:left w:val="nil"/>
              <w:bottom w:val="single" w:sz="4" w:space="0" w:color="auto"/>
              <w:right w:val="single" w:sz="4" w:space="0" w:color="auto"/>
            </w:tcBorders>
            <w:shd w:val="clear" w:color="auto" w:fill="auto"/>
            <w:noWrap/>
            <w:vAlign w:val="center"/>
            <w:hideMark/>
          </w:tcPr>
          <w:p w14:paraId="1DBC912F" w14:textId="5F45CD68"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1</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150</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245 </w:t>
            </w:r>
          </w:p>
        </w:tc>
      </w:tr>
      <w:tr w:rsidR="00AE6A98" w:rsidRPr="00AE6A98" w14:paraId="0EDAAA46" w14:textId="77777777" w:rsidTr="00AE6A98">
        <w:trPr>
          <w:trHeight w:val="46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2314DE6D"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41</w:t>
            </w:r>
          </w:p>
        </w:tc>
        <w:tc>
          <w:tcPr>
            <w:tcW w:w="879" w:type="dxa"/>
            <w:tcBorders>
              <w:top w:val="nil"/>
              <w:left w:val="nil"/>
              <w:bottom w:val="single" w:sz="4" w:space="0" w:color="auto"/>
              <w:right w:val="single" w:sz="4" w:space="0" w:color="auto"/>
            </w:tcBorders>
            <w:shd w:val="clear" w:color="auto" w:fill="auto"/>
            <w:noWrap/>
            <w:vAlign w:val="center"/>
            <w:hideMark/>
          </w:tcPr>
          <w:p w14:paraId="72A5B810"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901094262</w:t>
            </w:r>
          </w:p>
        </w:tc>
        <w:tc>
          <w:tcPr>
            <w:tcW w:w="4258" w:type="dxa"/>
            <w:tcBorders>
              <w:top w:val="nil"/>
              <w:left w:val="nil"/>
              <w:bottom w:val="single" w:sz="4" w:space="0" w:color="auto"/>
              <w:right w:val="single" w:sz="4" w:space="0" w:color="auto"/>
            </w:tcBorders>
            <w:shd w:val="clear" w:color="auto" w:fill="auto"/>
            <w:vAlign w:val="center"/>
            <w:hideMark/>
          </w:tcPr>
          <w:p w14:paraId="5A932E0E"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E..A. T. ELECTRIFICADORA DE LA ZONA FRONTERA Y RURAL DE TUMACO</w:t>
            </w:r>
          </w:p>
        </w:tc>
        <w:tc>
          <w:tcPr>
            <w:tcW w:w="1559" w:type="dxa"/>
            <w:tcBorders>
              <w:top w:val="nil"/>
              <w:left w:val="nil"/>
              <w:bottom w:val="single" w:sz="4" w:space="0" w:color="auto"/>
              <w:right w:val="single" w:sz="4" w:space="0" w:color="auto"/>
            </w:tcBorders>
            <w:shd w:val="clear" w:color="auto" w:fill="auto"/>
            <w:noWrap/>
            <w:vAlign w:val="center"/>
            <w:hideMark/>
          </w:tcPr>
          <w:p w14:paraId="5B5AACD2" w14:textId="5C08EB63"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119</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578</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416 </w:t>
            </w:r>
          </w:p>
        </w:tc>
        <w:tc>
          <w:tcPr>
            <w:tcW w:w="1559" w:type="dxa"/>
            <w:tcBorders>
              <w:top w:val="nil"/>
              <w:left w:val="nil"/>
              <w:bottom w:val="single" w:sz="4" w:space="0" w:color="auto"/>
              <w:right w:val="single" w:sz="4" w:space="0" w:color="auto"/>
            </w:tcBorders>
            <w:shd w:val="clear" w:color="auto" w:fill="auto"/>
            <w:noWrap/>
            <w:vAlign w:val="center"/>
            <w:hideMark/>
          </w:tcPr>
          <w:p w14:paraId="40A4D70B" w14:textId="3D2EC5E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1</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195</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784 </w:t>
            </w:r>
          </w:p>
        </w:tc>
      </w:tr>
      <w:tr w:rsidR="00AE6A98" w:rsidRPr="00AE6A98" w14:paraId="4426F72A" w14:textId="77777777" w:rsidTr="00AE6A98">
        <w:trPr>
          <w:trHeight w:val="46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75C2FAC5"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42</w:t>
            </w:r>
          </w:p>
        </w:tc>
        <w:tc>
          <w:tcPr>
            <w:tcW w:w="879" w:type="dxa"/>
            <w:tcBorders>
              <w:top w:val="nil"/>
              <w:left w:val="nil"/>
              <w:bottom w:val="single" w:sz="4" w:space="0" w:color="auto"/>
              <w:right w:val="single" w:sz="4" w:space="0" w:color="auto"/>
            </w:tcBorders>
            <w:shd w:val="clear" w:color="auto" w:fill="auto"/>
            <w:noWrap/>
            <w:vAlign w:val="center"/>
            <w:hideMark/>
          </w:tcPr>
          <w:p w14:paraId="541B525F"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840000937</w:t>
            </w:r>
          </w:p>
        </w:tc>
        <w:tc>
          <w:tcPr>
            <w:tcW w:w="4258" w:type="dxa"/>
            <w:tcBorders>
              <w:top w:val="nil"/>
              <w:left w:val="nil"/>
              <w:bottom w:val="single" w:sz="4" w:space="0" w:color="auto"/>
              <w:right w:val="single" w:sz="4" w:space="0" w:color="auto"/>
            </w:tcBorders>
            <w:shd w:val="clear" w:color="auto" w:fill="auto"/>
            <w:vAlign w:val="center"/>
            <w:hideMark/>
          </w:tcPr>
          <w:p w14:paraId="3733FBA0"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EAT ELECTRIFICADORA DE LA ZONA RURAL DE TUMACO</w:t>
            </w:r>
          </w:p>
        </w:tc>
        <w:tc>
          <w:tcPr>
            <w:tcW w:w="1559" w:type="dxa"/>
            <w:tcBorders>
              <w:top w:val="nil"/>
              <w:left w:val="nil"/>
              <w:bottom w:val="single" w:sz="4" w:space="0" w:color="auto"/>
              <w:right w:val="single" w:sz="4" w:space="0" w:color="auto"/>
            </w:tcBorders>
            <w:shd w:val="clear" w:color="auto" w:fill="auto"/>
            <w:noWrap/>
            <w:vAlign w:val="center"/>
            <w:hideMark/>
          </w:tcPr>
          <w:p w14:paraId="6048FF4A" w14:textId="10C316EE"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235</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678</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299 </w:t>
            </w:r>
          </w:p>
        </w:tc>
        <w:tc>
          <w:tcPr>
            <w:tcW w:w="1559" w:type="dxa"/>
            <w:tcBorders>
              <w:top w:val="nil"/>
              <w:left w:val="nil"/>
              <w:bottom w:val="single" w:sz="4" w:space="0" w:color="auto"/>
              <w:right w:val="single" w:sz="4" w:space="0" w:color="auto"/>
            </w:tcBorders>
            <w:shd w:val="clear" w:color="auto" w:fill="auto"/>
            <w:noWrap/>
            <w:vAlign w:val="center"/>
            <w:hideMark/>
          </w:tcPr>
          <w:p w14:paraId="6B76B5BD" w14:textId="07C952B4"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2</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356</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783 </w:t>
            </w:r>
          </w:p>
        </w:tc>
      </w:tr>
      <w:tr w:rsidR="00AE6A98" w:rsidRPr="00AE6A98" w14:paraId="5D8D0DAB" w14:textId="77777777" w:rsidTr="00AE6A98">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25E4E87E"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43</w:t>
            </w:r>
          </w:p>
        </w:tc>
        <w:tc>
          <w:tcPr>
            <w:tcW w:w="879" w:type="dxa"/>
            <w:tcBorders>
              <w:top w:val="nil"/>
              <w:left w:val="nil"/>
              <w:bottom w:val="single" w:sz="4" w:space="0" w:color="auto"/>
              <w:right w:val="single" w:sz="4" w:space="0" w:color="auto"/>
            </w:tcBorders>
            <w:shd w:val="clear" w:color="auto" w:fill="auto"/>
            <w:noWrap/>
            <w:vAlign w:val="center"/>
            <w:hideMark/>
          </w:tcPr>
          <w:p w14:paraId="59B7E245"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900499252</w:t>
            </w:r>
          </w:p>
        </w:tc>
        <w:tc>
          <w:tcPr>
            <w:tcW w:w="4258" w:type="dxa"/>
            <w:tcBorders>
              <w:top w:val="nil"/>
              <w:left w:val="nil"/>
              <w:bottom w:val="single" w:sz="4" w:space="0" w:color="auto"/>
              <w:right w:val="single" w:sz="4" w:space="0" w:color="auto"/>
            </w:tcBorders>
            <w:shd w:val="clear" w:color="auto" w:fill="auto"/>
            <w:vAlign w:val="center"/>
            <w:hideMark/>
          </w:tcPr>
          <w:p w14:paraId="7E704941"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ECOMMERCIAL SAS ESP</w:t>
            </w:r>
          </w:p>
        </w:tc>
        <w:tc>
          <w:tcPr>
            <w:tcW w:w="1559" w:type="dxa"/>
            <w:tcBorders>
              <w:top w:val="nil"/>
              <w:left w:val="nil"/>
              <w:bottom w:val="single" w:sz="4" w:space="0" w:color="auto"/>
              <w:right w:val="single" w:sz="4" w:space="0" w:color="auto"/>
            </w:tcBorders>
            <w:shd w:val="clear" w:color="auto" w:fill="auto"/>
            <w:noWrap/>
            <w:vAlign w:val="center"/>
            <w:hideMark/>
          </w:tcPr>
          <w:p w14:paraId="34B73ACD" w14:textId="1E16B291"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778</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112</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489 </w:t>
            </w:r>
          </w:p>
        </w:tc>
        <w:tc>
          <w:tcPr>
            <w:tcW w:w="1559" w:type="dxa"/>
            <w:tcBorders>
              <w:top w:val="nil"/>
              <w:left w:val="nil"/>
              <w:bottom w:val="single" w:sz="4" w:space="0" w:color="auto"/>
              <w:right w:val="single" w:sz="4" w:space="0" w:color="auto"/>
            </w:tcBorders>
            <w:shd w:val="clear" w:color="auto" w:fill="auto"/>
            <w:noWrap/>
            <w:vAlign w:val="center"/>
            <w:hideMark/>
          </w:tcPr>
          <w:p w14:paraId="74578B6F" w14:textId="7F123EFF"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7</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781</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125 </w:t>
            </w:r>
          </w:p>
        </w:tc>
      </w:tr>
      <w:tr w:rsidR="00AE6A98" w:rsidRPr="00AE6A98" w14:paraId="0F940534" w14:textId="77777777" w:rsidTr="00AE6A98">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07524C24"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44</w:t>
            </w:r>
          </w:p>
        </w:tc>
        <w:tc>
          <w:tcPr>
            <w:tcW w:w="879" w:type="dxa"/>
            <w:tcBorders>
              <w:top w:val="nil"/>
              <w:left w:val="nil"/>
              <w:bottom w:val="single" w:sz="4" w:space="0" w:color="auto"/>
              <w:right w:val="single" w:sz="4" w:space="0" w:color="auto"/>
            </w:tcBorders>
            <w:shd w:val="clear" w:color="auto" w:fill="auto"/>
            <w:noWrap/>
            <w:vAlign w:val="center"/>
            <w:hideMark/>
          </w:tcPr>
          <w:p w14:paraId="7B3FAD95"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901165502</w:t>
            </w:r>
          </w:p>
        </w:tc>
        <w:tc>
          <w:tcPr>
            <w:tcW w:w="4258" w:type="dxa"/>
            <w:tcBorders>
              <w:top w:val="nil"/>
              <w:left w:val="nil"/>
              <w:bottom w:val="single" w:sz="4" w:space="0" w:color="auto"/>
              <w:right w:val="single" w:sz="4" w:space="0" w:color="auto"/>
            </w:tcBorders>
            <w:shd w:val="clear" w:color="auto" w:fill="auto"/>
            <w:vAlign w:val="center"/>
            <w:hideMark/>
          </w:tcPr>
          <w:p w14:paraId="54F32949"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ECOPETROL ENERGÍA S.A.S. E.S.P.</w:t>
            </w:r>
          </w:p>
        </w:tc>
        <w:tc>
          <w:tcPr>
            <w:tcW w:w="1559" w:type="dxa"/>
            <w:tcBorders>
              <w:top w:val="nil"/>
              <w:left w:val="nil"/>
              <w:bottom w:val="single" w:sz="4" w:space="0" w:color="auto"/>
              <w:right w:val="single" w:sz="4" w:space="0" w:color="auto"/>
            </w:tcBorders>
            <w:shd w:val="clear" w:color="auto" w:fill="auto"/>
            <w:noWrap/>
            <w:vAlign w:val="center"/>
            <w:hideMark/>
          </w:tcPr>
          <w:p w14:paraId="0F83AE9D" w14:textId="4EFCFA1A"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5</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299</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843</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314 </w:t>
            </w:r>
          </w:p>
        </w:tc>
        <w:tc>
          <w:tcPr>
            <w:tcW w:w="1559" w:type="dxa"/>
            <w:tcBorders>
              <w:top w:val="nil"/>
              <w:left w:val="nil"/>
              <w:bottom w:val="single" w:sz="4" w:space="0" w:color="auto"/>
              <w:right w:val="single" w:sz="4" w:space="0" w:color="auto"/>
            </w:tcBorders>
            <w:shd w:val="clear" w:color="auto" w:fill="auto"/>
            <w:noWrap/>
            <w:vAlign w:val="center"/>
            <w:hideMark/>
          </w:tcPr>
          <w:p w14:paraId="49CE6F63" w14:textId="1127A224"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52</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998</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433 </w:t>
            </w:r>
          </w:p>
        </w:tc>
      </w:tr>
      <w:tr w:rsidR="00AE6A98" w:rsidRPr="00AE6A98" w14:paraId="732CB34D" w14:textId="77777777" w:rsidTr="00AE6A98">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3C98665F"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45</w:t>
            </w:r>
          </w:p>
        </w:tc>
        <w:tc>
          <w:tcPr>
            <w:tcW w:w="879" w:type="dxa"/>
            <w:tcBorders>
              <w:top w:val="nil"/>
              <w:left w:val="nil"/>
              <w:bottom w:val="single" w:sz="4" w:space="0" w:color="auto"/>
              <w:right w:val="single" w:sz="4" w:space="0" w:color="auto"/>
            </w:tcBorders>
            <w:shd w:val="clear" w:color="auto" w:fill="auto"/>
            <w:noWrap/>
            <w:vAlign w:val="center"/>
            <w:hideMark/>
          </w:tcPr>
          <w:p w14:paraId="3D9C131E"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900432368</w:t>
            </w:r>
          </w:p>
        </w:tc>
        <w:tc>
          <w:tcPr>
            <w:tcW w:w="4258" w:type="dxa"/>
            <w:tcBorders>
              <w:top w:val="nil"/>
              <w:left w:val="nil"/>
              <w:bottom w:val="single" w:sz="4" w:space="0" w:color="auto"/>
              <w:right w:val="single" w:sz="4" w:space="0" w:color="auto"/>
            </w:tcBorders>
            <w:shd w:val="clear" w:color="auto" w:fill="auto"/>
            <w:vAlign w:val="center"/>
            <w:hideMark/>
          </w:tcPr>
          <w:p w14:paraId="2796401D"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ELECTRIFICADORA DE MAPIRIPÁN S.A. E.S.P.</w:t>
            </w:r>
          </w:p>
        </w:tc>
        <w:tc>
          <w:tcPr>
            <w:tcW w:w="1559" w:type="dxa"/>
            <w:tcBorders>
              <w:top w:val="nil"/>
              <w:left w:val="nil"/>
              <w:bottom w:val="single" w:sz="4" w:space="0" w:color="auto"/>
              <w:right w:val="single" w:sz="4" w:space="0" w:color="auto"/>
            </w:tcBorders>
            <w:shd w:val="clear" w:color="auto" w:fill="auto"/>
            <w:noWrap/>
            <w:vAlign w:val="center"/>
            <w:hideMark/>
          </w:tcPr>
          <w:p w14:paraId="4A2666AF" w14:textId="5753A451"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192</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248</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979 </w:t>
            </w:r>
          </w:p>
        </w:tc>
        <w:tc>
          <w:tcPr>
            <w:tcW w:w="1559" w:type="dxa"/>
            <w:tcBorders>
              <w:top w:val="nil"/>
              <w:left w:val="nil"/>
              <w:bottom w:val="single" w:sz="4" w:space="0" w:color="auto"/>
              <w:right w:val="single" w:sz="4" w:space="0" w:color="auto"/>
            </w:tcBorders>
            <w:shd w:val="clear" w:color="auto" w:fill="auto"/>
            <w:noWrap/>
            <w:vAlign w:val="center"/>
            <w:hideMark/>
          </w:tcPr>
          <w:p w14:paraId="3E3E32B9" w14:textId="5C63629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1</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922</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490 </w:t>
            </w:r>
          </w:p>
        </w:tc>
      </w:tr>
      <w:tr w:rsidR="00AE6A98" w:rsidRPr="00AE6A98" w14:paraId="0B7DAA57" w14:textId="77777777" w:rsidTr="00AE6A98">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14E797D9"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lastRenderedPageBreak/>
              <w:t>46</w:t>
            </w:r>
          </w:p>
        </w:tc>
        <w:tc>
          <w:tcPr>
            <w:tcW w:w="879" w:type="dxa"/>
            <w:tcBorders>
              <w:top w:val="nil"/>
              <w:left w:val="nil"/>
              <w:bottom w:val="single" w:sz="4" w:space="0" w:color="auto"/>
              <w:right w:val="single" w:sz="4" w:space="0" w:color="auto"/>
            </w:tcBorders>
            <w:shd w:val="clear" w:color="auto" w:fill="auto"/>
            <w:noWrap/>
            <w:vAlign w:val="center"/>
            <w:hideMark/>
          </w:tcPr>
          <w:p w14:paraId="13B91183"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901061072</w:t>
            </w:r>
          </w:p>
        </w:tc>
        <w:tc>
          <w:tcPr>
            <w:tcW w:w="4258" w:type="dxa"/>
            <w:tcBorders>
              <w:top w:val="nil"/>
              <w:left w:val="nil"/>
              <w:bottom w:val="single" w:sz="4" w:space="0" w:color="auto"/>
              <w:right w:val="single" w:sz="4" w:space="0" w:color="auto"/>
            </w:tcBorders>
            <w:shd w:val="clear" w:color="auto" w:fill="auto"/>
            <w:vAlign w:val="center"/>
            <w:hideMark/>
          </w:tcPr>
          <w:p w14:paraId="3DE1927A"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ELECTRIFICADORA DE NARIÑO SUR E.A.T.</w:t>
            </w:r>
          </w:p>
        </w:tc>
        <w:tc>
          <w:tcPr>
            <w:tcW w:w="1559" w:type="dxa"/>
            <w:tcBorders>
              <w:top w:val="nil"/>
              <w:left w:val="nil"/>
              <w:bottom w:val="single" w:sz="4" w:space="0" w:color="auto"/>
              <w:right w:val="single" w:sz="4" w:space="0" w:color="auto"/>
            </w:tcBorders>
            <w:shd w:val="clear" w:color="auto" w:fill="auto"/>
            <w:noWrap/>
            <w:vAlign w:val="center"/>
            <w:hideMark/>
          </w:tcPr>
          <w:p w14:paraId="11BD1B87" w14:textId="2FD6F145"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127</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966</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192 </w:t>
            </w:r>
          </w:p>
        </w:tc>
        <w:tc>
          <w:tcPr>
            <w:tcW w:w="1559" w:type="dxa"/>
            <w:tcBorders>
              <w:top w:val="nil"/>
              <w:left w:val="nil"/>
              <w:bottom w:val="single" w:sz="4" w:space="0" w:color="auto"/>
              <w:right w:val="single" w:sz="4" w:space="0" w:color="auto"/>
            </w:tcBorders>
            <w:shd w:val="clear" w:color="auto" w:fill="auto"/>
            <w:noWrap/>
            <w:vAlign w:val="center"/>
            <w:hideMark/>
          </w:tcPr>
          <w:p w14:paraId="1ED5CF47" w14:textId="488F6036"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1</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279</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662 </w:t>
            </w:r>
          </w:p>
        </w:tc>
      </w:tr>
      <w:tr w:rsidR="00AE6A98" w:rsidRPr="00AE6A98" w14:paraId="67442B5E" w14:textId="77777777" w:rsidTr="00AE6A98">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6EFC9362"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47</w:t>
            </w:r>
          </w:p>
        </w:tc>
        <w:tc>
          <w:tcPr>
            <w:tcW w:w="879" w:type="dxa"/>
            <w:tcBorders>
              <w:top w:val="nil"/>
              <w:left w:val="nil"/>
              <w:bottom w:val="single" w:sz="4" w:space="0" w:color="auto"/>
              <w:right w:val="single" w:sz="4" w:space="0" w:color="auto"/>
            </w:tcBorders>
            <w:shd w:val="clear" w:color="auto" w:fill="auto"/>
            <w:noWrap/>
            <w:vAlign w:val="center"/>
            <w:hideMark/>
          </w:tcPr>
          <w:p w14:paraId="6AAF1740"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890201230</w:t>
            </w:r>
          </w:p>
        </w:tc>
        <w:tc>
          <w:tcPr>
            <w:tcW w:w="4258" w:type="dxa"/>
            <w:tcBorders>
              <w:top w:val="nil"/>
              <w:left w:val="nil"/>
              <w:bottom w:val="single" w:sz="4" w:space="0" w:color="auto"/>
              <w:right w:val="single" w:sz="4" w:space="0" w:color="auto"/>
            </w:tcBorders>
            <w:shd w:val="clear" w:color="auto" w:fill="auto"/>
            <w:vAlign w:val="center"/>
            <w:hideMark/>
          </w:tcPr>
          <w:p w14:paraId="5A1BEDCE"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ELECTRIFICADORA DE SANTANDER S.A. E.S.P.</w:t>
            </w:r>
          </w:p>
        </w:tc>
        <w:tc>
          <w:tcPr>
            <w:tcW w:w="1559" w:type="dxa"/>
            <w:tcBorders>
              <w:top w:val="nil"/>
              <w:left w:val="nil"/>
              <w:bottom w:val="single" w:sz="4" w:space="0" w:color="auto"/>
              <w:right w:val="single" w:sz="4" w:space="0" w:color="auto"/>
            </w:tcBorders>
            <w:shd w:val="clear" w:color="auto" w:fill="auto"/>
            <w:noWrap/>
            <w:vAlign w:val="center"/>
            <w:hideMark/>
          </w:tcPr>
          <w:p w14:paraId="7C7EE5D4" w14:textId="3607D2C1"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54</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544</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507</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375 </w:t>
            </w:r>
          </w:p>
        </w:tc>
        <w:tc>
          <w:tcPr>
            <w:tcW w:w="1559" w:type="dxa"/>
            <w:tcBorders>
              <w:top w:val="nil"/>
              <w:left w:val="nil"/>
              <w:bottom w:val="single" w:sz="4" w:space="0" w:color="auto"/>
              <w:right w:val="single" w:sz="4" w:space="0" w:color="auto"/>
            </w:tcBorders>
            <w:shd w:val="clear" w:color="auto" w:fill="auto"/>
            <w:noWrap/>
            <w:vAlign w:val="center"/>
            <w:hideMark/>
          </w:tcPr>
          <w:p w14:paraId="2B43E8BC" w14:textId="39906D02"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545</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445</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074 </w:t>
            </w:r>
          </w:p>
        </w:tc>
      </w:tr>
      <w:tr w:rsidR="00AE6A98" w:rsidRPr="00AE6A98" w14:paraId="278DD1FF" w14:textId="77777777" w:rsidTr="00AE6A98">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3D40A265"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48</w:t>
            </w:r>
          </w:p>
        </w:tc>
        <w:tc>
          <w:tcPr>
            <w:tcW w:w="879" w:type="dxa"/>
            <w:tcBorders>
              <w:top w:val="nil"/>
              <w:left w:val="nil"/>
              <w:bottom w:val="single" w:sz="4" w:space="0" w:color="auto"/>
              <w:right w:val="single" w:sz="4" w:space="0" w:color="auto"/>
            </w:tcBorders>
            <w:shd w:val="clear" w:color="auto" w:fill="auto"/>
            <w:noWrap/>
            <w:vAlign w:val="center"/>
            <w:hideMark/>
          </w:tcPr>
          <w:p w14:paraId="73A2D015"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891190127</w:t>
            </w:r>
          </w:p>
        </w:tc>
        <w:tc>
          <w:tcPr>
            <w:tcW w:w="4258" w:type="dxa"/>
            <w:tcBorders>
              <w:top w:val="nil"/>
              <w:left w:val="nil"/>
              <w:bottom w:val="single" w:sz="4" w:space="0" w:color="auto"/>
              <w:right w:val="single" w:sz="4" w:space="0" w:color="auto"/>
            </w:tcBorders>
            <w:shd w:val="clear" w:color="auto" w:fill="auto"/>
            <w:vAlign w:val="center"/>
            <w:hideMark/>
          </w:tcPr>
          <w:p w14:paraId="4815BC33"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ELECTRIFICADORA DEL CAQUETA S.A. ESP</w:t>
            </w:r>
          </w:p>
        </w:tc>
        <w:tc>
          <w:tcPr>
            <w:tcW w:w="1559" w:type="dxa"/>
            <w:tcBorders>
              <w:top w:val="nil"/>
              <w:left w:val="nil"/>
              <w:bottom w:val="single" w:sz="4" w:space="0" w:color="auto"/>
              <w:right w:val="single" w:sz="4" w:space="0" w:color="auto"/>
            </w:tcBorders>
            <w:shd w:val="clear" w:color="auto" w:fill="auto"/>
            <w:noWrap/>
            <w:vAlign w:val="center"/>
            <w:hideMark/>
          </w:tcPr>
          <w:p w14:paraId="04E1D310" w14:textId="0412CC62"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6</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545</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045</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012 </w:t>
            </w:r>
          </w:p>
        </w:tc>
        <w:tc>
          <w:tcPr>
            <w:tcW w:w="1559" w:type="dxa"/>
            <w:tcBorders>
              <w:top w:val="nil"/>
              <w:left w:val="nil"/>
              <w:bottom w:val="single" w:sz="4" w:space="0" w:color="auto"/>
              <w:right w:val="single" w:sz="4" w:space="0" w:color="auto"/>
            </w:tcBorders>
            <w:shd w:val="clear" w:color="auto" w:fill="auto"/>
            <w:noWrap/>
            <w:vAlign w:val="center"/>
            <w:hideMark/>
          </w:tcPr>
          <w:p w14:paraId="666ABAD1" w14:textId="6CC71159"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65</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450</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450 </w:t>
            </w:r>
          </w:p>
        </w:tc>
      </w:tr>
      <w:tr w:rsidR="00AE6A98" w:rsidRPr="00AE6A98" w14:paraId="499359F6" w14:textId="77777777" w:rsidTr="00AE6A98">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06BDF6F6"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49</w:t>
            </w:r>
          </w:p>
        </w:tc>
        <w:tc>
          <w:tcPr>
            <w:tcW w:w="879" w:type="dxa"/>
            <w:tcBorders>
              <w:top w:val="nil"/>
              <w:left w:val="nil"/>
              <w:bottom w:val="single" w:sz="4" w:space="0" w:color="auto"/>
              <w:right w:val="single" w:sz="4" w:space="0" w:color="auto"/>
            </w:tcBorders>
            <w:shd w:val="clear" w:color="auto" w:fill="auto"/>
            <w:noWrap/>
            <w:vAlign w:val="center"/>
            <w:hideMark/>
          </w:tcPr>
          <w:p w14:paraId="40B7EE3E"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891180001</w:t>
            </w:r>
          </w:p>
        </w:tc>
        <w:tc>
          <w:tcPr>
            <w:tcW w:w="4258" w:type="dxa"/>
            <w:tcBorders>
              <w:top w:val="nil"/>
              <w:left w:val="nil"/>
              <w:bottom w:val="single" w:sz="4" w:space="0" w:color="auto"/>
              <w:right w:val="single" w:sz="4" w:space="0" w:color="auto"/>
            </w:tcBorders>
            <w:shd w:val="clear" w:color="auto" w:fill="auto"/>
            <w:vAlign w:val="center"/>
            <w:hideMark/>
          </w:tcPr>
          <w:p w14:paraId="6B3BA72C"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ELECTRIFICADORA DEL HUILA S.A. E.S.P.</w:t>
            </w:r>
          </w:p>
        </w:tc>
        <w:tc>
          <w:tcPr>
            <w:tcW w:w="1559" w:type="dxa"/>
            <w:tcBorders>
              <w:top w:val="nil"/>
              <w:left w:val="nil"/>
              <w:bottom w:val="single" w:sz="4" w:space="0" w:color="auto"/>
              <w:right w:val="single" w:sz="4" w:space="0" w:color="auto"/>
            </w:tcBorders>
            <w:shd w:val="clear" w:color="auto" w:fill="auto"/>
            <w:noWrap/>
            <w:vAlign w:val="center"/>
            <w:hideMark/>
          </w:tcPr>
          <w:p w14:paraId="6A893D57" w14:textId="11C5EE9E"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25</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248</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238</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233 </w:t>
            </w:r>
          </w:p>
        </w:tc>
        <w:tc>
          <w:tcPr>
            <w:tcW w:w="1559" w:type="dxa"/>
            <w:tcBorders>
              <w:top w:val="nil"/>
              <w:left w:val="nil"/>
              <w:bottom w:val="single" w:sz="4" w:space="0" w:color="auto"/>
              <w:right w:val="single" w:sz="4" w:space="0" w:color="auto"/>
            </w:tcBorders>
            <w:shd w:val="clear" w:color="auto" w:fill="auto"/>
            <w:noWrap/>
            <w:vAlign w:val="center"/>
            <w:hideMark/>
          </w:tcPr>
          <w:p w14:paraId="2E032446" w14:textId="5DEEAB06"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252</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482</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382 </w:t>
            </w:r>
          </w:p>
        </w:tc>
      </w:tr>
      <w:tr w:rsidR="00AE6A98" w:rsidRPr="00AE6A98" w14:paraId="49802E4E" w14:textId="77777777" w:rsidTr="00AE6A98">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34EF059D"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50</w:t>
            </w:r>
          </w:p>
        </w:tc>
        <w:tc>
          <w:tcPr>
            <w:tcW w:w="879" w:type="dxa"/>
            <w:tcBorders>
              <w:top w:val="nil"/>
              <w:left w:val="nil"/>
              <w:bottom w:val="single" w:sz="4" w:space="0" w:color="auto"/>
              <w:right w:val="single" w:sz="4" w:space="0" w:color="auto"/>
            </w:tcBorders>
            <w:shd w:val="clear" w:color="auto" w:fill="auto"/>
            <w:noWrap/>
            <w:vAlign w:val="center"/>
            <w:hideMark/>
          </w:tcPr>
          <w:p w14:paraId="50B72A4E"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892002210</w:t>
            </w:r>
          </w:p>
        </w:tc>
        <w:tc>
          <w:tcPr>
            <w:tcW w:w="4258" w:type="dxa"/>
            <w:tcBorders>
              <w:top w:val="nil"/>
              <w:left w:val="nil"/>
              <w:bottom w:val="single" w:sz="4" w:space="0" w:color="auto"/>
              <w:right w:val="single" w:sz="4" w:space="0" w:color="auto"/>
            </w:tcBorders>
            <w:shd w:val="clear" w:color="auto" w:fill="auto"/>
            <w:vAlign w:val="center"/>
            <w:hideMark/>
          </w:tcPr>
          <w:p w14:paraId="1DDEDD1C"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ELECTRIFICADORA DEL META S.A. E.S.P.</w:t>
            </w:r>
          </w:p>
        </w:tc>
        <w:tc>
          <w:tcPr>
            <w:tcW w:w="1559" w:type="dxa"/>
            <w:tcBorders>
              <w:top w:val="nil"/>
              <w:left w:val="nil"/>
              <w:bottom w:val="single" w:sz="4" w:space="0" w:color="auto"/>
              <w:right w:val="single" w:sz="4" w:space="0" w:color="auto"/>
            </w:tcBorders>
            <w:shd w:val="clear" w:color="auto" w:fill="auto"/>
            <w:noWrap/>
            <w:vAlign w:val="center"/>
            <w:hideMark/>
          </w:tcPr>
          <w:p w14:paraId="09D54ECC" w14:textId="1AFDD7E1"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17</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516</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464</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368 </w:t>
            </w:r>
          </w:p>
        </w:tc>
        <w:tc>
          <w:tcPr>
            <w:tcW w:w="1559" w:type="dxa"/>
            <w:tcBorders>
              <w:top w:val="nil"/>
              <w:left w:val="nil"/>
              <w:bottom w:val="single" w:sz="4" w:space="0" w:color="auto"/>
              <w:right w:val="single" w:sz="4" w:space="0" w:color="auto"/>
            </w:tcBorders>
            <w:shd w:val="clear" w:color="auto" w:fill="auto"/>
            <w:noWrap/>
            <w:vAlign w:val="center"/>
            <w:hideMark/>
          </w:tcPr>
          <w:p w14:paraId="573C907F" w14:textId="1992A216"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175</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164</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644 </w:t>
            </w:r>
          </w:p>
        </w:tc>
      </w:tr>
      <w:tr w:rsidR="00AE6A98" w:rsidRPr="00AE6A98" w14:paraId="21DC4218" w14:textId="77777777" w:rsidTr="00AE6A98">
        <w:trPr>
          <w:trHeight w:val="46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557D3BD4"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51</w:t>
            </w:r>
          </w:p>
        </w:tc>
        <w:tc>
          <w:tcPr>
            <w:tcW w:w="879" w:type="dxa"/>
            <w:tcBorders>
              <w:top w:val="nil"/>
              <w:left w:val="nil"/>
              <w:bottom w:val="single" w:sz="4" w:space="0" w:color="auto"/>
              <w:right w:val="single" w:sz="4" w:space="0" w:color="auto"/>
            </w:tcBorders>
            <w:shd w:val="clear" w:color="auto" w:fill="auto"/>
            <w:noWrap/>
            <w:vAlign w:val="center"/>
            <w:hideMark/>
          </w:tcPr>
          <w:p w14:paraId="406D1785"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818000192</w:t>
            </w:r>
          </w:p>
        </w:tc>
        <w:tc>
          <w:tcPr>
            <w:tcW w:w="4258" w:type="dxa"/>
            <w:tcBorders>
              <w:top w:val="nil"/>
              <w:left w:val="nil"/>
              <w:bottom w:val="single" w:sz="4" w:space="0" w:color="auto"/>
              <w:right w:val="single" w:sz="4" w:space="0" w:color="auto"/>
            </w:tcBorders>
            <w:shd w:val="clear" w:color="auto" w:fill="auto"/>
            <w:vAlign w:val="center"/>
            <w:hideMark/>
          </w:tcPr>
          <w:p w14:paraId="342C2B8C"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ELECTRIFICADORA DEL MUNICIPIO DE RIOSUCIO CHOCO S.A. E.S.P.</w:t>
            </w:r>
          </w:p>
        </w:tc>
        <w:tc>
          <w:tcPr>
            <w:tcW w:w="1559" w:type="dxa"/>
            <w:tcBorders>
              <w:top w:val="nil"/>
              <w:left w:val="nil"/>
              <w:bottom w:val="single" w:sz="4" w:space="0" w:color="auto"/>
              <w:right w:val="single" w:sz="4" w:space="0" w:color="auto"/>
            </w:tcBorders>
            <w:shd w:val="clear" w:color="auto" w:fill="auto"/>
            <w:noWrap/>
            <w:vAlign w:val="center"/>
            <w:hideMark/>
          </w:tcPr>
          <w:p w14:paraId="1D8F78B9" w14:textId="01087F14"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683</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268</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594 </w:t>
            </w:r>
          </w:p>
        </w:tc>
        <w:tc>
          <w:tcPr>
            <w:tcW w:w="1559" w:type="dxa"/>
            <w:tcBorders>
              <w:top w:val="nil"/>
              <w:left w:val="nil"/>
              <w:bottom w:val="single" w:sz="4" w:space="0" w:color="auto"/>
              <w:right w:val="single" w:sz="4" w:space="0" w:color="auto"/>
            </w:tcBorders>
            <w:shd w:val="clear" w:color="auto" w:fill="auto"/>
            <w:noWrap/>
            <w:vAlign w:val="center"/>
            <w:hideMark/>
          </w:tcPr>
          <w:p w14:paraId="24170309" w14:textId="1C48CEA1"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6</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832</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686 </w:t>
            </w:r>
          </w:p>
        </w:tc>
      </w:tr>
      <w:tr w:rsidR="00AE6A98" w:rsidRPr="00AE6A98" w14:paraId="556CB474" w14:textId="77777777" w:rsidTr="00AE6A98">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19E053AF"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52</w:t>
            </w:r>
          </w:p>
        </w:tc>
        <w:tc>
          <w:tcPr>
            <w:tcW w:w="879" w:type="dxa"/>
            <w:tcBorders>
              <w:top w:val="nil"/>
              <w:left w:val="nil"/>
              <w:bottom w:val="single" w:sz="4" w:space="0" w:color="auto"/>
              <w:right w:val="single" w:sz="4" w:space="0" w:color="auto"/>
            </w:tcBorders>
            <w:shd w:val="clear" w:color="auto" w:fill="auto"/>
            <w:noWrap/>
            <w:vAlign w:val="center"/>
            <w:hideMark/>
          </w:tcPr>
          <w:p w14:paraId="4DF7268F"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901296315</w:t>
            </w:r>
          </w:p>
        </w:tc>
        <w:tc>
          <w:tcPr>
            <w:tcW w:w="4258" w:type="dxa"/>
            <w:tcBorders>
              <w:top w:val="nil"/>
              <w:left w:val="nil"/>
              <w:bottom w:val="single" w:sz="4" w:space="0" w:color="auto"/>
              <w:right w:val="single" w:sz="4" w:space="0" w:color="auto"/>
            </w:tcBorders>
            <w:shd w:val="clear" w:color="auto" w:fill="auto"/>
            <w:vAlign w:val="center"/>
            <w:hideMark/>
          </w:tcPr>
          <w:p w14:paraId="1D8F0874"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ELECTRIFICADORA ENTRE RIOS S.A.S</w:t>
            </w:r>
          </w:p>
        </w:tc>
        <w:tc>
          <w:tcPr>
            <w:tcW w:w="1559" w:type="dxa"/>
            <w:tcBorders>
              <w:top w:val="nil"/>
              <w:left w:val="nil"/>
              <w:bottom w:val="single" w:sz="4" w:space="0" w:color="auto"/>
              <w:right w:val="single" w:sz="4" w:space="0" w:color="auto"/>
            </w:tcBorders>
            <w:shd w:val="clear" w:color="auto" w:fill="auto"/>
            <w:noWrap/>
            <w:vAlign w:val="center"/>
            <w:hideMark/>
          </w:tcPr>
          <w:p w14:paraId="13440F14" w14:textId="4A6360FB"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69</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811</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316 </w:t>
            </w:r>
          </w:p>
        </w:tc>
        <w:tc>
          <w:tcPr>
            <w:tcW w:w="1559" w:type="dxa"/>
            <w:tcBorders>
              <w:top w:val="nil"/>
              <w:left w:val="nil"/>
              <w:bottom w:val="single" w:sz="4" w:space="0" w:color="auto"/>
              <w:right w:val="single" w:sz="4" w:space="0" w:color="auto"/>
            </w:tcBorders>
            <w:shd w:val="clear" w:color="auto" w:fill="auto"/>
            <w:noWrap/>
            <w:vAlign w:val="center"/>
            <w:hideMark/>
          </w:tcPr>
          <w:p w14:paraId="350329F0" w14:textId="6240985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698</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113 </w:t>
            </w:r>
          </w:p>
        </w:tc>
      </w:tr>
      <w:tr w:rsidR="00AE6A98" w:rsidRPr="00AE6A98" w14:paraId="6445BBC2" w14:textId="77777777" w:rsidTr="00AE6A98">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46539EEE"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53</w:t>
            </w:r>
          </w:p>
        </w:tc>
        <w:tc>
          <w:tcPr>
            <w:tcW w:w="879" w:type="dxa"/>
            <w:tcBorders>
              <w:top w:val="nil"/>
              <w:left w:val="nil"/>
              <w:bottom w:val="single" w:sz="4" w:space="0" w:color="auto"/>
              <w:right w:val="single" w:sz="4" w:space="0" w:color="auto"/>
            </w:tcBorders>
            <w:shd w:val="clear" w:color="auto" w:fill="auto"/>
            <w:noWrap/>
            <w:vAlign w:val="center"/>
            <w:hideMark/>
          </w:tcPr>
          <w:p w14:paraId="1104F3AB"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901236609</w:t>
            </w:r>
          </w:p>
        </w:tc>
        <w:tc>
          <w:tcPr>
            <w:tcW w:w="4258" w:type="dxa"/>
            <w:tcBorders>
              <w:top w:val="nil"/>
              <w:left w:val="nil"/>
              <w:bottom w:val="single" w:sz="4" w:space="0" w:color="auto"/>
              <w:right w:val="single" w:sz="4" w:space="0" w:color="auto"/>
            </w:tcBorders>
            <w:shd w:val="clear" w:color="auto" w:fill="auto"/>
            <w:vAlign w:val="center"/>
            <w:hideMark/>
          </w:tcPr>
          <w:p w14:paraId="0604AD7C"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EMCOLEN S.A.S. E.S.P.</w:t>
            </w:r>
          </w:p>
        </w:tc>
        <w:tc>
          <w:tcPr>
            <w:tcW w:w="1559" w:type="dxa"/>
            <w:tcBorders>
              <w:top w:val="nil"/>
              <w:left w:val="nil"/>
              <w:bottom w:val="single" w:sz="4" w:space="0" w:color="auto"/>
              <w:right w:val="single" w:sz="4" w:space="0" w:color="auto"/>
            </w:tcBorders>
            <w:shd w:val="clear" w:color="auto" w:fill="auto"/>
            <w:noWrap/>
            <w:vAlign w:val="center"/>
            <w:hideMark/>
          </w:tcPr>
          <w:p w14:paraId="7C8010A9" w14:textId="62288161"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186</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957</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605 </w:t>
            </w:r>
          </w:p>
        </w:tc>
        <w:tc>
          <w:tcPr>
            <w:tcW w:w="1559" w:type="dxa"/>
            <w:tcBorders>
              <w:top w:val="nil"/>
              <w:left w:val="nil"/>
              <w:bottom w:val="single" w:sz="4" w:space="0" w:color="auto"/>
              <w:right w:val="single" w:sz="4" w:space="0" w:color="auto"/>
            </w:tcBorders>
            <w:shd w:val="clear" w:color="auto" w:fill="auto"/>
            <w:noWrap/>
            <w:vAlign w:val="center"/>
            <w:hideMark/>
          </w:tcPr>
          <w:p w14:paraId="580C2073" w14:textId="35617045"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1</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869</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576 </w:t>
            </w:r>
          </w:p>
        </w:tc>
      </w:tr>
      <w:tr w:rsidR="00AE6A98" w:rsidRPr="00AE6A98" w14:paraId="267A8546" w14:textId="77777777" w:rsidTr="00AE6A98">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6240F577"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54</w:t>
            </w:r>
          </w:p>
        </w:tc>
        <w:tc>
          <w:tcPr>
            <w:tcW w:w="879" w:type="dxa"/>
            <w:tcBorders>
              <w:top w:val="nil"/>
              <w:left w:val="nil"/>
              <w:bottom w:val="single" w:sz="4" w:space="0" w:color="auto"/>
              <w:right w:val="single" w:sz="4" w:space="0" w:color="auto"/>
            </w:tcBorders>
            <w:shd w:val="clear" w:color="auto" w:fill="auto"/>
            <w:noWrap/>
            <w:vAlign w:val="center"/>
            <w:hideMark/>
          </w:tcPr>
          <w:p w14:paraId="7115B6F6"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860063875</w:t>
            </w:r>
          </w:p>
        </w:tc>
        <w:tc>
          <w:tcPr>
            <w:tcW w:w="4258" w:type="dxa"/>
            <w:tcBorders>
              <w:top w:val="nil"/>
              <w:left w:val="nil"/>
              <w:bottom w:val="single" w:sz="4" w:space="0" w:color="auto"/>
              <w:right w:val="single" w:sz="4" w:space="0" w:color="auto"/>
            </w:tcBorders>
            <w:shd w:val="clear" w:color="auto" w:fill="auto"/>
            <w:vAlign w:val="center"/>
            <w:hideMark/>
          </w:tcPr>
          <w:p w14:paraId="6918E850"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EMGESA S.A. E.S.P.</w:t>
            </w:r>
          </w:p>
        </w:tc>
        <w:tc>
          <w:tcPr>
            <w:tcW w:w="1559" w:type="dxa"/>
            <w:tcBorders>
              <w:top w:val="nil"/>
              <w:left w:val="nil"/>
              <w:bottom w:val="single" w:sz="4" w:space="0" w:color="auto"/>
              <w:right w:val="single" w:sz="4" w:space="0" w:color="auto"/>
            </w:tcBorders>
            <w:shd w:val="clear" w:color="auto" w:fill="auto"/>
            <w:noWrap/>
            <w:vAlign w:val="center"/>
            <w:hideMark/>
          </w:tcPr>
          <w:p w14:paraId="7B952318" w14:textId="07B1FE64"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84</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643</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016</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616 </w:t>
            </w:r>
          </w:p>
        </w:tc>
        <w:tc>
          <w:tcPr>
            <w:tcW w:w="1559" w:type="dxa"/>
            <w:tcBorders>
              <w:top w:val="nil"/>
              <w:left w:val="nil"/>
              <w:bottom w:val="single" w:sz="4" w:space="0" w:color="auto"/>
              <w:right w:val="single" w:sz="4" w:space="0" w:color="auto"/>
            </w:tcBorders>
            <w:shd w:val="clear" w:color="auto" w:fill="auto"/>
            <w:noWrap/>
            <w:vAlign w:val="center"/>
            <w:hideMark/>
          </w:tcPr>
          <w:p w14:paraId="23704E5A" w14:textId="5D719AB0"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846</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430</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166 </w:t>
            </w:r>
          </w:p>
        </w:tc>
      </w:tr>
      <w:tr w:rsidR="00AE6A98" w:rsidRPr="00AE6A98" w14:paraId="7AB0E0B0" w14:textId="77777777" w:rsidTr="00AE6A98">
        <w:trPr>
          <w:trHeight w:val="46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45579935"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55</w:t>
            </w:r>
          </w:p>
        </w:tc>
        <w:tc>
          <w:tcPr>
            <w:tcW w:w="879" w:type="dxa"/>
            <w:tcBorders>
              <w:top w:val="nil"/>
              <w:left w:val="nil"/>
              <w:bottom w:val="single" w:sz="4" w:space="0" w:color="auto"/>
              <w:right w:val="single" w:sz="4" w:space="0" w:color="auto"/>
            </w:tcBorders>
            <w:shd w:val="clear" w:color="auto" w:fill="auto"/>
            <w:noWrap/>
            <w:vAlign w:val="center"/>
            <w:hideMark/>
          </w:tcPr>
          <w:p w14:paraId="4C9D6ABB"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846000021</w:t>
            </w:r>
          </w:p>
        </w:tc>
        <w:tc>
          <w:tcPr>
            <w:tcW w:w="4258" w:type="dxa"/>
            <w:tcBorders>
              <w:top w:val="nil"/>
              <w:left w:val="nil"/>
              <w:bottom w:val="single" w:sz="4" w:space="0" w:color="auto"/>
              <w:right w:val="single" w:sz="4" w:space="0" w:color="auto"/>
            </w:tcBorders>
            <w:shd w:val="clear" w:color="auto" w:fill="auto"/>
            <w:vAlign w:val="center"/>
            <w:hideMark/>
          </w:tcPr>
          <w:p w14:paraId="4E147807"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EMPRESA  DE SERVICIOS PUBLICOS DE LEGUIZAMO</w:t>
            </w:r>
          </w:p>
        </w:tc>
        <w:tc>
          <w:tcPr>
            <w:tcW w:w="1559" w:type="dxa"/>
            <w:tcBorders>
              <w:top w:val="nil"/>
              <w:left w:val="nil"/>
              <w:bottom w:val="single" w:sz="4" w:space="0" w:color="auto"/>
              <w:right w:val="single" w:sz="4" w:space="0" w:color="auto"/>
            </w:tcBorders>
            <w:shd w:val="clear" w:color="auto" w:fill="auto"/>
            <w:noWrap/>
            <w:vAlign w:val="center"/>
            <w:hideMark/>
          </w:tcPr>
          <w:p w14:paraId="024D7432" w14:textId="190064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266</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775</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371 </w:t>
            </w:r>
          </w:p>
        </w:tc>
        <w:tc>
          <w:tcPr>
            <w:tcW w:w="1559" w:type="dxa"/>
            <w:tcBorders>
              <w:top w:val="nil"/>
              <w:left w:val="nil"/>
              <w:bottom w:val="single" w:sz="4" w:space="0" w:color="auto"/>
              <w:right w:val="single" w:sz="4" w:space="0" w:color="auto"/>
            </w:tcBorders>
            <w:shd w:val="clear" w:color="auto" w:fill="auto"/>
            <w:noWrap/>
            <w:vAlign w:val="center"/>
            <w:hideMark/>
          </w:tcPr>
          <w:p w14:paraId="706F58DC" w14:textId="4B1BF8CB"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2</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667</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754 </w:t>
            </w:r>
          </w:p>
        </w:tc>
      </w:tr>
      <w:tr w:rsidR="00AE6A98" w:rsidRPr="00AE6A98" w14:paraId="7CB6FF24" w14:textId="77777777" w:rsidTr="00AE6A98">
        <w:trPr>
          <w:trHeight w:val="6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6EA8BEF0"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56</w:t>
            </w:r>
          </w:p>
        </w:tc>
        <w:tc>
          <w:tcPr>
            <w:tcW w:w="879" w:type="dxa"/>
            <w:tcBorders>
              <w:top w:val="nil"/>
              <w:left w:val="nil"/>
              <w:bottom w:val="single" w:sz="4" w:space="0" w:color="auto"/>
              <w:right w:val="single" w:sz="4" w:space="0" w:color="auto"/>
            </w:tcBorders>
            <w:shd w:val="clear" w:color="auto" w:fill="auto"/>
            <w:noWrap/>
            <w:vAlign w:val="center"/>
            <w:hideMark/>
          </w:tcPr>
          <w:p w14:paraId="5AB1F8E5"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840000620</w:t>
            </w:r>
          </w:p>
        </w:tc>
        <w:tc>
          <w:tcPr>
            <w:tcW w:w="4258" w:type="dxa"/>
            <w:tcBorders>
              <w:top w:val="nil"/>
              <w:left w:val="nil"/>
              <w:bottom w:val="single" w:sz="4" w:space="0" w:color="auto"/>
              <w:right w:val="single" w:sz="4" w:space="0" w:color="auto"/>
            </w:tcBorders>
            <w:shd w:val="clear" w:color="auto" w:fill="auto"/>
            <w:vAlign w:val="center"/>
            <w:hideMark/>
          </w:tcPr>
          <w:p w14:paraId="78A63ED5"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EMPRESA ASOCIATIVA DE TRABAJO ELECTRIFICADORA  DE  SAN JUAN DE LA COSTA E.S.P. </w:t>
            </w:r>
          </w:p>
        </w:tc>
        <w:tc>
          <w:tcPr>
            <w:tcW w:w="1559" w:type="dxa"/>
            <w:tcBorders>
              <w:top w:val="nil"/>
              <w:left w:val="nil"/>
              <w:bottom w:val="single" w:sz="4" w:space="0" w:color="auto"/>
              <w:right w:val="single" w:sz="4" w:space="0" w:color="auto"/>
            </w:tcBorders>
            <w:shd w:val="clear" w:color="auto" w:fill="auto"/>
            <w:noWrap/>
            <w:vAlign w:val="center"/>
            <w:hideMark/>
          </w:tcPr>
          <w:p w14:paraId="1CC562D3" w14:textId="37ED0061"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37</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413</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111 </w:t>
            </w:r>
          </w:p>
        </w:tc>
        <w:tc>
          <w:tcPr>
            <w:tcW w:w="1559" w:type="dxa"/>
            <w:tcBorders>
              <w:top w:val="nil"/>
              <w:left w:val="nil"/>
              <w:bottom w:val="single" w:sz="4" w:space="0" w:color="auto"/>
              <w:right w:val="single" w:sz="4" w:space="0" w:color="auto"/>
            </w:tcBorders>
            <w:shd w:val="clear" w:color="auto" w:fill="auto"/>
            <w:noWrap/>
            <w:vAlign w:val="center"/>
            <w:hideMark/>
          </w:tcPr>
          <w:p w14:paraId="5B6CEC6D" w14:textId="6570D774"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374</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131 </w:t>
            </w:r>
          </w:p>
        </w:tc>
      </w:tr>
      <w:tr w:rsidR="00AE6A98" w:rsidRPr="00AE6A98" w14:paraId="031D4654" w14:textId="77777777" w:rsidTr="00AE6A98">
        <w:trPr>
          <w:trHeight w:val="46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1366F75A"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57</w:t>
            </w:r>
          </w:p>
        </w:tc>
        <w:tc>
          <w:tcPr>
            <w:tcW w:w="879" w:type="dxa"/>
            <w:tcBorders>
              <w:top w:val="nil"/>
              <w:left w:val="nil"/>
              <w:bottom w:val="single" w:sz="4" w:space="0" w:color="auto"/>
              <w:right w:val="single" w:sz="4" w:space="0" w:color="auto"/>
            </w:tcBorders>
            <w:shd w:val="clear" w:color="auto" w:fill="auto"/>
            <w:noWrap/>
            <w:vAlign w:val="center"/>
            <w:hideMark/>
          </w:tcPr>
          <w:p w14:paraId="702BE121"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900963765</w:t>
            </w:r>
          </w:p>
        </w:tc>
        <w:tc>
          <w:tcPr>
            <w:tcW w:w="4258" w:type="dxa"/>
            <w:tcBorders>
              <w:top w:val="nil"/>
              <w:left w:val="nil"/>
              <w:bottom w:val="single" w:sz="4" w:space="0" w:color="auto"/>
              <w:right w:val="single" w:sz="4" w:space="0" w:color="auto"/>
            </w:tcBorders>
            <w:shd w:val="clear" w:color="auto" w:fill="auto"/>
            <w:vAlign w:val="center"/>
            <w:hideMark/>
          </w:tcPr>
          <w:p w14:paraId="5E6899FC"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EMPRESA ASOCIATIVA DE TRABAJO ELECTRIFICADORA DEL PACIFICO SUR</w:t>
            </w:r>
          </w:p>
        </w:tc>
        <w:tc>
          <w:tcPr>
            <w:tcW w:w="1559" w:type="dxa"/>
            <w:tcBorders>
              <w:top w:val="nil"/>
              <w:left w:val="nil"/>
              <w:bottom w:val="single" w:sz="4" w:space="0" w:color="auto"/>
              <w:right w:val="single" w:sz="4" w:space="0" w:color="auto"/>
            </w:tcBorders>
            <w:shd w:val="clear" w:color="auto" w:fill="auto"/>
            <w:noWrap/>
            <w:vAlign w:val="center"/>
            <w:hideMark/>
          </w:tcPr>
          <w:p w14:paraId="6DE84112" w14:textId="144701C0"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325</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348</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327 </w:t>
            </w:r>
          </w:p>
        </w:tc>
        <w:tc>
          <w:tcPr>
            <w:tcW w:w="1559" w:type="dxa"/>
            <w:tcBorders>
              <w:top w:val="nil"/>
              <w:left w:val="nil"/>
              <w:bottom w:val="single" w:sz="4" w:space="0" w:color="auto"/>
              <w:right w:val="single" w:sz="4" w:space="0" w:color="auto"/>
            </w:tcBorders>
            <w:shd w:val="clear" w:color="auto" w:fill="auto"/>
            <w:noWrap/>
            <w:vAlign w:val="center"/>
            <w:hideMark/>
          </w:tcPr>
          <w:p w14:paraId="0215384B" w14:textId="4A5AD365"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3</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253</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483 </w:t>
            </w:r>
          </w:p>
        </w:tc>
      </w:tr>
      <w:tr w:rsidR="00AE6A98" w:rsidRPr="00AE6A98" w14:paraId="01F58463" w14:textId="77777777" w:rsidTr="00AE6A98">
        <w:trPr>
          <w:trHeight w:val="46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151FB706"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58</w:t>
            </w:r>
          </w:p>
        </w:tc>
        <w:tc>
          <w:tcPr>
            <w:tcW w:w="879" w:type="dxa"/>
            <w:tcBorders>
              <w:top w:val="nil"/>
              <w:left w:val="nil"/>
              <w:bottom w:val="single" w:sz="4" w:space="0" w:color="auto"/>
              <w:right w:val="single" w:sz="4" w:space="0" w:color="auto"/>
            </w:tcBorders>
            <w:shd w:val="clear" w:color="auto" w:fill="auto"/>
            <w:noWrap/>
            <w:vAlign w:val="center"/>
            <w:hideMark/>
          </w:tcPr>
          <w:p w14:paraId="7CBD159F"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900470256</w:t>
            </w:r>
          </w:p>
        </w:tc>
        <w:tc>
          <w:tcPr>
            <w:tcW w:w="4258" w:type="dxa"/>
            <w:tcBorders>
              <w:top w:val="nil"/>
              <w:left w:val="nil"/>
              <w:bottom w:val="single" w:sz="4" w:space="0" w:color="auto"/>
              <w:right w:val="single" w:sz="4" w:space="0" w:color="auto"/>
            </w:tcBorders>
            <w:shd w:val="clear" w:color="auto" w:fill="auto"/>
            <w:vAlign w:val="center"/>
            <w:hideMark/>
          </w:tcPr>
          <w:p w14:paraId="7CF37308"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EMPRESA ASOCIATIVA DE TRABAJO ELECTROSOLEDAD DE ISCUANDE </w:t>
            </w:r>
          </w:p>
        </w:tc>
        <w:tc>
          <w:tcPr>
            <w:tcW w:w="1559" w:type="dxa"/>
            <w:tcBorders>
              <w:top w:val="nil"/>
              <w:left w:val="nil"/>
              <w:bottom w:val="single" w:sz="4" w:space="0" w:color="auto"/>
              <w:right w:val="single" w:sz="4" w:space="0" w:color="auto"/>
            </w:tcBorders>
            <w:shd w:val="clear" w:color="auto" w:fill="auto"/>
            <w:noWrap/>
            <w:vAlign w:val="center"/>
            <w:hideMark/>
          </w:tcPr>
          <w:p w14:paraId="2290F4DE" w14:textId="694C0DD4"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49</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910</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260 </w:t>
            </w:r>
          </w:p>
        </w:tc>
        <w:tc>
          <w:tcPr>
            <w:tcW w:w="1559" w:type="dxa"/>
            <w:tcBorders>
              <w:top w:val="nil"/>
              <w:left w:val="nil"/>
              <w:bottom w:val="single" w:sz="4" w:space="0" w:color="auto"/>
              <w:right w:val="single" w:sz="4" w:space="0" w:color="auto"/>
            </w:tcBorders>
            <w:shd w:val="clear" w:color="auto" w:fill="auto"/>
            <w:noWrap/>
            <w:vAlign w:val="center"/>
            <w:hideMark/>
          </w:tcPr>
          <w:p w14:paraId="2E0E9EF9" w14:textId="225F391E"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499</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103 </w:t>
            </w:r>
          </w:p>
        </w:tc>
      </w:tr>
      <w:tr w:rsidR="00AE6A98" w:rsidRPr="00AE6A98" w14:paraId="6C28B55B" w14:textId="77777777" w:rsidTr="00AE6A98">
        <w:trPr>
          <w:trHeight w:val="6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42E479D8"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59</w:t>
            </w:r>
          </w:p>
        </w:tc>
        <w:tc>
          <w:tcPr>
            <w:tcW w:w="879" w:type="dxa"/>
            <w:tcBorders>
              <w:top w:val="nil"/>
              <w:left w:val="nil"/>
              <w:bottom w:val="single" w:sz="4" w:space="0" w:color="auto"/>
              <w:right w:val="single" w:sz="4" w:space="0" w:color="auto"/>
            </w:tcBorders>
            <w:shd w:val="clear" w:color="auto" w:fill="auto"/>
            <w:noWrap/>
            <w:vAlign w:val="center"/>
            <w:hideMark/>
          </w:tcPr>
          <w:p w14:paraId="52232FEF"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900702684</w:t>
            </w:r>
          </w:p>
        </w:tc>
        <w:tc>
          <w:tcPr>
            <w:tcW w:w="4258" w:type="dxa"/>
            <w:tcBorders>
              <w:top w:val="nil"/>
              <w:left w:val="nil"/>
              <w:bottom w:val="single" w:sz="4" w:space="0" w:color="auto"/>
              <w:right w:val="single" w:sz="4" w:space="0" w:color="auto"/>
            </w:tcBorders>
            <w:shd w:val="clear" w:color="auto" w:fill="auto"/>
            <w:vAlign w:val="center"/>
            <w:hideMark/>
          </w:tcPr>
          <w:p w14:paraId="2AF2B3D9"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EMPRESA ASOCIATIVA DE TRABAJO ENERGIA DE OLAYA HERRERA EAT ENEROLAYAHERRERA E.S.P.</w:t>
            </w:r>
          </w:p>
        </w:tc>
        <w:tc>
          <w:tcPr>
            <w:tcW w:w="1559" w:type="dxa"/>
            <w:tcBorders>
              <w:top w:val="nil"/>
              <w:left w:val="nil"/>
              <w:bottom w:val="single" w:sz="4" w:space="0" w:color="auto"/>
              <w:right w:val="single" w:sz="4" w:space="0" w:color="auto"/>
            </w:tcBorders>
            <w:shd w:val="clear" w:color="auto" w:fill="auto"/>
            <w:noWrap/>
            <w:vAlign w:val="center"/>
            <w:hideMark/>
          </w:tcPr>
          <w:p w14:paraId="3BEA655F" w14:textId="5CD020E6"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621</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246</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862 </w:t>
            </w:r>
          </w:p>
        </w:tc>
        <w:tc>
          <w:tcPr>
            <w:tcW w:w="1559" w:type="dxa"/>
            <w:tcBorders>
              <w:top w:val="nil"/>
              <w:left w:val="nil"/>
              <w:bottom w:val="single" w:sz="4" w:space="0" w:color="auto"/>
              <w:right w:val="single" w:sz="4" w:space="0" w:color="auto"/>
            </w:tcBorders>
            <w:shd w:val="clear" w:color="auto" w:fill="auto"/>
            <w:noWrap/>
            <w:vAlign w:val="center"/>
            <w:hideMark/>
          </w:tcPr>
          <w:p w14:paraId="2A3FC9AD" w14:textId="77D57F0D"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6</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212</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469 </w:t>
            </w:r>
          </w:p>
        </w:tc>
      </w:tr>
      <w:tr w:rsidR="00AE6A98" w:rsidRPr="00AE6A98" w14:paraId="30E28EAF" w14:textId="77777777" w:rsidTr="00AE6A98">
        <w:trPr>
          <w:trHeight w:val="46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70C25725"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60</w:t>
            </w:r>
          </w:p>
        </w:tc>
        <w:tc>
          <w:tcPr>
            <w:tcW w:w="879" w:type="dxa"/>
            <w:tcBorders>
              <w:top w:val="nil"/>
              <w:left w:val="nil"/>
              <w:bottom w:val="single" w:sz="4" w:space="0" w:color="auto"/>
              <w:right w:val="single" w:sz="4" w:space="0" w:color="auto"/>
            </w:tcBorders>
            <w:shd w:val="clear" w:color="auto" w:fill="auto"/>
            <w:noWrap/>
            <w:vAlign w:val="center"/>
            <w:hideMark/>
          </w:tcPr>
          <w:p w14:paraId="6A9626A4"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900352055</w:t>
            </w:r>
          </w:p>
        </w:tc>
        <w:tc>
          <w:tcPr>
            <w:tcW w:w="4258" w:type="dxa"/>
            <w:tcBorders>
              <w:top w:val="nil"/>
              <w:left w:val="nil"/>
              <w:bottom w:val="single" w:sz="4" w:space="0" w:color="auto"/>
              <w:right w:val="single" w:sz="4" w:space="0" w:color="auto"/>
            </w:tcBorders>
            <w:shd w:val="clear" w:color="auto" w:fill="auto"/>
            <w:vAlign w:val="center"/>
            <w:hideMark/>
          </w:tcPr>
          <w:p w14:paraId="1D5559B1"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EMPRESA ASOCIATIVA DE TRABAJO ENERGIA DEL SUR</w:t>
            </w:r>
          </w:p>
        </w:tc>
        <w:tc>
          <w:tcPr>
            <w:tcW w:w="1559" w:type="dxa"/>
            <w:tcBorders>
              <w:top w:val="nil"/>
              <w:left w:val="nil"/>
              <w:bottom w:val="single" w:sz="4" w:space="0" w:color="auto"/>
              <w:right w:val="single" w:sz="4" w:space="0" w:color="auto"/>
            </w:tcBorders>
            <w:shd w:val="clear" w:color="auto" w:fill="auto"/>
            <w:noWrap/>
            <w:vAlign w:val="center"/>
            <w:hideMark/>
          </w:tcPr>
          <w:p w14:paraId="6E5E954B" w14:textId="45835EED"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182</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676</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641 </w:t>
            </w:r>
          </w:p>
        </w:tc>
        <w:tc>
          <w:tcPr>
            <w:tcW w:w="1559" w:type="dxa"/>
            <w:tcBorders>
              <w:top w:val="nil"/>
              <w:left w:val="nil"/>
              <w:bottom w:val="single" w:sz="4" w:space="0" w:color="auto"/>
              <w:right w:val="single" w:sz="4" w:space="0" w:color="auto"/>
            </w:tcBorders>
            <w:shd w:val="clear" w:color="auto" w:fill="auto"/>
            <w:noWrap/>
            <w:vAlign w:val="center"/>
            <w:hideMark/>
          </w:tcPr>
          <w:p w14:paraId="3D924EB7" w14:textId="64548B31"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1</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826</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766 </w:t>
            </w:r>
          </w:p>
        </w:tc>
      </w:tr>
      <w:tr w:rsidR="00AE6A98" w:rsidRPr="00AE6A98" w14:paraId="221CA059" w14:textId="77777777" w:rsidTr="00AE6A98">
        <w:trPr>
          <w:trHeight w:val="92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7E889EFF"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61</w:t>
            </w:r>
          </w:p>
        </w:tc>
        <w:tc>
          <w:tcPr>
            <w:tcW w:w="879" w:type="dxa"/>
            <w:tcBorders>
              <w:top w:val="nil"/>
              <w:left w:val="nil"/>
              <w:bottom w:val="single" w:sz="4" w:space="0" w:color="auto"/>
              <w:right w:val="single" w:sz="4" w:space="0" w:color="auto"/>
            </w:tcBorders>
            <w:shd w:val="clear" w:color="auto" w:fill="auto"/>
            <w:noWrap/>
            <w:vAlign w:val="center"/>
            <w:hideMark/>
          </w:tcPr>
          <w:p w14:paraId="5A488B28"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901209425</w:t>
            </w:r>
          </w:p>
        </w:tc>
        <w:tc>
          <w:tcPr>
            <w:tcW w:w="4258" w:type="dxa"/>
            <w:tcBorders>
              <w:top w:val="nil"/>
              <w:left w:val="nil"/>
              <w:bottom w:val="single" w:sz="4" w:space="0" w:color="auto"/>
              <w:right w:val="single" w:sz="4" w:space="0" w:color="auto"/>
            </w:tcBorders>
            <w:shd w:val="clear" w:color="auto" w:fill="auto"/>
            <w:vAlign w:val="center"/>
            <w:hideMark/>
          </w:tcPr>
          <w:p w14:paraId="2C0F5460"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EMPRESA ASOCIATIVA DE TRABAJO Y LA PRESTACIÓN DEL SERVICIO DE ENERGÍA EN LA ZONA RURAL DEL MUNICIPIO DE LA TOLA NARIÑO</w:t>
            </w:r>
          </w:p>
        </w:tc>
        <w:tc>
          <w:tcPr>
            <w:tcW w:w="1559" w:type="dxa"/>
            <w:tcBorders>
              <w:top w:val="nil"/>
              <w:left w:val="nil"/>
              <w:bottom w:val="single" w:sz="4" w:space="0" w:color="auto"/>
              <w:right w:val="single" w:sz="4" w:space="0" w:color="auto"/>
            </w:tcBorders>
            <w:shd w:val="clear" w:color="auto" w:fill="auto"/>
            <w:noWrap/>
            <w:vAlign w:val="center"/>
            <w:hideMark/>
          </w:tcPr>
          <w:p w14:paraId="6324AE5B" w14:textId="7C85742F"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34</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550</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794 </w:t>
            </w:r>
          </w:p>
        </w:tc>
        <w:tc>
          <w:tcPr>
            <w:tcW w:w="1559" w:type="dxa"/>
            <w:tcBorders>
              <w:top w:val="nil"/>
              <w:left w:val="nil"/>
              <w:bottom w:val="single" w:sz="4" w:space="0" w:color="auto"/>
              <w:right w:val="single" w:sz="4" w:space="0" w:color="auto"/>
            </w:tcBorders>
            <w:shd w:val="clear" w:color="auto" w:fill="auto"/>
            <w:noWrap/>
            <w:vAlign w:val="center"/>
            <w:hideMark/>
          </w:tcPr>
          <w:p w14:paraId="1141BDD7" w14:textId="40E69A21"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345</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508 </w:t>
            </w:r>
          </w:p>
        </w:tc>
      </w:tr>
      <w:tr w:rsidR="00AE6A98" w:rsidRPr="00AE6A98" w14:paraId="2279730C" w14:textId="77777777" w:rsidTr="00AE6A98">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3F40357F"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62</w:t>
            </w:r>
          </w:p>
        </w:tc>
        <w:tc>
          <w:tcPr>
            <w:tcW w:w="879" w:type="dxa"/>
            <w:tcBorders>
              <w:top w:val="nil"/>
              <w:left w:val="nil"/>
              <w:bottom w:val="single" w:sz="4" w:space="0" w:color="auto"/>
              <w:right w:val="single" w:sz="4" w:space="0" w:color="auto"/>
            </w:tcBorders>
            <w:shd w:val="clear" w:color="auto" w:fill="auto"/>
            <w:noWrap/>
            <w:vAlign w:val="center"/>
            <w:hideMark/>
          </w:tcPr>
          <w:p w14:paraId="1D5127B3"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835000142</w:t>
            </w:r>
          </w:p>
        </w:tc>
        <w:tc>
          <w:tcPr>
            <w:tcW w:w="4258" w:type="dxa"/>
            <w:tcBorders>
              <w:top w:val="nil"/>
              <w:left w:val="nil"/>
              <w:bottom w:val="single" w:sz="4" w:space="0" w:color="auto"/>
              <w:right w:val="single" w:sz="4" w:space="0" w:color="auto"/>
            </w:tcBorders>
            <w:shd w:val="clear" w:color="auto" w:fill="auto"/>
            <w:vAlign w:val="center"/>
            <w:hideMark/>
          </w:tcPr>
          <w:p w14:paraId="4D6CBA58"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EMPRESA DE  ENERGÍA  DE GUAPI  S.A. E.S.P.</w:t>
            </w:r>
          </w:p>
        </w:tc>
        <w:tc>
          <w:tcPr>
            <w:tcW w:w="1559" w:type="dxa"/>
            <w:tcBorders>
              <w:top w:val="nil"/>
              <w:left w:val="nil"/>
              <w:bottom w:val="single" w:sz="4" w:space="0" w:color="auto"/>
              <w:right w:val="single" w:sz="4" w:space="0" w:color="auto"/>
            </w:tcBorders>
            <w:shd w:val="clear" w:color="auto" w:fill="auto"/>
            <w:noWrap/>
            <w:vAlign w:val="center"/>
            <w:hideMark/>
          </w:tcPr>
          <w:p w14:paraId="5F35A446" w14:textId="440A29D4"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842</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995</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014 </w:t>
            </w:r>
          </w:p>
        </w:tc>
        <w:tc>
          <w:tcPr>
            <w:tcW w:w="1559" w:type="dxa"/>
            <w:tcBorders>
              <w:top w:val="nil"/>
              <w:left w:val="nil"/>
              <w:bottom w:val="single" w:sz="4" w:space="0" w:color="auto"/>
              <w:right w:val="single" w:sz="4" w:space="0" w:color="auto"/>
            </w:tcBorders>
            <w:shd w:val="clear" w:color="auto" w:fill="auto"/>
            <w:noWrap/>
            <w:vAlign w:val="center"/>
            <w:hideMark/>
          </w:tcPr>
          <w:p w14:paraId="27EBF742" w14:textId="3957D77D"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8</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429</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950 </w:t>
            </w:r>
          </w:p>
        </w:tc>
      </w:tr>
      <w:tr w:rsidR="00AE6A98" w:rsidRPr="00AE6A98" w14:paraId="0730D8C4" w14:textId="77777777" w:rsidTr="00AE6A98">
        <w:trPr>
          <w:trHeight w:val="6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283F658F"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63</w:t>
            </w:r>
          </w:p>
        </w:tc>
        <w:tc>
          <w:tcPr>
            <w:tcW w:w="879" w:type="dxa"/>
            <w:tcBorders>
              <w:top w:val="nil"/>
              <w:left w:val="nil"/>
              <w:bottom w:val="single" w:sz="4" w:space="0" w:color="auto"/>
              <w:right w:val="single" w:sz="4" w:space="0" w:color="auto"/>
            </w:tcBorders>
            <w:shd w:val="clear" w:color="auto" w:fill="auto"/>
            <w:noWrap/>
            <w:vAlign w:val="center"/>
            <w:hideMark/>
          </w:tcPr>
          <w:p w14:paraId="2327DC64"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900715327</w:t>
            </w:r>
          </w:p>
        </w:tc>
        <w:tc>
          <w:tcPr>
            <w:tcW w:w="4258" w:type="dxa"/>
            <w:tcBorders>
              <w:top w:val="nil"/>
              <w:left w:val="nil"/>
              <w:bottom w:val="single" w:sz="4" w:space="0" w:color="auto"/>
              <w:right w:val="single" w:sz="4" w:space="0" w:color="auto"/>
            </w:tcBorders>
            <w:shd w:val="clear" w:color="auto" w:fill="auto"/>
            <w:vAlign w:val="center"/>
            <w:hideMark/>
          </w:tcPr>
          <w:p w14:paraId="4B3EC012"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EMPRESA DE ACUEDUCTO, ALCANTARILLADO, ASEO Y ENERGIA (ZNI) DE PUERTO GUZMAN S.A ESP</w:t>
            </w:r>
          </w:p>
        </w:tc>
        <w:tc>
          <w:tcPr>
            <w:tcW w:w="1559" w:type="dxa"/>
            <w:tcBorders>
              <w:top w:val="nil"/>
              <w:left w:val="nil"/>
              <w:bottom w:val="single" w:sz="4" w:space="0" w:color="auto"/>
              <w:right w:val="single" w:sz="4" w:space="0" w:color="auto"/>
            </w:tcBorders>
            <w:shd w:val="clear" w:color="auto" w:fill="auto"/>
            <w:noWrap/>
            <w:vAlign w:val="center"/>
            <w:hideMark/>
          </w:tcPr>
          <w:p w14:paraId="415B40EA" w14:textId="594C7A02"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264</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511</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145 </w:t>
            </w:r>
          </w:p>
        </w:tc>
        <w:tc>
          <w:tcPr>
            <w:tcW w:w="1559" w:type="dxa"/>
            <w:tcBorders>
              <w:top w:val="nil"/>
              <w:left w:val="nil"/>
              <w:bottom w:val="single" w:sz="4" w:space="0" w:color="auto"/>
              <w:right w:val="single" w:sz="4" w:space="0" w:color="auto"/>
            </w:tcBorders>
            <w:shd w:val="clear" w:color="auto" w:fill="auto"/>
            <w:noWrap/>
            <w:vAlign w:val="center"/>
            <w:hideMark/>
          </w:tcPr>
          <w:p w14:paraId="64D62AB2" w14:textId="707D69EF"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2</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645</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111 </w:t>
            </w:r>
          </w:p>
        </w:tc>
      </w:tr>
      <w:tr w:rsidR="00AE6A98" w:rsidRPr="00AE6A98" w14:paraId="54B3EEC4" w14:textId="77777777" w:rsidTr="00AE6A98">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77F89278"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64</w:t>
            </w:r>
          </w:p>
        </w:tc>
        <w:tc>
          <w:tcPr>
            <w:tcW w:w="879" w:type="dxa"/>
            <w:tcBorders>
              <w:top w:val="nil"/>
              <w:left w:val="nil"/>
              <w:bottom w:val="single" w:sz="4" w:space="0" w:color="auto"/>
              <w:right w:val="single" w:sz="4" w:space="0" w:color="auto"/>
            </w:tcBorders>
            <w:shd w:val="clear" w:color="auto" w:fill="auto"/>
            <w:noWrap/>
            <w:vAlign w:val="center"/>
            <w:hideMark/>
          </w:tcPr>
          <w:p w14:paraId="1617F970"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892099499</w:t>
            </w:r>
          </w:p>
        </w:tc>
        <w:tc>
          <w:tcPr>
            <w:tcW w:w="4258" w:type="dxa"/>
            <w:tcBorders>
              <w:top w:val="nil"/>
              <w:left w:val="nil"/>
              <w:bottom w:val="single" w:sz="4" w:space="0" w:color="auto"/>
              <w:right w:val="single" w:sz="4" w:space="0" w:color="auto"/>
            </w:tcBorders>
            <w:shd w:val="clear" w:color="auto" w:fill="auto"/>
            <w:vAlign w:val="center"/>
            <w:hideMark/>
          </w:tcPr>
          <w:p w14:paraId="30C8EA45"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EMPRESA DE ENERGIA DE ARAUCA</w:t>
            </w:r>
          </w:p>
        </w:tc>
        <w:tc>
          <w:tcPr>
            <w:tcW w:w="1559" w:type="dxa"/>
            <w:tcBorders>
              <w:top w:val="nil"/>
              <w:left w:val="nil"/>
              <w:bottom w:val="single" w:sz="4" w:space="0" w:color="auto"/>
              <w:right w:val="single" w:sz="4" w:space="0" w:color="auto"/>
            </w:tcBorders>
            <w:shd w:val="clear" w:color="auto" w:fill="auto"/>
            <w:noWrap/>
            <w:vAlign w:val="center"/>
            <w:hideMark/>
          </w:tcPr>
          <w:p w14:paraId="26D035D4" w14:textId="2B9E0044"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8</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497</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722</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953 </w:t>
            </w:r>
          </w:p>
        </w:tc>
        <w:tc>
          <w:tcPr>
            <w:tcW w:w="1559" w:type="dxa"/>
            <w:tcBorders>
              <w:top w:val="nil"/>
              <w:left w:val="nil"/>
              <w:bottom w:val="single" w:sz="4" w:space="0" w:color="auto"/>
              <w:right w:val="single" w:sz="4" w:space="0" w:color="auto"/>
            </w:tcBorders>
            <w:shd w:val="clear" w:color="auto" w:fill="auto"/>
            <w:noWrap/>
            <w:vAlign w:val="center"/>
            <w:hideMark/>
          </w:tcPr>
          <w:p w14:paraId="1CADDAE9" w14:textId="4C5CD94F"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84</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977</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230 </w:t>
            </w:r>
          </w:p>
        </w:tc>
      </w:tr>
      <w:tr w:rsidR="00AE6A98" w:rsidRPr="00AE6A98" w14:paraId="02BD8A73" w14:textId="77777777" w:rsidTr="00AE6A98">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15DBB20B"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65</w:t>
            </w:r>
          </w:p>
        </w:tc>
        <w:tc>
          <w:tcPr>
            <w:tcW w:w="879" w:type="dxa"/>
            <w:tcBorders>
              <w:top w:val="nil"/>
              <w:left w:val="nil"/>
              <w:bottom w:val="single" w:sz="4" w:space="0" w:color="auto"/>
              <w:right w:val="single" w:sz="4" w:space="0" w:color="auto"/>
            </w:tcBorders>
            <w:shd w:val="clear" w:color="auto" w:fill="auto"/>
            <w:noWrap/>
            <w:vAlign w:val="center"/>
            <w:hideMark/>
          </w:tcPr>
          <w:p w14:paraId="284A057F"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899999082</w:t>
            </w:r>
          </w:p>
        </w:tc>
        <w:tc>
          <w:tcPr>
            <w:tcW w:w="4258" w:type="dxa"/>
            <w:tcBorders>
              <w:top w:val="nil"/>
              <w:left w:val="nil"/>
              <w:bottom w:val="single" w:sz="4" w:space="0" w:color="auto"/>
              <w:right w:val="single" w:sz="4" w:space="0" w:color="auto"/>
            </w:tcBorders>
            <w:shd w:val="clear" w:color="auto" w:fill="auto"/>
            <w:vAlign w:val="center"/>
            <w:hideMark/>
          </w:tcPr>
          <w:p w14:paraId="3AC1A723"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EMPRESA DE ENERGIA DE BOGOTA S.A. ESP.</w:t>
            </w:r>
          </w:p>
        </w:tc>
        <w:tc>
          <w:tcPr>
            <w:tcW w:w="1559" w:type="dxa"/>
            <w:tcBorders>
              <w:top w:val="nil"/>
              <w:left w:val="nil"/>
              <w:bottom w:val="single" w:sz="4" w:space="0" w:color="auto"/>
              <w:right w:val="single" w:sz="4" w:space="0" w:color="auto"/>
            </w:tcBorders>
            <w:shd w:val="clear" w:color="auto" w:fill="auto"/>
            <w:noWrap/>
            <w:vAlign w:val="center"/>
            <w:hideMark/>
          </w:tcPr>
          <w:p w14:paraId="3235C6ED" w14:textId="661EE75D"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25</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671</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067</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957 </w:t>
            </w:r>
          </w:p>
        </w:tc>
        <w:tc>
          <w:tcPr>
            <w:tcW w:w="1559" w:type="dxa"/>
            <w:tcBorders>
              <w:top w:val="nil"/>
              <w:left w:val="nil"/>
              <w:bottom w:val="single" w:sz="4" w:space="0" w:color="auto"/>
              <w:right w:val="single" w:sz="4" w:space="0" w:color="auto"/>
            </w:tcBorders>
            <w:shd w:val="clear" w:color="auto" w:fill="auto"/>
            <w:noWrap/>
            <w:vAlign w:val="center"/>
            <w:hideMark/>
          </w:tcPr>
          <w:p w14:paraId="541D4A70" w14:textId="1EA898B3"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256</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710</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680 </w:t>
            </w:r>
          </w:p>
        </w:tc>
      </w:tr>
      <w:tr w:rsidR="00AE6A98" w:rsidRPr="00AE6A98" w14:paraId="269DF7AA" w14:textId="77777777" w:rsidTr="00AE6A98">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3C751680"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66</w:t>
            </w:r>
          </w:p>
        </w:tc>
        <w:tc>
          <w:tcPr>
            <w:tcW w:w="879" w:type="dxa"/>
            <w:tcBorders>
              <w:top w:val="nil"/>
              <w:left w:val="nil"/>
              <w:bottom w:val="single" w:sz="4" w:space="0" w:color="auto"/>
              <w:right w:val="single" w:sz="4" w:space="0" w:color="auto"/>
            </w:tcBorders>
            <w:shd w:val="clear" w:color="auto" w:fill="auto"/>
            <w:noWrap/>
            <w:vAlign w:val="center"/>
            <w:hideMark/>
          </w:tcPr>
          <w:p w14:paraId="72ECF33B"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891800219</w:t>
            </w:r>
          </w:p>
        </w:tc>
        <w:tc>
          <w:tcPr>
            <w:tcW w:w="4258" w:type="dxa"/>
            <w:tcBorders>
              <w:top w:val="nil"/>
              <w:left w:val="nil"/>
              <w:bottom w:val="single" w:sz="4" w:space="0" w:color="auto"/>
              <w:right w:val="single" w:sz="4" w:space="0" w:color="auto"/>
            </w:tcBorders>
            <w:shd w:val="clear" w:color="auto" w:fill="auto"/>
            <w:vAlign w:val="center"/>
            <w:hideMark/>
          </w:tcPr>
          <w:p w14:paraId="073C2143"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EMPRESA DE ENERGIA DE BOYACA S.A. ESP</w:t>
            </w:r>
          </w:p>
        </w:tc>
        <w:tc>
          <w:tcPr>
            <w:tcW w:w="1559" w:type="dxa"/>
            <w:tcBorders>
              <w:top w:val="nil"/>
              <w:left w:val="nil"/>
              <w:bottom w:val="single" w:sz="4" w:space="0" w:color="auto"/>
              <w:right w:val="single" w:sz="4" w:space="0" w:color="auto"/>
            </w:tcBorders>
            <w:shd w:val="clear" w:color="auto" w:fill="auto"/>
            <w:noWrap/>
            <w:vAlign w:val="center"/>
            <w:hideMark/>
          </w:tcPr>
          <w:p w14:paraId="28D4C083" w14:textId="17C63061"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15</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818</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412</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988 </w:t>
            </w:r>
          </w:p>
        </w:tc>
        <w:tc>
          <w:tcPr>
            <w:tcW w:w="1559" w:type="dxa"/>
            <w:tcBorders>
              <w:top w:val="nil"/>
              <w:left w:val="nil"/>
              <w:bottom w:val="single" w:sz="4" w:space="0" w:color="auto"/>
              <w:right w:val="single" w:sz="4" w:space="0" w:color="auto"/>
            </w:tcBorders>
            <w:shd w:val="clear" w:color="auto" w:fill="auto"/>
            <w:noWrap/>
            <w:vAlign w:val="center"/>
            <w:hideMark/>
          </w:tcPr>
          <w:p w14:paraId="04EA2BC6" w14:textId="2187AEB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158</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184</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130 </w:t>
            </w:r>
          </w:p>
        </w:tc>
      </w:tr>
      <w:tr w:rsidR="00AE6A98" w:rsidRPr="00AE6A98" w14:paraId="16B4B260" w14:textId="77777777" w:rsidTr="00AE6A98">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1532F918"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67</w:t>
            </w:r>
          </w:p>
        </w:tc>
        <w:tc>
          <w:tcPr>
            <w:tcW w:w="879" w:type="dxa"/>
            <w:tcBorders>
              <w:top w:val="nil"/>
              <w:left w:val="nil"/>
              <w:bottom w:val="single" w:sz="4" w:space="0" w:color="auto"/>
              <w:right w:val="single" w:sz="4" w:space="0" w:color="auto"/>
            </w:tcBorders>
            <w:shd w:val="clear" w:color="auto" w:fill="auto"/>
            <w:noWrap/>
            <w:vAlign w:val="center"/>
            <w:hideMark/>
          </w:tcPr>
          <w:p w14:paraId="5F8ADA5E"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844004576</w:t>
            </w:r>
          </w:p>
        </w:tc>
        <w:tc>
          <w:tcPr>
            <w:tcW w:w="4258" w:type="dxa"/>
            <w:tcBorders>
              <w:top w:val="nil"/>
              <w:left w:val="nil"/>
              <w:bottom w:val="single" w:sz="4" w:space="0" w:color="auto"/>
              <w:right w:val="single" w:sz="4" w:space="0" w:color="auto"/>
            </w:tcBorders>
            <w:shd w:val="clear" w:color="auto" w:fill="auto"/>
            <w:vAlign w:val="center"/>
            <w:hideMark/>
          </w:tcPr>
          <w:p w14:paraId="6CE84161"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EMPRESA DE ENERGIA DE CASANARE SA ESP</w:t>
            </w:r>
          </w:p>
        </w:tc>
        <w:tc>
          <w:tcPr>
            <w:tcW w:w="1559" w:type="dxa"/>
            <w:tcBorders>
              <w:top w:val="nil"/>
              <w:left w:val="nil"/>
              <w:bottom w:val="single" w:sz="4" w:space="0" w:color="auto"/>
              <w:right w:val="single" w:sz="4" w:space="0" w:color="auto"/>
            </w:tcBorders>
            <w:shd w:val="clear" w:color="auto" w:fill="auto"/>
            <w:noWrap/>
            <w:vAlign w:val="center"/>
            <w:hideMark/>
          </w:tcPr>
          <w:p w14:paraId="25212265" w14:textId="5CEFE5CA"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4</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058</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561</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663 </w:t>
            </w:r>
          </w:p>
        </w:tc>
        <w:tc>
          <w:tcPr>
            <w:tcW w:w="1559" w:type="dxa"/>
            <w:tcBorders>
              <w:top w:val="nil"/>
              <w:left w:val="nil"/>
              <w:bottom w:val="single" w:sz="4" w:space="0" w:color="auto"/>
              <w:right w:val="single" w:sz="4" w:space="0" w:color="auto"/>
            </w:tcBorders>
            <w:shd w:val="clear" w:color="auto" w:fill="auto"/>
            <w:noWrap/>
            <w:vAlign w:val="center"/>
            <w:hideMark/>
          </w:tcPr>
          <w:p w14:paraId="033155C9" w14:textId="29683EA2"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40</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585</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617 </w:t>
            </w:r>
          </w:p>
        </w:tc>
      </w:tr>
      <w:tr w:rsidR="00AE6A98" w:rsidRPr="00AE6A98" w14:paraId="6A683BE8" w14:textId="77777777" w:rsidTr="00AE6A98">
        <w:trPr>
          <w:trHeight w:val="46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2D2BC2C1"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68</w:t>
            </w:r>
          </w:p>
        </w:tc>
        <w:tc>
          <w:tcPr>
            <w:tcW w:w="879" w:type="dxa"/>
            <w:tcBorders>
              <w:top w:val="nil"/>
              <w:left w:val="nil"/>
              <w:bottom w:val="single" w:sz="4" w:space="0" w:color="auto"/>
              <w:right w:val="single" w:sz="4" w:space="0" w:color="auto"/>
            </w:tcBorders>
            <w:shd w:val="clear" w:color="auto" w:fill="auto"/>
            <w:noWrap/>
            <w:vAlign w:val="center"/>
            <w:hideMark/>
          </w:tcPr>
          <w:p w14:paraId="02DB213C"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840000929</w:t>
            </w:r>
          </w:p>
        </w:tc>
        <w:tc>
          <w:tcPr>
            <w:tcW w:w="4258" w:type="dxa"/>
            <w:tcBorders>
              <w:top w:val="nil"/>
              <w:left w:val="nil"/>
              <w:bottom w:val="single" w:sz="4" w:space="0" w:color="auto"/>
              <w:right w:val="single" w:sz="4" w:space="0" w:color="auto"/>
            </w:tcBorders>
            <w:shd w:val="clear" w:color="auto" w:fill="auto"/>
            <w:vAlign w:val="center"/>
            <w:hideMark/>
          </w:tcPr>
          <w:p w14:paraId="2B96BA56"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EMPRESA DE ENERGIA DE MAGUI PAYAN S.A E.S.P</w:t>
            </w:r>
          </w:p>
        </w:tc>
        <w:tc>
          <w:tcPr>
            <w:tcW w:w="1559" w:type="dxa"/>
            <w:tcBorders>
              <w:top w:val="nil"/>
              <w:left w:val="nil"/>
              <w:bottom w:val="single" w:sz="4" w:space="0" w:color="auto"/>
              <w:right w:val="single" w:sz="4" w:space="0" w:color="auto"/>
            </w:tcBorders>
            <w:shd w:val="clear" w:color="auto" w:fill="auto"/>
            <w:noWrap/>
            <w:vAlign w:val="center"/>
            <w:hideMark/>
          </w:tcPr>
          <w:p w14:paraId="50775048" w14:textId="2DD4FF4F"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260</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743</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428 </w:t>
            </w:r>
          </w:p>
        </w:tc>
        <w:tc>
          <w:tcPr>
            <w:tcW w:w="1559" w:type="dxa"/>
            <w:tcBorders>
              <w:top w:val="nil"/>
              <w:left w:val="nil"/>
              <w:bottom w:val="single" w:sz="4" w:space="0" w:color="auto"/>
              <w:right w:val="single" w:sz="4" w:space="0" w:color="auto"/>
            </w:tcBorders>
            <w:shd w:val="clear" w:color="auto" w:fill="auto"/>
            <w:noWrap/>
            <w:vAlign w:val="center"/>
            <w:hideMark/>
          </w:tcPr>
          <w:p w14:paraId="0C4FBF3D" w14:textId="6A611B60"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2</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607</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434 </w:t>
            </w:r>
          </w:p>
        </w:tc>
      </w:tr>
      <w:tr w:rsidR="00AE6A98" w:rsidRPr="00AE6A98" w14:paraId="46B4F4CA" w14:textId="77777777" w:rsidTr="00AE6A98">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3BCF2EB0"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69</w:t>
            </w:r>
          </w:p>
        </w:tc>
        <w:tc>
          <w:tcPr>
            <w:tcW w:w="879" w:type="dxa"/>
            <w:tcBorders>
              <w:top w:val="nil"/>
              <w:left w:val="nil"/>
              <w:bottom w:val="single" w:sz="4" w:space="0" w:color="auto"/>
              <w:right w:val="single" w:sz="4" w:space="0" w:color="auto"/>
            </w:tcBorders>
            <w:shd w:val="clear" w:color="auto" w:fill="auto"/>
            <w:noWrap/>
            <w:vAlign w:val="center"/>
            <w:hideMark/>
          </w:tcPr>
          <w:p w14:paraId="163EF600"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816002019</w:t>
            </w:r>
          </w:p>
        </w:tc>
        <w:tc>
          <w:tcPr>
            <w:tcW w:w="4258" w:type="dxa"/>
            <w:tcBorders>
              <w:top w:val="nil"/>
              <w:left w:val="nil"/>
              <w:bottom w:val="single" w:sz="4" w:space="0" w:color="auto"/>
              <w:right w:val="single" w:sz="4" w:space="0" w:color="auto"/>
            </w:tcBorders>
            <w:shd w:val="clear" w:color="auto" w:fill="auto"/>
            <w:vAlign w:val="center"/>
            <w:hideMark/>
          </w:tcPr>
          <w:p w14:paraId="08700C3C"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EMPRESA DE ENERGÍA DE PEREIRA S.A. ESP.</w:t>
            </w:r>
          </w:p>
        </w:tc>
        <w:tc>
          <w:tcPr>
            <w:tcW w:w="1559" w:type="dxa"/>
            <w:tcBorders>
              <w:top w:val="nil"/>
              <w:left w:val="nil"/>
              <w:bottom w:val="single" w:sz="4" w:space="0" w:color="auto"/>
              <w:right w:val="single" w:sz="4" w:space="0" w:color="auto"/>
            </w:tcBorders>
            <w:shd w:val="clear" w:color="auto" w:fill="auto"/>
            <w:noWrap/>
            <w:vAlign w:val="center"/>
            <w:hideMark/>
          </w:tcPr>
          <w:p w14:paraId="4D92100B" w14:textId="14F75EFF"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11</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565</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176</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452 </w:t>
            </w:r>
          </w:p>
        </w:tc>
        <w:tc>
          <w:tcPr>
            <w:tcW w:w="1559" w:type="dxa"/>
            <w:tcBorders>
              <w:top w:val="nil"/>
              <w:left w:val="nil"/>
              <w:bottom w:val="single" w:sz="4" w:space="0" w:color="auto"/>
              <w:right w:val="single" w:sz="4" w:space="0" w:color="auto"/>
            </w:tcBorders>
            <w:shd w:val="clear" w:color="auto" w:fill="auto"/>
            <w:noWrap/>
            <w:vAlign w:val="center"/>
            <w:hideMark/>
          </w:tcPr>
          <w:p w14:paraId="777E6350" w14:textId="639E0421"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115</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651</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765 </w:t>
            </w:r>
          </w:p>
        </w:tc>
      </w:tr>
      <w:tr w:rsidR="00AE6A98" w:rsidRPr="00AE6A98" w14:paraId="1FA7E9C8" w14:textId="77777777" w:rsidTr="00AE6A98">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271FC59F"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70</w:t>
            </w:r>
          </w:p>
        </w:tc>
        <w:tc>
          <w:tcPr>
            <w:tcW w:w="879" w:type="dxa"/>
            <w:tcBorders>
              <w:top w:val="nil"/>
              <w:left w:val="nil"/>
              <w:bottom w:val="single" w:sz="4" w:space="0" w:color="auto"/>
              <w:right w:val="single" w:sz="4" w:space="0" w:color="auto"/>
            </w:tcBorders>
            <w:shd w:val="clear" w:color="auto" w:fill="auto"/>
            <w:noWrap/>
            <w:vAlign w:val="center"/>
            <w:hideMark/>
          </w:tcPr>
          <w:p w14:paraId="08ED2F3E"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800052640</w:t>
            </w:r>
          </w:p>
        </w:tc>
        <w:tc>
          <w:tcPr>
            <w:tcW w:w="4258" w:type="dxa"/>
            <w:tcBorders>
              <w:top w:val="nil"/>
              <w:left w:val="nil"/>
              <w:bottom w:val="single" w:sz="4" w:space="0" w:color="auto"/>
              <w:right w:val="single" w:sz="4" w:space="0" w:color="auto"/>
            </w:tcBorders>
            <w:shd w:val="clear" w:color="auto" w:fill="auto"/>
            <w:vAlign w:val="center"/>
            <w:hideMark/>
          </w:tcPr>
          <w:p w14:paraId="0E3A2622"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EMPRESA DE ENERGIA DEL  QUINDIO S.A.E.S.P.</w:t>
            </w:r>
          </w:p>
        </w:tc>
        <w:tc>
          <w:tcPr>
            <w:tcW w:w="1559" w:type="dxa"/>
            <w:tcBorders>
              <w:top w:val="nil"/>
              <w:left w:val="nil"/>
              <w:bottom w:val="single" w:sz="4" w:space="0" w:color="auto"/>
              <w:right w:val="single" w:sz="4" w:space="0" w:color="auto"/>
            </w:tcBorders>
            <w:shd w:val="clear" w:color="auto" w:fill="auto"/>
            <w:noWrap/>
            <w:vAlign w:val="center"/>
            <w:hideMark/>
          </w:tcPr>
          <w:p w14:paraId="67D59A33" w14:textId="3BC0201C"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19</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821</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149</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310 </w:t>
            </w:r>
          </w:p>
        </w:tc>
        <w:tc>
          <w:tcPr>
            <w:tcW w:w="1559" w:type="dxa"/>
            <w:tcBorders>
              <w:top w:val="nil"/>
              <w:left w:val="nil"/>
              <w:bottom w:val="single" w:sz="4" w:space="0" w:color="auto"/>
              <w:right w:val="single" w:sz="4" w:space="0" w:color="auto"/>
            </w:tcBorders>
            <w:shd w:val="clear" w:color="auto" w:fill="auto"/>
            <w:noWrap/>
            <w:vAlign w:val="center"/>
            <w:hideMark/>
          </w:tcPr>
          <w:p w14:paraId="08898B0B" w14:textId="158F679C"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198</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211</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493 </w:t>
            </w:r>
          </w:p>
        </w:tc>
      </w:tr>
      <w:tr w:rsidR="00AE6A98" w:rsidRPr="00AE6A98" w14:paraId="03F649A3" w14:textId="77777777" w:rsidTr="00AE6A98">
        <w:trPr>
          <w:trHeight w:val="46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07C06DC2"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71</w:t>
            </w:r>
          </w:p>
        </w:tc>
        <w:tc>
          <w:tcPr>
            <w:tcW w:w="879" w:type="dxa"/>
            <w:tcBorders>
              <w:top w:val="nil"/>
              <w:left w:val="nil"/>
              <w:bottom w:val="single" w:sz="4" w:space="0" w:color="auto"/>
              <w:right w:val="single" w:sz="4" w:space="0" w:color="auto"/>
            </w:tcBorders>
            <w:shd w:val="clear" w:color="auto" w:fill="auto"/>
            <w:noWrap/>
            <w:vAlign w:val="center"/>
            <w:hideMark/>
          </w:tcPr>
          <w:p w14:paraId="7C3F659E"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846000553</w:t>
            </w:r>
          </w:p>
        </w:tc>
        <w:tc>
          <w:tcPr>
            <w:tcW w:w="4258" w:type="dxa"/>
            <w:tcBorders>
              <w:top w:val="nil"/>
              <w:left w:val="nil"/>
              <w:bottom w:val="single" w:sz="4" w:space="0" w:color="auto"/>
              <w:right w:val="single" w:sz="4" w:space="0" w:color="auto"/>
            </w:tcBorders>
            <w:shd w:val="clear" w:color="auto" w:fill="auto"/>
            <w:vAlign w:val="center"/>
            <w:hideMark/>
          </w:tcPr>
          <w:p w14:paraId="272A5CCE"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EMPRESA DE ENERGIA DEL BAJO PUTUMAYO  S.A.  E.S.P.</w:t>
            </w:r>
          </w:p>
        </w:tc>
        <w:tc>
          <w:tcPr>
            <w:tcW w:w="1559" w:type="dxa"/>
            <w:tcBorders>
              <w:top w:val="nil"/>
              <w:left w:val="nil"/>
              <w:bottom w:val="single" w:sz="4" w:space="0" w:color="auto"/>
              <w:right w:val="single" w:sz="4" w:space="0" w:color="auto"/>
            </w:tcBorders>
            <w:shd w:val="clear" w:color="auto" w:fill="auto"/>
            <w:noWrap/>
            <w:vAlign w:val="center"/>
            <w:hideMark/>
          </w:tcPr>
          <w:p w14:paraId="1F370ECC" w14:textId="6371BC8C"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3</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668</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330</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055 </w:t>
            </w:r>
          </w:p>
        </w:tc>
        <w:tc>
          <w:tcPr>
            <w:tcW w:w="1559" w:type="dxa"/>
            <w:tcBorders>
              <w:top w:val="nil"/>
              <w:left w:val="nil"/>
              <w:bottom w:val="single" w:sz="4" w:space="0" w:color="auto"/>
              <w:right w:val="single" w:sz="4" w:space="0" w:color="auto"/>
            </w:tcBorders>
            <w:shd w:val="clear" w:color="auto" w:fill="auto"/>
            <w:noWrap/>
            <w:vAlign w:val="center"/>
            <w:hideMark/>
          </w:tcPr>
          <w:p w14:paraId="1E3F7849" w14:textId="207FE085"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36</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683</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301 </w:t>
            </w:r>
          </w:p>
        </w:tc>
      </w:tr>
      <w:tr w:rsidR="00AE6A98" w:rsidRPr="00AE6A98" w14:paraId="7FD9B041" w14:textId="77777777" w:rsidTr="00AE6A98">
        <w:trPr>
          <w:trHeight w:val="46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1A739FC6"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lastRenderedPageBreak/>
              <w:t>72</w:t>
            </w:r>
          </w:p>
        </w:tc>
        <w:tc>
          <w:tcPr>
            <w:tcW w:w="879" w:type="dxa"/>
            <w:tcBorders>
              <w:top w:val="nil"/>
              <w:left w:val="nil"/>
              <w:bottom w:val="single" w:sz="4" w:space="0" w:color="auto"/>
              <w:right w:val="single" w:sz="4" w:space="0" w:color="auto"/>
            </w:tcBorders>
            <w:shd w:val="clear" w:color="auto" w:fill="auto"/>
            <w:noWrap/>
            <w:vAlign w:val="center"/>
            <w:hideMark/>
          </w:tcPr>
          <w:p w14:paraId="60C53330"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843000057</w:t>
            </w:r>
          </w:p>
        </w:tc>
        <w:tc>
          <w:tcPr>
            <w:tcW w:w="4258" w:type="dxa"/>
            <w:tcBorders>
              <w:top w:val="nil"/>
              <w:left w:val="nil"/>
              <w:bottom w:val="single" w:sz="4" w:space="0" w:color="auto"/>
              <w:right w:val="single" w:sz="4" w:space="0" w:color="auto"/>
            </w:tcBorders>
            <w:shd w:val="clear" w:color="auto" w:fill="auto"/>
            <w:vAlign w:val="center"/>
            <w:hideMark/>
          </w:tcPr>
          <w:p w14:paraId="0849A47D"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EMPRESA DE ENERGIA DEL GUAINIA LA CEIBA S.A. E.S.P.</w:t>
            </w:r>
          </w:p>
        </w:tc>
        <w:tc>
          <w:tcPr>
            <w:tcW w:w="1559" w:type="dxa"/>
            <w:tcBorders>
              <w:top w:val="nil"/>
              <w:left w:val="nil"/>
              <w:bottom w:val="single" w:sz="4" w:space="0" w:color="auto"/>
              <w:right w:val="single" w:sz="4" w:space="0" w:color="auto"/>
            </w:tcBorders>
            <w:shd w:val="clear" w:color="auto" w:fill="auto"/>
            <w:noWrap/>
            <w:vAlign w:val="center"/>
            <w:hideMark/>
          </w:tcPr>
          <w:p w14:paraId="0C38000B" w14:textId="2D9BD1BC"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1</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042</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238</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916 </w:t>
            </w:r>
          </w:p>
        </w:tc>
        <w:tc>
          <w:tcPr>
            <w:tcW w:w="1559" w:type="dxa"/>
            <w:tcBorders>
              <w:top w:val="nil"/>
              <w:left w:val="nil"/>
              <w:bottom w:val="single" w:sz="4" w:space="0" w:color="auto"/>
              <w:right w:val="single" w:sz="4" w:space="0" w:color="auto"/>
            </w:tcBorders>
            <w:shd w:val="clear" w:color="auto" w:fill="auto"/>
            <w:noWrap/>
            <w:vAlign w:val="center"/>
            <w:hideMark/>
          </w:tcPr>
          <w:p w14:paraId="5B66550D" w14:textId="4B463D6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10</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422</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389 </w:t>
            </w:r>
          </w:p>
        </w:tc>
      </w:tr>
      <w:tr w:rsidR="00AE6A98" w:rsidRPr="00AE6A98" w14:paraId="4D16AF9B" w14:textId="77777777" w:rsidTr="00AE6A98">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5D4BBA54"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73</w:t>
            </w:r>
          </w:p>
        </w:tc>
        <w:tc>
          <w:tcPr>
            <w:tcW w:w="879" w:type="dxa"/>
            <w:tcBorders>
              <w:top w:val="nil"/>
              <w:left w:val="nil"/>
              <w:bottom w:val="single" w:sz="4" w:space="0" w:color="auto"/>
              <w:right w:val="single" w:sz="4" w:space="0" w:color="auto"/>
            </w:tcBorders>
            <w:shd w:val="clear" w:color="auto" w:fill="auto"/>
            <w:noWrap/>
            <w:vAlign w:val="center"/>
            <w:hideMark/>
          </w:tcPr>
          <w:p w14:paraId="3D380727"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800249860</w:t>
            </w:r>
          </w:p>
        </w:tc>
        <w:tc>
          <w:tcPr>
            <w:tcW w:w="4258" w:type="dxa"/>
            <w:tcBorders>
              <w:top w:val="nil"/>
              <w:left w:val="nil"/>
              <w:bottom w:val="single" w:sz="4" w:space="0" w:color="auto"/>
              <w:right w:val="single" w:sz="4" w:space="0" w:color="auto"/>
            </w:tcBorders>
            <w:shd w:val="clear" w:color="auto" w:fill="auto"/>
            <w:vAlign w:val="center"/>
            <w:hideMark/>
          </w:tcPr>
          <w:p w14:paraId="29772675"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EMPRESA DE ENERGÍA DEL PACÍFICO S.A. E.S.P.</w:t>
            </w:r>
          </w:p>
        </w:tc>
        <w:tc>
          <w:tcPr>
            <w:tcW w:w="1559" w:type="dxa"/>
            <w:tcBorders>
              <w:top w:val="nil"/>
              <w:left w:val="nil"/>
              <w:bottom w:val="single" w:sz="4" w:space="0" w:color="auto"/>
              <w:right w:val="single" w:sz="4" w:space="0" w:color="auto"/>
            </w:tcBorders>
            <w:shd w:val="clear" w:color="auto" w:fill="auto"/>
            <w:noWrap/>
            <w:vAlign w:val="center"/>
            <w:hideMark/>
          </w:tcPr>
          <w:p w14:paraId="5B0B0E53" w14:textId="19F1AAFB"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150</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184</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234</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469 </w:t>
            </w:r>
          </w:p>
        </w:tc>
        <w:tc>
          <w:tcPr>
            <w:tcW w:w="1559" w:type="dxa"/>
            <w:tcBorders>
              <w:top w:val="nil"/>
              <w:left w:val="nil"/>
              <w:bottom w:val="single" w:sz="4" w:space="0" w:color="auto"/>
              <w:right w:val="single" w:sz="4" w:space="0" w:color="auto"/>
            </w:tcBorders>
            <w:shd w:val="clear" w:color="auto" w:fill="auto"/>
            <w:noWrap/>
            <w:vAlign w:val="center"/>
            <w:hideMark/>
          </w:tcPr>
          <w:p w14:paraId="52316C5B" w14:textId="089CEACE"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1</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501</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842</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345 </w:t>
            </w:r>
          </w:p>
        </w:tc>
      </w:tr>
      <w:tr w:rsidR="00AE6A98" w:rsidRPr="00AE6A98" w14:paraId="660333C1" w14:textId="77777777" w:rsidTr="00AE6A98">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7A5BB142"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74</w:t>
            </w:r>
          </w:p>
        </w:tc>
        <w:tc>
          <w:tcPr>
            <w:tcW w:w="879" w:type="dxa"/>
            <w:tcBorders>
              <w:top w:val="nil"/>
              <w:left w:val="nil"/>
              <w:bottom w:val="single" w:sz="4" w:space="0" w:color="auto"/>
              <w:right w:val="single" w:sz="4" w:space="0" w:color="auto"/>
            </w:tcBorders>
            <w:shd w:val="clear" w:color="auto" w:fill="auto"/>
            <w:noWrap/>
            <w:vAlign w:val="center"/>
            <w:hideMark/>
          </w:tcPr>
          <w:p w14:paraId="2AAC3D05"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846000241</w:t>
            </w:r>
          </w:p>
        </w:tc>
        <w:tc>
          <w:tcPr>
            <w:tcW w:w="4258" w:type="dxa"/>
            <w:tcBorders>
              <w:top w:val="nil"/>
              <w:left w:val="nil"/>
              <w:bottom w:val="single" w:sz="4" w:space="0" w:color="auto"/>
              <w:right w:val="single" w:sz="4" w:space="0" w:color="auto"/>
            </w:tcBorders>
            <w:shd w:val="clear" w:color="auto" w:fill="auto"/>
            <w:vAlign w:val="center"/>
            <w:hideMark/>
          </w:tcPr>
          <w:p w14:paraId="2CADAF07"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EMPRESA DE ENERGIA DEL PUTUMAYO S.A. ESP</w:t>
            </w:r>
          </w:p>
        </w:tc>
        <w:tc>
          <w:tcPr>
            <w:tcW w:w="1559" w:type="dxa"/>
            <w:tcBorders>
              <w:top w:val="nil"/>
              <w:left w:val="nil"/>
              <w:bottom w:val="single" w:sz="4" w:space="0" w:color="auto"/>
              <w:right w:val="single" w:sz="4" w:space="0" w:color="auto"/>
            </w:tcBorders>
            <w:shd w:val="clear" w:color="auto" w:fill="auto"/>
            <w:noWrap/>
            <w:vAlign w:val="center"/>
            <w:hideMark/>
          </w:tcPr>
          <w:p w14:paraId="1E205A97" w14:textId="6201B79D"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3</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112</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364</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470 </w:t>
            </w:r>
          </w:p>
        </w:tc>
        <w:tc>
          <w:tcPr>
            <w:tcW w:w="1559" w:type="dxa"/>
            <w:tcBorders>
              <w:top w:val="nil"/>
              <w:left w:val="nil"/>
              <w:bottom w:val="single" w:sz="4" w:space="0" w:color="auto"/>
              <w:right w:val="single" w:sz="4" w:space="0" w:color="auto"/>
            </w:tcBorders>
            <w:shd w:val="clear" w:color="auto" w:fill="auto"/>
            <w:noWrap/>
            <w:vAlign w:val="center"/>
            <w:hideMark/>
          </w:tcPr>
          <w:p w14:paraId="5A400B6D" w14:textId="431A1633"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31</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123</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645 </w:t>
            </w:r>
          </w:p>
        </w:tc>
      </w:tr>
      <w:tr w:rsidR="00AE6A98" w:rsidRPr="00AE6A98" w14:paraId="3ACEDC26" w14:textId="77777777" w:rsidTr="00AE6A98">
        <w:trPr>
          <w:trHeight w:val="46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23E5672E"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75</w:t>
            </w:r>
          </w:p>
        </w:tc>
        <w:tc>
          <w:tcPr>
            <w:tcW w:w="879" w:type="dxa"/>
            <w:tcBorders>
              <w:top w:val="nil"/>
              <w:left w:val="nil"/>
              <w:bottom w:val="single" w:sz="4" w:space="0" w:color="auto"/>
              <w:right w:val="single" w:sz="4" w:space="0" w:color="auto"/>
            </w:tcBorders>
            <w:shd w:val="clear" w:color="auto" w:fill="auto"/>
            <w:noWrap/>
            <w:vAlign w:val="center"/>
            <w:hideMark/>
          </w:tcPr>
          <w:p w14:paraId="32B4110D"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846000060</w:t>
            </w:r>
          </w:p>
        </w:tc>
        <w:tc>
          <w:tcPr>
            <w:tcW w:w="4258" w:type="dxa"/>
            <w:tcBorders>
              <w:top w:val="nil"/>
              <w:left w:val="nil"/>
              <w:bottom w:val="single" w:sz="4" w:space="0" w:color="auto"/>
              <w:right w:val="single" w:sz="4" w:space="0" w:color="auto"/>
            </w:tcBorders>
            <w:shd w:val="clear" w:color="auto" w:fill="auto"/>
            <w:vAlign w:val="center"/>
            <w:hideMark/>
          </w:tcPr>
          <w:p w14:paraId="40FEE22F"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EMPRESA DE ENERGIA DEL VALLE DE SIBUNDOY S.A. E.S.P. </w:t>
            </w:r>
          </w:p>
        </w:tc>
        <w:tc>
          <w:tcPr>
            <w:tcW w:w="1559" w:type="dxa"/>
            <w:tcBorders>
              <w:top w:val="nil"/>
              <w:left w:val="nil"/>
              <w:bottom w:val="single" w:sz="4" w:space="0" w:color="auto"/>
              <w:right w:val="single" w:sz="4" w:space="0" w:color="auto"/>
            </w:tcBorders>
            <w:shd w:val="clear" w:color="auto" w:fill="auto"/>
            <w:noWrap/>
            <w:vAlign w:val="center"/>
            <w:hideMark/>
          </w:tcPr>
          <w:p w14:paraId="0D380356" w14:textId="34202542"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1</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679</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021</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089 </w:t>
            </w:r>
          </w:p>
        </w:tc>
        <w:tc>
          <w:tcPr>
            <w:tcW w:w="1559" w:type="dxa"/>
            <w:tcBorders>
              <w:top w:val="nil"/>
              <w:left w:val="nil"/>
              <w:bottom w:val="single" w:sz="4" w:space="0" w:color="auto"/>
              <w:right w:val="single" w:sz="4" w:space="0" w:color="auto"/>
            </w:tcBorders>
            <w:shd w:val="clear" w:color="auto" w:fill="auto"/>
            <w:noWrap/>
            <w:vAlign w:val="center"/>
            <w:hideMark/>
          </w:tcPr>
          <w:p w14:paraId="38E4C10D" w14:textId="25E2301E"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16</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790</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211 </w:t>
            </w:r>
          </w:p>
        </w:tc>
      </w:tr>
      <w:tr w:rsidR="00AE6A98" w:rsidRPr="00AE6A98" w14:paraId="101A7BAA" w14:textId="77777777" w:rsidTr="00AE6A98">
        <w:trPr>
          <w:trHeight w:val="46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2CE08223"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76</w:t>
            </w:r>
          </w:p>
        </w:tc>
        <w:tc>
          <w:tcPr>
            <w:tcW w:w="879" w:type="dxa"/>
            <w:tcBorders>
              <w:top w:val="nil"/>
              <w:left w:val="nil"/>
              <w:bottom w:val="single" w:sz="4" w:space="0" w:color="auto"/>
              <w:right w:val="single" w:sz="4" w:space="0" w:color="auto"/>
            </w:tcBorders>
            <w:shd w:val="clear" w:color="auto" w:fill="auto"/>
            <w:noWrap/>
            <w:vAlign w:val="center"/>
            <w:hideMark/>
          </w:tcPr>
          <w:p w14:paraId="3BED3482"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822004680</w:t>
            </w:r>
          </w:p>
        </w:tc>
        <w:tc>
          <w:tcPr>
            <w:tcW w:w="4258" w:type="dxa"/>
            <w:tcBorders>
              <w:top w:val="nil"/>
              <w:left w:val="nil"/>
              <w:bottom w:val="single" w:sz="4" w:space="0" w:color="auto"/>
              <w:right w:val="single" w:sz="4" w:space="0" w:color="auto"/>
            </w:tcBorders>
            <w:shd w:val="clear" w:color="auto" w:fill="auto"/>
            <w:vAlign w:val="center"/>
            <w:hideMark/>
          </w:tcPr>
          <w:p w14:paraId="1604371F"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EMPRESA DE ENERGIA ELECTRICA DEL DEPARTAMENTO DEL GUAVIARE SA ESP</w:t>
            </w:r>
          </w:p>
        </w:tc>
        <w:tc>
          <w:tcPr>
            <w:tcW w:w="1559" w:type="dxa"/>
            <w:tcBorders>
              <w:top w:val="nil"/>
              <w:left w:val="nil"/>
              <w:bottom w:val="single" w:sz="4" w:space="0" w:color="auto"/>
              <w:right w:val="single" w:sz="4" w:space="0" w:color="auto"/>
            </w:tcBorders>
            <w:shd w:val="clear" w:color="auto" w:fill="auto"/>
            <w:noWrap/>
            <w:vAlign w:val="center"/>
            <w:hideMark/>
          </w:tcPr>
          <w:p w14:paraId="3AC35636" w14:textId="07E23E95"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4</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346</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187</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874 </w:t>
            </w:r>
          </w:p>
        </w:tc>
        <w:tc>
          <w:tcPr>
            <w:tcW w:w="1559" w:type="dxa"/>
            <w:tcBorders>
              <w:top w:val="nil"/>
              <w:left w:val="nil"/>
              <w:bottom w:val="single" w:sz="4" w:space="0" w:color="auto"/>
              <w:right w:val="single" w:sz="4" w:space="0" w:color="auto"/>
            </w:tcBorders>
            <w:shd w:val="clear" w:color="auto" w:fill="auto"/>
            <w:noWrap/>
            <w:vAlign w:val="center"/>
            <w:hideMark/>
          </w:tcPr>
          <w:p w14:paraId="72CF2710" w14:textId="6B57BE85"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43</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461</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879 </w:t>
            </w:r>
          </w:p>
        </w:tc>
      </w:tr>
      <w:tr w:rsidR="00AE6A98" w:rsidRPr="00AE6A98" w14:paraId="66050B6D" w14:textId="77777777" w:rsidTr="00AE6A98">
        <w:trPr>
          <w:trHeight w:val="46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6306DD22"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77</w:t>
            </w:r>
          </w:p>
        </w:tc>
        <w:tc>
          <w:tcPr>
            <w:tcW w:w="879" w:type="dxa"/>
            <w:tcBorders>
              <w:top w:val="nil"/>
              <w:left w:val="nil"/>
              <w:bottom w:val="single" w:sz="4" w:space="0" w:color="auto"/>
              <w:right w:val="single" w:sz="4" w:space="0" w:color="auto"/>
            </w:tcBorders>
            <w:shd w:val="clear" w:color="auto" w:fill="auto"/>
            <w:noWrap/>
            <w:vAlign w:val="center"/>
            <w:hideMark/>
          </w:tcPr>
          <w:p w14:paraId="195E39EB"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842000155</w:t>
            </w:r>
          </w:p>
        </w:tc>
        <w:tc>
          <w:tcPr>
            <w:tcW w:w="4258" w:type="dxa"/>
            <w:tcBorders>
              <w:top w:val="nil"/>
              <w:left w:val="nil"/>
              <w:bottom w:val="single" w:sz="4" w:space="0" w:color="auto"/>
              <w:right w:val="single" w:sz="4" w:space="0" w:color="auto"/>
            </w:tcBorders>
            <w:shd w:val="clear" w:color="auto" w:fill="auto"/>
            <w:vAlign w:val="center"/>
            <w:hideMark/>
          </w:tcPr>
          <w:p w14:paraId="4EE0BAAC"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EMPRESA DE ENERGIA ELECTRICA DEL DEPARTAMENTO DEL VICHADA S.A</w:t>
            </w:r>
          </w:p>
        </w:tc>
        <w:tc>
          <w:tcPr>
            <w:tcW w:w="1559" w:type="dxa"/>
            <w:tcBorders>
              <w:top w:val="nil"/>
              <w:left w:val="nil"/>
              <w:bottom w:val="single" w:sz="4" w:space="0" w:color="auto"/>
              <w:right w:val="single" w:sz="4" w:space="0" w:color="auto"/>
            </w:tcBorders>
            <w:shd w:val="clear" w:color="auto" w:fill="auto"/>
            <w:noWrap/>
            <w:vAlign w:val="center"/>
            <w:hideMark/>
          </w:tcPr>
          <w:p w14:paraId="1E662B35" w14:textId="5C1D80E4"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1</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378</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780</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535 </w:t>
            </w:r>
          </w:p>
        </w:tc>
        <w:tc>
          <w:tcPr>
            <w:tcW w:w="1559" w:type="dxa"/>
            <w:tcBorders>
              <w:top w:val="nil"/>
              <w:left w:val="nil"/>
              <w:bottom w:val="single" w:sz="4" w:space="0" w:color="auto"/>
              <w:right w:val="single" w:sz="4" w:space="0" w:color="auto"/>
            </w:tcBorders>
            <w:shd w:val="clear" w:color="auto" w:fill="auto"/>
            <w:noWrap/>
            <w:vAlign w:val="center"/>
            <w:hideMark/>
          </w:tcPr>
          <w:p w14:paraId="5094581C" w14:textId="6F59C86E"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13</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787</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805 </w:t>
            </w:r>
          </w:p>
        </w:tc>
      </w:tr>
      <w:tr w:rsidR="00AE6A98" w:rsidRPr="00AE6A98" w14:paraId="482DEB92" w14:textId="77777777" w:rsidTr="00AE6A98">
        <w:trPr>
          <w:trHeight w:val="46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6A944BF5"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78</w:t>
            </w:r>
          </w:p>
        </w:tc>
        <w:tc>
          <w:tcPr>
            <w:tcW w:w="879" w:type="dxa"/>
            <w:tcBorders>
              <w:top w:val="nil"/>
              <w:left w:val="nil"/>
              <w:bottom w:val="single" w:sz="4" w:space="0" w:color="auto"/>
              <w:right w:val="single" w:sz="4" w:space="0" w:color="auto"/>
            </w:tcBorders>
            <w:shd w:val="clear" w:color="auto" w:fill="auto"/>
            <w:noWrap/>
            <w:vAlign w:val="center"/>
            <w:hideMark/>
          </w:tcPr>
          <w:p w14:paraId="5632DD67"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900263570</w:t>
            </w:r>
          </w:p>
        </w:tc>
        <w:tc>
          <w:tcPr>
            <w:tcW w:w="4258" w:type="dxa"/>
            <w:tcBorders>
              <w:top w:val="nil"/>
              <w:left w:val="nil"/>
              <w:bottom w:val="single" w:sz="4" w:space="0" w:color="auto"/>
              <w:right w:val="single" w:sz="4" w:space="0" w:color="auto"/>
            </w:tcBorders>
            <w:shd w:val="clear" w:color="auto" w:fill="auto"/>
            <w:vAlign w:val="center"/>
            <w:hideMark/>
          </w:tcPr>
          <w:p w14:paraId="7864ABBB"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EMPRESA DE ENERGIA ELECTRICA DEL MUNICIPIO DE ROBERTO PAYAN S.A.S E.S.P</w:t>
            </w:r>
          </w:p>
        </w:tc>
        <w:tc>
          <w:tcPr>
            <w:tcW w:w="1559" w:type="dxa"/>
            <w:tcBorders>
              <w:top w:val="nil"/>
              <w:left w:val="nil"/>
              <w:bottom w:val="single" w:sz="4" w:space="0" w:color="auto"/>
              <w:right w:val="single" w:sz="4" w:space="0" w:color="auto"/>
            </w:tcBorders>
            <w:shd w:val="clear" w:color="auto" w:fill="auto"/>
            <w:noWrap/>
            <w:vAlign w:val="center"/>
            <w:hideMark/>
          </w:tcPr>
          <w:p w14:paraId="491D13AD" w14:textId="58561D55"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256</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212</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799 </w:t>
            </w:r>
          </w:p>
        </w:tc>
        <w:tc>
          <w:tcPr>
            <w:tcW w:w="1559" w:type="dxa"/>
            <w:tcBorders>
              <w:top w:val="nil"/>
              <w:left w:val="nil"/>
              <w:bottom w:val="single" w:sz="4" w:space="0" w:color="auto"/>
              <w:right w:val="single" w:sz="4" w:space="0" w:color="auto"/>
            </w:tcBorders>
            <w:shd w:val="clear" w:color="auto" w:fill="auto"/>
            <w:noWrap/>
            <w:vAlign w:val="center"/>
            <w:hideMark/>
          </w:tcPr>
          <w:p w14:paraId="7B88BFAB" w14:textId="0658F022"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2</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562</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128 </w:t>
            </w:r>
          </w:p>
        </w:tc>
      </w:tr>
      <w:tr w:rsidR="00AE6A98" w:rsidRPr="00AE6A98" w14:paraId="213E6034" w14:textId="77777777" w:rsidTr="00AE6A98">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24B321F9"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79</w:t>
            </w:r>
          </w:p>
        </w:tc>
        <w:tc>
          <w:tcPr>
            <w:tcW w:w="879" w:type="dxa"/>
            <w:tcBorders>
              <w:top w:val="nil"/>
              <w:left w:val="nil"/>
              <w:bottom w:val="single" w:sz="4" w:space="0" w:color="auto"/>
              <w:right w:val="single" w:sz="4" w:space="0" w:color="auto"/>
            </w:tcBorders>
            <w:shd w:val="clear" w:color="auto" w:fill="auto"/>
            <w:noWrap/>
            <w:vAlign w:val="center"/>
            <w:hideMark/>
          </w:tcPr>
          <w:p w14:paraId="072B1072"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901209614</w:t>
            </w:r>
          </w:p>
        </w:tc>
        <w:tc>
          <w:tcPr>
            <w:tcW w:w="4258" w:type="dxa"/>
            <w:tcBorders>
              <w:top w:val="nil"/>
              <w:left w:val="nil"/>
              <w:bottom w:val="single" w:sz="4" w:space="0" w:color="auto"/>
              <w:right w:val="single" w:sz="4" w:space="0" w:color="auto"/>
            </w:tcBorders>
            <w:shd w:val="clear" w:color="auto" w:fill="auto"/>
            <w:vAlign w:val="center"/>
            <w:hideMark/>
          </w:tcPr>
          <w:p w14:paraId="1A22A7BA"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EMPRESA DE ENERGY Y SERVICIOS S.A.S  E.S.P</w:t>
            </w:r>
          </w:p>
        </w:tc>
        <w:tc>
          <w:tcPr>
            <w:tcW w:w="1559" w:type="dxa"/>
            <w:tcBorders>
              <w:top w:val="nil"/>
              <w:left w:val="nil"/>
              <w:bottom w:val="single" w:sz="4" w:space="0" w:color="auto"/>
              <w:right w:val="single" w:sz="4" w:space="0" w:color="auto"/>
            </w:tcBorders>
            <w:shd w:val="clear" w:color="auto" w:fill="auto"/>
            <w:noWrap/>
            <w:vAlign w:val="center"/>
            <w:hideMark/>
          </w:tcPr>
          <w:p w14:paraId="3E895AE5" w14:textId="16763D0C"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170</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617</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816 </w:t>
            </w:r>
          </w:p>
        </w:tc>
        <w:tc>
          <w:tcPr>
            <w:tcW w:w="1559" w:type="dxa"/>
            <w:tcBorders>
              <w:top w:val="nil"/>
              <w:left w:val="nil"/>
              <w:bottom w:val="single" w:sz="4" w:space="0" w:color="auto"/>
              <w:right w:val="single" w:sz="4" w:space="0" w:color="auto"/>
            </w:tcBorders>
            <w:shd w:val="clear" w:color="auto" w:fill="auto"/>
            <w:noWrap/>
            <w:vAlign w:val="center"/>
            <w:hideMark/>
          </w:tcPr>
          <w:p w14:paraId="3670D23E" w14:textId="27778F5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1</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706</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178 </w:t>
            </w:r>
          </w:p>
        </w:tc>
      </w:tr>
      <w:tr w:rsidR="00AE6A98" w:rsidRPr="00AE6A98" w14:paraId="38968223" w14:textId="77777777" w:rsidTr="00AE6A98">
        <w:trPr>
          <w:trHeight w:val="46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70FD6FE6"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80</w:t>
            </w:r>
          </w:p>
        </w:tc>
        <w:tc>
          <w:tcPr>
            <w:tcW w:w="879" w:type="dxa"/>
            <w:tcBorders>
              <w:top w:val="nil"/>
              <w:left w:val="nil"/>
              <w:bottom w:val="single" w:sz="4" w:space="0" w:color="auto"/>
              <w:right w:val="single" w:sz="4" w:space="0" w:color="auto"/>
            </w:tcBorders>
            <w:shd w:val="clear" w:color="auto" w:fill="auto"/>
            <w:noWrap/>
            <w:vAlign w:val="center"/>
            <w:hideMark/>
          </w:tcPr>
          <w:p w14:paraId="45BAAF8F"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900251423</w:t>
            </w:r>
          </w:p>
        </w:tc>
        <w:tc>
          <w:tcPr>
            <w:tcW w:w="4258" w:type="dxa"/>
            <w:tcBorders>
              <w:top w:val="nil"/>
              <w:left w:val="nil"/>
              <w:bottom w:val="single" w:sz="4" w:space="0" w:color="auto"/>
              <w:right w:val="single" w:sz="4" w:space="0" w:color="auto"/>
            </w:tcBorders>
            <w:shd w:val="clear" w:color="auto" w:fill="auto"/>
            <w:vAlign w:val="center"/>
            <w:hideMark/>
          </w:tcPr>
          <w:p w14:paraId="25EDD518"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EMPRESA DE GENERACION Y PROMOCION DE ENERGIA DE ANTIOQUIA SA ESP</w:t>
            </w:r>
          </w:p>
        </w:tc>
        <w:tc>
          <w:tcPr>
            <w:tcW w:w="1559" w:type="dxa"/>
            <w:tcBorders>
              <w:top w:val="nil"/>
              <w:left w:val="nil"/>
              <w:bottom w:val="single" w:sz="4" w:space="0" w:color="auto"/>
              <w:right w:val="single" w:sz="4" w:space="0" w:color="auto"/>
            </w:tcBorders>
            <w:shd w:val="clear" w:color="auto" w:fill="auto"/>
            <w:noWrap/>
            <w:vAlign w:val="center"/>
            <w:hideMark/>
          </w:tcPr>
          <w:p w14:paraId="3014D2E2" w14:textId="213F353F"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3</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326</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437</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480 </w:t>
            </w:r>
          </w:p>
        </w:tc>
        <w:tc>
          <w:tcPr>
            <w:tcW w:w="1559" w:type="dxa"/>
            <w:tcBorders>
              <w:top w:val="nil"/>
              <w:left w:val="nil"/>
              <w:bottom w:val="single" w:sz="4" w:space="0" w:color="auto"/>
              <w:right w:val="single" w:sz="4" w:space="0" w:color="auto"/>
            </w:tcBorders>
            <w:shd w:val="clear" w:color="auto" w:fill="auto"/>
            <w:noWrap/>
            <w:vAlign w:val="center"/>
            <w:hideMark/>
          </w:tcPr>
          <w:p w14:paraId="29EB07C9" w14:textId="204FDCD5"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33</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264</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375 </w:t>
            </w:r>
          </w:p>
        </w:tc>
      </w:tr>
      <w:tr w:rsidR="00AE6A98" w:rsidRPr="00AE6A98" w14:paraId="5F4E7375" w14:textId="77777777" w:rsidTr="00AE6A98">
        <w:trPr>
          <w:trHeight w:val="6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010B4393"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81</w:t>
            </w:r>
          </w:p>
        </w:tc>
        <w:tc>
          <w:tcPr>
            <w:tcW w:w="879" w:type="dxa"/>
            <w:tcBorders>
              <w:top w:val="nil"/>
              <w:left w:val="nil"/>
              <w:bottom w:val="single" w:sz="4" w:space="0" w:color="auto"/>
              <w:right w:val="single" w:sz="4" w:space="0" w:color="auto"/>
            </w:tcBorders>
            <w:shd w:val="clear" w:color="auto" w:fill="auto"/>
            <w:noWrap/>
            <w:vAlign w:val="center"/>
            <w:hideMark/>
          </w:tcPr>
          <w:p w14:paraId="282BFD20"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901098421</w:t>
            </w:r>
          </w:p>
        </w:tc>
        <w:tc>
          <w:tcPr>
            <w:tcW w:w="4258" w:type="dxa"/>
            <w:tcBorders>
              <w:top w:val="nil"/>
              <w:left w:val="nil"/>
              <w:bottom w:val="single" w:sz="4" w:space="0" w:color="auto"/>
              <w:right w:val="single" w:sz="4" w:space="0" w:color="auto"/>
            </w:tcBorders>
            <w:shd w:val="clear" w:color="auto" w:fill="auto"/>
            <w:vAlign w:val="center"/>
            <w:hideMark/>
          </w:tcPr>
          <w:p w14:paraId="3A9A7A3C"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EMPRESA DE SERVICIOS PÚBLICOS DE ENERGÍA ELÉCTRICA DE LAS PLAYAS ASOCIADAS - ENERPLASO S.A. E.S.P.  </w:t>
            </w:r>
          </w:p>
        </w:tc>
        <w:tc>
          <w:tcPr>
            <w:tcW w:w="1559" w:type="dxa"/>
            <w:tcBorders>
              <w:top w:val="nil"/>
              <w:left w:val="nil"/>
              <w:bottom w:val="single" w:sz="4" w:space="0" w:color="auto"/>
              <w:right w:val="single" w:sz="4" w:space="0" w:color="auto"/>
            </w:tcBorders>
            <w:shd w:val="clear" w:color="auto" w:fill="auto"/>
            <w:noWrap/>
            <w:vAlign w:val="center"/>
            <w:hideMark/>
          </w:tcPr>
          <w:p w14:paraId="53502B52" w14:textId="21218381"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724</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469</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925 </w:t>
            </w:r>
          </w:p>
        </w:tc>
        <w:tc>
          <w:tcPr>
            <w:tcW w:w="1559" w:type="dxa"/>
            <w:tcBorders>
              <w:top w:val="nil"/>
              <w:left w:val="nil"/>
              <w:bottom w:val="single" w:sz="4" w:space="0" w:color="auto"/>
              <w:right w:val="single" w:sz="4" w:space="0" w:color="auto"/>
            </w:tcBorders>
            <w:shd w:val="clear" w:color="auto" w:fill="auto"/>
            <w:noWrap/>
            <w:vAlign w:val="center"/>
            <w:hideMark/>
          </w:tcPr>
          <w:p w14:paraId="459AD0F0" w14:textId="2308B662"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7</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244</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699 </w:t>
            </w:r>
          </w:p>
        </w:tc>
      </w:tr>
      <w:tr w:rsidR="00AE6A98" w:rsidRPr="00AE6A98" w14:paraId="6BE3D7EC" w14:textId="77777777" w:rsidTr="00AE6A98">
        <w:trPr>
          <w:trHeight w:val="6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5FB03B66"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82</w:t>
            </w:r>
          </w:p>
        </w:tc>
        <w:tc>
          <w:tcPr>
            <w:tcW w:w="879" w:type="dxa"/>
            <w:tcBorders>
              <w:top w:val="nil"/>
              <w:left w:val="nil"/>
              <w:bottom w:val="single" w:sz="4" w:space="0" w:color="auto"/>
              <w:right w:val="single" w:sz="4" w:space="0" w:color="auto"/>
            </w:tcBorders>
            <w:shd w:val="clear" w:color="auto" w:fill="auto"/>
            <w:noWrap/>
            <w:vAlign w:val="center"/>
            <w:hideMark/>
          </w:tcPr>
          <w:p w14:paraId="06E3A77A"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900350023</w:t>
            </w:r>
          </w:p>
        </w:tc>
        <w:tc>
          <w:tcPr>
            <w:tcW w:w="4258" w:type="dxa"/>
            <w:tcBorders>
              <w:top w:val="nil"/>
              <w:left w:val="nil"/>
              <w:bottom w:val="single" w:sz="4" w:space="0" w:color="auto"/>
              <w:right w:val="single" w:sz="4" w:space="0" w:color="auto"/>
            </w:tcBorders>
            <w:shd w:val="clear" w:color="auto" w:fill="auto"/>
            <w:vAlign w:val="center"/>
            <w:hideMark/>
          </w:tcPr>
          <w:p w14:paraId="669CAA9E"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EMPRESA DE SERVICIOS PUBLICOS DE ENERGIA ELECTRICA DEL MUNICIPIO DE BARBACOAS S.A.S E.S.P</w:t>
            </w:r>
          </w:p>
        </w:tc>
        <w:tc>
          <w:tcPr>
            <w:tcW w:w="1559" w:type="dxa"/>
            <w:tcBorders>
              <w:top w:val="nil"/>
              <w:left w:val="nil"/>
              <w:bottom w:val="single" w:sz="4" w:space="0" w:color="auto"/>
              <w:right w:val="single" w:sz="4" w:space="0" w:color="auto"/>
            </w:tcBorders>
            <w:shd w:val="clear" w:color="auto" w:fill="auto"/>
            <w:noWrap/>
            <w:vAlign w:val="center"/>
            <w:hideMark/>
          </w:tcPr>
          <w:p w14:paraId="234A4B30" w14:textId="0AADFCA5"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310</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158</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277 </w:t>
            </w:r>
          </w:p>
        </w:tc>
        <w:tc>
          <w:tcPr>
            <w:tcW w:w="1559" w:type="dxa"/>
            <w:tcBorders>
              <w:top w:val="nil"/>
              <w:left w:val="nil"/>
              <w:bottom w:val="single" w:sz="4" w:space="0" w:color="auto"/>
              <w:right w:val="single" w:sz="4" w:space="0" w:color="auto"/>
            </w:tcBorders>
            <w:shd w:val="clear" w:color="auto" w:fill="auto"/>
            <w:noWrap/>
            <w:vAlign w:val="center"/>
            <w:hideMark/>
          </w:tcPr>
          <w:p w14:paraId="74333777" w14:textId="747A4149"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3</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101</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583 </w:t>
            </w:r>
          </w:p>
        </w:tc>
      </w:tr>
      <w:tr w:rsidR="00AE6A98" w:rsidRPr="00AE6A98" w14:paraId="4BC69096" w14:textId="77777777" w:rsidTr="00AE6A98">
        <w:trPr>
          <w:trHeight w:val="46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1EDF7724"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83</w:t>
            </w:r>
          </w:p>
        </w:tc>
        <w:tc>
          <w:tcPr>
            <w:tcW w:w="879" w:type="dxa"/>
            <w:tcBorders>
              <w:top w:val="nil"/>
              <w:left w:val="nil"/>
              <w:bottom w:val="single" w:sz="4" w:space="0" w:color="auto"/>
              <w:right w:val="single" w:sz="4" w:space="0" w:color="auto"/>
            </w:tcBorders>
            <w:shd w:val="clear" w:color="auto" w:fill="auto"/>
            <w:noWrap/>
            <w:vAlign w:val="center"/>
            <w:hideMark/>
          </w:tcPr>
          <w:p w14:paraId="7DEA6409"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901219090</w:t>
            </w:r>
          </w:p>
        </w:tc>
        <w:tc>
          <w:tcPr>
            <w:tcW w:w="4258" w:type="dxa"/>
            <w:tcBorders>
              <w:top w:val="nil"/>
              <w:left w:val="nil"/>
              <w:bottom w:val="single" w:sz="4" w:space="0" w:color="auto"/>
              <w:right w:val="single" w:sz="4" w:space="0" w:color="auto"/>
            </w:tcBorders>
            <w:shd w:val="clear" w:color="auto" w:fill="auto"/>
            <w:vAlign w:val="center"/>
            <w:hideMark/>
          </w:tcPr>
          <w:p w14:paraId="240CA3CF"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EMPRESA DE SERVICIOS PÚBLICOS DE ENERGÍA LIMPIA DE COLOMBIA ENERLIMPIA S.A. E.S.P.</w:t>
            </w:r>
          </w:p>
        </w:tc>
        <w:tc>
          <w:tcPr>
            <w:tcW w:w="1559" w:type="dxa"/>
            <w:tcBorders>
              <w:top w:val="nil"/>
              <w:left w:val="nil"/>
              <w:bottom w:val="single" w:sz="4" w:space="0" w:color="auto"/>
              <w:right w:val="single" w:sz="4" w:space="0" w:color="auto"/>
            </w:tcBorders>
            <w:shd w:val="clear" w:color="auto" w:fill="auto"/>
            <w:noWrap/>
            <w:vAlign w:val="center"/>
            <w:hideMark/>
          </w:tcPr>
          <w:p w14:paraId="13F4FD77" w14:textId="2400B48A"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99</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529</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579 </w:t>
            </w:r>
          </w:p>
        </w:tc>
        <w:tc>
          <w:tcPr>
            <w:tcW w:w="1559" w:type="dxa"/>
            <w:tcBorders>
              <w:top w:val="nil"/>
              <w:left w:val="nil"/>
              <w:bottom w:val="single" w:sz="4" w:space="0" w:color="auto"/>
              <w:right w:val="single" w:sz="4" w:space="0" w:color="auto"/>
            </w:tcBorders>
            <w:shd w:val="clear" w:color="auto" w:fill="auto"/>
            <w:noWrap/>
            <w:vAlign w:val="center"/>
            <w:hideMark/>
          </w:tcPr>
          <w:p w14:paraId="38AC79B9" w14:textId="0337FF86"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995</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296 </w:t>
            </w:r>
          </w:p>
        </w:tc>
      </w:tr>
      <w:tr w:rsidR="00AE6A98" w:rsidRPr="00AE6A98" w14:paraId="6E39A306" w14:textId="77777777" w:rsidTr="00AE6A98">
        <w:trPr>
          <w:trHeight w:val="46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1BA5B74A"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84</w:t>
            </w:r>
          </w:p>
        </w:tc>
        <w:tc>
          <w:tcPr>
            <w:tcW w:w="879" w:type="dxa"/>
            <w:tcBorders>
              <w:top w:val="nil"/>
              <w:left w:val="nil"/>
              <w:bottom w:val="single" w:sz="4" w:space="0" w:color="auto"/>
              <w:right w:val="single" w:sz="4" w:space="0" w:color="auto"/>
            </w:tcBorders>
            <w:shd w:val="clear" w:color="auto" w:fill="auto"/>
            <w:noWrap/>
            <w:vAlign w:val="center"/>
            <w:hideMark/>
          </w:tcPr>
          <w:p w14:paraId="3F7561D5"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811034077</w:t>
            </w:r>
          </w:p>
        </w:tc>
        <w:tc>
          <w:tcPr>
            <w:tcW w:w="4258" w:type="dxa"/>
            <w:tcBorders>
              <w:top w:val="nil"/>
              <w:left w:val="nil"/>
              <w:bottom w:val="single" w:sz="4" w:space="0" w:color="auto"/>
              <w:right w:val="single" w:sz="4" w:space="0" w:color="auto"/>
            </w:tcBorders>
            <w:shd w:val="clear" w:color="auto" w:fill="auto"/>
            <w:vAlign w:val="center"/>
            <w:hideMark/>
          </w:tcPr>
          <w:p w14:paraId="1536FAF4"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EMPRESA DE SERVICIOS PUBLICOS DE MURINDO S.A.S E.S.P.</w:t>
            </w:r>
          </w:p>
        </w:tc>
        <w:tc>
          <w:tcPr>
            <w:tcW w:w="1559" w:type="dxa"/>
            <w:tcBorders>
              <w:top w:val="nil"/>
              <w:left w:val="nil"/>
              <w:bottom w:val="single" w:sz="4" w:space="0" w:color="auto"/>
              <w:right w:val="single" w:sz="4" w:space="0" w:color="auto"/>
            </w:tcBorders>
            <w:shd w:val="clear" w:color="auto" w:fill="auto"/>
            <w:noWrap/>
            <w:vAlign w:val="center"/>
            <w:hideMark/>
          </w:tcPr>
          <w:p w14:paraId="79461C8F" w14:textId="15DE3B0C"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1</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361</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821</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617 </w:t>
            </w:r>
          </w:p>
        </w:tc>
        <w:tc>
          <w:tcPr>
            <w:tcW w:w="1559" w:type="dxa"/>
            <w:tcBorders>
              <w:top w:val="nil"/>
              <w:left w:val="nil"/>
              <w:bottom w:val="single" w:sz="4" w:space="0" w:color="auto"/>
              <w:right w:val="single" w:sz="4" w:space="0" w:color="auto"/>
            </w:tcBorders>
            <w:shd w:val="clear" w:color="auto" w:fill="auto"/>
            <w:noWrap/>
            <w:vAlign w:val="center"/>
            <w:hideMark/>
          </w:tcPr>
          <w:p w14:paraId="11C28374" w14:textId="0EC19355"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13</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618</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216 </w:t>
            </w:r>
          </w:p>
        </w:tc>
      </w:tr>
      <w:tr w:rsidR="00AE6A98" w:rsidRPr="00AE6A98" w14:paraId="64ACDEA4" w14:textId="77777777" w:rsidTr="00AE6A98">
        <w:trPr>
          <w:trHeight w:val="46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34300BA0"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85</w:t>
            </w:r>
          </w:p>
        </w:tc>
        <w:tc>
          <w:tcPr>
            <w:tcW w:w="879" w:type="dxa"/>
            <w:tcBorders>
              <w:top w:val="nil"/>
              <w:left w:val="nil"/>
              <w:bottom w:val="single" w:sz="4" w:space="0" w:color="auto"/>
              <w:right w:val="single" w:sz="4" w:space="0" w:color="auto"/>
            </w:tcBorders>
            <w:shd w:val="clear" w:color="auto" w:fill="auto"/>
            <w:noWrap/>
            <w:vAlign w:val="center"/>
            <w:hideMark/>
          </w:tcPr>
          <w:p w14:paraId="323AC913"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900648934</w:t>
            </w:r>
          </w:p>
        </w:tc>
        <w:tc>
          <w:tcPr>
            <w:tcW w:w="4258" w:type="dxa"/>
            <w:tcBorders>
              <w:top w:val="nil"/>
              <w:left w:val="nil"/>
              <w:bottom w:val="single" w:sz="4" w:space="0" w:color="auto"/>
              <w:right w:val="single" w:sz="4" w:space="0" w:color="auto"/>
            </w:tcBorders>
            <w:shd w:val="clear" w:color="auto" w:fill="auto"/>
            <w:vAlign w:val="center"/>
            <w:hideMark/>
          </w:tcPr>
          <w:p w14:paraId="1440B07A"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EMPRESA DE SERVICIOS PUBLICOS DE SANTANDER S.A.E.S.P.</w:t>
            </w:r>
          </w:p>
        </w:tc>
        <w:tc>
          <w:tcPr>
            <w:tcW w:w="1559" w:type="dxa"/>
            <w:tcBorders>
              <w:top w:val="nil"/>
              <w:left w:val="nil"/>
              <w:bottom w:val="single" w:sz="4" w:space="0" w:color="auto"/>
              <w:right w:val="single" w:sz="4" w:space="0" w:color="auto"/>
            </w:tcBorders>
            <w:shd w:val="clear" w:color="auto" w:fill="auto"/>
            <w:noWrap/>
            <w:vAlign w:val="center"/>
            <w:hideMark/>
          </w:tcPr>
          <w:p w14:paraId="10BEF23E" w14:textId="538C56F5"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587</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547</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838 </w:t>
            </w:r>
          </w:p>
        </w:tc>
        <w:tc>
          <w:tcPr>
            <w:tcW w:w="1559" w:type="dxa"/>
            <w:tcBorders>
              <w:top w:val="nil"/>
              <w:left w:val="nil"/>
              <w:bottom w:val="single" w:sz="4" w:space="0" w:color="auto"/>
              <w:right w:val="single" w:sz="4" w:space="0" w:color="auto"/>
            </w:tcBorders>
            <w:shd w:val="clear" w:color="auto" w:fill="auto"/>
            <w:noWrap/>
            <w:vAlign w:val="center"/>
            <w:hideMark/>
          </w:tcPr>
          <w:p w14:paraId="085FF7AA" w14:textId="568A3268"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5</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875</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478 </w:t>
            </w:r>
          </w:p>
        </w:tc>
      </w:tr>
      <w:tr w:rsidR="00AE6A98" w:rsidRPr="00AE6A98" w14:paraId="6A354234" w14:textId="77777777" w:rsidTr="00AE6A98">
        <w:trPr>
          <w:trHeight w:val="46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56E62805"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86</w:t>
            </w:r>
          </w:p>
        </w:tc>
        <w:tc>
          <w:tcPr>
            <w:tcW w:w="879" w:type="dxa"/>
            <w:tcBorders>
              <w:top w:val="nil"/>
              <w:left w:val="nil"/>
              <w:bottom w:val="single" w:sz="4" w:space="0" w:color="auto"/>
              <w:right w:val="single" w:sz="4" w:space="0" w:color="auto"/>
            </w:tcBorders>
            <w:shd w:val="clear" w:color="auto" w:fill="auto"/>
            <w:noWrap/>
            <w:vAlign w:val="center"/>
            <w:hideMark/>
          </w:tcPr>
          <w:p w14:paraId="569A3DFA"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900927089</w:t>
            </w:r>
          </w:p>
        </w:tc>
        <w:tc>
          <w:tcPr>
            <w:tcW w:w="4258" w:type="dxa"/>
            <w:tcBorders>
              <w:top w:val="nil"/>
              <w:left w:val="nil"/>
              <w:bottom w:val="single" w:sz="4" w:space="0" w:color="auto"/>
              <w:right w:val="single" w:sz="4" w:space="0" w:color="auto"/>
            </w:tcBorders>
            <w:shd w:val="clear" w:color="auto" w:fill="auto"/>
            <w:vAlign w:val="center"/>
            <w:hideMark/>
          </w:tcPr>
          <w:p w14:paraId="76488AD1"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EMPRESA DE SERVICIOS PUBLICOS DEL ALTO BAUDO E.S.P. S.A.S.</w:t>
            </w:r>
          </w:p>
        </w:tc>
        <w:tc>
          <w:tcPr>
            <w:tcW w:w="1559" w:type="dxa"/>
            <w:tcBorders>
              <w:top w:val="nil"/>
              <w:left w:val="nil"/>
              <w:bottom w:val="single" w:sz="4" w:space="0" w:color="auto"/>
              <w:right w:val="single" w:sz="4" w:space="0" w:color="auto"/>
            </w:tcBorders>
            <w:shd w:val="clear" w:color="auto" w:fill="auto"/>
            <w:noWrap/>
            <w:vAlign w:val="center"/>
            <w:hideMark/>
          </w:tcPr>
          <w:p w14:paraId="58025C73" w14:textId="19745B90"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63</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653</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879 </w:t>
            </w:r>
          </w:p>
        </w:tc>
        <w:tc>
          <w:tcPr>
            <w:tcW w:w="1559" w:type="dxa"/>
            <w:tcBorders>
              <w:top w:val="nil"/>
              <w:left w:val="nil"/>
              <w:bottom w:val="single" w:sz="4" w:space="0" w:color="auto"/>
              <w:right w:val="single" w:sz="4" w:space="0" w:color="auto"/>
            </w:tcBorders>
            <w:shd w:val="clear" w:color="auto" w:fill="auto"/>
            <w:noWrap/>
            <w:vAlign w:val="center"/>
            <w:hideMark/>
          </w:tcPr>
          <w:p w14:paraId="6DA19099" w14:textId="5787DFF9"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636</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539 </w:t>
            </w:r>
          </w:p>
        </w:tc>
      </w:tr>
      <w:tr w:rsidR="00AE6A98" w:rsidRPr="00AE6A98" w14:paraId="6F84798F" w14:textId="77777777" w:rsidTr="00AE6A98">
        <w:trPr>
          <w:trHeight w:val="46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1839B237"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87</w:t>
            </w:r>
          </w:p>
        </w:tc>
        <w:tc>
          <w:tcPr>
            <w:tcW w:w="879" w:type="dxa"/>
            <w:tcBorders>
              <w:top w:val="nil"/>
              <w:left w:val="nil"/>
              <w:bottom w:val="single" w:sz="4" w:space="0" w:color="auto"/>
              <w:right w:val="single" w:sz="4" w:space="0" w:color="auto"/>
            </w:tcBorders>
            <w:shd w:val="clear" w:color="auto" w:fill="auto"/>
            <w:noWrap/>
            <w:vAlign w:val="center"/>
            <w:hideMark/>
          </w:tcPr>
          <w:p w14:paraId="78769BFA"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900662075</w:t>
            </w:r>
          </w:p>
        </w:tc>
        <w:tc>
          <w:tcPr>
            <w:tcW w:w="4258" w:type="dxa"/>
            <w:tcBorders>
              <w:top w:val="nil"/>
              <w:left w:val="nil"/>
              <w:bottom w:val="single" w:sz="4" w:space="0" w:color="auto"/>
              <w:right w:val="single" w:sz="4" w:space="0" w:color="auto"/>
            </w:tcBorders>
            <w:shd w:val="clear" w:color="auto" w:fill="auto"/>
            <w:vAlign w:val="center"/>
            <w:hideMark/>
          </w:tcPr>
          <w:p w14:paraId="794AC844"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EMPRESA DE SERVICIOS PUBLICOS DEL OCCIDENTE COLOMBIANO S.A.</w:t>
            </w:r>
          </w:p>
        </w:tc>
        <w:tc>
          <w:tcPr>
            <w:tcW w:w="1559" w:type="dxa"/>
            <w:tcBorders>
              <w:top w:val="nil"/>
              <w:left w:val="nil"/>
              <w:bottom w:val="single" w:sz="4" w:space="0" w:color="auto"/>
              <w:right w:val="single" w:sz="4" w:space="0" w:color="auto"/>
            </w:tcBorders>
            <w:shd w:val="clear" w:color="auto" w:fill="auto"/>
            <w:noWrap/>
            <w:vAlign w:val="center"/>
            <w:hideMark/>
          </w:tcPr>
          <w:p w14:paraId="44F1E20C" w14:textId="24863FC4"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694</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321</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831 </w:t>
            </w:r>
          </w:p>
        </w:tc>
        <w:tc>
          <w:tcPr>
            <w:tcW w:w="1559" w:type="dxa"/>
            <w:tcBorders>
              <w:top w:val="nil"/>
              <w:left w:val="nil"/>
              <w:bottom w:val="single" w:sz="4" w:space="0" w:color="auto"/>
              <w:right w:val="single" w:sz="4" w:space="0" w:color="auto"/>
            </w:tcBorders>
            <w:shd w:val="clear" w:color="auto" w:fill="auto"/>
            <w:noWrap/>
            <w:vAlign w:val="center"/>
            <w:hideMark/>
          </w:tcPr>
          <w:p w14:paraId="0E79BE41" w14:textId="73032700"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6</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943</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218 </w:t>
            </w:r>
          </w:p>
        </w:tc>
      </w:tr>
      <w:tr w:rsidR="00AE6A98" w:rsidRPr="00AE6A98" w14:paraId="47C5F5F5" w14:textId="77777777" w:rsidTr="00AE6A98">
        <w:trPr>
          <w:trHeight w:val="46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48385AC2"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88</w:t>
            </w:r>
          </w:p>
        </w:tc>
        <w:tc>
          <w:tcPr>
            <w:tcW w:w="879" w:type="dxa"/>
            <w:tcBorders>
              <w:top w:val="nil"/>
              <w:left w:val="nil"/>
              <w:bottom w:val="single" w:sz="4" w:space="0" w:color="auto"/>
              <w:right w:val="single" w:sz="4" w:space="0" w:color="auto"/>
            </w:tcBorders>
            <w:shd w:val="clear" w:color="auto" w:fill="auto"/>
            <w:noWrap/>
            <w:vAlign w:val="center"/>
            <w:hideMark/>
          </w:tcPr>
          <w:p w14:paraId="34FEAF66"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900304017</w:t>
            </w:r>
          </w:p>
        </w:tc>
        <w:tc>
          <w:tcPr>
            <w:tcW w:w="4258" w:type="dxa"/>
            <w:tcBorders>
              <w:top w:val="nil"/>
              <w:left w:val="nil"/>
              <w:bottom w:val="single" w:sz="4" w:space="0" w:color="auto"/>
              <w:right w:val="single" w:sz="4" w:space="0" w:color="auto"/>
            </w:tcBorders>
            <w:shd w:val="clear" w:color="auto" w:fill="auto"/>
            <w:vAlign w:val="center"/>
            <w:hideMark/>
          </w:tcPr>
          <w:p w14:paraId="299BBD9D"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EMPRESA DE SERVICIOS PUBLICOS DOMICILIARIOS DE UNGUIA SA ESP</w:t>
            </w:r>
          </w:p>
        </w:tc>
        <w:tc>
          <w:tcPr>
            <w:tcW w:w="1559" w:type="dxa"/>
            <w:tcBorders>
              <w:top w:val="nil"/>
              <w:left w:val="nil"/>
              <w:bottom w:val="single" w:sz="4" w:space="0" w:color="auto"/>
              <w:right w:val="single" w:sz="4" w:space="0" w:color="auto"/>
            </w:tcBorders>
            <w:shd w:val="clear" w:color="auto" w:fill="auto"/>
            <w:noWrap/>
            <w:vAlign w:val="center"/>
            <w:hideMark/>
          </w:tcPr>
          <w:p w14:paraId="56C5F68B" w14:textId="11240D4A"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447</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301</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033 </w:t>
            </w:r>
          </w:p>
        </w:tc>
        <w:tc>
          <w:tcPr>
            <w:tcW w:w="1559" w:type="dxa"/>
            <w:tcBorders>
              <w:top w:val="nil"/>
              <w:left w:val="nil"/>
              <w:bottom w:val="single" w:sz="4" w:space="0" w:color="auto"/>
              <w:right w:val="single" w:sz="4" w:space="0" w:color="auto"/>
            </w:tcBorders>
            <w:shd w:val="clear" w:color="auto" w:fill="auto"/>
            <w:noWrap/>
            <w:vAlign w:val="center"/>
            <w:hideMark/>
          </w:tcPr>
          <w:p w14:paraId="0390096B" w14:textId="16237AFB"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4</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473</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010 </w:t>
            </w:r>
          </w:p>
        </w:tc>
      </w:tr>
      <w:tr w:rsidR="00AE6A98" w:rsidRPr="00AE6A98" w14:paraId="1A2C6276" w14:textId="77777777" w:rsidTr="00AE6A98">
        <w:trPr>
          <w:trHeight w:val="46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107998AA"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89</w:t>
            </w:r>
          </w:p>
        </w:tc>
        <w:tc>
          <w:tcPr>
            <w:tcW w:w="879" w:type="dxa"/>
            <w:tcBorders>
              <w:top w:val="nil"/>
              <w:left w:val="nil"/>
              <w:bottom w:val="single" w:sz="4" w:space="0" w:color="auto"/>
              <w:right w:val="single" w:sz="4" w:space="0" w:color="auto"/>
            </w:tcBorders>
            <w:shd w:val="clear" w:color="auto" w:fill="auto"/>
            <w:noWrap/>
            <w:vAlign w:val="center"/>
            <w:hideMark/>
          </w:tcPr>
          <w:p w14:paraId="23E27160"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901164452</w:t>
            </w:r>
          </w:p>
        </w:tc>
        <w:tc>
          <w:tcPr>
            <w:tcW w:w="4258" w:type="dxa"/>
            <w:tcBorders>
              <w:top w:val="nil"/>
              <w:left w:val="nil"/>
              <w:bottom w:val="single" w:sz="4" w:space="0" w:color="auto"/>
              <w:right w:val="single" w:sz="4" w:space="0" w:color="auto"/>
            </w:tcBorders>
            <w:shd w:val="clear" w:color="auto" w:fill="auto"/>
            <w:vAlign w:val="center"/>
            <w:hideMark/>
          </w:tcPr>
          <w:p w14:paraId="41242B85"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EMPRESA DE SERVICIOS PUBLICOS ENERGIZAR DEL PACIFICO S.A. E.S.P.</w:t>
            </w:r>
          </w:p>
        </w:tc>
        <w:tc>
          <w:tcPr>
            <w:tcW w:w="1559" w:type="dxa"/>
            <w:tcBorders>
              <w:top w:val="nil"/>
              <w:left w:val="nil"/>
              <w:bottom w:val="single" w:sz="4" w:space="0" w:color="auto"/>
              <w:right w:val="single" w:sz="4" w:space="0" w:color="auto"/>
            </w:tcBorders>
            <w:shd w:val="clear" w:color="auto" w:fill="auto"/>
            <w:noWrap/>
            <w:vAlign w:val="center"/>
            <w:hideMark/>
          </w:tcPr>
          <w:p w14:paraId="23A65746" w14:textId="7E8C9D7D"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311</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516</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941 </w:t>
            </w:r>
          </w:p>
        </w:tc>
        <w:tc>
          <w:tcPr>
            <w:tcW w:w="1559" w:type="dxa"/>
            <w:tcBorders>
              <w:top w:val="nil"/>
              <w:left w:val="nil"/>
              <w:bottom w:val="single" w:sz="4" w:space="0" w:color="auto"/>
              <w:right w:val="single" w:sz="4" w:space="0" w:color="auto"/>
            </w:tcBorders>
            <w:shd w:val="clear" w:color="auto" w:fill="auto"/>
            <w:noWrap/>
            <w:vAlign w:val="center"/>
            <w:hideMark/>
          </w:tcPr>
          <w:p w14:paraId="3F6ED69F" w14:textId="1E59CA60"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3</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115</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169 </w:t>
            </w:r>
          </w:p>
        </w:tc>
      </w:tr>
      <w:tr w:rsidR="00AE6A98" w:rsidRPr="00AE6A98" w14:paraId="48B51771" w14:textId="77777777" w:rsidTr="00AE6A98">
        <w:trPr>
          <w:trHeight w:val="46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33CA1465"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90</w:t>
            </w:r>
          </w:p>
        </w:tc>
        <w:tc>
          <w:tcPr>
            <w:tcW w:w="879" w:type="dxa"/>
            <w:tcBorders>
              <w:top w:val="nil"/>
              <w:left w:val="nil"/>
              <w:bottom w:val="single" w:sz="4" w:space="0" w:color="auto"/>
              <w:right w:val="single" w:sz="4" w:space="0" w:color="auto"/>
            </w:tcBorders>
            <w:shd w:val="clear" w:color="auto" w:fill="auto"/>
            <w:noWrap/>
            <w:vAlign w:val="center"/>
            <w:hideMark/>
          </w:tcPr>
          <w:p w14:paraId="6A7D4420"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818000293</w:t>
            </w:r>
          </w:p>
        </w:tc>
        <w:tc>
          <w:tcPr>
            <w:tcW w:w="4258" w:type="dxa"/>
            <w:tcBorders>
              <w:top w:val="nil"/>
              <w:left w:val="nil"/>
              <w:bottom w:val="single" w:sz="4" w:space="0" w:color="auto"/>
              <w:right w:val="single" w:sz="4" w:space="0" w:color="auto"/>
            </w:tcBorders>
            <w:shd w:val="clear" w:color="auto" w:fill="auto"/>
            <w:vAlign w:val="center"/>
            <w:hideMark/>
          </w:tcPr>
          <w:p w14:paraId="62AB6CDE"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EMPRESA DE SERVICOS PUBLICOS DE ACANDI S.A E.S.P.</w:t>
            </w:r>
          </w:p>
        </w:tc>
        <w:tc>
          <w:tcPr>
            <w:tcW w:w="1559" w:type="dxa"/>
            <w:tcBorders>
              <w:top w:val="nil"/>
              <w:left w:val="nil"/>
              <w:bottom w:val="single" w:sz="4" w:space="0" w:color="auto"/>
              <w:right w:val="single" w:sz="4" w:space="0" w:color="auto"/>
            </w:tcBorders>
            <w:shd w:val="clear" w:color="auto" w:fill="auto"/>
            <w:noWrap/>
            <w:vAlign w:val="center"/>
            <w:hideMark/>
          </w:tcPr>
          <w:p w14:paraId="657C7A68" w14:textId="522454A8"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352</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424</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480 </w:t>
            </w:r>
          </w:p>
        </w:tc>
        <w:tc>
          <w:tcPr>
            <w:tcW w:w="1559" w:type="dxa"/>
            <w:tcBorders>
              <w:top w:val="nil"/>
              <w:left w:val="nil"/>
              <w:bottom w:val="single" w:sz="4" w:space="0" w:color="auto"/>
              <w:right w:val="single" w:sz="4" w:space="0" w:color="auto"/>
            </w:tcBorders>
            <w:shd w:val="clear" w:color="auto" w:fill="auto"/>
            <w:noWrap/>
            <w:vAlign w:val="center"/>
            <w:hideMark/>
          </w:tcPr>
          <w:p w14:paraId="7370C7FD" w14:textId="53DAC8C6"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3</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524</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245 </w:t>
            </w:r>
          </w:p>
        </w:tc>
      </w:tr>
      <w:tr w:rsidR="00AE6A98" w:rsidRPr="00AE6A98" w14:paraId="190ACDD2" w14:textId="77777777" w:rsidTr="00AE6A98">
        <w:trPr>
          <w:trHeight w:val="46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66511E7E"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91</w:t>
            </w:r>
          </w:p>
        </w:tc>
        <w:tc>
          <w:tcPr>
            <w:tcW w:w="879" w:type="dxa"/>
            <w:tcBorders>
              <w:top w:val="nil"/>
              <w:left w:val="nil"/>
              <w:bottom w:val="single" w:sz="4" w:space="0" w:color="auto"/>
              <w:right w:val="single" w:sz="4" w:space="0" w:color="auto"/>
            </w:tcBorders>
            <w:shd w:val="clear" w:color="auto" w:fill="auto"/>
            <w:noWrap/>
            <w:vAlign w:val="center"/>
            <w:hideMark/>
          </w:tcPr>
          <w:p w14:paraId="510BBCD0"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818001629</w:t>
            </w:r>
          </w:p>
        </w:tc>
        <w:tc>
          <w:tcPr>
            <w:tcW w:w="4258" w:type="dxa"/>
            <w:tcBorders>
              <w:top w:val="nil"/>
              <w:left w:val="nil"/>
              <w:bottom w:val="single" w:sz="4" w:space="0" w:color="auto"/>
              <w:right w:val="single" w:sz="4" w:space="0" w:color="auto"/>
            </w:tcBorders>
            <w:shd w:val="clear" w:color="auto" w:fill="auto"/>
            <w:vAlign w:val="center"/>
            <w:hideMark/>
          </w:tcPr>
          <w:p w14:paraId="4A5746C3"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EMPRESA DISTRIBUIDORA DEL PACIFICO S.A. E.S.P</w:t>
            </w:r>
          </w:p>
        </w:tc>
        <w:tc>
          <w:tcPr>
            <w:tcW w:w="1559" w:type="dxa"/>
            <w:tcBorders>
              <w:top w:val="nil"/>
              <w:left w:val="nil"/>
              <w:bottom w:val="single" w:sz="4" w:space="0" w:color="auto"/>
              <w:right w:val="single" w:sz="4" w:space="0" w:color="auto"/>
            </w:tcBorders>
            <w:shd w:val="clear" w:color="auto" w:fill="auto"/>
            <w:noWrap/>
            <w:vAlign w:val="center"/>
            <w:hideMark/>
          </w:tcPr>
          <w:p w14:paraId="11428075" w14:textId="74BCF3D2"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3</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960</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397</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444 </w:t>
            </w:r>
          </w:p>
        </w:tc>
        <w:tc>
          <w:tcPr>
            <w:tcW w:w="1559" w:type="dxa"/>
            <w:tcBorders>
              <w:top w:val="nil"/>
              <w:left w:val="nil"/>
              <w:bottom w:val="single" w:sz="4" w:space="0" w:color="auto"/>
              <w:right w:val="single" w:sz="4" w:space="0" w:color="auto"/>
            </w:tcBorders>
            <w:shd w:val="clear" w:color="auto" w:fill="auto"/>
            <w:noWrap/>
            <w:vAlign w:val="center"/>
            <w:hideMark/>
          </w:tcPr>
          <w:p w14:paraId="3F46C545" w14:textId="1F2A0534"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39</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603</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974 </w:t>
            </w:r>
          </w:p>
        </w:tc>
      </w:tr>
      <w:tr w:rsidR="00AE6A98" w:rsidRPr="00AE6A98" w14:paraId="6ADD9046" w14:textId="77777777" w:rsidTr="00AE6A98">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4E86BE64"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92</w:t>
            </w:r>
          </w:p>
        </w:tc>
        <w:tc>
          <w:tcPr>
            <w:tcW w:w="879" w:type="dxa"/>
            <w:tcBorders>
              <w:top w:val="nil"/>
              <w:left w:val="nil"/>
              <w:bottom w:val="single" w:sz="4" w:space="0" w:color="auto"/>
              <w:right w:val="single" w:sz="4" w:space="0" w:color="auto"/>
            </w:tcBorders>
            <w:shd w:val="clear" w:color="auto" w:fill="auto"/>
            <w:noWrap/>
            <w:vAlign w:val="center"/>
            <w:hideMark/>
          </w:tcPr>
          <w:p w14:paraId="2242D8A6"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901113171</w:t>
            </w:r>
          </w:p>
        </w:tc>
        <w:tc>
          <w:tcPr>
            <w:tcW w:w="4258" w:type="dxa"/>
            <w:tcBorders>
              <w:top w:val="nil"/>
              <w:left w:val="nil"/>
              <w:bottom w:val="single" w:sz="4" w:space="0" w:color="auto"/>
              <w:right w:val="single" w:sz="4" w:space="0" w:color="auto"/>
            </w:tcBorders>
            <w:shd w:val="clear" w:color="auto" w:fill="auto"/>
            <w:vAlign w:val="center"/>
            <w:hideMark/>
          </w:tcPr>
          <w:p w14:paraId="797E155E"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EMPRESA ELÉCTRICA REGIONAL SAS ESP</w:t>
            </w:r>
          </w:p>
        </w:tc>
        <w:tc>
          <w:tcPr>
            <w:tcW w:w="1559" w:type="dxa"/>
            <w:tcBorders>
              <w:top w:val="nil"/>
              <w:left w:val="nil"/>
              <w:bottom w:val="single" w:sz="4" w:space="0" w:color="auto"/>
              <w:right w:val="single" w:sz="4" w:space="0" w:color="auto"/>
            </w:tcBorders>
            <w:shd w:val="clear" w:color="auto" w:fill="auto"/>
            <w:noWrap/>
            <w:vAlign w:val="center"/>
            <w:hideMark/>
          </w:tcPr>
          <w:p w14:paraId="7506B8C5" w14:textId="6C394FF9"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69</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794</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620 </w:t>
            </w:r>
          </w:p>
        </w:tc>
        <w:tc>
          <w:tcPr>
            <w:tcW w:w="1559" w:type="dxa"/>
            <w:tcBorders>
              <w:top w:val="nil"/>
              <w:left w:val="nil"/>
              <w:bottom w:val="single" w:sz="4" w:space="0" w:color="auto"/>
              <w:right w:val="single" w:sz="4" w:space="0" w:color="auto"/>
            </w:tcBorders>
            <w:shd w:val="clear" w:color="auto" w:fill="auto"/>
            <w:noWrap/>
            <w:vAlign w:val="center"/>
            <w:hideMark/>
          </w:tcPr>
          <w:p w14:paraId="1DEB6710" w14:textId="2C156DEF"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697</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946 </w:t>
            </w:r>
          </w:p>
        </w:tc>
      </w:tr>
      <w:tr w:rsidR="00AE6A98" w:rsidRPr="00AE6A98" w14:paraId="439CDAEC" w14:textId="77777777" w:rsidTr="00AE6A98">
        <w:trPr>
          <w:trHeight w:val="46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50F4C7DD"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93</w:t>
            </w:r>
          </w:p>
        </w:tc>
        <w:tc>
          <w:tcPr>
            <w:tcW w:w="879" w:type="dxa"/>
            <w:tcBorders>
              <w:top w:val="nil"/>
              <w:left w:val="nil"/>
              <w:bottom w:val="single" w:sz="4" w:space="0" w:color="auto"/>
              <w:right w:val="single" w:sz="4" w:space="0" w:color="auto"/>
            </w:tcBorders>
            <w:shd w:val="clear" w:color="auto" w:fill="auto"/>
            <w:noWrap/>
            <w:vAlign w:val="center"/>
            <w:hideMark/>
          </w:tcPr>
          <w:p w14:paraId="59A43BA1"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818000166</w:t>
            </w:r>
          </w:p>
        </w:tc>
        <w:tc>
          <w:tcPr>
            <w:tcW w:w="4258" w:type="dxa"/>
            <w:tcBorders>
              <w:top w:val="nil"/>
              <w:left w:val="nil"/>
              <w:bottom w:val="single" w:sz="4" w:space="0" w:color="auto"/>
              <w:right w:val="single" w:sz="4" w:space="0" w:color="auto"/>
            </w:tcBorders>
            <w:shd w:val="clear" w:color="auto" w:fill="auto"/>
            <w:vAlign w:val="center"/>
            <w:hideMark/>
          </w:tcPr>
          <w:p w14:paraId="0C90813C"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EMPRESA ELECTRIFICADORA DE NUQUI   E.S.P.   S. A ECONOMIA MIXTA</w:t>
            </w:r>
          </w:p>
        </w:tc>
        <w:tc>
          <w:tcPr>
            <w:tcW w:w="1559" w:type="dxa"/>
            <w:tcBorders>
              <w:top w:val="nil"/>
              <w:left w:val="nil"/>
              <w:bottom w:val="single" w:sz="4" w:space="0" w:color="auto"/>
              <w:right w:val="single" w:sz="4" w:space="0" w:color="auto"/>
            </w:tcBorders>
            <w:shd w:val="clear" w:color="auto" w:fill="auto"/>
            <w:noWrap/>
            <w:vAlign w:val="center"/>
            <w:hideMark/>
          </w:tcPr>
          <w:p w14:paraId="1EBA83EF" w14:textId="38A7A54C"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481</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769</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368 </w:t>
            </w:r>
          </w:p>
        </w:tc>
        <w:tc>
          <w:tcPr>
            <w:tcW w:w="1559" w:type="dxa"/>
            <w:tcBorders>
              <w:top w:val="nil"/>
              <w:left w:val="nil"/>
              <w:bottom w:val="single" w:sz="4" w:space="0" w:color="auto"/>
              <w:right w:val="single" w:sz="4" w:space="0" w:color="auto"/>
            </w:tcBorders>
            <w:shd w:val="clear" w:color="auto" w:fill="auto"/>
            <w:noWrap/>
            <w:vAlign w:val="center"/>
            <w:hideMark/>
          </w:tcPr>
          <w:p w14:paraId="746436F2" w14:textId="6FDF58F3"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4</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817</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694 </w:t>
            </w:r>
          </w:p>
        </w:tc>
      </w:tr>
      <w:tr w:rsidR="00AE6A98" w:rsidRPr="00AE6A98" w14:paraId="46AA51A9" w14:textId="77777777" w:rsidTr="00AE6A98">
        <w:trPr>
          <w:trHeight w:val="46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7387770F"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94</w:t>
            </w:r>
          </w:p>
        </w:tc>
        <w:tc>
          <w:tcPr>
            <w:tcW w:w="879" w:type="dxa"/>
            <w:tcBorders>
              <w:top w:val="nil"/>
              <w:left w:val="nil"/>
              <w:bottom w:val="single" w:sz="4" w:space="0" w:color="auto"/>
              <w:right w:val="single" w:sz="4" w:space="0" w:color="auto"/>
            </w:tcBorders>
            <w:shd w:val="clear" w:color="auto" w:fill="auto"/>
            <w:noWrap/>
            <w:vAlign w:val="center"/>
            <w:hideMark/>
          </w:tcPr>
          <w:p w14:paraId="2EEF66CC"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801004102</w:t>
            </w:r>
          </w:p>
        </w:tc>
        <w:tc>
          <w:tcPr>
            <w:tcW w:w="4258" w:type="dxa"/>
            <w:tcBorders>
              <w:top w:val="nil"/>
              <w:left w:val="nil"/>
              <w:bottom w:val="single" w:sz="4" w:space="0" w:color="auto"/>
              <w:right w:val="single" w:sz="4" w:space="0" w:color="auto"/>
            </w:tcBorders>
            <w:shd w:val="clear" w:color="auto" w:fill="auto"/>
            <w:vAlign w:val="center"/>
            <w:hideMark/>
          </w:tcPr>
          <w:p w14:paraId="31476CC3"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EMPRESA MULTIPROPOSITO DE CALARCA S.A.S. E.S.P.</w:t>
            </w:r>
          </w:p>
        </w:tc>
        <w:tc>
          <w:tcPr>
            <w:tcW w:w="1559" w:type="dxa"/>
            <w:tcBorders>
              <w:top w:val="nil"/>
              <w:left w:val="nil"/>
              <w:bottom w:val="single" w:sz="4" w:space="0" w:color="auto"/>
              <w:right w:val="single" w:sz="4" w:space="0" w:color="auto"/>
            </w:tcBorders>
            <w:shd w:val="clear" w:color="auto" w:fill="auto"/>
            <w:noWrap/>
            <w:vAlign w:val="center"/>
            <w:hideMark/>
          </w:tcPr>
          <w:p w14:paraId="1C2447B7" w14:textId="0BABEE25"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184</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102</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760 </w:t>
            </w:r>
          </w:p>
        </w:tc>
        <w:tc>
          <w:tcPr>
            <w:tcW w:w="1559" w:type="dxa"/>
            <w:tcBorders>
              <w:top w:val="nil"/>
              <w:left w:val="nil"/>
              <w:bottom w:val="single" w:sz="4" w:space="0" w:color="auto"/>
              <w:right w:val="single" w:sz="4" w:space="0" w:color="auto"/>
            </w:tcBorders>
            <w:shd w:val="clear" w:color="auto" w:fill="auto"/>
            <w:noWrap/>
            <w:vAlign w:val="center"/>
            <w:hideMark/>
          </w:tcPr>
          <w:p w14:paraId="36DFE6E9" w14:textId="33D6685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1</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841</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028 </w:t>
            </w:r>
          </w:p>
        </w:tc>
      </w:tr>
      <w:tr w:rsidR="00AE6A98" w:rsidRPr="00AE6A98" w14:paraId="560194A8" w14:textId="77777777" w:rsidTr="00AE6A98">
        <w:trPr>
          <w:trHeight w:val="46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0F0B9225"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lastRenderedPageBreak/>
              <w:t>95</w:t>
            </w:r>
          </w:p>
        </w:tc>
        <w:tc>
          <w:tcPr>
            <w:tcW w:w="879" w:type="dxa"/>
            <w:tcBorders>
              <w:top w:val="nil"/>
              <w:left w:val="nil"/>
              <w:bottom w:val="single" w:sz="4" w:space="0" w:color="auto"/>
              <w:right w:val="single" w:sz="4" w:space="0" w:color="auto"/>
            </w:tcBorders>
            <w:shd w:val="clear" w:color="auto" w:fill="auto"/>
            <w:noWrap/>
            <w:vAlign w:val="center"/>
            <w:hideMark/>
          </w:tcPr>
          <w:p w14:paraId="49F24F70"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891500061</w:t>
            </w:r>
          </w:p>
        </w:tc>
        <w:tc>
          <w:tcPr>
            <w:tcW w:w="4258" w:type="dxa"/>
            <w:tcBorders>
              <w:top w:val="nil"/>
              <w:left w:val="nil"/>
              <w:bottom w:val="single" w:sz="4" w:space="0" w:color="auto"/>
              <w:right w:val="single" w:sz="4" w:space="0" w:color="auto"/>
            </w:tcBorders>
            <w:shd w:val="clear" w:color="auto" w:fill="auto"/>
            <w:vAlign w:val="center"/>
            <w:hideMark/>
          </w:tcPr>
          <w:p w14:paraId="6FDE45CA"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EMPRESA MUNICIPAL DE ENERGÍA ELÉCTRICA S.A-E.S.P</w:t>
            </w:r>
          </w:p>
        </w:tc>
        <w:tc>
          <w:tcPr>
            <w:tcW w:w="1559" w:type="dxa"/>
            <w:tcBorders>
              <w:top w:val="nil"/>
              <w:left w:val="nil"/>
              <w:bottom w:val="single" w:sz="4" w:space="0" w:color="auto"/>
              <w:right w:val="single" w:sz="4" w:space="0" w:color="auto"/>
            </w:tcBorders>
            <w:shd w:val="clear" w:color="auto" w:fill="auto"/>
            <w:noWrap/>
            <w:vAlign w:val="center"/>
            <w:hideMark/>
          </w:tcPr>
          <w:p w14:paraId="3D2848E0" w14:textId="15DCE643"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1</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869</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311</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923 </w:t>
            </w:r>
          </w:p>
        </w:tc>
        <w:tc>
          <w:tcPr>
            <w:tcW w:w="1559" w:type="dxa"/>
            <w:tcBorders>
              <w:top w:val="nil"/>
              <w:left w:val="nil"/>
              <w:bottom w:val="single" w:sz="4" w:space="0" w:color="auto"/>
              <w:right w:val="single" w:sz="4" w:space="0" w:color="auto"/>
            </w:tcBorders>
            <w:shd w:val="clear" w:color="auto" w:fill="auto"/>
            <w:noWrap/>
            <w:vAlign w:val="center"/>
            <w:hideMark/>
          </w:tcPr>
          <w:p w14:paraId="4D8081D5" w14:textId="275F3298"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18</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693</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119 </w:t>
            </w:r>
          </w:p>
        </w:tc>
      </w:tr>
      <w:tr w:rsidR="00AE6A98" w:rsidRPr="00AE6A98" w14:paraId="473583D5" w14:textId="77777777" w:rsidTr="00AE6A98">
        <w:trPr>
          <w:trHeight w:val="46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15B0C76D"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96</w:t>
            </w:r>
          </w:p>
        </w:tc>
        <w:tc>
          <w:tcPr>
            <w:tcW w:w="879" w:type="dxa"/>
            <w:tcBorders>
              <w:top w:val="nil"/>
              <w:left w:val="nil"/>
              <w:bottom w:val="single" w:sz="4" w:space="0" w:color="auto"/>
              <w:right w:val="single" w:sz="4" w:space="0" w:color="auto"/>
            </w:tcBorders>
            <w:shd w:val="clear" w:color="auto" w:fill="auto"/>
            <w:noWrap/>
            <w:vAlign w:val="center"/>
            <w:hideMark/>
          </w:tcPr>
          <w:p w14:paraId="39DF64A2"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828000191</w:t>
            </w:r>
          </w:p>
        </w:tc>
        <w:tc>
          <w:tcPr>
            <w:tcW w:w="4258" w:type="dxa"/>
            <w:tcBorders>
              <w:top w:val="nil"/>
              <w:left w:val="nil"/>
              <w:bottom w:val="single" w:sz="4" w:space="0" w:color="auto"/>
              <w:right w:val="single" w:sz="4" w:space="0" w:color="auto"/>
            </w:tcBorders>
            <w:shd w:val="clear" w:color="auto" w:fill="auto"/>
            <w:vAlign w:val="center"/>
            <w:hideMark/>
          </w:tcPr>
          <w:p w14:paraId="4A2471FE"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EMPRESA MUNICIPAL DE SERVICIOS PUBLICOS DE CARTAGENA DEL CHAIRA</w:t>
            </w:r>
          </w:p>
        </w:tc>
        <w:tc>
          <w:tcPr>
            <w:tcW w:w="1559" w:type="dxa"/>
            <w:tcBorders>
              <w:top w:val="nil"/>
              <w:left w:val="nil"/>
              <w:bottom w:val="single" w:sz="4" w:space="0" w:color="auto"/>
              <w:right w:val="single" w:sz="4" w:space="0" w:color="auto"/>
            </w:tcBorders>
            <w:shd w:val="clear" w:color="auto" w:fill="auto"/>
            <w:noWrap/>
            <w:vAlign w:val="center"/>
            <w:hideMark/>
          </w:tcPr>
          <w:p w14:paraId="733600A0" w14:textId="208AD0DE"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431</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733</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918 </w:t>
            </w:r>
          </w:p>
        </w:tc>
        <w:tc>
          <w:tcPr>
            <w:tcW w:w="1559" w:type="dxa"/>
            <w:tcBorders>
              <w:top w:val="nil"/>
              <w:left w:val="nil"/>
              <w:bottom w:val="single" w:sz="4" w:space="0" w:color="auto"/>
              <w:right w:val="single" w:sz="4" w:space="0" w:color="auto"/>
            </w:tcBorders>
            <w:shd w:val="clear" w:color="auto" w:fill="auto"/>
            <w:noWrap/>
            <w:vAlign w:val="center"/>
            <w:hideMark/>
          </w:tcPr>
          <w:p w14:paraId="79C2F4C8" w14:textId="48EE8CC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4</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317</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339 </w:t>
            </w:r>
          </w:p>
        </w:tc>
      </w:tr>
      <w:tr w:rsidR="00AE6A98" w:rsidRPr="00AE6A98" w14:paraId="3121A90D" w14:textId="77777777" w:rsidTr="00AE6A98">
        <w:trPr>
          <w:trHeight w:val="46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6B0F60DC"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97</w:t>
            </w:r>
          </w:p>
        </w:tc>
        <w:tc>
          <w:tcPr>
            <w:tcW w:w="879" w:type="dxa"/>
            <w:tcBorders>
              <w:top w:val="nil"/>
              <w:left w:val="nil"/>
              <w:bottom w:val="single" w:sz="4" w:space="0" w:color="auto"/>
              <w:right w:val="single" w:sz="4" w:space="0" w:color="auto"/>
            </w:tcBorders>
            <w:shd w:val="clear" w:color="auto" w:fill="auto"/>
            <w:noWrap/>
            <w:vAlign w:val="center"/>
            <w:hideMark/>
          </w:tcPr>
          <w:p w14:paraId="4803D9FF"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811008775</w:t>
            </w:r>
          </w:p>
        </w:tc>
        <w:tc>
          <w:tcPr>
            <w:tcW w:w="4258" w:type="dxa"/>
            <w:tcBorders>
              <w:top w:val="nil"/>
              <w:left w:val="nil"/>
              <w:bottom w:val="single" w:sz="4" w:space="0" w:color="auto"/>
              <w:right w:val="single" w:sz="4" w:space="0" w:color="auto"/>
            </w:tcBorders>
            <w:shd w:val="clear" w:color="auto" w:fill="auto"/>
            <w:vAlign w:val="center"/>
            <w:hideMark/>
          </w:tcPr>
          <w:p w14:paraId="56CEF210"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EMPRESA MUNICIPAL DE SERVICIOS PUBLICOS DOMICILIARIOS DE VIGIA DEL FUERTE</w:t>
            </w:r>
          </w:p>
        </w:tc>
        <w:tc>
          <w:tcPr>
            <w:tcW w:w="1559" w:type="dxa"/>
            <w:tcBorders>
              <w:top w:val="nil"/>
              <w:left w:val="nil"/>
              <w:bottom w:val="single" w:sz="4" w:space="0" w:color="auto"/>
              <w:right w:val="single" w:sz="4" w:space="0" w:color="auto"/>
            </w:tcBorders>
            <w:shd w:val="clear" w:color="auto" w:fill="auto"/>
            <w:noWrap/>
            <w:vAlign w:val="center"/>
            <w:hideMark/>
          </w:tcPr>
          <w:p w14:paraId="5C293544" w14:textId="7F5367A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829</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457</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479 </w:t>
            </w:r>
          </w:p>
        </w:tc>
        <w:tc>
          <w:tcPr>
            <w:tcW w:w="1559" w:type="dxa"/>
            <w:tcBorders>
              <w:top w:val="nil"/>
              <w:left w:val="nil"/>
              <w:bottom w:val="single" w:sz="4" w:space="0" w:color="auto"/>
              <w:right w:val="single" w:sz="4" w:space="0" w:color="auto"/>
            </w:tcBorders>
            <w:shd w:val="clear" w:color="auto" w:fill="auto"/>
            <w:noWrap/>
            <w:vAlign w:val="center"/>
            <w:hideMark/>
          </w:tcPr>
          <w:p w14:paraId="33ED494C" w14:textId="6EB681A4"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8</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294</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575 </w:t>
            </w:r>
          </w:p>
        </w:tc>
      </w:tr>
      <w:tr w:rsidR="00AE6A98" w:rsidRPr="00AE6A98" w14:paraId="19FF6144" w14:textId="77777777" w:rsidTr="00AE6A98">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735F134A"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98</w:t>
            </w:r>
          </w:p>
        </w:tc>
        <w:tc>
          <w:tcPr>
            <w:tcW w:w="879" w:type="dxa"/>
            <w:tcBorders>
              <w:top w:val="nil"/>
              <w:left w:val="nil"/>
              <w:bottom w:val="single" w:sz="4" w:space="0" w:color="auto"/>
              <w:right w:val="single" w:sz="4" w:space="0" w:color="auto"/>
            </w:tcBorders>
            <w:shd w:val="clear" w:color="auto" w:fill="auto"/>
            <w:noWrap/>
            <w:vAlign w:val="center"/>
            <w:hideMark/>
          </w:tcPr>
          <w:p w14:paraId="2173E73C"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842000030</w:t>
            </w:r>
          </w:p>
        </w:tc>
        <w:tc>
          <w:tcPr>
            <w:tcW w:w="4258" w:type="dxa"/>
            <w:tcBorders>
              <w:top w:val="nil"/>
              <w:left w:val="nil"/>
              <w:bottom w:val="single" w:sz="4" w:space="0" w:color="auto"/>
              <w:right w:val="single" w:sz="4" w:space="0" w:color="auto"/>
            </w:tcBorders>
            <w:shd w:val="clear" w:color="auto" w:fill="auto"/>
            <w:vAlign w:val="center"/>
            <w:hideMark/>
          </w:tcPr>
          <w:p w14:paraId="767AAB41"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EMPRESA SIGLO XXI EICE ESP</w:t>
            </w:r>
          </w:p>
        </w:tc>
        <w:tc>
          <w:tcPr>
            <w:tcW w:w="1559" w:type="dxa"/>
            <w:tcBorders>
              <w:top w:val="nil"/>
              <w:left w:val="nil"/>
              <w:bottom w:val="single" w:sz="4" w:space="0" w:color="auto"/>
              <w:right w:val="single" w:sz="4" w:space="0" w:color="auto"/>
            </w:tcBorders>
            <w:shd w:val="clear" w:color="auto" w:fill="auto"/>
            <w:noWrap/>
            <w:vAlign w:val="center"/>
            <w:hideMark/>
          </w:tcPr>
          <w:p w14:paraId="5B08E13C" w14:textId="46BCF598"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383</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912</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731 </w:t>
            </w:r>
          </w:p>
        </w:tc>
        <w:tc>
          <w:tcPr>
            <w:tcW w:w="1559" w:type="dxa"/>
            <w:tcBorders>
              <w:top w:val="nil"/>
              <w:left w:val="nil"/>
              <w:bottom w:val="single" w:sz="4" w:space="0" w:color="auto"/>
              <w:right w:val="single" w:sz="4" w:space="0" w:color="auto"/>
            </w:tcBorders>
            <w:shd w:val="clear" w:color="auto" w:fill="auto"/>
            <w:noWrap/>
            <w:vAlign w:val="center"/>
            <w:hideMark/>
          </w:tcPr>
          <w:p w14:paraId="7EB5A81D" w14:textId="24FD4F50"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3</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839</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127 </w:t>
            </w:r>
          </w:p>
        </w:tc>
      </w:tr>
      <w:tr w:rsidR="00AE6A98" w:rsidRPr="00AE6A98" w14:paraId="07847215" w14:textId="77777777" w:rsidTr="00AE6A98">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75432393"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99</w:t>
            </w:r>
          </w:p>
        </w:tc>
        <w:tc>
          <w:tcPr>
            <w:tcW w:w="879" w:type="dxa"/>
            <w:tcBorders>
              <w:top w:val="nil"/>
              <w:left w:val="nil"/>
              <w:bottom w:val="single" w:sz="4" w:space="0" w:color="auto"/>
              <w:right w:val="single" w:sz="4" w:space="0" w:color="auto"/>
            </w:tcBorders>
            <w:shd w:val="clear" w:color="auto" w:fill="auto"/>
            <w:noWrap/>
            <w:vAlign w:val="center"/>
            <w:hideMark/>
          </w:tcPr>
          <w:p w14:paraId="2BB8AF3F"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800175746</w:t>
            </w:r>
          </w:p>
        </w:tc>
        <w:tc>
          <w:tcPr>
            <w:tcW w:w="4258" w:type="dxa"/>
            <w:tcBorders>
              <w:top w:val="nil"/>
              <w:left w:val="nil"/>
              <w:bottom w:val="single" w:sz="4" w:space="0" w:color="auto"/>
              <w:right w:val="single" w:sz="4" w:space="0" w:color="auto"/>
            </w:tcBorders>
            <w:shd w:val="clear" w:color="auto" w:fill="auto"/>
            <w:vAlign w:val="center"/>
            <w:hideMark/>
          </w:tcPr>
          <w:p w14:paraId="6727CCA4"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EMPRESA URRA S.A. E.S.P.</w:t>
            </w:r>
          </w:p>
        </w:tc>
        <w:tc>
          <w:tcPr>
            <w:tcW w:w="1559" w:type="dxa"/>
            <w:tcBorders>
              <w:top w:val="nil"/>
              <w:left w:val="nil"/>
              <w:bottom w:val="single" w:sz="4" w:space="0" w:color="auto"/>
              <w:right w:val="single" w:sz="4" w:space="0" w:color="auto"/>
            </w:tcBorders>
            <w:shd w:val="clear" w:color="auto" w:fill="auto"/>
            <w:noWrap/>
            <w:vAlign w:val="center"/>
            <w:hideMark/>
          </w:tcPr>
          <w:p w14:paraId="7CE297BA" w14:textId="771BF553"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12</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919</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862</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444 </w:t>
            </w:r>
          </w:p>
        </w:tc>
        <w:tc>
          <w:tcPr>
            <w:tcW w:w="1559" w:type="dxa"/>
            <w:tcBorders>
              <w:top w:val="nil"/>
              <w:left w:val="nil"/>
              <w:bottom w:val="single" w:sz="4" w:space="0" w:color="auto"/>
              <w:right w:val="single" w:sz="4" w:space="0" w:color="auto"/>
            </w:tcBorders>
            <w:shd w:val="clear" w:color="auto" w:fill="auto"/>
            <w:noWrap/>
            <w:vAlign w:val="center"/>
            <w:hideMark/>
          </w:tcPr>
          <w:p w14:paraId="1BE3A6D8" w14:textId="539CD41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129</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198</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624 </w:t>
            </w:r>
          </w:p>
        </w:tc>
      </w:tr>
      <w:tr w:rsidR="00AE6A98" w:rsidRPr="00AE6A98" w14:paraId="035EBC48" w14:textId="77777777" w:rsidTr="00AE6A98">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7F193949"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100</w:t>
            </w:r>
          </w:p>
        </w:tc>
        <w:tc>
          <w:tcPr>
            <w:tcW w:w="879" w:type="dxa"/>
            <w:tcBorders>
              <w:top w:val="nil"/>
              <w:left w:val="nil"/>
              <w:bottom w:val="single" w:sz="4" w:space="0" w:color="auto"/>
              <w:right w:val="single" w:sz="4" w:space="0" w:color="auto"/>
            </w:tcBorders>
            <w:shd w:val="clear" w:color="auto" w:fill="auto"/>
            <w:noWrap/>
            <w:vAlign w:val="center"/>
            <w:hideMark/>
          </w:tcPr>
          <w:p w14:paraId="05B7A56D"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890399003</w:t>
            </w:r>
          </w:p>
        </w:tc>
        <w:tc>
          <w:tcPr>
            <w:tcW w:w="4258" w:type="dxa"/>
            <w:tcBorders>
              <w:top w:val="nil"/>
              <w:left w:val="nil"/>
              <w:bottom w:val="single" w:sz="4" w:space="0" w:color="auto"/>
              <w:right w:val="single" w:sz="4" w:space="0" w:color="auto"/>
            </w:tcBorders>
            <w:shd w:val="clear" w:color="auto" w:fill="auto"/>
            <w:vAlign w:val="center"/>
            <w:hideMark/>
          </w:tcPr>
          <w:p w14:paraId="7151FC78"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EMPRESAS MUNICIPALES DE CALI   E.I.C.E  E.S.P</w:t>
            </w:r>
          </w:p>
        </w:tc>
        <w:tc>
          <w:tcPr>
            <w:tcW w:w="1559" w:type="dxa"/>
            <w:tcBorders>
              <w:top w:val="nil"/>
              <w:left w:val="nil"/>
              <w:bottom w:val="single" w:sz="4" w:space="0" w:color="auto"/>
              <w:right w:val="single" w:sz="4" w:space="0" w:color="auto"/>
            </w:tcBorders>
            <w:shd w:val="clear" w:color="auto" w:fill="auto"/>
            <w:noWrap/>
            <w:vAlign w:val="center"/>
            <w:hideMark/>
          </w:tcPr>
          <w:p w14:paraId="714F786F" w14:textId="405EC72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109</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832</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346</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050 </w:t>
            </w:r>
          </w:p>
        </w:tc>
        <w:tc>
          <w:tcPr>
            <w:tcW w:w="1559" w:type="dxa"/>
            <w:tcBorders>
              <w:top w:val="nil"/>
              <w:left w:val="nil"/>
              <w:bottom w:val="single" w:sz="4" w:space="0" w:color="auto"/>
              <w:right w:val="single" w:sz="4" w:space="0" w:color="auto"/>
            </w:tcBorders>
            <w:shd w:val="clear" w:color="auto" w:fill="auto"/>
            <w:noWrap/>
            <w:vAlign w:val="center"/>
            <w:hideMark/>
          </w:tcPr>
          <w:p w14:paraId="10CC2972" w14:textId="5FA5DEE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1</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098</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323</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460 </w:t>
            </w:r>
          </w:p>
        </w:tc>
      </w:tr>
      <w:tr w:rsidR="00AE6A98" w:rsidRPr="00AE6A98" w14:paraId="445F6151" w14:textId="77777777" w:rsidTr="00AE6A98">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6469BCAB"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101</w:t>
            </w:r>
          </w:p>
        </w:tc>
        <w:tc>
          <w:tcPr>
            <w:tcW w:w="879" w:type="dxa"/>
            <w:tcBorders>
              <w:top w:val="nil"/>
              <w:left w:val="nil"/>
              <w:bottom w:val="single" w:sz="4" w:space="0" w:color="auto"/>
              <w:right w:val="single" w:sz="4" w:space="0" w:color="auto"/>
            </w:tcBorders>
            <w:shd w:val="clear" w:color="auto" w:fill="auto"/>
            <w:noWrap/>
            <w:vAlign w:val="center"/>
            <w:hideMark/>
          </w:tcPr>
          <w:p w14:paraId="4777D3E6"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836000349</w:t>
            </w:r>
          </w:p>
        </w:tc>
        <w:tc>
          <w:tcPr>
            <w:tcW w:w="4258" w:type="dxa"/>
            <w:tcBorders>
              <w:top w:val="nil"/>
              <w:left w:val="nil"/>
              <w:bottom w:val="single" w:sz="4" w:space="0" w:color="auto"/>
              <w:right w:val="single" w:sz="4" w:space="0" w:color="auto"/>
            </w:tcBorders>
            <w:shd w:val="clear" w:color="auto" w:fill="auto"/>
            <w:vAlign w:val="center"/>
            <w:hideMark/>
          </w:tcPr>
          <w:p w14:paraId="5B08E7FC"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EMPRESAS MUNICIPALES DE CARTAGO E.S.P.</w:t>
            </w:r>
          </w:p>
        </w:tc>
        <w:tc>
          <w:tcPr>
            <w:tcW w:w="1559" w:type="dxa"/>
            <w:tcBorders>
              <w:top w:val="nil"/>
              <w:left w:val="nil"/>
              <w:bottom w:val="single" w:sz="4" w:space="0" w:color="auto"/>
              <w:right w:val="single" w:sz="4" w:space="0" w:color="auto"/>
            </w:tcBorders>
            <w:shd w:val="clear" w:color="auto" w:fill="auto"/>
            <w:noWrap/>
            <w:vAlign w:val="center"/>
            <w:hideMark/>
          </w:tcPr>
          <w:p w14:paraId="7FB888AF" w14:textId="5D49FACF"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1</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288</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243</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137 </w:t>
            </w:r>
          </w:p>
        </w:tc>
        <w:tc>
          <w:tcPr>
            <w:tcW w:w="1559" w:type="dxa"/>
            <w:tcBorders>
              <w:top w:val="nil"/>
              <w:left w:val="nil"/>
              <w:bottom w:val="single" w:sz="4" w:space="0" w:color="auto"/>
              <w:right w:val="single" w:sz="4" w:space="0" w:color="auto"/>
            </w:tcBorders>
            <w:shd w:val="clear" w:color="auto" w:fill="auto"/>
            <w:noWrap/>
            <w:vAlign w:val="center"/>
            <w:hideMark/>
          </w:tcPr>
          <w:p w14:paraId="65608F1E" w14:textId="07E04EA0"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12</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882</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431 </w:t>
            </w:r>
          </w:p>
        </w:tc>
      </w:tr>
      <w:tr w:rsidR="00AE6A98" w:rsidRPr="00AE6A98" w14:paraId="33342A30" w14:textId="77777777" w:rsidTr="00AE6A98">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1A253E17"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102</w:t>
            </w:r>
          </w:p>
        </w:tc>
        <w:tc>
          <w:tcPr>
            <w:tcW w:w="879" w:type="dxa"/>
            <w:tcBorders>
              <w:top w:val="nil"/>
              <w:left w:val="nil"/>
              <w:bottom w:val="single" w:sz="4" w:space="0" w:color="auto"/>
              <w:right w:val="single" w:sz="4" w:space="0" w:color="auto"/>
            </w:tcBorders>
            <w:shd w:val="clear" w:color="auto" w:fill="auto"/>
            <w:noWrap/>
            <w:vAlign w:val="center"/>
            <w:hideMark/>
          </w:tcPr>
          <w:p w14:paraId="21CBADC8"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800152294</w:t>
            </w:r>
          </w:p>
        </w:tc>
        <w:tc>
          <w:tcPr>
            <w:tcW w:w="4258" w:type="dxa"/>
            <w:tcBorders>
              <w:top w:val="nil"/>
              <w:left w:val="nil"/>
              <w:bottom w:val="single" w:sz="4" w:space="0" w:color="auto"/>
              <w:right w:val="single" w:sz="4" w:space="0" w:color="auto"/>
            </w:tcBorders>
            <w:shd w:val="clear" w:color="auto" w:fill="auto"/>
            <w:vAlign w:val="center"/>
            <w:hideMark/>
          </w:tcPr>
          <w:p w14:paraId="1DD698B1"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EMPRESAS PÚBLICAS  DE URRAO E.S.P.</w:t>
            </w:r>
          </w:p>
        </w:tc>
        <w:tc>
          <w:tcPr>
            <w:tcW w:w="1559" w:type="dxa"/>
            <w:tcBorders>
              <w:top w:val="nil"/>
              <w:left w:val="nil"/>
              <w:bottom w:val="single" w:sz="4" w:space="0" w:color="auto"/>
              <w:right w:val="single" w:sz="4" w:space="0" w:color="auto"/>
            </w:tcBorders>
            <w:shd w:val="clear" w:color="auto" w:fill="auto"/>
            <w:noWrap/>
            <w:vAlign w:val="center"/>
            <w:hideMark/>
          </w:tcPr>
          <w:p w14:paraId="4CAC7945" w14:textId="01AA71DA"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242</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763</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051 </w:t>
            </w:r>
          </w:p>
        </w:tc>
        <w:tc>
          <w:tcPr>
            <w:tcW w:w="1559" w:type="dxa"/>
            <w:tcBorders>
              <w:top w:val="nil"/>
              <w:left w:val="nil"/>
              <w:bottom w:val="single" w:sz="4" w:space="0" w:color="auto"/>
              <w:right w:val="single" w:sz="4" w:space="0" w:color="auto"/>
            </w:tcBorders>
            <w:shd w:val="clear" w:color="auto" w:fill="auto"/>
            <w:noWrap/>
            <w:vAlign w:val="center"/>
            <w:hideMark/>
          </w:tcPr>
          <w:p w14:paraId="0FB52409" w14:textId="38E3BC32"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2</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427</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631 </w:t>
            </w:r>
          </w:p>
        </w:tc>
      </w:tr>
      <w:tr w:rsidR="00AE6A98" w:rsidRPr="00AE6A98" w14:paraId="4389B874" w14:textId="77777777" w:rsidTr="00AE6A98">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734340C3"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103</w:t>
            </w:r>
          </w:p>
        </w:tc>
        <w:tc>
          <w:tcPr>
            <w:tcW w:w="879" w:type="dxa"/>
            <w:tcBorders>
              <w:top w:val="nil"/>
              <w:left w:val="nil"/>
              <w:bottom w:val="single" w:sz="4" w:space="0" w:color="auto"/>
              <w:right w:val="single" w:sz="4" w:space="0" w:color="auto"/>
            </w:tcBorders>
            <w:shd w:val="clear" w:color="auto" w:fill="auto"/>
            <w:noWrap/>
            <w:vAlign w:val="center"/>
            <w:hideMark/>
          </w:tcPr>
          <w:p w14:paraId="7618640F"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890904996</w:t>
            </w:r>
          </w:p>
        </w:tc>
        <w:tc>
          <w:tcPr>
            <w:tcW w:w="4258" w:type="dxa"/>
            <w:tcBorders>
              <w:top w:val="nil"/>
              <w:left w:val="nil"/>
              <w:bottom w:val="single" w:sz="4" w:space="0" w:color="auto"/>
              <w:right w:val="single" w:sz="4" w:space="0" w:color="auto"/>
            </w:tcBorders>
            <w:shd w:val="clear" w:color="auto" w:fill="auto"/>
            <w:vAlign w:val="center"/>
            <w:hideMark/>
          </w:tcPr>
          <w:p w14:paraId="20C390F5"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EMPRESAS PÚBLICAS DE MEDELLIN E.S.P.</w:t>
            </w:r>
          </w:p>
        </w:tc>
        <w:tc>
          <w:tcPr>
            <w:tcW w:w="1559" w:type="dxa"/>
            <w:tcBorders>
              <w:top w:val="nil"/>
              <w:left w:val="nil"/>
              <w:bottom w:val="single" w:sz="4" w:space="0" w:color="auto"/>
              <w:right w:val="single" w:sz="4" w:space="0" w:color="auto"/>
            </w:tcBorders>
            <w:shd w:val="clear" w:color="auto" w:fill="auto"/>
            <w:noWrap/>
            <w:vAlign w:val="center"/>
            <w:hideMark/>
          </w:tcPr>
          <w:p w14:paraId="099CC413" w14:textId="54E68EB5"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444</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107</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808</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886 </w:t>
            </w:r>
          </w:p>
        </w:tc>
        <w:tc>
          <w:tcPr>
            <w:tcW w:w="1559" w:type="dxa"/>
            <w:tcBorders>
              <w:top w:val="nil"/>
              <w:left w:val="nil"/>
              <w:bottom w:val="single" w:sz="4" w:space="0" w:color="auto"/>
              <w:right w:val="single" w:sz="4" w:space="0" w:color="auto"/>
            </w:tcBorders>
            <w:shd w:val="clear" w:color="auto" w:fill="auto"/>
            <w:noWrap/>
            <w:vAlign w:val="center"/>
            <w:hideMark/>
          </w:tcPr>
          <w:p w14:paraId="5E1AC1CD" w14:textId="0A31C19F"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4</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441</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078</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089 </w:t>
            </w:r>
          </w:p>
        </w:tc>
      </w:tr>
      <w:tr w:rsidR="00AE6A98" w:rsidRPr="00AE6A98" w14:paraId="7BB68DAE" w14:textId="77777777" w:rsidTr="00AE6A98">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157611F6"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104</w:t>
            </w:r>
          </w:p>
        </w:tc>
        <w:tc>
          <w:tcPr>
            <w:tcW w:w="879" w:type="dxa"/>
            <w:tcBorders>
              <w:top w:val="nil"/>
              <w:left w:val="nil"/>
              <w:bottom w:val="single" w:sz="4" w:space="0" w:color="auto"/>
              <w:right w:val="single" w:sz="4" w:space="0" w:color="auto"/>
            </w:tcBorders>
            <w:shd w:val="clear" w:color="auto" w:fill="auto"/>
            <w:noWrap/>
            <w:vAlign w:val="center"/>
            <w:hideMark/>
          </w:tcPr>
          <w:p w14:paraId="6D9BB958"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900509559</w:t>
            </w:r>
          </w:p>
        </w:tc>
        <w:tc>
          <w:tcPr>
            <w:tcW w:w="4258" w:type="dxa"/>
            <w:tcBorders>
              <w:top w:val="nil"/>
              <w:left w:val="nil"/>
              <w:bottom w:val="single" w:sz="4" w:space="0" w:color="auto"/>
              <w:right w:val="single" w:sz="4" w:space="0" w:color="auto"/>
            </w:tcBorders>
            <w:shd w:val="clear" w:color="auto" w:fill="auto"/>
            <w:vAlign w:val="center"/>
            <w:hideMark/>
          </w:tcPr>
          <w:p w14:paraId="0A2260E7"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ENEL GREEN POWER COLOMBIA S.A.S E.S.P.</w:t>
            </w:r>
          </w:p>
        </w:tc>
        <w:tc>
          <w:tcPr>
            <w:tcW w:w="1559" w:type="dxa"/>
            <w:tcBorders>
              <w:top w:val="nil"/>
              <w:left w:val="nil"/>
              <w:bottom w:val="single" w:sz="4" w:space="0" w:color="auto"/>
              <w:right w:val="single" w:sz="4" w:space="0" w:color="auto"/>
            </w:tcBorders>
            <w:shd w:val="clear" w:color="auto" w:fill="auto"/>
            <w:noWrap/>
            <w:vAlign w:val="center"/>
            <w:hideMark/>
          </w:tcPr>
          <w:p w14:paraId="63EC422D" w14:textId="7F707C18"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6</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904</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888</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732 </w:t>
            </w:r>
          </w:p>
        </w:tc>
        <w:tc>
          <w:tcPr>
            <w:tcW w:w="1559" w:type="dxa"/>
            <w:tcBorders>
              <w:top w:val="nil"/>
              <w:left w:val="nil"/>
              <w:bottom w:val="single" w:sz="4" w:space="0" w:color="auto"/>
              <w:right w:val="single" w:sz="4" w:space="0" w:color="auto"/>
            </w:tcBorders>
            <w:shd w:val="clear" w:color="auto" w:fill="auto"/>
            <w:noWrap/>
            <w:vAlign w:val="center"/>
            <w:hideMark/>
          </w:tcPr>
          <w:p w14:paraId="79B3A464" w14:textId="7476CB0A"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69</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048</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887 </w:t>
            </w:r>
          </w:p>
        </w:tc>
      </w:tr>
      <w:tr w:rsidR="00AE6A98" w:rsidRPr="00AE6A98" w14:paraId="16B039F0" w14:textId="77777777" w:rsidTr="00AE6A98">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25664812"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105</w:t>
            </w:r>
          </w:p>
        </w:tc>
        <w:tc>
          <w:tcPr>
            <w:tcW w:w="879" w:type="dxa"/>
            <w:tcBorders>
              <w:top w:val="nil"/>
              <w:left w:val="nil"/>
              <w:bottom w:val="single" w:sz="4" w:space="0" w:color="auto"/>
              <w:right w:val="single" w:sz="4" w:space="0" w:color="auto"/>
            </w:tcBorders>
            <w:shd w:val="clear" w:color="auto" w:fill="auto"/>
            <w:noWrap/>
            <w:vAlign w:val="center"/>
            <w:hideMark/>
          </w:tcPr>
          <w:p w14:paraId="5FE797C1"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805016928</w:t>
            </w:r>
          </w:p>
        </w:tc>
        <w:tc>
          <w:tcPr>
            <w:tcW w:w="4258" w:type="dxa"/>
            <w:tcBorders>
              <w:top w:val="nil"/>
              <w:left w:val="nil"/>
              <w:bottom w:val="single" w:sz="4" w:space="0" w:color="auto"/>
              <w:right w:val="single" w:sz="4" w:space="0" w:color="auto"/>
            </w:tcBorders>
            <w:shd w:val="clear" w:color="auto" w:fill="auto"/>
            <w:vAlign w:val="center"/>
            <w:hideMark/>
          </w:tcPr>
          <w:p w14:paraId="52B5B050"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ENERCO S.A. E.S.P.</w:t>
            </w:r>
          </w:p>
        </w:tc>
        <w:tc>
          <w:tcPr>
            <w:tcW w:w="1559" w:type="dxa"/>
            <w:tcBorders>
              <w:top w:val="nil"/>
              <w:left w:val="nil"/>
              <w:bottom w:val="single" w:sz="4" w:space="0" w:color="auto"/>
              <w:right w:val="single" w:sz="4" w:space="0" w:color="auto"/>
            </w:tcBorders>
            <w:shd w:val="clear" w:color="auto" w:fill="auto"/>
            <w:noWrap/>
            <w:vAlign w:val="center"/>
            <w:hideMark/>
          </w:tcPr>
          <w:p w14:paraId="1F39C7CE" w14:textId="65BB9DED"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511</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001</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964 </w:t>
            </w:r>
          </w:p>
        </w:tc>
        <w:tc>
          <w:tcPr>
            <w:tcW w:w="1559" w:type="dxa"/>
            <w:tcBorders>
              <w:top w:val="nil"/>
              <w:left w:val="nil"/>
              <w:bottom w:val="single" w:sz="4" w:space="0" w:color="auto"/>
              <w:right w:val="single" w:sz="4" w:space="0" w:color="auto"/>
            </w:tcBorders>
            <w:shd w:val="clear" w:color="auto" w:fill="auto"/>
            <w:noWrap/>
            <w:vAlign w:val="center"/>
            <w:hideMark/>
          </w:tcPr>
          <w:p w14:paraId="06B2DC0B" w14:textId="61E3EAF3"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5</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110</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020 </w:t>
            </w:r>
          </w:p>
        </w:tc>
      </w:tr>
      <w:tr w:rsidR="00AE6A98" w:rsidRPr="00AE6A98" w14:paraId="534E85B5" w14:textId="77777777" w:rsidTr="00AE6A98">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01AB588D"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106</w:t>
            </w:r>
          </w:p>
        </w:tc>
        <w:tc>
          <w:tcPr>
            <w:tcW w:w="879" w:type="dxa"/>
            <w:tcBorders>
              <w:top w:val="nil"/>
              <w:left w:val="nil"/>
              <w:bottom w:val="single" w:sz="4" w:space="0" w:color="auto"/>
              <w:right w:val="single" w:sz="4" w:space="0" w:color="auto"/>
            </w:tcBorders>
            <w:shd w:val="clear" w:color="auto" w:fill="auto"/>
            <w:noWrap/>
            <w:vAlign w:val="center"/>
            <w:hideMark/>
          </w:tcPr>
          <w:p w14:paraId="2570BAB8"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860076426</w:t>
            </w:r>
          </w:p>
        </w:tc>
        <w:tc>
          <w:tcPr>
            <w:tcW w:w="4258" w:type="dxa"/>
            <w:tcBorders>
              <w:top w:val="nil"/>
              <w:left w:val="nil"/>
              <w:bottom w:val="single" w:sz="4" w:space="0" w:color="auto"/>
              <w:right w:val="single" w:sz="4" w:space="0" w:color="auto"/>
            </w:tcBorders>
            <w:shd w:val="clear" w:color="auto" w:fill="auto"/>
            <w:vAlign w:val="center"/>
            <w:hideMark/>
          </w:tcPr>
          <w:p w14:paraId="70B7DFBD"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ENERGETICA SA ESP</w:t>
            </w:r>
          </w:p>
        </w:tc>
        <w:tc>
          <w:tcPr>
            <w:tcW w:w="1559" w:type="dxa"/>
            <w:tcBorders>
              <w:top w:val="nil"/>
              <w:left w:val="nil"/>
              <w:bottom w:val="single" w:sz="4" w:space="0" w:color="auto"/>
              <w:right w:val="single" w:sz="4" w:space="0" w:color="auto"/>
            </w:tcBorders>
            <w:shd w:val="clear" w:color="auto" w:fill="auto"/>
            <w:noWrap/>
            <w:vAlign w:val="center"/>
            <w:hideMark/>
          </w:tcPr>
          <w:p w14:paraId="590F3DA9" w14:textId="48A2B12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35</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996</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173 </w:t>
            </w:r>
          </w:p>
        </w:tc>
        <w:tc>
          <w:tcPr>
            <w:tcW w:w="1559" w:type="dxa"/>
            <w:tcBorders>
              <w:top w:val="nil"/>
              <w:left w:val="nil"/>
              <w:bottom w:val="single" w:sz="4" w:space="0" w:color="auto"/>
              <w:right w:val="single" w:sz="4" w:space="0" w:color="auto"/>
            </w:tcBorders>
            <w:shd w:val="clear" w:color="auto" w:fill="auto"/>
            <w:noWrap/>
            <w:vAlign w:val="center"/>
            <w:hideMark/>
          </w:tcPr>
          <w:p w14:paraId="38BD5ABB" w14:textId="6D936008"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359</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962 </w:t>
            </w:r>
          </w:p>
        </w:tc>
      </w:tr>
      <w:tr w:rsidR="00AE6A98" w:rsidRPr="00AE6A98" w14:paraId="40C14BB7" w14:textId="77777777" w:rsidTr="00AE6A98">
        <w:trPr>
          <w:trHeight w:val="6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066C5F6D"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107</w:t>
            </w:r>
          </w:p>
        </w:tc>
        <w:tc>
          <w:tcPr>
            <w:tcW w:w="879" w:type="dxa"/>
            <w:tcBorders>
              <w:top w:val="nil"/>
              <w:left w:val="nil"/>
              <w:bottom w:val="single" w:sz="4" w:space="0" w:color="auto"/>
              <w:right w:val="single" w:sz="4" w:space="0" w:color="auto"/>
            </w:tcBorders>
            <w:shd w:val="clear" w:color="auto" w:fill="auto"/>
            <w:noWrap/>
            <w:vAlign w:val="center"/>
            <w:hideMark/>
          </w:tcPr>
          <w:p w14:paraId="069596F1"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830092965</w:t>
            </w:r>
          </w:p>
        </w:tc>
        <w:tc>
          <w:tcPr>
            <w:tcW w:w="4258" w:type="dxa"/>
            <w:tcBorders>
              <w:top w:val="nil"/>
              <w:left w:val="nil"/>
              <w:bottom w:val="single" w:sz="4" w:space="0" w:color="auto"/>
              <w:right w:val="single" w:sz="4" w:space="0" w:color="auto"/>
            </w:tcBorders>
            <w:shd w:val="clear" w:color="auto" w:fill="auto"/>
            <w:vAlign w:val="center"/>
            <w:hideMark/>
          </w:tcPr>
          <w:p w14:paraId="33CC53D3"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ENERGETICOS S.A.S.  E.S.P. DISTRIBUIDORA Y COMERCIALIZADORA DE ENERGIA GAS E HIDROCARBUROS</w:t>
            </w:r>
          </w:p>
        </w:tc>
        <w:tc>
          <w:tcPr>
            <w:tcW w:w="1559" w:type="dxa"/>
            <w:tcBorders>
              <w:top w:val="nil"/>
              <w:left w:val="nil"/>
              <w:bottom w:val="single" w:sz="4" w:space="0" w:color="auto"/>
              <w:right w:val="single" w:sz="4" w:space="0" w:color="auto"/>
            </w:tcBorders>
            <w:shd w:val="clear" w:color="auto" w:fill="auto"/>
            <w:noWrap/>
            <w:vAlign w:val="center"/>
            <w:hideMark/>
          </w:tcPr>
          <w:p w14:paraId="40B888F0" w14:textId="300AA7E2"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2</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679</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622</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274 </w:t>
            </w:r>
          </w:p>
        </w:tc>
        <w:tc>
          <w:tcPr>
            <w:tcW w:w="1559" w:type="dxa"/>
            <w:tcBorders>
              <w:top w:val="nil"/>
              <w:left w:val="nil"/>
              <w:bottom w:val="single" w:sz="4" w:space="0" w:color="auto"/>
              <w:right w:val="single" w:sz="4" w:space="0" w:color="auto"/>
            </w:tcBorders>
            <w:shd w:val="clear" w:color="auto" w:fill="auto"/>
            <w:noWrap/>
            <w:vAlign w:val="center"/>
            <w:hideMark/>
          </w:tcPr>
          <w:p w14:paraId="026A3D60" w14:textId="5E4D8E9A"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26</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796</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223 </w:t>
            </w:r>
          </w:p>
        </w:tc>
      </w:tr>
      <w:tr w:rsidR="00AE6A98" w:rsidRPr="00AE6A98" w14:paraId="6B2F77CD" w14:textId="77777777" w:rsidTr="00AE6A98">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52827C08"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108</w:t>
            </w:r>
          </w:p>
        </w:tc>
        <w:tc>
          <w:tcPr>
            <w:tcW w:w="879" w:type="dxa"/>
            <w:tcBorders>
              <w:top w:val="nil"/>
              <w:left w:val="nil"/>
              <w:bottom w:val="single" w:sz="4" w:space="0" w:color="auto"/>
              <w:right w:val="single" w:sz="4" w:space="0" w:color="auto"/>
            </w:tcBorders>
            <w:shd w:val="clear" w:color="auto" w:fill="auto"/>
            <w:noWrap/>
            <w:vAlign w:val="center"/>
            <w:hideMark/>
          </w:tcPr>
          <w:p w14:paraId="72DD137F"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900483036</w:t>
            </w:r>
          </w:p>
        </w:tc>
        <w:tc>
          <w:tcPr>
            <w:tcW w:w="4258" w:type="dxa"/>
            <w:tcBorders>
              <w:top w:val="nil"/>
              <w:left w:val="nil"/>
              <w:bottom w:val="single" w:sz="4" w:space="0" w:color="auto"/>
              <w:right w:val="single" w:sz="4" w:space="0" w:color="auto"/>
            </w:tcBorders>
            <w:shd w:val="clear" w:color="auto" w:fill="auto"/>
            <w:vAlign w:val="center"/>
            <w:hideMark/>
          </w:tcPr>
          <w:p w14:paraId="2641F21D"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ENERGIA &amp; AGUA SAS ESP</w:t>
            </w:r>
          </w:p>
        </w:tc>
        <w:tc>
          <w:tcPr>
            <w:tcW w:w="1559" w:type="dxa"/>
            <w:tcBorders>
              <w:top w:val="nil"/>
              <w:left w:val="nil"/>
              <w:bottom w:val="single" w:sz="4" w:space="0" w:color="auto"/>
              <w:right w:val="single" w:sz="4" w:space="0" w:color="auto"/>
            </w:tcBorders>
            <w:shd w:val="clear" w:color="auto" w:fill="auto"/>
            <w:noWrap/>
            <w:vAlign w:val="center"/>
            <w:hideMark/>
          </w:tcPr>
          <w:p w14:paraId="4AF2097E" w14:textId="0F066ACA"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42</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494</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361 </w:t>
            </w:r>
          </w:p>
        </w:tc>
        <w:tc>
          <w:tcPr>
            <w:tcW w:w="1559" w:type="dxa"/>
            <w:tcBorders>
              <w:top w:val="nil"/>
              <w:left w:val="nil"/>
              <w:bottom w:val="single" w:sz="4" w:space="0" w:color="auto"/>
              <w:right w:val="single" w:sz="4" w:space="0" w:color="auto"/>
            </w:tcBorders>
            <w:shd w:val="clear" w:color="auto" w:fill="auto"/>
            <w:noWrap/>
            <w:vAlign w:val="center"/>
            <w:hideMark/>
          </w:tcPr>
          <w:p w14:paraId="42630123" w14:textId="77330F1E"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424</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944 </w:t>
            </w:r>
          </w:p>
        </w:tc>
      </w:tr>
      <w:tr w:rsidR="00AE6A98" w:rsidRPr="00AE6A98" w14:paraId="36BD1B66" w14:textId="77777777" w:rsidTr="00AE6A98">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1713D661"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109</w:t>
            </w:r>
          </w:p>
        </w:tc>
        <w:tc>
          <w:tcPr>
            <w:tcW w:w="879" w:type="dxa"/>
            <w:tcBorders>
              <w:top w:val="nil"/>
              <w:left w:val="nil"/>
              <w:bottom w:val="single" w:sz="4" w:space="0" w:color="auto"/>
              <w:right w:val="single" w:sz="4" w:space="0" w:color="auto"/>
            </w:tcBorders>
            <w:shd w:val="clear" w:color="auto" w:fill="auto"/>
            <w:noWrap/>
            <w:vAlign w:val="center"/>
            <w:hideMark/>
          </w:tcPr>
          <w:p w14:paraId="6F141815"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811031656</w:t>
            </w:r>
          </w:p>
        </w:tc>
        <w:tc>
          <w:tcPr>
            <w:tcW w:w="4258" w:type="dxa"/>
            <w:tcBorders>
              <w:top w:val="nil"/>
              <w:left w:val="nil"/>
              <w:bottom w:val="single" w:sz="4" w:space="0" w:color="auto"/>
              <w:right w:val="single" w:sz="4" w:space="0" w:color="auto"/>
            </w:tcBorders>
            <w:shd w:val="clear" w:color="auto" w:fill="auto"/>
            <w:vAlign w:val="center"/>
            <w:hideMark/>
          </w:tcPr>
          <w:p w14:paraId="70ECDD74"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ENERGIA DEL RIO PIEDRAS S.A. E.S.P.</w:t>
            </w:r>
          </w:p>
        </w:tc>
        <w:tc>
          <w:tcPr>
            <w:tcW w:w="1559" w:type="dxa"/>
            <w:tcBorders>
              <w:top w:val="nil"/>
              <w:left w:val="nil"/>
              <w:bottom w:val="single" w:sz="4" w:space="0" w:color="auto"/>
              <w:right w:val="single" w:sz="4" w:space="0" w:color="auto"/>
            </w:tcBorders>
            <w:shd w:val="clear" w:color="auto" w:fill="auto"/>
            <w:noWrap/>
            <w:vAlign w:val="center"/>
            <w:hideMark/>
          </w:tcPr>
          <w:p w14:paraId="49F8A6D9" w14:textId="7C6C7F74"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128</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357</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836 </w:t>
            </w:r>
          </w:p>
        </w:tc>
        <w:tc>
          <w:tcPr>
            <w:tcW w:w="1559" w:type="dxa"/>
            <w:tcBorders>
              <w:top w:val="nil"/>
              <w:left w:val="nil"/>
              <w:bottom w:val="single" w:sz="4" w:space="0" w:color="auto"/>
              <w:right w:val="single" w:sz="4" w:space="0" w:color="auto"/>
            </w:tcBorders>
            <w:shd w:val="clear" w:color="auto" w:fill="auto"/>
            <w:noWrap/>
            <w:vAlign w:val="center"/>
            <w:hideMark/>
          </w:tcPr>
          <w:p w14:paraId="6325A879" w14:textId="7EC0836A"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1</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283</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578 </w:t>
            </w:r>
          </w:p>
        </w:tc>
      </w:tr>
      <w:tr w:rsidR="00AE6A98" w:rsidRPr="00AE6A98" w14:paraId="12E297D3" w14:textId="77777777" w:rsidTr="00AE6A98">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0FD0F20C"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110</w:t>
            </w:r>
          </w:p>
        </w:tc>
        <w:tc>
          <w:tcPr>
            <w:tcW w:w="879" w:type="dxa"/>
            <w:tcBorders>
              <w:top w:val="nil"/>
              <w:left w:val="nil"/>
              <w:bottom w:val="single" w:sz="4" w:space="0" w:color="auto"/>
              <w:right w:val="single" w:sz="4" w:space="0" w:color="auto"/>
            </w:tcBorders>
            <w:shd w:val="clear" w:color="auto" w:fill="auto"/>
            <w:noWrap/>
            <w:vAlign w:val="center"/>
            <w:hideMark/>
          </w:tcPr>
          <w:p w14:paraId="5DE26F9A"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900190893</w:t>
            </w:r>
          </w:p>
        </w:tc>
        <w:tc>
          <w:tcPr>
            <w:tcW w:w="4258" w:type="dxa"/>
            <w:tcBorders>
              <w:top w:val="nil"/>
              <w:left w:val="nil"/>
              <w:bottom w:val="single" w:sz="4" w:space="0" w:color="auto"/>
              <w:right w:val="single" w:sz="4" w:space="0" w:color="auto"/>
            </w:tcBorders>
            <w:shd w:val="clear" w:color="auto" w:fill="auto"/>
            <w:vAlign w:val="center"/>
            <w:hideMark/>
          </w:tcPr>
          <w:p w14:paraId="52E05E75"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ENERGIA DEL SUROESTE S.A. E.S.P.</w:t>
            </w:r>
          </w:p>
        </w:tc>
        <w:tc>
          <w:tcPr>
            <w:tcW w:w="1559" w:type="dxa"/>
            <w:tcBorders>
              <w:top w:val="nil"/>
              <w:left w:val="nil"/>
              <w:bottom w:val="single" w:sz="4" w:space="0" w:color="auto"/>
              <w:right w:val="single" w:sz="4" w:space="0" w:color="auto"/>
            </w:tcBorders>
            <w:shd w:val="clear" w:color="auto" w:fill="auto"/>
            <w:noWrap/>
            <w:vAlign w:val="center"/>
            <w:hideMark/>
          </w:tcPr>
          <w:p w14:paraId="04947D7B" w14:textId="6558B2D6"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600</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018</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527 </w:t>
            </w:r>
          </w:p>
        </w:tc>
        <w:tc>
          <w:tcPr>
            <w:tcW w:w="1559" w:type="dxa"/>
            <w:tcBorders>
              <w:top w:val="nil"/>
              <w:left w:val="nil"/>
              <w:bottom w:val="single" w:sz="4" w:space="0" w:color="auto"/>
              <w:right w:val="single" w:sz="4" w:space="0" w:color="auto"/>
            </w:tcBorders>
            <w:shd w:val="clear" w:color="auto" w:fill="auto"/>
            <w:noWrap/>
            <w:vAlign w:val="center"/>
            <w:hideMark/>
          </w:tcPr>
          <w:p w14:paraId="4F9E9C64" w14:textId="4CA5FE92"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6</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000</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185 </w:t>
            </w:r>
          </w:p>
        </w:tc>
      </w:tr>
      <w:tr w:rsidR="00AE6A98" w:rsidRPr="00AE6A98" w14:paraId="64789B15" w14:textId="77777777" w:rsidTr="00AE6A98">
        <w:trPr>
          <w:trHeight w:val="46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19E737EC"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111</w:t>
            </w:r>
          </w:p>
        </w:tc>
        <w:tc>
          <w:tcPr>
            <w:tcW w:w="879" w:type="dxa"/>
            <w:tcBorders>
              <w:top w:val="nil"/>
              <w:left w:val="nil"/>
              <w:bottom w:val="single" w:sz="4" w:space="0" w:color="auto"/>
              <w:right w:val="single" w:sz="4" w:space="0" w:color="auto"/>
            </w:tcBorders>
            <w:shd w:val="clear" w:color="auto" w:fill="auto"/>
            <w:noWrap/>
            <w:vAlign w:val="center"/>
            <w:hideMark/>
          </w:tcPr>
          <w:p w14:paraId="56590A09"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900921416</w:t>
            </w:r>
          </w:p>
        </w:tc>
        <w:tc>
          <w:tcPr>
            <w:tcW w:w="4258" w:type="dxa"/>
            <w:tcBorders>
              <w:top w:val="nil"/>
              <w:left w:val="nil"/>
              <w:bottom w:val="single" w:sz="4" w:space="0" w:color="auto"/>
              <w:right w:val="single" w:sz="4" w:space="0" w:color="auto"/>
            </w:tcBorders>
            <w:shd w:val="clear" w:color="auto" w:fill="auto"/>
            <w:vAlign w:val="center"/>
            <w:hideMark/>
          </w:tcPr>
          <w:p w14:paraId="30E2E90A"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ENERGIA ELECTRICA DE LA COSTA ATLANTICA S.A.S. E.S.P.</w:t>
            </w:r>
          </w:p>
        </w:tc>
        <w:tc>
          <w:tcPr>
            <w:tcW w:w="1559" w:type="dxa"/>
            <w:tcBorders>
              <w:top w:val="nil"/>
              <w:left w:val="nil"/>
              <w:bottom w:val="single" w:sz="4" w:space="0" w:color="auto"/>
              <w:right w:val="single" w:sz="4" w:space="0" w:color="auto"/>
            </w:tcBorders>
            <w:shd w:val="clear" w:color="auto" w:fill="auto"/>
            <w:noWrap/>
            <w:vAlign w:val="center"/>
            <w:hideMark/>
          </w:tcPr>
          <w:p w14:paraId="0C130272" w14:textId="4121D0EB"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728</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269</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006 </w:t>
            </w:r>
          </w:p>
        </w:tc>
        <w:tc>
          <w:tcPr>
            <w:tcW w:w="1559" w:type="dxa"/>
            <w:tcBorders>
              <w:top w:val="nil"/>
              <w:left w:val="nil"/>
              <w:bottom w:val="single" w:sz="4" w:space="0" w:color="auto"/>
              <w:right w:val="single" w:sz="4" w:space="0" w:color="auto"/>
            </w:tcBorders>
            <w:shd w:val="clear" w:color="auto" w:fill="auto"/>
            <w:noWrap/>
            <w:vAlign w:val="center"/>
            <w:hideMark/>
          </w:tcPr>
          <w:p w14:paraId="505192C6" w14:textId="3C5B677B"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7</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282</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690 </w:t>
            </w:r>
          </w:p>
        </w:tc>
      </w:tr>
      <w:tr w:rsidR="00AE6A98" w:rsidRPr="00AE6A98" w14:paraId="7570763D" w14:textId="77777777" w:rsidTr="00AE6A98">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01E256B7"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112</w:t>
            </w:r>
          </w:p>
        </w:tc>
        <w:tc>
          <w:tcPr>
            <w:tcW w:w="879" w:type="dxa"/>
            <w:tcBorders>
              <w:top w:val="nil"/>
              <w:left w:val="nil"/>
              <w:bottom w:val="single" w:sz="4" w:space="0" w:color="auto"/>
              <w:right w:val="single" w:sz="4" w:space="0" w:color="auto"/>
            </w:tcBorders>
            <w:shd w:val="clear" w:color="auto" w:fill="auto"/>
            <w:noWrap/>
            <w:vAlign w:val="center"/>
            <w:hideMark/>
          </w:tcPr>
          <w:p w14:paraId="6325550A"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900339174</w:t>
            </w:r>
          </w:p>
        </w:tc>
        <w:tc>
          <w:tcPr>
            <w:tcW w:w="4258" w:type="dxa"/>
            <w:tcBorders>
              <w:top w:val="nil"/>
              <w:left w:val="nil"/>
              <w:bottom w:val="single" w:sz="4" w:space="0" w:color="auto"/>
              <w:right w:val="single" w:sz="4" w:space="0" w:color="auto"/>
            </w:tcBorders>
            <w:shd w:val="clear" w:color="auto" w:fill="auto"/>
            <w:vAlign w:val="center"/>
            <w:hideMark/>
          </w:tcPr>
          <w:p w14:paraId="2A3C4112"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ENERGIA PARA EL AMAZONAS S.A. ESP</w:t>
            </w:r>
          </w:p>
        </w:tc>
        <w:tc>
          <w:tcPr>
            <w:tcW w:w="1559" w:type="dxa"/>
            <w:tcBorders>
              <w:top w:val="nil"/>
              <w:left w:val="nil"/>
              <w:bottom w:val="single" w:sz="4" w:space="0" w:color="auto"/>
              <w:right w:val="single" w:sz="4" w:space="0" w:color="auto"/>
            </w:tcBorders>
            <w:shd w:val="clear" w:color="auto" w:fill="auto"/>
            <w:noWrap/>
            <w:vAlign w:val="center"/>
            <w:hideMark/>
          </w:tcPr>
          <w:p w14:paraId="64991140" w14:textId="5758F93B"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2</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976</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464</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204 </w:t>
            </w:r>
          </w:p>
        </w:tc>
        <w:tc>
          <w:tcPr>
            <w:tcW w:w="1559" w:type="dxa"/>
            <w:tcBorders>
              <w:top w:val="nil"/>
              <w:left w:val="nil"/>
              <w:bottom w:val="single" w:sz="4" w:space="0" w:color="auto"/>
              <w:right w:val="single" w:sz="4" w:space="0" w:color="auto"/>
            </w:tcBorders>
            <w:shd w:val="clear" w:color="auto" w:fill="auto"/>
            <w:noWrap/>
            <w:vAlign w:val="center"/>
            <w:hideMark/>
          </w:tcPr>
          <w:p w14:paraId="5F37A98D" w14:textId="6E6591EA"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29</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764</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642 </w:t>
            </w:r>
          </w:p>
        </w:tc>
      </w:tr>
      <w:tr w:rsidR="00AE6A98" w:rsidRPr="00AE6A98" w14:paraId="68FC005B" w14:textId="77777777" w:rsidTr="00AE6A98">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7674F133"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113</w:t>
            </w:r>
          </w:p>
        </w:tc>
        <w:tc>
          <w:tcPr>
            <w:tcW w:w="879" w:type="dxa"/>
            <w:tcBorders>
              <w:top w:val="nil"/>
              <w:left w:val="nil"/>
              <w:bottom w:val="single" w:sz="4" w:space="0" w:color="auto"/>
              <w:right w:val="single" w:sz="4" w:space="0" w:color="auto"/>
            </w:tcBorders>
            <w:shd w:val="clear" w:color="auto" w:fill="auto"/>
            <w:noWrap/>
            <w:vAlign w:val="center"/>
            <w:hideMark/>
          </w:tcPr>
          <w:p w14:paraId="7F563938"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900181771</w:t>
            </w:r>
          </w:p>
        </w:tc>
        <w:tc>
          <w:tcPr>
            <w:tcW w:w="4258" w:type="dxa"/>
            <w:tcBorders>
              <w:top w:val="nil"/>
              <w:left w:val="nil"/>
              <w:bottom w:val="single" w:sz="4" w:space="0" w:color="auto"/>
              <w:right w:val="single" w:sz="4" w:space="0" w:color="auto"/>
            </w:tcBorders>
            <w:shd w:val="clear" w:color="auto" w:fill="auto"/>
            <w:vAlign w:val="center"/>
            <w:hideMark/>
          </w:tcPr>
          <w:p w14:paraId="29DE17C0"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ENERGIA RENOVABLE DE COLOMBIA S.A. E.S.P</w:t>
            </w:r>
          </w:p>
        </w:tc>
        <w:tc>
          <w:tcPr>
            <w:tcW w:w="1559" w:type="dxa"/>
            <w:tcBorders>
              <w:top w:val="nil"/>
              <w:left w:val="nil"/>
              <w:bottom w:val="single" w:sz="4" w:space="0" w:color="auto"/>
              <w:right w:val="single" w:sz="4" w:space="0" w:color="auto"/>
            </w:tcBorders>
            <w:shd w:val="clear" w:color="auto" w:fill="auto"/>
            <w:noWrap/>
            <w:vAlign w:val="center"/>
            <w:hideMark/>
          </w:tcPr>
          <w:p w14:paraId="4841E4B6" w14:textId="3293F7C0"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2</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428</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887</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970 </w:t>
            </w:r>
          </w:p>
        </w:tc>
        <w:tc>
          <w:tcPr>
            <w:tcW w:w="1559" w:type="dxa"/>
            <w:tcBorders>
              <w:top w:val="nil"/>
              <w:left w:val="nil"/>
              <w:bottom w:val="single" w:sz="4" w:space="0" w:color="auto"/>
              <w:right w:val="single" w:sz="4" w:space="0" w:color="auto"/>
            </w:tcBorders>
            <w:shd w:val="clear" w:color="auto" w:fill="auto"/>
            <w:noWrap/>
            <w:vAlign w:val="center"/>
            <w:hideMark/>
          </w:tcPr>
          <w:p w14:paraId="22EFEA4B" w14:textId="22FE8012"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24</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288</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880 </w:t>
            </w:r>
          </w:p>
        </w:tc>
      </w:tr>
      <w:tr w:rsidR="00AE6A98" w:rsidRPr="00AE6A98" w14:paraId="2881A86D" w14:textId="77777777" w:rsidTr="00AE6A98">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26A69D58"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114</w:t>
            </w:r>
          </w:p>
        </w:tc>
        <w:tc>
          <w:tcPr>
            <w:tcW w:w="879" w:type="dxa"/>
            <w:tcBorders>
              <w:top w:val="nil"/>
              <w:left w:val="nil"/>
              <w:bottom w:val="single" w:sz="4" w:space="0" w:color="auto"/>
              <w:right w:val="single" w:sz="4" w:space="0" w:color="auto"/>
            </w:tcBorders>
            <w:shd w:val="clear" w:color="auto" w:fill="auto"/>
            <w:noWrap/>
            <w:vAlign w:val="center"/>
            <w:hideMark/>
          </w:tcPr>
          <w:p w14:paraId="60EEFD3A"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900207628</w:t>
            </w:r>
          </w:p>
        </w:tc>
        <w:tc>
          <w:tcPr>
            <w:tcW w:w="4258" w:type="dxa"/>
            <w:tcBorders>
              <w:top w:val="nil"/>
              <w:left w:val="nil"/>
              <w:bottom w:val="single" w:sz="4" w:space="0" w:color="auto"/>
              <w:right w:val="single" w:sz="4" w:space="0" w:color="auto"/>
            </w:tcBorders>
            <w:shd w:val="clear" w:color="auto" w:fill="auto"/>
            <w:vAlign w:val="center"/>
            <w:hideMark/>
          </w:tcPr>
          <w:p w14:paraId="4B75861E"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ENERLIM S.A. E.S.P.</w:t>
            </w:r>
          </w:p>
        </w:tc>
        <w:tc>
          <w:tcPr>
            <w:tcW w:w="1559" w:type="dxa"/>
            <w:tcBorders>
              <w:top w:val="nil"/>
              <w:left w:val="nil"/>
              <w:bottom w:val="single" w:sz="4" w:space="0" w:color="auto"/>
              <w:right w:val="single" w:sz="4" w:space="0" w:color="auto"/>
            </w:tcBorders>
            <w:shd w:val="clear" w:color="auto" w:fill="auto"/>
            <w:noWrap/>
            <w:vAlign w:val="center"/>
            <w:hideMark/>
          </w:tcPr>
          <w:p w14:paraId="76A703E3" w14:textId="5CC70C00"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131</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794</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259 </w:t>
            </w:r>
          </w:p>
        </w:tc>
        <w:tc>
          <w:tcPr>
            <w:tcW w:w="1559" w:type="dxa"/>
            <w:tcBorders>
              <w:top w:val="nil"/>
              <w:left w:val="nil"/>
              <w:bottom w:val="single" w:sz="4" w:space="0" w:color="auto"/>
              <w:right w:val="single" w:sz="4" w:space="0" w:color="auto"/>
            </w:tcBorders>
            <w:shd w:val="clear" w:color="auto" w:fill="auto"/>
            <w:noWrap/>
            <w:vAlign w:val="center"/>
            <w:hideMark/>
          </w:tcPr>
          <w:p w14:paraId="004D1740" w14:textId="41998684"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1</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317</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943 </w:t>
            </w:r>
          </w:p>
        </w:tc>
      </w:tr>
      <w:tr w:rsidR="00AE6A98" w:rsidRPr="00AE6A98" w14:paraId="1051E3D2" w14:textId="77777777" w:rsidTr="00AE6A98">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11271D97"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115</w:t>
            </w:r>
          </w:p>
        </w:tc>
        <w:tc>
          <w:tcPr>
            <w:tcW w:w="879" w:type="dxa"/>
            <w:tcBorders>
              <w:top w:val="nil"/>
              <w:left w:val="nil"/>
              <w:bottom w:val="single" w:sz="4" w:space="0" w:color="auto"/>
              <w:right w:val="single" w:sz="4" w:space="0" w:color="auto"/>
            </w:tcBorders>
            <w:shd w:val="clear" w:color="auto" w:fill="auto"/>
            <w:noWrap/>
            <w:vAlign w:val="center"/>
            <w:hideMark/>
          </w:tcPr>
          <w:p w14:paraId="24A6F05D"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900148768</w:t>
            </w:r>
          </w:p>
        </w:tc>
        <w:tc>
          <w:tcPr>
            <w:tcW w:w="4258" w:type="dxa"/>
            <w:tcBorders>
              <w:top w:val="nil"/>
              <w:left w:val="nil"/>
              <w:bottom w:val="single" w:sz="4" w:space="0" w:color="auto"/>
              <w:right w:val="single" w:sz="4" w:space="0" w:color="auto"/>
            </w:tcBorders>
            <w:shd w:val="clear" w:color="auto" w:fill="auto"/>
            <w:vAlign w:val="center"/>
            <w:hideMark/>
          </w:tcPr>
          <w:p w14:paraId="335FF6B4"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ENERMAS SAS ESP</w:t>
            </w:r>
          </w:p>
        </w:tc>
        <w:tc>
          <w:tcPr>
            <w:tcW w:w="1559" w:type="dxa"/>
            <w:tcBorders>
              <w:top w:val="nil"/>
              <w:left w:val="nil"/>
              <w:bottom w:val="single" w:sz="4" w:space="0" w:color="auto"/>
              <w:right w:val="single" w:sz="4" w:space="0" w:color="auto"/>
            </w:tcBorders>
            <w:shd w:val="clear" w:color="auto" w:fill="auto"/>
            <w:noWrap/>
            <w:vAlign w:val="center"/>
            <w:hideMark/>
          </w:tcPr>
          <w:p w14:paraId="038825D8" w14:textId="646994BD"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291</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978</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724 </w:t>
            </w:r>
          </w:p>
        </w:tc>
        <w:tc>
          <w:tcPr>
            <w:tcW w:w="1559" w:type="dxa"/>
            <w:tcBorders>
              <w:top w:val="nil"/>
              <w:left w:val="nil"/>
              <w:bottom w:val="single" w:sz="4" w:space="0" w:color="auto"/>
              <w:right w:val="single" w:sz="4" w:space="0" w:color="auto"/>
            </w:tcBorders>
            <w:shd w:val="clear" w:color="auto" w:fill="auto"/>
            <w:noWrap/>
            <w:vAlign w:val="center"/>
            <w:hideMark/>
          </w:tcPr>
          <w:p w14:paraId="192089C4" w14:textId="2AD1B570"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2</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919</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787 </w:t>
            </w:r>
          </w:p>
        </w:tc>
      </w:tr>
      <w:tr w:rsidR="00AE6A98" w:rsidRPr="00AE6A98" w14:paraId="5B961142" w14:textId="77777777" w:rsidTr="00AE6A98">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309DAAEF"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116</w:t>
            </w:r>
          </w:p>
        </w:tc>
        <w:tc>
          <w:tcPr>
            <w:tcW w:w="879" w:type="dxa"/>
            <w:tcBorders>
              <w:top w:val="nil"/>
              <w:left w:val="nil"/>
              <w:bottom w:val="single" w:sz="4" w:space="0" w:color="auto"/>
              <w:right w:val="single" w:sz="4" w:space="0" w:color="auto"/>
            </w:tcBorders>
            <w:shd w:val="clear" w:color="auto" w:fill="auto"/>
            <w:noWrap/>
            <w:vAlign w:val="center"/>
            <w:hideMark/>
          </w:tcPr>
          <w:p w14:paraId="2BB35CC8"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901066395</w:t>
            </w:r>
          </w:p>
        </w:tc>
        <w:tc>
          <w:tcPr>
            <w:tcW w:w="4258" w:type="dxa"/>
            <w:tcBorders>
              <w:top w:val="nil"/>
              <w:left w:val="nil"/>
              <w:bottom w:val="single" w:sz="4" w:space="0" w:color="auto"/>
              <w:right w:val="single" w:sz="4" w:space="0" w:color="auto"/>
            </w:tcBorders>
            <w:shd w:val="clear" w:color="auto" w:fill="auto"/>
            <w:vAlign w:val="center"/>
            <w:hideMark/>
          </w:tcPr>
          <w:p w14:paraId="1AFB22D9" w14:textId="77777777" w:rsidR="00AE6A98" w:rsidRPr="00D26825" w:rsidRDefault="00AE6A98" w:rsidP="00AE6A98">
            <w:pPr>
              <w:jc w:val="left"/>
              <w:rPr>
                <w:rFonts w:ascii="Arial Narrow" w:hAnsi="Arial Narrow" w:cs="Calibri"/>
                <w:color w:val="000000"/>
                <w:spacing w:val="0"/>
                <w:sz w:val="18"/>
                <w:szCs w:val="18"/>
                <w:lang w:val="en-US" w:eastAsia="es-CO"/>
              </w:rPr>
            </w:pPr>
            <w:r w:rsidRPr="00D26825">
              <w:rPr>
                <w:rFonts w:ascii="Arial Narrow" w:hAnsi="Arial Narrow" w:cs="Calibri"/>
                <w:color w:val="000000"/>
                <w:spacing w:val="0"/>
                <w:sz w:val="18"/>
                <w:szCs w:val="18"/>
                <w:lang w:val="en-US" w:eastAsia="es-CO"/>
              </w:rPr>
              <w:t>ENERPACIFIC S.A.S. E.S.P.</w:t>
            </w:r>
          </w:p>
        </w:tc>
        <w:tc>
          <w:tcPr>
            <w:tcW w:w="1559" w:type="dxa"/>
            <w:tcBorders>
              <w:top w:val="nil"/>
              <w:left w:val="nil"/>
              <w:bottom w:val="single" w:sz="4" w:space="0" w:color="auto"/>
              <w:right w:val="single" w:sz="4" w:space="0" w:color="auto"/>
            </w:tcBorders>
            <w:shd w:val="clear" w:color="auto" w:fill="auto"/>
            <w:noWrap/>
            <w:vAlign w:val="center"/>
            <w:hideMark/>
          </w:tcPr>
          <w:p w14:paraId="2F74AF88" w14:textId="1A3372FE" w:rsidR="00AE6A98" w:rsidRPr="00AE6A98" w:rsidRDefault="00AE6A98" w:rsidP="00AE6A98">
            <w:pPr>
              <w:jc w:val="right"/>
              <w:rPr>
                <w:rFonts w:ascii="Arial Narrow" w:hAnsi="Arial Narrow" w:cs="Calibri"/>
                <w:color w:val="000000"/>
                <w:spacing w:val="0"/>
                <w:sz w:val="18"/>
                <w:szCs w:val="18"/>
                <w:lang w:eastAsia="es-CO"/>
              </w:rPr>
            </w:pPr>
            <w:r w:rsidRPr="00D26825">
              <w:rPr>
                <w:rFonts w:ascii="Arial Narrow" w:hAnsi="Arial Narrow" w:cs="Calibri"/>
                <w:color w:val="000000"/>
                <w:spacing w:val="0"/>
                <w:sz w:val="18"/>
                <w:szCs w:val="18"/>
                <w:lang w:val="en-US" w:eastAsia="es-CO"/>
              </w:rPr>
              <w:t xml:space="preserve">            </w:t>
            </w:r>
            <w:r w:rsidRPr="00AE6A98">
              <w:rPr>
                <w:rFonts w:ascii="Arial Narrow" w:hAnsi="Arial Narrow" w:cs="Calibri"/>
                <w:color w:val="000000"/>
                <w:spacing w:val="0"/>
                <w:sz w:val="18"/>
                <w:szCs w:val="18"/>
                <w:lang w:eastAsia="es-CO"/>
              </w:rPr>
              <w:t>135</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816</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734 </w:t>
            </w:r>
          </w:p>
        </w:tc>
        <w:tc>
          <w:tcPr>
            <w:tcW w:w="1559" w:type="dxa"/>
            <w:tcBorders>
              <w:top w:val="nil"/>
              <w:left w:val="nil"/>
              <w:bottom w:val="single" w:sz="4" w:space="0" w:color="auto"/>
              <w:right w:val="single" w:sz="4" w:space="0" w:color="auto"/>
            </w:tcBorders>
            <w:shd w:val="clear" w:color="auto" w:fill="auto"/>
            <w:noWrap/>
            <w:vAlign w:val="center"/>
            <w:hideMark/>
          </w:tcPr>
          <w:p w14:paraId="2A7EBFF0" w14:textId="09B6D5CF"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1</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358</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167 </w:t>
            </w:r>
          </w:p>
        </w:tc>
      </w:tr>
      <w:tr w:rsidR="00AE6A98" w:rsidRPr="00AE6A98" w14:paraId="2DCA856A" w14:textId="77777777" w:rsidTr="00AE6A98">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2720FE39"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117</w:t>
            </w:r>
          </w:p>
        </w:tc>
        <w:tc>
          <w:tcPr>
            <w:tcW w:w="879" w:type="dxa"/>
            <w:tcBorders>
              <w:top w:val="nil"/>
              <w:left w:val="nil"/>
              <w:bottom w:val="single" w:sz="4" w:space="0" w:color="auto"/>
              <w:right w:val="single" w:sz="4" w:space="0" w:color="auto"/>
            </w:tcBorders>
            <w:shd w:val="clear" w:color="auto" w:fill="auto"/>
            <w:noWrap/>
            <w:vAlign w:val="center"/>
            <w:hideMark/>
          </w:tcPr>
          <w:p w14:paraId="37C5A41A"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900039901</w:t>
            </w:r>
          </w:p>
        </w:tc>
        <w:tc>
          <w:tcPr>
            <w:tcW w:w="4258" w:type="dxa"/>
            <w:tcBorders>
              <w:top w:val="nil"/>
              <w:left w:val="nil"/>
              <w:bottom w:val="single" w:sz="4" w:space="0" w:color="auto"/>
              <w:right w:val="single" w:sz="4" w:space="0" w:color="auto"/>
            </w:tcBorders>
            <w:shd w:val="clear" w:color="auto" w:fill="auto"/>
            <w:vAlign w:val="center"/>
            <w:hideMark/>
          </w:tcPr>
          <w:p w14:paraId="343559A7"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ENERTOTAL S.A. E.S.P.</w:t>
            </w:r>
          </w:p>
        </w:tc>
        <w:tc>
          <w:tcPr>
            <w:tcW w:w="1559" w:type="dxa"/>
            <w:tcBorders>
              <w:top w:val="nil"/>
              <w:left w:val="nil"/>
              <w:bottom w:val="single" w:sz="4" w:space="0" w:color="auto"/>
              <w:right w:val="single" w:sz="4" w:space="0" w:color="auto"/>
            </w:tcBorders>
            <w:shd w:val="clear" w:color="auto" w:fill="auto"/>
            <w:noWrap/>
            <w:vAlign w:val="center"/>
            <w:hideMark/>
          </w:tcPr>
          <w:p w14:paraId="7DBD3E32" w14:textId="10C3EEEC"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2</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452</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091</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346 </w:t>
            </w:r>
          </w:p>
        </w:tc>
        <w:tc>
          <w:tcPr>
            <w:tcW w:w="1559" w:type="dxa"/>
            <w:tcBorders>
              <w:top w:val="nil"/>
              <w:left w:val="nil"/>
              <w:bottom w:val="single" w:sz="4" w:space="0" w:color="auto"/>
              <w:right w:val="single" w:sz="4" w:space="0" w:color="auto"/>
            </w:tcBorders>
            <w:shd w:val="clear" w:color="auto" w:fill="auto"/>
            <w:noWrap/>
            <w:vAlign w:val="center"/>
            <w:hideMark/>
          </w:tcPr>
          <w:p w14:paraId="6007FEE5" w14:textId="497A05EC"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24</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520</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913 </w:t>
            </w:r>
          </w:p>
        </w:tc>
      </w:tr>
      <w:tr w:rsidR="00AE6A98" w:rsidRPr="00AE6A98" w14:paraId="7FA59BE8" w14:textId="77777777" w:rsidTr="00AE6A98">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4D6CEE67"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118</w:t>
            </w:r>
          </w:p>
        </w:tc>
        <w:tc>
          <w:tcPr>
            <w:tcW w:w="879" w:type="dxa"/>
            <w:tcBorders>
              <w:top w:val="nil"/>
              <w:left w:val="nil"/>
              <w:bottom w:val="single" w:sz="4" w:space="0" w:color="auto"/>
              <w:right w:val="single" w:sz="4" w:space="0" w:color="auto"/>
            </w:tcBorders>
            <w:shd w:val="clear" w:color="auto" w:fill="auto"/>
            <w:noWrap/>
            <w:vAlign w:val="center"/>
            <w:hideMark/>
          </w:tcPr>
          <w:p w14:paraId="6702B66A"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900214588</w:t>
            </w:r>
          </w:p>
        </w:tc>
        <w:tc>
          <w:tcPr>
            <w:tcW w:w="4258" w:type="dxa"/>
            <w:tcBorders>
              <w:top w:val="nil"/>
              <w:left w:val="nil"/>
              <w:bottom w:val="single" w:sz="4" w:space="0" w:color="auto"/>
              <w:right w:val="single" w:sz="4" w:space="0" w:color="auto"/>
            </w:tcBorders>
            <w:shd w:val="clear" w:color="auto" w:fill="auto"/>
            <w:vAlign w:val="center"/>
            <w:hideMark/>
          </w:tcPr>
          <w:p w14:paraId="6E1CE7E8"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ESPACIO PRODUCTIVO SAS ESP</w:t>
            </w:r>
          </w:p>
        </w:tc>
        <w:tc>
          <w:tcPr>
            <w:tcW w:w="1559" w:type="dxa"/>
            <w:tcBorders>
              <w:top w:val="nil"/>
              <w:left w:val="nil"/>
              <w:bottom w:val="single" w:sz="4" w:space="0" w:color="auto"/>
              <w:right w:val="single" w:sz="4" w:space="0" w:color="auto"/>
            </w:tcBorders>
            <w:shd w:val="clear" w:color="auto" w:fill="auto"/>
            <w:noWrap/>
            <w:vAlign w:val="center"/>
            <w:hideMark/>
          </w:tcPr>
          <w:p w14:paraId="65F9A298" w14:textId="26312A03"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3</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386</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327</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809 </w:t>
            </w:r>
          </w:p>
        </w:tc>
        <w:tc>
          <w:tcPr>
            <w:tcW w:w="1559" w:type="dxa"/>
            <w:tcBorders>
              <w:top w:val="nil"/>
              <w:left w:val="nil"/>
              <w:bottom w:val="single" w:sz="4" w:space="0" w:color="auto"/>
              <w:right w:val="single" w:sz="4" w:space="0" w:color="auto"/>
            </w:tcBorders>
            <w:shd w:val="clear" w:color="auto" w:fill="auto"/>
            <w:noWrap/>
            <w:vAlign w:val="center"/>
            <w:hideMark/>
          </w:tcPr>
          <w:p w14:paraId="34DF900A" w14:textId="632BBD70"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33</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863</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278 </w:t>
            </w:r>
          </w:p>
        </w:tc>
      </w:tr>
      <w:tr w:rsidR="00AE6A98" w:rsidRPr="00AE6A98" w14:paraId="3584E0A0" w14:textId="77777777" w:rsidTr="00AE6A98">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0F5B100A"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119</w:t>
            </w:r>
          </w:p>
        </w:tc>
        <w:tc>
          <w:tcPr>
            <w:tcW w:w="879" w:type="dxa"/>
            <w:tcBorders>
              <w:top w:val="nil"/>
              <w:left w:val="nil"/>
              <w:bottom w:val="single" w:sz="4" w:space="0" w:color="auto"/>
              <w:right w:val="single" w:sz="4" w:space="0" w:color="auto"/>
            </w:tcBorders>
            <w:shd w:val="clear" w:color="auto" w:fill="auto"/>
            <w:noWrap/>
            <w:vAlign w:val="center"/>
            <w:hideMark/>
          </w:tcPr>
          <w:p w14:paraId="338313BE"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900431226</w:t>
            </w:r>
          </w:p>
        </w:tc>
        <w:tc>
          <w:tcPr>
            <w:tcW w:w="4258" w:type="dxa"/>
            <w:tcBorders>
              <w:top w:val="nil"/>
              <w:left w:val="nil"/>
              <w:bottom w:val="single" w:sz="4" w:space="0" w:color="auto"/>
              <w:right w:val="single" w:sz="4" w:space="0" w:color="auto"/>
            </w:tcBorders>
            <w:shd w:val="clear" w:color="auto" w:fill="auto"/>
            <w:vAlign w:val="center"/>
            <w:hideMark/>
          </w:tcPr>
          <w:p w14:paraId="46993E22" w14:textId="77777777" w:rsidR="00AE6A98" w:rsidRPr="00AD5D6F" w:rsidRDefault="00AE6A98" w:rsidP="00AE6A98">
            <w:pPr>
              <w:jc w:val="left"/>
              <w:rPr>
                <w:rFonts w:ascii="Arial Narrow" w:hAnsi="Arial Narrow" w:cs="Calibri"/>
                <w:color w:val="000000"/>
                <w:spacing w:val="0"/>
                <w:sz w:val="18"/>
                <w:szCs w:val="18"/>
                <w:lang w:val="en-US" w:eastAsia="es-CO"/>
              </w:rPr>
            </w:pPr>
            <w:r w:rsidRPr="00AD5D6F">
              <w:rPr>
                <w:rFonts w:ascii="Arial Narrow" w:hAnsi="Arial Narrow" w:cs="Calibri"/>
                <w:color w:val="000000"/>
                <w:spacing w:val="0"/>
                <w:sz w:val="18"/>
                <w:szCs w:val="18"/>
                <w:lang w:val="en-US" w:eastAsia="es-CO"/>
              </w:rPr>
              <w:t>FORCEFUL ENERGY S.A.S E.S.P</w:t>
            </w:r>
          </w:p>
        </w:tc>
        <w:tc>
          <w:tcPr>
            <w:tcW w:w="1559" w:type="dxa"/>
            <w:tcBorders>
              <w:top w:val="nil"/>
              <w:left w:val="nil"/>
              <w:bottom w:val="single" w:sz="4" w:space="0" w:color="auto"/>
              <w:right w:val="single" w:sz="4" w:space="0" w:color="auto"/>
            </w:tcBorders>
            <w:shd w:val="clear" w:color="auto" w:fill="auto"/>
            <w:noWrap/>
            <w:vAlign w:val="center"/>
            <w:hideMark/>
          </w:tcPr>
          <w:p w14:paraId="7FF17D95" w14:textId="6A0EB91F" w:rsidR="00AE6A98" w:rsidRPr="00AE6A98" w:rsidRDefault="00AE6A98" w:rsidP="00AE6A98">
            <w:pPr>
              <w:jc w:val="right"/>
              <w:rPr>
                <w:rFonts w:ascii="Arial Narrow" w:hAnsi="Arial Narrow" w:cs="Calibri"/>
                <w:color w:val="000000"/>
                <w:spacing w:val="0"/>
                <w:sz w:val="18"/>
                <w:szCs w:val="18"/>
                <w:lang w:eastAsia="es-CO"/>
              </w:rPr>
            </w:pPr>
            <w:r w:rsidRPr="00AD5D6F">
              <w:rPr>
                <w:rFonts w:ascii="Arial Narrow" w:hAnsi="Arial Narrow" w:cs="Calibri"/>
                <w:color w:val="000000"/>
                <w:spacing w:val="0"/>
                <w:sz w:val="18"/>
                <w:szCs w:val="18"/>
                <w:lang w:val="en-US" w:eastAsia="es-CO"/>
              </w:rPr>
              <w:t xml:space="preserve">              </w:t>
            </w:r>
            <w:r w:rsidRPr="00AE6A98">
              <w:rPr>
                <w:rFonts w:ascii="Arial Narrow" w:hAnsi="Arial Narrow" w:cs="Calibri"/>
                <w:color w:val="000000"/>
                <w:spacing w:val="0"/>
                <w:sz w:val="18"/>
                <w:szCs w:val="18"/>
                <w:lang w:eastAsia="es-CO"/>
              </w:rPr>
              <w:t>75</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283</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997 </w:t>
            </w:r>
          </w:p>
        </w:tc>
        <w:tc>
          <w:tcPr>
            <w:tcW w:w="1559" w:type="dxa"/>
            <w:tcBorders>
              <w:top w:val="nil"/>
              <w:left w:val="nil"/>
              <w:bottom w:val="single" w:sz="4" w:space="0" w:color="auto"/>
              <w:right w:val="single" w:sz="4" w:space="0" w:color="auto"/>
            </w:tcBorders>
            <w:shd w:val="clear" w:color="auto" w:fill="auto"/>
            <w:noWrap/>
            <w:vAlign w:val="center"/>
            <w:hideMark/>
          </w:tcPr>
          <w:p w14:paraId="6E6BB829" w14:textId="3A15B9CF"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752</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840 </w:t>
            </w:r>
          </w:p>
        </w:tc>
      </w:tr>
      <w:tr w:rsidR="00AE6A98" w:rsidRPr="00AE6A98" w14:paraId="730A17E6" w14:textId="77777777" w:rsidTr="00AE6A98">
        <w:trPr>
          <w:trHeight w:val="46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45AA2AF9"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120</w:t>
            </w:r>
          </w:p>
        </w:tc>
        <w:tc>
          <w:tcPr>
            <w:tcW w:w="879" w:type="dxa"/>
            <w:tcBorders>
              <w:top w:val="nil"/>
              <w:left w:val="nil"/>
              <w:bottom w:val="single" w:sz="4" w:space="0" w:color="auto"/>
              <w:right w:val="single" w:sz="4" w:space="0" w:color="auto"/>
            </w:tcBorders>
            <w:shd w:val="clear" w:color="auto" w:fill="auto"/>
            <w:noWrap/>
            <w:vAlign w:val="center"/>
            <w:hideMark/>
          </w:tcPr>
          <w:p w14:paraId="2C3F6BEC"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900409371</w:t>
            </w:r>
          </w:p>
        </w:tc>
        <w:tc>
          <w:tcPr>
            <w:tcW w:w="4258" w:type="dxa"/>
            <w:tcBorders>
              <w:top w:val="nil"/>
              <w:left w:val="nil"/>
              <w:bottom w:val="single" w:sz="4" w:space="0" w:color="auto"/>
              <w:right w:val="single" w:sz="4" w:space="0" w:color="auto"/>
            </w:tcBorders>
            <w:shd w:val="clear" w:color="auto" w:fill="auto"/>
            <w:vAlign w:val="center"/>
            <w:hideMark/>
          </w:tcPr>
          <w:p w14:paraId="181C11EE"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FUENTES DE ENERGÍAS RENOVABLES S.A.S. ESP</w:t>
            </w:r>
          </w:p>
        </w:tc>
        <w:tc>
          <w:tcPr>
            <w:tcW w:w="1559" w:type="dxa"/>
            <w:tcBorders>
              <w:top w:val="nil"/>
              <w:left w:val="nil"/>
              <w:bottom w:val="single" w:sz="4" w:space="0" w:color="auto"/>
              <w:right w:val="single" w:sz="4" w:space="0" w:color="auto"/>
            </w:tcBorders>
            <w:shd w:val="clear" w:color="auto" w:fill="auto"/>
            <w:noWrap/>
            <w:vAlign w:val="center"/>
            <w:hideMark/>
          </w:tcPr>
          <w:p w14:paraId="07E89F19" w14:textId="352B67E9"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2</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269</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637</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514 </w:t>
            </w:r>
          </w:p>
        </w:tc>
        <w:tc>
          <w:tcPr>
            <w:tcW w:w="1559" w:type="dxa"/>
            <w:tcBorders>
              <w:top w:val="nil"/>
              <w:left w:val="nil"/>
              <w:bottom w:val="single" w:sz="4" w:space="0" w:color="auto"/>
              <w:right w:val="single" w:sz="4" w:space="0" w:color="auto"/>
            </w:tcBorders>
            <w:shd w:val="clear" w:color="auto" w:fill="auto"/>
            <w:noWrap/>
            <w:vAlign w:val="center"/>
            <w:hideMark/>
          </w:tcPr>
          <w:p w14:paraId="022C2813" w14:textId="09487F41"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22</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696</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375 </w:t>
            </w:r>
          </w:p>
        </w:tc>
      </w:tr>
      <w:tr w:rsidR="00AE6A98" w:rsidRPr="00AE6A98" w14:paraId="630416E9" w14:textId="77777777" w:rsidTr="00AE6A98">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6543B8D5"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121</w:t>
            </w:r>
          </w:p>
        </w:tc>
        <w:tc>
          <w:tcPr>
            <w:tcW w:w="879" w:type="dxa"/>
            <w:tcBorders>
              <w:top w:val="nil"/>
              <w:left w:val="nil"/>
              <w:bottom w:val="single" w:sz="4" w:space="0" w:color="auto"/>
              <w:right w:val="single" w:sz="4" w:space="0" w:color="auto"/>
            </w:tcBorders>
            <w:shd w:val="clear" w:color="auto" w:fill="auto"/>
            <w:noWrap/>
            <w:vAlign w:val="center"/>
            <w:hideMark/>
          </w:tcPr>
          <w:p w14:paraId="7216B1E5"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900308744</w:t>
            </w:r>
          </w:p>
        </w:tc>
        <w:tc>
          <w:tcPr>
            <w:tcW w:w="4258" w:type="dxa"/>
            <w:tcBorders>
              <w:top w:val="nil"/>
              <w:left w:val="nil"/>
              <w:bottom w:val="single" w:sz="4" w:space="0" w:color="auto"/>
              <w:right w:val="single" w:sz="4" w:space="0" w:color="auto"/>
            </w:tcBorders>
            <w:shd w:val="clear" w:color="auto" w:fill="auto"/>
            <w:vAlign w:val="center"/>
            <w:hideMark/>
          </w:tcPr>
          <w:p w14:paraId="6BB39B52"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GECELCA 3 S.A.S. E.S.P.</w:t>
            </w:r>
          </w:p>
        </w:tc>
        <w:tc>
          <w:tcPr>
            <w:tcW w:w="1559" w:type="dxa"/>
            <w:tcBorders>
              <w:top w:val="nil"/>
              <w:left w:val="nil"/>
              <w:bottom w:val="single" w:sz="4" w:space="0" w:color="auto"/>
              <w:right w:val="single" w:sz="4" w:space="0" w:color="auto"/>
            </w:tcBorders>
            <w:shd w:val="clear" w:color="auto" w:fill="auto"/>
            <w:noWrap/>
            <w:vAlign w:val="center"/>
            <w:hideMark/>
          </w:tcPr>
          <w:p w14:paraId="645A7FD0" w14:textId="6414306B"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668</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528</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528 </w:t>
            </w:r>
          </w:p>
        </w:tc>
        <w:tc>
          <w:tcPr>
            <w:tcW w:w="1559" w:type="dxa"/>
            <w:tcBorders>
              <w:top w:val="nil"/>
              <w:left w:val="nil"/>
              <w:bottom w:val="single" w:sz="4" w:space="0" w:color="auto"/>
              <w:right w:val="single" w:sz="4" w:space="0" w:color="auto"/>
            </w:tcBorders>
            <w:shd w:val="clear" w:color="auto" w:fill="auto"/>
            <w:noWrap/>
            <w:vAlign w:val="center"/>
            <w:hideMark/>
          </w:tcPr>
          <w:p w14:paraId="7EE64578" w14:textId="65F334EA"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6</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685</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285 </w:t>
            </w:r>
          </w:p>
        </w:tc>
      </w:tr>
      <w:tr w:rsidR="00AE6A98" w:rsidRPr="00AE6A98" w14:paraId="5057E2D5" w14:textId="77777777" w:rsidTr="00AE6A98">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2EEFCE79"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122</w:t>
            </w:r>
          </w:p>
        </w:tc>
        <w:tc>
          <w:tcPr>
            <w:tcW w:w="879" w:type="dxa"/>
            <w:tcBorders>
              <w:top w:val="nil"/>
              <w:left w:val="nil"/>
              <w:bottom w:val="single" w:sz="4" w:space="0" w:color="auto"/>
              <w:right w:val="single" w:sz="4" w:space="0" w:color="auto"/>
            </w:tcBorders>
            <w:shd w:val="clear" w:color="auto" w:fill="auto"/>
            <w:noWrap/>
            <w:vAlign w:val="center"/>
            <w:hideMark/>
          </w:tcPr>
          <w:p w14:paraId="40D0CC07"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900282370</w:t>
            </w:r>
          </w:p>
        </w:tc>
        <w:tc>
          <w:tcPr>
            <w:tcW w:w="4258" w:type="dxa"/>
            <w:tcBorders>
              <w:top w:val="nil"/>
              <w:left w:val="nil"/>
              <w:bottom w:val="single" w:sz="4" w:space="0" w:color="auto"/>
              <w:right w:val="single" w:sz="4" w:space="0" w:color="auto"/>
            </w:tcBorders>
            <w:shd w:val="clear" w:color="auto" w:fill="auto"/>
            <w:vAlign w:val="center"/>
            <w:hideMark/>
          </w:tcPr>
          <w:p w14:paraId="252FFABE"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GENDECAR S.A. E.S.P.</w:t>
            </w:r>
          </w:p>
        </w:tc>
        <w:tc>
          <w:tcPr>
            <w:tcW w:w="1559" w:type="dxa"/>
            <w:tcBorders>
              <w:top w:val="nil"/>
              <w:left w:val="nil"/>
              <w:bottom w:val="single" w:sz="4" w:space="0" w:color="auto"/>
              <w:right w:val="single" w:sz="4" w:space="0" w:color="auto"/>
            </w:tcBorders>
            <w:shd w:val="clear" w:color="auto" w:fill="auto"/>
            <w:noWrap/>
            <w:vAlign w:val="center"/>
            <w:hideMark/>
          </w:tcPr>
          <w:p w14:paraId="3CB30877" w14:textId="2F9CEE5B"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171</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174</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607 </w:t>
            </w:r>
          </w:p>
        </w:tc>
        <w:tc>
          <w:tcPr>
            <w:tcW w:w="1559" w:type="dxa"/>
            <w:tcBorders>
              <w:top w:val="nil"/>
              <w:left w:val="nil"/>
              <w:bottom w:val="single" w:sz="4" w:space="0" w:color="auto"/>
              <w:right w:val="single" w:sz="4" w:space="0" w:color="auto"/>
            </w:tcBorders>
            <w:shd w:val="clear" w:color="auto" w:fill="auto"/>
            <w:noWrap/>
            <w:vAlign w:val="center"/>
            <w:hideMark/>
          </w:tcPr>
          <w:p w14:paraId="3B5894F9" w14:textId="62180745"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1</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711</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746 </w:t>
            </w:r>
          </w:p>
        </w:tc>
      </w:tr>
      <w:tr w:rsidR="00AE6A98" w:rsidRPr="00AE6A98" w14:paraId="441C3609" w14:textId="77777777" w:rsidTr="00AE6A98">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56A5DF11"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123</w:t>
            </w:r>
          </w:p>
        </w:tc>
        <w:tc>
          <w:tcPr>
            <w:tcW w:w="879" w:type="dxa"/>
            <w:tcBorders>
              <w:top w:val="nil"/>
              <w:left w:val="nil"/>
              <w:bottom w:val="single" w:sz="4" w:space="0" w:color="auto"/>
              <w:right w:val="single" w:sz="4" w:space="0" w:color="auto"/>
            </w:tcBorders>
            <w:shd w:val="clear" w:color="auto" w:fill="auto"/>
            <w:noWrap/>
            <w:vAlign w:val="center"/>
            <w:hideMark/>
          </w:tcPr>
          <w:p w14:paraId="346B7946"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900244325</w:t>
            </w:r>
          </w:p>
        </w:tc>
        <w:tc>
          <w:tcPr>
            <w:tcW w:w="4258" w:type="dxa"/>
            <w:tcBorders>
              <w:top w:val="nil"/>
              <w:left w:val="nil"/>
              <w:bottom w:val="single" w:sz="4" w:space="0" w:color="auto"/>
              <w:right w:val="single" w:sz="4" w:space="0" w:color="auto"/>
            </w:tcBorders>
            <w:shd w:val="clear" w:color="auto" w:fill="auto"/>
            <w:vAlign w:val="center"/>
            <w:hideMark/>
          </w:tcPr>
          <w:p w14:paraId="1A185410"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GENERACIÓN DE ENERGÍA S.A.S. E.S.P.</w:t>
            </w:r>
          </w:p>
        </w:tc>
        <w:tc>
          <w:tcPr>
            <w:tcW w:w="1559" w:type="dxa"/>
            <w:tcBorders>
              <w:top w:val="nil"/>
              <w:left w:val="nil"/>
              <w:bottom w:val="single" w:sz="4" w:space="0" w:color="auto"/>
              <w:right w:val="single" w:sz="4" w:space="0" w:color="auto"/>
            </w:tcBorders>
            <w:shd w:val="clear" w:color="auto" w:fill="auto"/>
            <w:noWrap/>
            <w:vAlign w:val="center"/>
            <w:hideMark/>
          </w:tcPr>
          <w:p w14:paraId="325DB74A" w14:textId="3023FC4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110</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792</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786 </w:t>
            </w:r>
          </w:p>
        </w:tc>
        <w:tc>
          <w:tcPr>
            <w:tcW w:w="1559" w:type="dxa"/>
            <w:tcBorders>
              <w:top w:val="nil"/>
              <w:left w:val="nil"/>
              <w:bottom w:val="single" w:sz="4" w:space="0" w:color="auto"/>
              <w:right w:val="single" w:sz="4" w:space="0" w:color="auto"/>
            </w:tcBorders>
            <w:shd w:val="clear" w:color="auto" w:fill="auto"/>
            <w:noWrap/>
            <w:vAlign w:val="center"/>
            <w:hideMark/>
          </w:tcPr>
          <w:p w14:paraId="504D64AE" w14:textId="38D76616"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1</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107</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928 </w:t>
            </w:r>
          </w:p>
        </w:tc>
      </w:tr>
      <w:tr w:rsidR="00AE6A98" w:rsidRPr="00AE6A98" w14:paraId="42469BCF" w14:textId="77777777" w:rsidTr="00AE6A98">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0951D469"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124</w:t>
            </w:r>
          </w:p>
        </w:tc>
        <w:tc>
          <w:tcPr>
            <w:tcW w:w="879" w:type="dxa"/>
            <w:tcBorders>
              <w:top w:val="nil"/>
              <w:left w:val="nil"/>
              <w:bottom w:val="single" w:sz="4" w:space="0" w:color="auto"/>
              <w:right w:val="single" w:sz="4" w:space="0" w:color="auto"/>
            </w:tcBorders>
            <w:shd w:val="clear" w:color="auto" w:fill="auto"/>
            <w:noWrap/>
            <w:vAlign w:val="center"/>
            <w:hideMark/>
          </w:tcPr>
          <w:p w14:paraId="234E6B28"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900493235</w:t>
            </w:r>
          </w:p>
        </w:tc>
        <w:tc>
          <w:tcPr>
            <w:tcW w:w="4258" w:type="dxa"/>
            <w:tcBorders>
              <w:top w:val="nil"/>
              <w:left w:val="nil"/>
              <w:bottom w:val="single" w:sz="4" w:space="0" w:color="auto"/>
              <w:right w:val="single" w:sz="4" w:space="0" w:color="auto"/>
            </w:tcBorders>
            <w:shd w:val="clear" w:color="auto" w:fill="auto"/>
            <w:vAlign w:val="center"/>
            <w:hideMark/>
          </w:tcPr>
          <w:p w14:paraId="12719B0D"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GENERADORA ALEJANDRIA S.A.S. - E.S.P.</w:t>
            </w:r>
          </w:p>
        </w:tc>
        <w:tc>
          <w:tcPr>
            <w:tcW w:w="1559" w:type="dxa"/>
            <w:tcBorders>
              <w:top w:val="nil"/>
              <w:left w:val="nil"/>
              <w:bottom w:val="single" w:sz="4" w:space="0" w:color="auto"/>
              <w:right w:val="single" w:sz="4" w:space="0" w:color="auto"/>
            </w:tcBorders>
            <w:shd w:val="clear" w:color="auto" w:fill="auto"/>
            <w:noWrap/>
            <w:vAlign w:val="center"/>
            <w:hideMark/>
          </w:tcPr>
          <w:p w14:paraId="2B55FA12" w14:textId="5331AE60"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1</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019</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764</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107 </w:t>
            </w:r>
          </w:p>
        </w:tc>
        <w:tc>
          <w:tcPr>
            <w:tcW w:w="1559" w:type="dxa"/>
            <w:tcBorders>
              <w:top w:val="nil"/>
              <w:left w:val="nil"/>
              <w:bottom w:val="single" w:sz="4" w:space="0" w:color="auto"/>
              <w:right w:val="single" w:sz="4" w:space="0" w:color="auto"/>
            </w:tcBorders>
            <w:shd w:val="clear" w:color="auto" w:fill="auto"/>
            <w:noWrap/>
            <w:vAlign w:val="center"/>
            <w:hideMark/>
          </w:tcPr>
          <w:p w14:paraId="1C674ECC" w14:textId="267C6C59"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10</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197</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641 </w:t>
            </w:r>
          </w:p>
        </w:tc>
      </w:tr>
      <w:tr w:rsidR="00AE6A98" w:rsidRPr="00AE6A98" w14:paraId="514E5A5B" w14:textId="77777777" w:rsidTr="00AE6A98">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29D43AC7"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125</w:t>
            </w:r>
          </w:p>
        </w:tc>
        <w:tc>
          <w:tcPr>
            <w:tcW w:w="879" w:type="dxa"/>
            <w:tcBorders>
              <w:top w:val="nil"/>
              <w:left w:val="nil"/>
              <w:bottom w:val="single" w:sz="4" w:space="0" w:color="auto"/>
              <w:right w:val="single" w:sz="4" w:space="0" w:color="auto"/>
            </w:tcBorders>
            <w:shd w:val="clear" w:color="auto" w:fill="auto"/>
            <w:noWrap/>
            <w:vAlign w:val="center"/>
            <w:hideMark/>
          </w:tcPr>
          <w:p w14:paraId="4DDFB152"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900660650</w:t>
            </w:r>
          </w:p>
        </w:tc>
        <w:tc>
          <w:tcPr>
            <w:tcW w:w="4258" w:type="dxa"/>
            <w:tcBorders>
              <w:top w:val="nil"/>
              <w:left w:val="nil"/>
              <w:bottom w:val="single" w:sz="4" w:space="0" w:color="auto"/>
              <w:right w:val="single" w:sz="4" w:space="0" w:color="auto"/>
            </w:tcBorders>
            <w:shd w:val="clear" w:color="auto" w:fill="auto"/>
            <w:vAlign w:val="center"/>
            <w:hideMark/>
          </w:tcPr>
          <w:p w14:paraId="19A26624"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GENERADORA CANTAYUS SAS ESP</w:t>
            </w:r>
          </w:p>
        </w:tc>
        <w:tc>
          <w:tcPr>
            <w:tcW w:w="1559" w:type="dxa"/>
            <w:tcBorders>
              <w:top w:val="nil"/>
              <w:left w:val="nil"/>
              <w:bottom w:val="single" w:sz="4" w:space="0" w:color="auto"/>
              <w:right w:val="single" w:sz="4" w:space="0" w:color="auto"/>
            </w:tcBorders>
            <w:shd w:val="clear" w:color="auto" w:fill="auto"/>
            <w:noWrap/>
            <w:vAlign w:val="center"/>
            <w:hideMark/>
          </w:tcPr>
          <w:p w14:paraId="06353445" w14:textId="2AAB9331"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230</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358</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706 </w:t>
            </w:r>
          </w:p>
        </w:tc>
        <w:tc>
          <w:tcPr>
            <w:tcW w:w="1559" w:type="dxa"/>
            <w:tcBorders>
              <w:top w:val="nil"/>
              <w:left w:val="nil"/>
              <w:bottom w:val="single" w:sz="4" w:space="0" w:color="auto"/>
              <w:right w:val="single" w:sz="4" w:space="0" w:color="auto"/>
            </w:tcBorders>
            <w:shd w:val="clear" w:color="auto" w:fill="auto"/>
            <w:noWrap/>
            <w:vAlign w:val="center"/>
            <w:hideMark/>
          </w:tcPr>
          <w:p w14:paraId="4222EF97" w14:textId="450374AF"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2</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303</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587 </w:t>
            </w:r>
          </w:p>
        </w:tc>
      </w:tr>
      <w:tr w:rsidR="00AE6A98" w:rsidRPr="00AE6A98" w14:paraId="31C618BC" w14:textId="77777777" w:rsidTr="00AE6A98">
        <w:trPr>
          <w:trHeight w:val="46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45ED417B"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lastRenderedPageBreak/>
              <w:t>126</w:t>
            </w:r>
          </w:p>
        </w:tc>
        <w:tc>
          <w:tcPr>
            <w:tcW w:w="879" w:type="dxa"/>
            <w:tcBorders>
              <w:top w:val="nil"/>
              <w:left w:val="nil"/>
              <w:bottom w:val="single" w:sz="4" w:space="0" w:color="auto"/>
              <w:right w:val="single" w:sz="4" w:space="0" w:color="auto"/>
            </w:tcBorders>
            <w:shd w:val="clear" w:color="auto" w:fill="auto"/>
            <w:noWrap/>
            <w:vAlign w:val="center"/>
            <w:hideMark/>
          </w:tcPr>
          <w:p w14:paraId="39F5DF28"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811003083</w:t>
            </w:r>
          </w:p>
        </w:tc>
        <w:tc>
          <w:tcPr>
            <w:tcW w:w="4258" w:type="dxa"/>
            <w:tcBorders>
              <w:top w:val="nil"/>
              <w:left w:val="nil"/>
              <w:bottom w:val="single" w:sz="4" w:space="0" w:color="auto"/>
              <w:right w:val="single" w:sz="4" w:space="0" w:color="auto"/>
            </w:tcBorders>
            <w:shd w:val="clear" w:color="auto" w:fill="auto"/>
            <w:vAlign w:val="center"/>
            <w:hideMark/>
          </w:tcPr>
          <w:p w14:paraId="287EC259"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GENERADORA COLOMBIANA DE ELECTRICIDAD SA ESP</w:t>
            </w:r>
          </w:p>
        </w:tc>
        <w:tc>
          <w:tcPr>
            <w:tcW w:w="1559" w:type="dxa"/>
            <w:tcBorders>
              <w:top w:val="nil"/>
              <w:left w:val="nil"/>
              <w:bottom w:val="single" w:sz="4" w:space="0" w:color="auto"/>
              <w:right w:val="single" w:sz="4" w:space="0" w:color="auto"/>
            </w:tcBorders>
            <w:shd w:val="clear" w:color="auto" w:fill="auto"/>
            <w:noWrap/>
            <w:vAlign w:val="center"/>
            <w:hideMark/>
          </w:tcPr>
          <w:p w14:paraId="21F28861" w14:textId="590CBD00"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102</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000</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620 </w:t>
            </w:r>
          </w:p>
        </w:tc>
        <w:tc>
          <w:tcPr>
            <w:tcW w:w="1559" w:type="dxa"/>
            <w:tcBorders>
              <w:top w:val="nil"/>
              <w:left w:val="nil"/>
              <w:bottom w:val="single" w:sz="4" w:space="0" w:color="auto"/>
              <w:right w:val="single" w:sz="4" w:space="0" w:color="auto"/>
            </w:tcBorders>
            <w:shd w:val="clear" w:color="auto" w:fill="auto"/>
            <w:noWrap/>
            <w:vAlign w:val="center"/>
            <w:hideMark/>
          </w:tcPr>
          <w:p w14:paraId="7066C5FB" w14:textId="098A39C4"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1</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020</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006 </w:t>
            </w:r>
          </w:p>
        </w:tc>
      </w:tr>
      <w:tr w:rsidR="00AE6A98" w:rsidRPr="00AE6A98" w14:paraId="29AC9917" w14:textId="77777777" w:rsidTr="00AE6A98">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17AFA32A"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127</w:t>
            </w:r>
          </w:p>
        </w:tc>
        <w:tc>
          <w:tcPr>
            <w:tcW w:w="879" w:type="dxa"/>
            <w:tcBorders>
              <w:top w:val="nil"/>
              <w:left w:val="nil"/>
              <w:bottom w:val="single" w:sz="4" w:space="0" w:color="auto"/>
              <w:right w:val="single" w:sz="4" w:space="0" w:color="auto"/>
            </w:tcBorders>
            <w:shd w:val="clear" w:color="auto" w:fill="auto"/>
            <w:noWrap/>
            <w:vAlign w:val="center"/>
            <w:hideMark/>
          </w:tcPr>
          <w:p w14:paraId="481344F2"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900352197</w:t>
            </w:r>
          </w:p>
        </w:tc>
        <w:tc>
          <w:tcPr>
            <w:tcW w:w="4258" w:type="dxa"/>
            <w:tcBorders>
              <w:top w:val="nil"/>
              <w:left w:val="nil"/>
              <w:bottom w:val="single" w:sz="4" w:space="0" w:color="auto"/>
              <w:right w:val="single" w:sz="4" w:space="0" w:color="auto"/>
            </w:tcBorders>
            <w:shd w:val="clear" w:color="auto" w:fill="auto"/>
            <w:vAlign w:val="center"/>
            <w:hideMark/>
          </w:tcPr>
          <w:p w14:paraId="2648C4B8"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GENERADORA LUZMA S.A.S. E.S.P.</w:t>
            </w:r>
          </w:p>
        </w:tc>
        <w:tc>
          <w:tcPr>
            <w:tcW w:w="1559" w:type="dxa"/>
            <w:tcBorders>
              <w:top w:val="nil"/>
              <w:left w:val="nil"/>
              <w:bottom w:val="single" w:sz="4" w:space="0" w:color="auto"/>
              <w:right w:val="single" w:sz="4" w:space="0" w:color="auto"/>
            </w:tcBorders>
            <w:shd w:val="clear" w:color="auto" w:fill="auto"/>
            <w:noWrap/>
            <w:vAlign w:val="center"/>
            <w:hideMark/>
          </w:tcPr>
          <w:p w14:paraId="50AF814A" w14:textId="1FD252DF"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1</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363</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245</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619 </w:t>
            </w:r>
          </w:p>
        </w:tc>
        <w:tc>
          <w:tcPr>
            <w:tcW w:w="1559" w:type="dxa"/>
            <w:tcBorders>
              <w:top w:val="nil"/>
              <w:left w:val="nil"/>
              <w:bottom w:val="single" w:sz="4" w:space="0" w:color="auto"/>
              <w:right w:val="single" w:sz="4" w:space="0" w:color="auto"/>
            </w:tcBorders>
            <w:shd w:val="clear" w:color="auto" w:fill="auto"/>
            <w:noWrap/>
            <w:vAlign w:val="center"/>
            <w:hideMark/>
          </w:tcPr>
          <w:p w14:paraId="77FFC16E" w14:textId="3B088CE6"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13</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632</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456 </w:t>
            </w:r>
          </w:p>
        </w:tc>
      </w:tr>
      <w:tr w:rsidR="00AE6A98" w:rsidRPr="00AE6A98" w14:paraId="1AA9E302" w14:textId="77777777" w:rsidTr="00AE6A98">
        <w:trPr>
          <w:trHeight w:val="46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5D79D235"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128</w:t>
            </w:r>
          </w:p>
        </w:tc>
        <w:tc>
          <w:tcPr>
            <w:tcW w:w="879" w:type="dxa"/>
            <w:tcBorders>
              <w:top w:val="nil"/>
              <w:left w:val="nil"/>
              <w:bottom w:val="single" w:sz="4" w:space="0" w:color="auto"/>
              <w:right w:val="single" w:sz="4" w:space="0" w:color="auto"/>
            </w:tcBorders>
            <w:shd w:val="clear" w:color="auto" w:fill="auto"/>
            <w:noWrap/>
            <w:vAlign w:val="center"/>
            <w:hideMark/>
          </w:tcPr>
          <w:p w14:paraId="258226B4"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900082143</w:t>
            </w:r>
          </w:p>
        </w:tc>
        <w:tc>
          <w:tcPr>
            <w:tcW w:w="4258" w:type="dxa"/>
            <w:tcBorders>
              <w:top w:val="nil"/>
              <w:left w:val="nil"/>
              <w:bottom w:val="single" w:sz="4" w:space="0" w:color="auto"/>
              <w:right w:val="single" w:sz="4" w:space="0" w:color="auto"/>
            </w:tcBorders>
            <w:shd w:val="clear" w:color="auto" w:fill="auto"/>
            <w:vAlign w:val="center"/>
            <w:hideMark/>
          </w:tcPr>
          <w:p w14:paraId="0D138D01"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GENERADORA Y COMERCIALIZADORA DE ENERGIA DEL CARIBE S.A E.S.P</w:t>
            </w:r>
          </w:p>
        </w:tc>
        <w:tc>
          <w:tcPr>
            <w:tcW w:w="1559" w:type="dxa"/>
            <w:tcBorders>
              <w:top w:val="nil"/>
              <w:left w:val="nil"/>
              <w:bottom w:val="single" w:sz="4" w:space="0" w:color="auto"/>
              <w:right w:val="single" w:sz="4" w:space="0" w:color="auto"/>
            </w:tcBorders>
            <w:shd w:val="clear" w:color="auto" w:fill="auto"/>
            <w:noWrap/>
            <w:vAlign w:val="center"/>
            <w:hideMark/>
          </w:tcPr>
          <w:p w14:paraId="42150906" w14:textId="35EC32FA"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57</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678</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608</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060 </w:t>
            </w:r>
          </w:p>
        </w:tc>
        <w:tc>
          <w:tcPr>
            <w:tcW w:w="1559" w:type="dxa"/>
            <w:tcBorders>
              <w:top w:val="nil"/>
              <w:left w:val="nil"/>
              <w:bottom w:val="single" w:sz="4" w:space="0" w:color="auto"/>
              <w:right w:val="single" w:sz="4" w:space="0" w:color="auto"/>
            </w:tcBorders>
            <w:shd w:val="clear" w:color="auto" w:fill="auto"/>
            <w:noWrap/>
            <w:vAlign w:val="center"/>
            <w:hideMark/>
          </w:tcPr>
          <w:p w14:paraId="3C0804B8" w14:textId="71A7CA19"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576</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786</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081 </w:t>
            </w:r>
          </w:p>
        </w:tc>
      </w:tr>
      <w:tr w:rsidR="00AE6A98" w:rsidRPr="00AE6A98" w14:paraId="21D76A8F" w14:textId="77777777" w:rsidTr="00AE6A98">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0276873E"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129</w:t>
            </w:r>
          </w:p>
        </w:tc>
        <w:tc>
          <w:tcPr>
            <w:tcW w:w="879" w:type="dxa"/>
            <w:tcBorders>
              <w:top w:val="nil"/>
              <w:left w:val="nil"/>
              <w:bottom w:val="single" w:sz="4" w:space="0" w:color="auto"/>
              <w:right w:val="single" w:sz="4" w:space="0" w:color="auto"/>
            </w:tcBorders>
            <w:shd w:val="clear" w:color="auto" w:fill="auto"/>
            <w:noWrap/>
            <w:vAlign w:val="center"/>
            <w:hideMark/>
          </w:tcPr>
          <w:p w14:paraId="182EFBE4"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830107528</w:t>
            </w:r>
          </w:p>
        </w:tc>
        <w:tc>
          <w:tcPr>
            <w:tcW w:w="4258" w:type="dxa"/>
            <w:tcBorders>
              <w:top w:val="nil"/>
              <w:left w:val="nil"/>
              <w:bottom w:val="single" w:sz="4" w:space="0" w:color="auto"/>
              <w:right w:val="single" w:sz="4" w:space="0" w:color="auto"/>
            </w:tcBorders>
            <w:shd w:val="clear" w:color="auto" w:fill="auto"/>
            <w:vAlign w:val="center"/>
            <w:hideMark/>
          </w:tcPr>
          <w:p w14:paraId="5D820D4E"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GENERARCO S.A.S. E.S.P.</w:t>
            </w:r>
          </w:p>
        </w:tc>
        <w:tc>
          <w:tcPr>
            <w:tcW w:w="1559" w:type="dxa"/>
            <w:tcBorders>
              <w:top w:val="nil"/>
              <w:left w:val="nil"/>
              <w:bottom w:val="single" w:sz="4" w:space="0" w:color="auto"/>
              <w:right w:val="single" w:sz="4" w:space="0" w:color="auto"/>
            </w:tcBorders>
            <w:shd w:val="clear" w:color="auto" w:fill="auto"/>
            <w:noWrap/>
            <w:vAlign w:val="center"/>
            <w:hideMark/>
          </w:tcPr>
          <w:p w14:paraId="61455202" w14:textId="0C44E8AB"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199</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880</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242 </w:t>
            </w:r>
          </w:p>
        </w:tc>
        <w:tc>
          <w:tcPr>
            <w:tcW w:w="1559" w:type="dxa"/>
            <w:tcBorders>
              <w:top w:val="nil"/>
              <w:left w:val="nil"/>
              <w:bottom w:val="single" w:sz="4" w:space="0" w:color="auto"/>
              <w:right w:val="single" w:sz="4" w:space="0" w:color="auto"/>
            </w:tcBorders>
            <w:shd w:val="clear" w:color="auto" w:fill="auto"/>
            <w:noWrap/>
            <w:vAlign w:val="center"/>
            <w:hideMark/>
          </w:tcPr>
          <w:p w14:paraId="3B680D6A" w14:textId="5761E920"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1</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998</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802 </w:t>
            </w:r>
          </w:p>
        </w:tc>
      </w:tr>
      <w:tr w:rsidR="00AE6A98" w:rsidRPr="00AE6A98" w14:paraId="30C6B7B2" w14:textId="77777777" w:rsidTr="00AE6A98">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601FBBA0"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130</w:t>
            </w:r>
          </w:p>
        </w:tc>
        <w:tc>
          <w:tcPr>
            <w:tcW w:w="879" w:type="dxa"/>
            <w:tcBorders>
              <w:top w:val="nil"/>
              <w:left w:val="nil"/>
              <w:bottom w:val="single" w:sz="4" w:space="0" w:color="auto"/>
              <w:right w:val="single" w:sz="4" w:space="0" w:color="auto"/>
            </w:tcBorders>
            <w:shd w:val="clear" w:color="auto" w:fill="auto"/>
            <w:noWrap/>
            <w:vAlign w:val="center"/>
            <w:hideMark/>
          </w:tcPr>
          <w:p w14:paraId="3C6DD47F"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900436006</w:t>
            </w:r>
          </w:p>
        </w:tc>
        <w:tc>
          <w:tcPr>
            <w:tcW w:w="4258" w:type="dxa"/>
            <w:tcBorders>
              <w:top w:val="nil"/>
              <w:left w:val="nil"/>
              <w:bottom w:val="single" w:sz="4" w:space="0" w:color="auto"/>
              <w:right w:val="single" w:sz="4" w:space="0" w:color="auto"/>
            </w:tcBorders>
            <w:shd w:val="clear" w:color="auto" w:fill="auto"/>
            <w:vAlign w:val="center"/>
            <w:hideMark/>
          </w:tcPr>
          <w:p w14:paraId="5C7DF123"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GENERPUTUMAYO S.A.S E.S.P.</w:t>
            </w:r>
          </w:p>
        </w:tc>
        <w:tc>
          <w:tcPr>
            <w:tcW w:w="1559" w:type="dxa"/>
            <w:tcBorders>
              <w:top w:val="nil"/>
              <w:left w:val="nil"/>
              <w:bottom w:val="single" w:sz="4" w:space="0" w:color="auto"/>
              <w:right w:val="single" w:sz="4" w:space="0" w:color="auto"/>
            </w:tcBorders>
            <w:shd w:val="clear" w:color="auto" w:fill="auto"/>
            <w:noWrap/>
            <w:vAlign w:val="center"/>
            <w:hideMark/>
          </w:tcPr>
          <w:p w14:paraId="6698C638" w14:textId="451E4BA6"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735</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141</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035 </w:t>
            </w:r>
          </w:p>
        </w:tc>
        <w:tc>
          <w:tcPr>
            <w:tcW w:w="1559" w:type="dxa"/>
            <w:tcBorders>
              <w:top w:val="nil"/>
              <w:left w:val="nil"/>
              <w:bottom w:val="single" w:sz="4" w:space="0" w:color="auto"/>
              <w:right w:val="single" w:sz="4" w:space="0" w:color="auto"/>
            </w:tcBorders>
            <w:shd w:val="clear" w:color="auto" w:fill="auto"/>
            <w:noWrap/>
            <w:vAlign w:val="center"/>
            <w:hideMark/>
          </w:tcPr>
          <w:p w14:paraId="0DF951E0" w14:textId="0E029AEC"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7</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351</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410 </w:t>
            </w:r>
          </w:p>
        </w:tc>
      </w:tr>
      <w:tr w:rsidR="00AE6A98" w:rsidRPr="00AE6A98" w14:paraId="7E501294" w14:textId="77777777" w:rsidTr="00AE6A98">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5281FFC7"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131</w:t>
            </w:r>
          </w:p>
        </w:tc>
        <w:tc>
          <w:tcPr>
            <w:tcW w:w="879" w:type="dxa"/>
            <w:tcBorders>
              <w:top w:val="nil"/>
              <w:left w:val="nil"/>
              <w:bottom w:val="single" w:sz="4" w:space="0" w:color="auto"/>
              <w:right w:val="single" w:sz="4" w:space="0" w:color="auto"/>
            </w:tcBorders>
            <w:shd w:val="clear" w:color="auto" w:fill="auto"/>
            <w:noWrap/>
            <w:vAlign w:val="center"/>
            <w:hideMark/>
          </w:tcPr>
          <w:p w14:paraId="603E6682"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900154879</w:t>
            </w:r>
          </w:p>
        </w:tc>
        <w:tc>
          <w:tcPr>
            <w:tcW w:w="4258" w:type="dxa"/>
            <w:tcBorders>
              <w:top w:val="nil"/>
              <w:left w:val="nil"/>
              <w:bottom w:val="single" w:sz="4" w:space="0" w:color="auto"/>
              <w:right w:val="single" w:sz="4" w:space="0" w:color="auto"/>
            </w:tcBorders>
            <w:shd w:val="clear" w:color="auto" w:fill="auto"/>
            <w:vAlign w:val="center"/>
            <w:hideMark/>
          </w:tcPr>
          <w:p w14:paraId="54EF74AC" w14:textId="77777777" w:rsidR="00AE6A98" w:rsidRPr="00D26825" w:rsidRDefault="00AE6A98" w:rsidP="00AE6A98">
            <w:pPr>
              <w:jc w:val="left"/>
              <w:rPr>
                <w:rFonts w:ascii="Arial Narrow" w:hAnsi="Arial Narrow" w:cs="Calibri"/>
                <w:color w:val="000000"/>
                <w:spacing w:val="0"/>
                <w:sz w:val="18"/>
                <w:szCs w:val="18"/>
                <w:lang w:val="en-US" w:eastAsia="es-CO"/>
              </w:rPr>
            </w:pPr>
            <w:r w:rsidRPr="00D26825">
              <w:rPr>
                <w:rFonts w:ascii="Arial Narrow" w:hAnsi="Arial Narrow" w:cs="Calibri"/>
                <w:color w:val="000000"/>
                <w:spacing w:val="0"/>
                <w:sz w:val="18"/>
                <w:szCs w:val="18"/>
                <w:lang w:val="en-US" w:eastAsia="es-CO"/>
              </w:rPr>
              <w:t>GENERSYS S.A.S E.S.P.</w:t>
            </w:r>
          </w:p>
        </w:tc>
        <w:tc>
          <w:tcPr>
            <w:tcW w:w="1559" w:type="dxa"/>
            <w:tcBorders>
              <w:top w:val="nil"/>
              <w:left w:val="nil"/>
              <w:bottom w:val="single" w:sz="4" w:space="0" w:color="auto"/>
              <w:right w:val="single" w:sz="4" w:space="0" w:color="auto"/>
            </w:tcBorders>
            <w:shd w:val="clear" w:color="auto" w:fill="auto"/>
            <w:noWrap/>
            <w:vAlign w:val="center"/>
            <w:hideMark/>
          </w:tcPr>
          <w:p w14:paraId="015BD676" w14:textId="54A25336" w:rsidR="00AE6A98" w:rsidRPr="00AE6A98" w:rsidRDefault="00AE6A98" w:rsidP="00AE6A98">
            <w:pPr>
              <w:jc w:val="right"/>
              <w:rPr>
                <w:rFonts w:ascii="Arial Narrow" w:hAnsi="Arial Narrow" w:cs="Calibri"/>
                <w:color w:val="000000"/>
                <w:spacing w:val="0"/>
                <w:sz w:val="18"/>
                <w:szCs w:val="18"/>
                <w:lang w:eastAsia="es-CO"/>
              </w:rPr>
            </w:pPr>
            <w:r w:rsidRPr="00D26825">
              <w:rPr>
                <w:rFonts w:ascii="Arial Narrow" w:hAnsi="Arial Narrow" w:cs="Calibri"/>
                <w:color w:val="000000"/>
                <w:spacing w:val="0"/>
                <w:sz w:val="18"/>
                <w:szCs w:val="18"/>
                <w:lang w:val="en-US" w:eastAsia="es-CO"/>
              </w:rPr>
              <w:t xml:space="preserve">            </w:t>
            </w:r>
            <w:r w:rsidRPr="00AE6A98">
              <w:rPr>
                <w:rFonts w:ascii="Arial Narrow" w:hAnsi="Arial Narrow" w:cs="Calibri"/>
                <w:color w:val="000000"/>
                <w:spacing w:val="0"/>
                <w:sz w:val="18"/>
                <w:szCs w:val="18"/>
                <w:lang w:eastAsia="es-CO"/>
              </w:rPr>
              <w:t>150</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999</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018 </w:t>
            </w:r>
          </w:p>
        </w:tc>
        <w:tc>
          <w:tcPr>
            <w:tcW w:w="1559" w:type="dxa"/>
            <w:tcBorders>
              <w:top w:val="nil"/>
              <w:left w:val="nil"/>
              <w:bottom w:val="single" w:sz="4" w:space="0" w:color="auto"/>
              <w:right w:val="single" w:sz="4" w:space="0" w:color="auto"/>
            </w:tcBorders>
            <w:shd w:val="clear" w:color="auto" w:fill="auto"/>
            <w:noWrap/>
            <w:vAlign w:val="center"/>
            <w:hideMark/>
          </w:tcPr>
          <w:p w14:paraId="3B3F1687" w14:textId="6CD5734D"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1</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509</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990 </w:t>
            </w:r>
          </w:p>
        </w:tc>
      </w:tr>
      <w:tr w:rsidR="00AE6A98" w:rsidRPr="00AE6A98" w14:paraId="57D253C0" w14:textId="77777777" w:rsidTr="00AE6A98">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60E5C5C1"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132</w:t>
            </w:r>
          </w:p>
        </w:tc>
        <w:tc>
          <w:tcPr>
            <w:tcW w:w="879" w:type="dxa"/>
            <w:tcBorders>
              <w:top w:val="nil"/>
              <w:left w:val="nil"/>
              <w:bottom w:val="single" w:sz="4" w:space="0" w:color="auto"/>
              <w:right w:val="single" w:sz="4" w:space="0" w:color="auto"/>
            </w:tcBorders>
            <w:shd w:val="clear" w:color="auto" w:fill="auto"/>
            <w:noWrap/>
            <w:vAlign w:val="center"/>
            <w:hideMark/>
          </w:tcPr>
          <w:p w14:paraId="69E05F0B"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900579800</w:t>
            </w:r>
          </w:p>
        </w:tc>
        <w:tc>
          <w:tcPr>
            <w:tcW w:w="4258" w:type="dxa"/>
            <w:tcBorders>
              <w:top w:val="nil"/>
              <w:left w:val="nil"/>
              <w:bottom w:val="single" w:sz="4" w:space="0" w:color="auto"/>
              <w:right w:val="single" w:sz="4" w:space="0" w:color="auto"/>
            </w:tcBorders>
            <w:shd w:val="clear" w:color="auto" w:fill="auto"/>
            <w:vAlign w:val="center"/>
            <w:hideMark/>
          </w:tcPr>
          <w:p w14:paraId="5FAB1258"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GENSER POWER SAS ESP</w:t>
            </w:r>
          </w:p>
        </w:tc>
        <w:tc>
          <w:tcPr>
            <w:tcW w:w="1559" w:type="dxa"/>
            <w:tcBorders>
              <w:top w:val="nil"/>
              <w:left w:val="nil"/>
              <w:bottom w:val="single" w:sz="4" w:space="0" w:color="auto"/>
              <w:right w:val="single" w:sz="4" w:space="0" w:color="auto"/>
            </w:tcBorders>
            <w:shd w:val="clear" w:color="auto" w:fill="auto"/>
            <w:noWrap/>
            <w:vAlign w:val="center"/>
            <w:hideMark/>
          </w:tcPr>
          <w:p w14:paraId="40EBA2A5" w14:textId="5476A793"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574</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108</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313 </w:t>
            </w:r>
          </w:p>
        </w:tc>
        <w:tc>
          <w:tcPr>
            <w:tcW w:w="1559" w:type="dxa"/>
            <w:tcBorders>
              <w:top w:val="nil"/>
              <w:left w:val="nil"/>
              <w:bottom w:val="single" w:sz="4" w:space="0" w:color="auto"/>
              <w:right w:val="single" w:sz="4" w:space="0" w:color="auto"/>
            </w:tcBorders>
            <w:shd w:val="clear" w:color="auto" w:fill="auto"/>
            <w:noWrap/>
            <w:vAlign w:val="center"/>
            <w:hideMark/>
          </w:tcPr>
          <w:p w14:paraId="2ACB6444" w14:textId="6038FAA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5</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741</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083 </w:t>
            </w:r>
          </w:p>
        </w:tc>
      </w:tr>
      <w:tr w:rsidR="00AE6A98" w:rsidRPr="00AE6A98" w14:paraId="52BCFD73" w14:textId="77777777" w:rsidTr="00AE6A98">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3AE3DECB"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133</w:t>
            </w:r>
          </w:p>
        </w:tc>
        <w:tc>
          <w:tcPr>
            <w:tcW w:w="879" w:type="dxa"/>
            <w:tcBorders>
              <w:top w:val="nil"/>
              <w:left w:val="nil"/>
              <w:bottom w:val="single" w:sz="4" w:space="0" w:color="auto"/>
              <w:right w:val="single" w:sz="4" w:space="0" w:color="auto"/>
            </w:tcBorders>
            <w:shd w:val="clear" w:color="auto" w:fill="auto"/>
            <w:noWrap/>
            <w:vAlign w:val="center"/>
            <w:hideMark/>
          </w:tcPr>
          <w:p w14:paraId="52E6D6C1"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800194208</w:t>
            </w:r>
          </w:p>
        </w:tc>
        <w:tc>
          <w:tcPr>
            <w:tcW w:w="4258" w:type="dxa"/>
            <w:tcBorders>
              <w:top w:val="nil"/>
              <w:left w:val="nil"/>
              <w:bottom w:val="single" w:sz="4" w:space="0" w:color="auto"/>
              <w:right w:val="single" w:sz="4" w:space="0" w:color="auto"/>
            </w:tcBorders>
            <w:shd w:val="clear" w:color="auto" w:fill="auto"/>
            <w:vAlign w:val="center"/>
            <w:hideMark/>
          </w:tcPr>
          <w:p w14:paraId="7CC98F1D"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GESTION ENERGETICA S.A. ESP</w:t>
            </w:r>
          </w:p>
        </w:tc>
        <w:tc>
          <w:tcPr>
            <w:tcW w:w="1559" w:type="dxa"/>
            <w:tcBorders>
              <w:top w:val="nil"/>
              <w:left w:val="nil"/>
              <w:bottom w:val="single" w:sz="4" w:space="0" w:color="auto"/>
              <w:right w:val="single" w:sz="4" w:space="0" w:color="auto"/>
            </w:tcBorders>
            <w:shd w:val="clear" w:color="auto" w:fill="auto"/>
            <w:noWrap/>
            <w:vAlign w:val="center"/>
            <w:hideMark/>
          </w:tcPr>
          <w:p w14:paraId="5B84460B" w14:textId="4ECAE8DC"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15</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258</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694</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292 </w:t>
            </w:r>
          </w:p>
        </w:tc>
        <w:tc>
          <w:tcPr>
            <w:tcW w:w="1559" w:type="dxa"/>
            <w:tcBorders>
              <w:top w:val="nil"/>
              <w:left w:val="nil"/>
              <w:bottom w:val="single" w:sz="4" w:space="0" w:color="auto"/>
              <w:right w:val="single" w:sz="4" w:space="0" w:color="auto"/>
            </w:tcBorders>
            <w:shd w:val="clear" w:color="auto" w:fill="auto"/>
            <w:noWrap/>
            <w:vAlign w:val="center"/>
            <w:hideMark/>
          </w:tcPr>
          <w:p w14:paraId="7C7FED3B" w14:textId="31245C8A"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152</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586</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943 </w:t>
            </w:r>
          </w:p>
        </w:tc>
      </w:tr>
      <w:tr w:rsidR="00AE6A98" w:rsidRPr="00AE6A98" w14:paraId="7422D863" w14:textId="77777777" w:rsidTr="00AE6A98">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3753F8EC"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134</w:t>
            </w:r>
          </w:p>
        </w:tc>
        <w:tc>
          <w:tcPr>
            <w:tcW w:w="879" w:type="dxa"/>
            <w:tcBorders>
              <w:top w:val="nil"/>
              <w:left w:val="nil"/>
              <w:bottom w:val="single" w:sz="4" w:space="0" w:color="auto"/>
              <w:right w:val="single" w:sz="4" w:space="0" w:color="auto"/>
            </w:tcBorders>
            <w:shd w:val="clear" w:color="auto" w:fill="auto"/>
            <w:noWrap/>
            <w:vAlign w:val="center"/>
            <w:hideMark/>
          </w:tcPr>
          <w:p w14:paraId="2B814EE7"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900210455</w:t>
            </w:r>
          </w:p>
        </w:tc>
        <w:tc>
          <w:tcPr>
            <w:tcW w:w="4258" w:type="dxa"/>
            <w:tcBorders>
              <w:top w:val="nil"/>
              <w:left w:val="nil"/>
              <w:bottom w:val="single" w:sz="4" w:space="0" w:color="auto"/>
              <w:right w:val="single" w:sz="4" w:space="0" w:color="auto"/>
            </w:tcBorders>
            <w:shd w:val="clear" w:color="auto" w:fill="auto"/>
            <w:vAlign w:val="center"/>
            <w:hideMark/>
          </w:tcPr>
          <w:p w14:paraId="1ABCAD3E"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GUANAQUITAS S.A.S E.S.P</w:t>
            </w:r>
          </w:p>
        </w:tc>
        <w:tc>
          <w:tcPr>
            <w:tcW w:w="1559" w:type="dxa"/>
            <w:tcBorders>
              <w:top w:val="nil"/>
              <w:left w:val="nil"/>
              <w:bottom w:val="single" w:sz="4" w:space="0" w:color="auto"/>
              <w:right w:val="single" w:sz="4" w:space="0" w:color="auto"/>
            </w:tcBorders>
            <w:shd w:val="clear" w:color="auto" w:fill="auto"/>
            <w:noWrap/>
            <w:vAlign w:val="center"/>
            <w:hideMark/>
          </w:tcPr>
          <w:p w14:paraId="534ED546" w14:textId="2292D941"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656</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945</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079 </w:t>
            </w:r>
          </w:p>
        </w:tc>
        <w:tc>
          <w:tcPr>
            <w:tcW w:w="1559" w:type="dxa"/>
            <w:tcBorders>
              <w:top w:val="nil"/>
              <w:left w:val="nil"/>
              <w:bottom w:val="single" w:sz="4" w:space="0" w:color="auto"/>
              <w:right w:val="single" w:sz="4" w:space="0" w:color="auto"/>
            </w:tcBorders>
            <w:shd w:val="clear" w:color="auto" w:fill="auto"/>
            <w:noWrap/>
            <w:vAlign w:val="center"/>
            <w:hideMark/>
          </w:tcPr>
          <w:p w14:paraId="1258CFA6" w14:textId="24C36918"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6</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569</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451 </w:t>
            </w:r>
          </w:p>
        </w:tc>
      </w:tr>
      <w:tr w:rsidR="00AE6A98" w:rsidRPr="00AE6A98" w14:paraId="709C7DB8" w14:textId="77777777" w:rsidTr="00AE6A98">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77D439EF"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135</w:t>
            </w:r>
          </w:p>
        </w:tc>
        <w:tc>
          <w:tcPr>
            <w:tcW w:w="879" w:type="dxa"/>
            <w:tcBorders>
              <w:top w:val="nil"/>
              <w:left w:val="nil"/>
              <w:bottom w:val="single" w:sz="4" w:space="0" w:color="auto"/>
              <w:right w:val="single" w:sz="4" w:space="0" w:color="auto"/>
            </w:tcBorders>
            <w:shd w:val="clear" w:color="auto" w:fill="auto"/>
            <w:noWrap/>
            <w:vAlign w:val="center"/>
            <w:hideMark/>
          </w:tcPr>
          <w:p w14:paraId="23BF7C4A"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901042368</w:t>
            </w:r>
          </w:p>
        </w:tc>
        <w:tc>
          <w:tcPr>
            <w:tcW w:w="4258" w:type="dxa"/>
            <w:tcBorders>
              <w:top w:val="nil"/>
              <w:left w:val="nil"/>
              <w:bottom w:val="single" w:sz="4" w:space="0" w:color="auto"/>
              <w:right w:val="single" w:sz="4" w:space="0" w:color="auto"/>
            </w:tcBorders>
            <w:shd w:val="clear" w:color="auto" w:fill="auto"/>
            <w:vAlign w:val="center"/>
            <w:hideMark/>
          </w:tcPr>
          <w:p w14:paraId="040FDD1B"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HELIOS ENERGIA S.A. ESP</w:t>
            </w:r>
          </w:p>
        </w:tc>
        <w:tc>
          <w:tcPr>
            <w:tcW w:w="1559" w:type="dxa"/>
            <w:tcBorders>
              <w:top w:val="nil"/>
              <w:left w:val="nil"/>
              <w:bottom w:val="single" w:sz="4" w:space="0" w:color="auto"/>
              <w:right w:val="single" w:sz="4" w:space="0" w:color="auto"/>
            </w:tcBorders>
            <w:shd w:val="clear" w:color="auto" w:fill="auto"/>
            <w:noWrap/>
            <w:vAlign w:val="center"/>
            <w:hideMark/>
          </w:tcPr>
          <w:p w14:paraId="6FA20D74" w14:textId="038A20F4"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455</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923</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892 </w:t>
            </w:r>
          </w:p>
        </w:tc>
        <w:tc>
          <w:tcPr>
            <w:tcW w:w="1559" w:type="dxa"/>
            <w:tcBorders>
              <w:top w:val="nil"/>
              <w:left w:val="nil"/>
              <w:bottom w:val="single" w:sz="4" w:space="0" w:color="auto"/>
              <w:right w:val="single" w:sz="4" w:space="0" w:color="auto"/>
            </w:tcBorders>
            <w:shd w:val="clear" w:color="auto" w:fill="auto"/>
            <w:noWrap/>
            <w:vAlign w:val="center"/>
            <w:hideMark/>
          </w:tcPr>
          <w:p w14:paraId="36EB0145" w14:textId="03A0CA6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4</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559</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239 </w:t>
            </w:r>
          </w:p>
        </w:tc>
      </w:tr>
      <w:tr w:rsidR="00AE6A98" w:rsidRPr="00AE6A98" w14:paraId="2BB0F147" w14:textId="77777777" w:rsidTr="00AE6A98">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3E8FEAE3"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136</w:t>
            </w:r>
          </w:p>
        </w:tc>
        <w:tc>
          <w:tcPr>
            <w:tcW w:w="879" w:type="dxa"/>
            <w:tcBorders>
              <w:top w:val="nil"/>
              <w:left w:val="nil"/>
              <w:bottom w:val="single" w:sz="4" w:space="0" w:color="auto"/>
              <w:right w:val="single" w:sz="4" w:space="0" w:color="auto"/>
            </w:tcBorders>
            <w:shd w:val="clear" w:color="auto" w:fill="auto"/>
            <w:noWrap/>
            <w:vAlign w:val="center"/>
            <w:hideMark/>
          </w:tcPr>
          <w:p w14:paraId="3232E7CC"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900466775</w:t>
            </w:r>
          </w:p>
        </w:tc>
        <w:tc>
          <w:tcPr>
            <w:tcW w:w="4258" w:type="dxa"/>
            <w:tcBorders>
              <w:top w:val="nil"/>
              <w:left w:val="nil"/>
              <w:bottom w:val="single" w:sz="4" w:space="0" w:color="auto"/>
              <w:right w:val="single" w:sz="4" w:space="0" w:color="auto"/>
            </w:tcBorders>
            <w:shd w:val="clear" w:color="auto" w:fill="auto"/>
            <w:vAlign w:val="center"/>
            <w:hideMark/>
          </w:tcPr>
          <w:p w14:paraId="65F35513"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HIDROELECTRICA DEL ALTO PORCE S.A.S  E.S.P</w:t>
            </w:r>
          </w:p>
        </w:tc>
        <w:tc>
          <w:tcPr>
            <w:tcW w:w="1559" w:type="dxa"/>
            <w:tcBorders>
              <w:top w:val="nil"/>
              <w:left w:val="nil"/>
              <w:bottom w:val="single" w:sz="4" w:space="0" w:color="auto"/>
              <w:right w:val="single" w:sz="4" w:space="0" w:color="auto"/>
            </w:tcBorders>
            <w:shd w:val="clear" w:color="auto" w:fill="auto"/>
            <w:noWrap/>
            <w:vAlign w:val="center"/>
            <w:hideMark/>
          </w:tcPr>
          <w:p w14:paraId="43139D2F" w14:textId="3A8EC364"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239</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676</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919 </w:t>
            </w:r>
          </w:p>
        </w:tc>
        <w:tc>
          <w:tcPr>
            <w:tcW w:w="1559" w:type="dxa"/>
            <w:tcBorders>
              <w:top w:val="nil"/>
              <w:left w:val="nil"/>
              <w:bottom w:val="single" w:sz="4" w:space="0" w:color="auto"/>
              <w:right w:val="single" w:sz="4" w:space="0" w:color="auto"/>
            </w:tcBorders>
            <w:shd w:val="clear" w:color="auto" w:fill="auto"/>
            <w:noWrap/>
            <w:vAlign w:val="center"/>
            <w:hideMark/>
          </w:tcPr>
          <w:p w14:paraId="6281E166" w14:textId="461D6D59"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2</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396</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769 </w:t>
            </w:r>
          </w:p>
        </w:tc>
      </w:tr>
      <w:tr w:rsidR="00AE6A98" w:rsidRPr="00AE6A98" w14:paraId="7ECA1970" w14:textId="77777777" w:rsidTr="00AE6A98">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3E2507DC"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137</w:t>
            </w:r>
          </w:p>
        </w:tc>
        <w:tc>
          <w:tcPr>
            <w:tcW w:w="879" w:type="dxa"/>
            <w:tcBorders>
              <w:top w:val="nil"/>
              <w:left w:val="nil"/>
              <w:bottom w:val="single" w:sz="4" w:space="0" w:color="auto"/>
              <w:right w:val="single" w:sz="4" w:space="0" w:color="auto"/>
            </w:tcBorders>
            <w:shd w:val="clear" w:color="auto" w:fill="auto"/>
            <w:noWrap/>
            <w:vAlign w:val="center"/>
            <w:hideMark/>
          </w:tcPr>
          <w:p w14:paraId="2DAB5F4F"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900097320</w:t>
            </w:r>
          </w:p>
        </w:tc>
        <w:tc>
          <w:tcPr>
            <w:tcW w:w="4258" w:type="dxa"/>
            <w:tcBorders>
              <w:top w:val="nil"/>
              <w:left w:val="nil"/>
              <w:bottom w:val="single" w:sz="4" w:space="0" w:color="auto"/>
              <w:right w:val="single" w:sz="4" w:space="0" w:color="auto"/>
            </w:tcBorders>
            <w:shd w:val="clear" w:color="auto" w:fill="auto"/>
            <w:vAlign w:val="center"/>
            <w:hideMark/>
          </w:tcPr>
          <w:p w14:paraId="2274321E"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HIDROTOLIMA S.A.S E.S.P</w:t>
            </w:r>
          </w:p>
        </w:tc>
        <w:tc>
          <w:tcPr>
            <w:tcW w:w="1559" w:type="dxa"/>
            <w:tcBorders>
              <w:top w:val="nil"/>
              <w:left w:val="nil"/>
              <w:bottom w:val="single" w:sz="4" w:space="0" w:color="auto"/>
              <w:right w:val="single" w:sz="4" w:space="0" w:color="auto"/>
            </w:tcBorders>
            <w:shd w:val="clear" w:color="auto" w:fill="auto"/>
            <w:noWrap/>
            <w:vAlign w:val="center"/>
            <w:hideMark/>
          </w:tcPr>
          <w:p w14:paraId="5EB36943" w14:textId="28D60EF4"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744</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961</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656 </w:t>
            </w:r>
          </w:p>
        </w:tc>
        <w:tc>
          <w:tcPr>
            <w:tcW w:w="1559" w:type="dxa"/>
            <w:tcBorders>
              <w:top w:val="nil"/>
              <w:left w:val="nil"/>
              <w:bottom w:val="single" w:sz="4" w:space="0" w:color="auto"/>
              <w:right w:val="single" w:sz="4" w:space="0" w:color="auto"/>
            </w:tcBorders>
            <w:shd w:val="clear" w:color="auto" w:fill="auto"/>
            <w:noWrap/>
            <w:vAlign w:val="center"/>
            <w:hideMark/>
          </w:tcPr>
          <w:p w14:paraId="23DA0A4E" w14:textId="2702857B"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7</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449</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617 </w:t>
            </w:r>
          </w:p>
        </w:tc>
      </w:tr>
      <w:tr w:rsidR="00AE6A98" w:rsidRPr="00AE6A98" w14:paraId="6E934206" w14:textId="77777777" w:rsidTr="00AE6A98">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2A3EEC5A"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138</w:t>
            </w:r>
          </w:p>
        </w:tc>
        <w:tc>
          <w:tcPr>
            <w:tcW w:w="879" w:type="dxa"/>
            <w:tcBorders>
              <w:top w:val="nil"/>
              <w:left w:val="nil"/>
              <w:bottom w:val="single" w:sz="4" w:space="0" w:color="auto"/>
              <w:right w:val="single" w:sz="4" w:space="0" w:color="auto"/>
            </w:tcBorders>
            <w:shd w:val="clear" w:color="auto" w:fill="auto"/>
            <w:noWrap/>
            <w:vAlign w:val="center"/>
            <w:hideMark/>
          </w:tcPr>
          <w:p w14:paraId="4AFE0C8A"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900358272</w:t>
            </w:r>
          </w:p>
        </w:tc>
        <w:tc>
          <w:tcPr>
            <w:tcW w:w="4258" w:type="dxa"/>
            <w:tcBorders>
              <w:top w:val="nil"/>
              <w:left w:val="nil"/>
              <w:bottom w:val="single" w:sz="4" w:space="0" w:color="auto"/>
              <w:right w:val="single" w:sz="4" w:space="0" w:color="auto"/>
            </w:tcBorders>
            <w:shd w:val="clear" w:color="auto" w:fill="auto"/>
            <w:vAlign w:val="center"/>
            <w:hideMark/>
          </w:tcPr>
          <w:p w14:paraId="0F33EDCA"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HZ ENERGY S.A.S. E.S.P.</w:t>
            </w:r>
          </w:p>
        </w:tc>
        <w:tc>
          <w:tcPr>
            <w:tcW w:w="1559" w:type="dxa"/>
            <w:tcBorders>
              <w:top w:val="nil"/>
              <w:left w:val="nil"/>
              <w:bottom w:val="single" w:sz="4" w:space="0" w:color="auto"/>
              <w:right w:val="single" w:sz="4" w:space="0" w:color="auto"/>
            </w:tcBorders>
            <w:shd w:val="clear" w:color="auto" w:fill="auto"/>
            <w:noWrap/>
            <w:vAlign w:val="center"/>
            <w:hideMark/>
          </w:tcPr>
          <w:p w14:paraId="56362830" w14:textId="6D963DC2"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641</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767</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249 </w:t>
            </w:r>
          </w:p>
        </w:tc>
        <w:tc>
          <w:tcPr>
            <w:tcW w:w="1559" w:type="dxa"/>
            <w:tcBorders>
              <w:top w:val="nil"/>
              <w:left w:val="nil"/>
              <w:bottom w:val="single" w:sz="4" w:space="0" w:color="auto"/>
              <w:right w:val="single" w:sz="4" w:space="0" w:color="auto"/>
            </w:tcBorders>
            <w:shd w:val="clear" w:color="auto" w:fill="auto"/>
            <w:noWrap/>
            <w:vAlign w:val="center"/>
            <w:hideMark/>
          </w:tcPr>
          <w:p w14:paraId="76B0900D" w14:textId="469280AA"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6</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417</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672 </w:t>
            </w:r>
          </w:p>
        </w:tc>
      </w:tr>
      <w:tr w:rsidR="00AE6A98" w:rsidRPr="00AE6A98" w14:paraId="49C439D0" w14:textId="77777777" w:rsidTr="00AE6A98">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2258D166"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139</w:t>
            </w:r>
          </w:p>
        </w:tc>
        <w:tc>
          <w:tcPr>
            <w:tcW w:w="879" w:type="dxa"/>
            <w:tcBorders>
              <w:top w:val="nil"/>
              <w:left w:val="nil"/>
              <w:bottom w:val="single" w:sz="4" w:space="0" w:color="auto"/>
              <w:right w:val="single" w:sz="4" w:space="0" w:color="auto"/>
            </w:tcBorders>
            <w:shd w:val="clear" w:color="auto" w:fill="auto"/>
            <w:noWrap/>
            <w:vAlign w:val="center"/>
            <w:hideMark/>
          </w:tcPr>
          <w:p w14:paraId="4465FB37"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900344208</w:t>
            </w:r>
          </w:p>
        </w:tc>
        <w:tc>
          <w:tcPr>
            <w:tcW w:w="4258" w:type="dxa"/>
            <w:tcBorders>
              <w:top w:val="nil"/>
              <w:left w:val="nil"/>
              <w:bottom w:val="single" w:sz="4" w:space="0" w:color="auto"/>
              <w:right w:val="single" w:sz="4" w:space="0" w:color="auto"/>
            </w:tcBorders>
            <w:shd w:val="clear" w:color="auto" w:fill="auto"/>
            <w:vAlign w:val="center"/>
            <w:hideMark/>
          </w:tcPr>
          <w:p w14:paraId="1763398F"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IA ENERGIA Y GESTION S.A.S. E.S.P.</w:t>
            </w:r>
          </w:p>
        </w:tc>
        <w:tc>
          <w:tcPr>
            <w:tcW w:w="1559" w:type="dxa"/>
            <w:tcBorders>
              <w:top w:val="nil"/>
              <w:left w:val="nil"/>
              <w:bottom w:val="single" w:sz="4" w:space="0" w:color="auto"/>
              <w:right w:val="single" w:sz="4" w:space="0" w:color="auto"/>
            </w:tcBorders>
            <w:shd w:val="clear" w:color="auto" w:fill="auto"/>
            <w:noWrap/>
            <w:vAlign w:val="center"/>
            <w:hideMark/>
          </w:tcPr>
          <w:p w14:paraId="54A3EEDA" w14:textId="7CC55E8B"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203</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890</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275 </w:t>
            </w:r>
          </w:p>
        </w:tc>
        <w:tc>
          <w:tcPr>
            <w:tcW w:w="1559" w:type="dxa"/>
            <w:tcBorders>
              <w:top w:val="nil"/>
              <w:left w:val="nil"/>
              <w:bottom w:val="single" w:sz="4" w:space="0" w:color="auto"/>
              <w:right w:val="single" w:sz="4" w:space="0" w:color="auto"/>
            </w:tcBorders>
            <w:shd w:val="clear" w:color="auto" w:fill="auto"/>
            <w:noWrap/>
            <w:vAlign w:val="center"/>
            <w:hideMark/>
          </w:tcPr>
          <w:p w14:paraId="300EFB1C" w14:textId="48451871"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2</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038</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903 </w:t>
            </w:r>
          </w:p>
        </w:tc>
      </w:tr>
      <w:tr w:rsidR="00AE6A98" w:rsidRPr="00AE6A98" w14:paraId="2B323912" w14:textId="77777777" w:rsidTr="00AE6A98">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07EAB5D6"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140</w:t>
            </w:r>
          </w:p>
        </w:tc>
        <w:tc>
          <w:tcPr>
            <w:tcW w:w="879" w:type="dxa"/>
            <w:tcBorders>
              <w:top w:val="nil"/>
              <w:left w:val="nil"/>
              <w:bottom w:val="single" w:sz="4" w:space="0" w:color="auto"/>
              <w:right w:val="single" w:sz="4" w:space="0" w:color="auto"/>
            </w:tcBorders>
            <w:shd w:val="clear" w:color="auto" w:fill="auto"/>
            <w:noWrap/>
            <w:vAlign w:val="center"/>
            <w:hideMark/>
          </w:tcPr>
          <w:p w14:paraId="524E7AFA"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900516015</w:t>
            </w:r>
          </w:p>
        </w:tc>
        <w:tc>
          <w:tcPr>
            <w:tcW w:w="4258" w:type="dxa"/>
            <w:tcBorders>
              <w:top w:val="nil"/>
              <w:left w:val="nil"/>
              <w:bottom w:val="single" w:sz="4" w:space="0" w:color="auto"/>
              <w:right w:val="single" w:sz="4" w:space="0" w:color="auto"/>
            </w:tcBorders>
            <w:shd w:val="clear" w:color="auto" w:fill="auto"/>
            <w:vAlign w:val="center"/>
            <w:hideMark/>
          </w:tcPr>
          <w:p w14:paraId="27D0B76B"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IAC ENERGY SAS ESP</w:t>
            </w:r>
          </w:p>
        </w:tc>
        <w:tc>
          <w:tcPr>
            <w:tcW w:w="1559" w:type="dxa"/>
            <w:tcBorders>
              <w:top w:val="nil"/>
              <w:left w:val="nil"/>
              <w:bottom w:val="single" w:sz="4" w:space="0" w:color="auto"/>
              <w:right w:val="single" w:sz="4" w:space="0" w:color="auto"/>
            </w:tcBorders>
            <w:shd w:val="clear" w:color="auto" w:fill="auto"/>
            <w:noWrap/>
            <w:vAlign w:val="center"/>
            <w:hideMark/>
          </w:tcPr>
          <w:p w14:paraId="0D193B3F" w14:textId="30A097AD"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177</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196</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845 </w:t>
            </w:r>
          </w:p>
        </w:tc>
        <w:tc>
          <w:tcPr>
            <w:tcW w:w="1559" w:type="dxa"/>
            <w:tcBorders>
              <w:top w:val="nil"/>
              <w:left w:val="nil"/>
              <w:bottom w:val="single" w:sz="4" w:space="0" w:color="auto"/>
              <w:right w:val="single" w:sz="4" w:space="0" w:color="auto"/>
            </w:tcBorders>
            <w:shd w:val="clear" w:color="auto" w:fill="auto"/>
            <w:noWrap/>
            <w:vAlign w:val="center"/>
            <w:hideMark/>
          </w:tcPr>
          <w:p w14:paraId="1C029C48" w14:textId="60016C26"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1</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771</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968 </w:t>
            </w:r>
          </w:p>
        </w:tc>
      </w:tr>
      <w:tr w:rsidR="00AE6A98" w:rsidRPr="00AE6A98" w14:paraId="696C38C1" w14:textId="77777777" w:rsidTr="00AE6A98">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40C422E2"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141</w:t>
            </w:r>
          </w:p>
        </w:tc>
        <w:tc>
          <w:tcPr>
            <w:tcW w:w="879" w:type="dxa"/>
            <w:tcBorders>
              <w:top w:val="nil"/>
              <w:left w:val="nil"/>
              <w:bottom w:val="single" w:sz="4" w:space="0" w:color="auto"/>
              <w:right w:val="single" w:sz="4" w:space="0" w:color="auto"/>
            </w:tcBorders>
            <w:shd w:val="clear" w:color="auto" w:fill="auto"/>
            <w:noWrap/>
            <w:vAlign w:val="center"/>
            <w:hideMark/>
          </w:tcPr>
          <w:p w14:paraId="3F7B0C8C"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900667590</w:t>
            </w:r>
          </w:p>
        </w:tc>
        <w:tc>
          <w:tcPr>
            <w:tcW w:w="4258" w:type="dxa"/>
            <w:tcBorders>
              <w:top w:val="nil"/>
              <w:left w:val="nil"/>
              <w:bottom w:val="single" w:sz="4" w:space="0" w:color="auto"/>
              <w:right w:val="single" w:sz="4" w:space="0" w:color="auto"/>
            </w:tcBorders>
            <w:shd w:val="clear" w:color="auto" w:fill="auto"/>
            <w:vAlign w:val="center"/>
            <w:hideMark/>
          </w:tcPr>
          <w:p w14:paraId="6E9D2588"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INTERCOLOMBIA S.A. E.S.P</w:t>
            </w:r>
          </w:p>
        </w:tc>
        <w:tc>
          <w:tcPr>
            <w:tcW w:w="1559" w:type="dxa"/>
            <w:tcBorders>
              <w:top w:val="nil"/>
              <w:left w:val="nil"/>
              <w:bottom w:val="single" w:sz="4" w:space="0" w:color="auto"/>
              <w:right w:val="single" w:sz="4" w:space="0" w:color="auto"/>
            </w:tcBorders>
            <w:shd w:val="clear" w:color="auto" w:fill="auto"/>
            <w:noWrap/>
            <w:vAlign w:val="center"/>
            <w:hideMark/>
          </w:tcPr>
          <w:p w14:paraId="1DB5C7F9" w14:textId="5720BAA1"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53</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715</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290</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925 </w:t>
            </w:r>
          </w:p>
        </w:tc>
        <w:tc>
          <w:tcPr>
            <w:tcW w:w="1559" w:type="dxa"/>
            <w:tcBorders>
              <w:top w:val="nil"/>
              <w:left w:val="nil"/>
              <w:bottom w:val="single" w:sz="4" w:space="0" w:color="auto"/>
              <w:right w:val="single" w:sz="4" w:space="0" w:color="auto"/>
            </w:tcBorders>
            <w:shd w:val="clear" w:color="auto" w:fill="auto"/>
            <w:noWrap/>
            <w:vAlign w:val="center"/>
            <w:hideMark/>
          </w:tcPr>
          <w:p w14:paraId="61C54EC8" w14:textId="6EDACEBB"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537</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152</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909 </w:t>
            </w:r>
          </w:p>
        </w:tc>
      </w:tr>
      <w:tr w:rsidR="00AE6A98" w:rsidRPr="00AE6A98" w14:paraId="7174AE91" w14:textId="77777777" w:rsidTr="00AE6A98">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77CA25BE"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142</w:t>
            </w:r>
          </w:p>
        </w:tc>
        <w:tc>
          <w:tcPr>
            <w:tcW w:w="879" w:type="dxa"/>
            <w:tcBorders>
              <w:top w:val="nil"/>
              <w:left w:val="nil"/>
              <w:bottom w:val="single" w:sz="4" w:space="0" w:color="auto"/>
              <w:right w:val="single" w:sz="4" w:space="0" w:color="auto"/>
            </w:tcBorders>
            <w:shd w:val="clear" w:color="auto" w:fill="auto"/>
            <w:noWrap/>
            <w:vAlign w:val="center"/>
            <w:hideMark/>
          </w:tcPr>
          <w:p w14:paraId="2116DDDD"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860016610</w:t>
            </w:r>
          </w:p>
        </w:tc>
        <w:tc>
          <w:tcPr>
            <w:tcW w:w="4258" w:type="dxa"/>
            <w:tcBorders>
              <w:top w:val="nil"/>
              <w:left w:val="nil"/>
              <w:bottom w:val="single" w:sz="4" w:space="0" w:color="auto"/>
              <w:right w:val="single" w:sz="4" w:space="0" w:color="auto"/>
            </w:tcBorders>
            <w:shd w:val="clear" w:color="auto" w:fill="auto"/>
            <w:vAlign w:val="center"/>
            <w:hideMark/>
          </w:tcPr>
          <w:p w14:paraId="054A3A3C"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INTERCONEXION ELECTRICA S.A. E.S.P.</w:t>
            </w:r>
          </w:p>
        </w:tc>
        <w:tc>
          <w:tcPr>
            <w:tcW w:w="1559" w:type="dxa"/>
            <w:tcBorders>
              <w:top w:val="nil"/>
              <w:left w:val="nil"/>
              <w:bottom w:val="single" w:sz="4" w:space="0" w:color="auto"/>
              <w:right w:val="single" w:sz="4" w:space="0" w:color="auto"/>
            </w:tcBorders>
            <w:shd w:val="clear" w:color="auto" w:fill="auto"/>
            <w:noWrap/>
            <w:vAlign w:val="center"/>
            <w:hideMark/>
          </w:tcPr>
          <w:p w14:paraId="0BA8C633" w14:textId="35083B74"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12</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342</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951</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378 </w:t>
            </w:r>
          </w:p>
        </w:tc>
        <w:tc>
          <w:tcPr>
            <w:tcW w:w="1559" w:type="dxa"/>
            <w:tcBorders>
              <w:top w:val="nil"/>
              <w:left w:val="nil"/>
              <w:bottom w:val="single" w:sz="4" w:space="0" w:color="auto"/>
              <w:right w:val="single" w:sz="4" w:space="0" w:color="auto"/>
            </w:tcBorders>
            <w:shd w:val="clear" w:color="auto" w:fill="auto"/>
            <w:noWrap/>
            <w:vAlign w:val="center"/>
            <w:hideMark/>
          </w:tcPr>
          <w:p w14:paraId="64C8410E" w14:textId="098FE000"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123</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429</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514 </w:t>
            </w:r>
          </w:p>
        </w:tc>
      </w:tr>
      <w:tr w:rsidR="00AE6A98" w:rsidRPr="00AE6A98" w14:paraId="420E7CEF" w14:textId="77777777" w:rsidTr="00AE6A98">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2459F3E1"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143</w:t>
            </w:r>
          </w:p>
        </w:tc>
        <w:tc>
          <w:tcPr>
            <w:tcW w:w="879" w:type="dxa"/>
            <w:tcBorders>
              <w:top w:val="nil"/>
              <w:left w:val="nil"/>
              <w:bottom w:val="single" w:sz="4" w:space="0" w:color="auto"/>
              <w:right w:val="single" w:sz="4" w:space="0" w:color="auto"/>
            </w:tcBorders>
            <w:shd w:val="clear" w:color="auto" w:fill="auto"/>
            <w:noWrap/>
            <w:vAlign w:val="center"/>
            <w:hideMark/>
          </w:tcPr>
          <w:p w14:paraId="29EDB450"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811000740</w:t>
            </w:r>
          </w:p>
        </w:tc>
        <w:tc>
          <w:tcPr>
            <w:tcW w:w="4258" w:type="dxa"/>
            <w:tcBorders>
              <w:top w:val="nil"/>
              <w:left w:val="nil"/>
              <w:bottom w:val="single" w:sz="4" w:space="0" w:color="auto"/>
              <w:right w:val="single" w:sz="4" w:space="0" w:color="auto"/>
            </w:tcBorders>
            <w:shd w:val="clear" w:color="auto" w:fill="auto"/>
            <w:vAlign w:val="center"/>
            <w:hideMark/>
          </w:tcPr>
          <w:p w14:paraId="1F2B3609" w14:textId="77777777" w:rsidR="00AE6A98" w:rsidRPr="00D26825" w:rsidRDefault="00AE6A98" w:rsidP="00AE6A98">
            <w:pPr>
              <w:jc w:val="left"/>
              <w:rPr>
                <w:rFonts w:ascii="Arial Narrow" w:hAnsi="Arial Narrow" w:cs="Calibri"/>
                <w:color w:val="000000"/>
                <w:spacing w:val="0"/>
                <w:sz w:val="18"/>
                <w:szCs w:val="18"/>
                <w:lang w:val="en-US" w:eastAsia="es-CO"/>
              </w:rPr>
            </w:pPr>
            <w:r w:rsidRPr="00D26825">
              <w:rPr>
                <w:rFonts w:ascii="Arial Narrow" w:hAnsi="Arial Narrow" w:cs="Calibri"/>
                <w:color w:val="000000"/>
                <w:spacing w:val="0"/>
                <w:sz w:val="18"/>
                <w:szCs w:val="18"/>
                <w:lang w:val="en-US" w:eastAsia="es-CO"/>
              </w:rPr>
              <w:t>ISAGEN S.A. E.S.P.</w:t>
            </w:r>
          </w:p>
        </w:tc>
        <w:tc>
          <w:tcPr>
            <w:tcW w:w="1559" w:type="dxa"/>
            <w:tcBorders>
              <w:top w:val="nil"/>
              <w:left w:val="nil"/>
              <w:bottom w:val="single" w:sz="4" w:space="0" w:color="auto"/>
              <w:right w:val="single" w:sz="4" w:space="0" w:color="auto"/>
            </w:tcBorders>
            <w:shd w:val="clear" w:color="auto" w:fill="auto"/>
            <w:noWrap/>
            <w:vAlign w:val="center"/>
            <w:hideMark/>
          </w:tcPr>
          <w:p w14:paraId="57C4A9FF" w14:textId="43EB83B4" w:rsidR="00AE6A98" w:rsidRPr="00AE6A98" w:rsidRDefault="00AE6A98" w:rsidP="00AE6A98">
            <w:pPr>
              <w:jc w:val="right"/>
              <w:rPr>
                <w:rFonts w:ascii="Arial Narrow" w:hAnsi="Arial Narrow" w:cs="Calibri"/>
                <w:color w:val="000000"/>
                <w:spacing w:val="0"/>
                <w:sz w:val="18"/>
                <w:szCs w:val="18"/>
                <w:lang w:eastAsia="es-CO"/>
              </w:rPr>
            </w:pPr>
            <w:r w:rsidRPr="00D26825">
              <w:rPr>
                <w:rFonts w:ascii="Arial Narrow" w:hAnsi="Arial Narrow" w:cs="Calibri"/>
                <w:color w:val="000000"/>
                <w:spacing w:val="0"/>
                <w:sz w:val="18"/>
                <w:szCs w:val="18"/>
                <w:lang w:val="en-US" w:eastAsia="es-CO"/>
              </w:rPr>
              <w:t xml:space="preserve">       </w:t>
            </w:r>
            <w:r w:rsidRPr="00AE6A98">
              <w:rPr>
                <w:rFonts w:ascii="Arial Narrow" w:hAnsi="Arial Narrow" w:cs="Calibri"/>
                <w:color w:val="000000"/>
                <w:spacing w:val="0"/>
                <w:sz w:val="18"/>
                <w:szCs w:val="18"/>
                <w:lang w:eastAsia="es-CO"/>
              </w:rPr>
              <w:t>87</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997</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304</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412 </w:t>
            </w:r>
          </w:p>
        </w:tc>
        <w:tc>
          <w:tcPr>
            <w:tcW w:w="1559" w:type="dxa"/>
            <w:tcBorders>
              <w:top w:val="nil"/>
              <w:left w:val="nil"/>
              <w:bottom w:val="single" w:sz="4" w:space="0" w:color="auto"/>
              <w:right w:val="single" w:sz="4" w:space="0" w:color="auto"/>
            </w:tcBorders>
            <w:shd w:val="clear" w:color="auto" w:fill="auto"/>
            <w:noWrap/>
            <w:vAlign w:val="center"/>
            <w:hideMark/>
          </w:tcPr>
          <w:p w14:paraId="2EBA745A" w14:textId="6CF62ED8"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879</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973</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044 </w:t>
            </w:r>
          </w:p>
        </w:tc>
      </w:tr>
      <w:tr w:rsidR="00AE6A98" w:rsidRPr="00AE6A98" w14:paraId="1A915492" w14:textId="77777777" w:rsidTr="00AE6A98">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40DBA74E"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144</w:t>
            </w:r>
          </w:p>
        </w:tc>
        <w:tc>
          <w:tcPr>
            <w:tcW w:w="879" w:type="dxa"/>
            <w:tcBorders>
              <w:top w:val="nil"/>
              <w:left w:val="nil"/>
              <w:bottom w:val="single" w:sz="4" w:space="0" w:color="auto"/>
              <w:right w:val="single" w:sz="4" w:space="0" w:color="auto"/>
            </w:tcBorders>
            <w:shd w:val="clear" w:color="auto" w:fill="auto"/>
            <w:noWrap/>
            <w:vAlign w:val="center"/>
            <w:hideMark/>
          </w:tcPr>
          <w:p w14:paraId="45AE23F1"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900428468</w:t>
            </w:r>
          </w:p>
        </w:tc>
        <w:tc>
          <w:tcPr>
            <w:tcW w:w="4258" w:type="dxa"/>
            <w:tcBorders>
              <w:top w:val="nil"/>
              <w:left w:val="nil"/>
              <w:bottom w:val="single" w:sz="4" w:space="0" w:color="auto"/>
              <w:right w:val="single" w:sz="4" w:space="0" w:color="auto"/>
            </w:tcBorders>
            <w:shd w:val="clear" w:color="auto" w:fill="auto"/>
            <w:vAlign w:val="center"/>
            <w:hideMark/>
          </w:tcPr>
          <w:p w14:paraId="44A5AEC4"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ITALCOL ENERGIA S.A. ESP.</w:t>
            </w:r>
          </w:p>
        </w:tc>
        <w:tc>
          <w:tcPr>
            <w:tcW w:w="1559" w:type="dxa"/>
            <w:tcBorders>
              <w:top w:val="nil"/>
              <w:left w:val="nil"/>
              <w:bottom w:val="single" w:sz="4" w:space="0" w:color="auto"/>
              <w:right w:val="single" w:sz="4" w:space="0" w:color="auto"/>
            </w:tcBorders>
            <w:shd w:val="clear" w:color="auto" w:fill="auto"/>
            <w:noWrap/>
            <w:vAlign w:val="center"/>
            <w:hideMark/>
          </w:tcPr>
          <w:p w14:paraId="232E635B" w14:textId="733CF4E3"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1</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495</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903</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569 </w:t>
            </w:r>
          </w:p>
        </w:tc>
        <w:tc>
          <w:tcPr>
            <w:tcW w:w="1559" w:type="dxa"/>
            <w:tcBorders>
              <w:top w:val="nil"/>
              <w:left w:val="nil"/>
              <w:bottom w:val="single" w:sz="4" w:space="0" w:color="auto"/>
              <w:right w:val="single" w:sz="4" w:space="0" w:color="auto"/>
            </w:tcBorders>
            <w:shd w:val="clear" w:color="auto" w:fill="auto"/>
            <w:noWrap/>
            <w:vAlign w:val="center"/>
            <w:hideMark/>
          </w:tcPr>
          <w:p w14:paraId="45A65ED8" w14:textId="4C86C37F"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14</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959</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036 </w:t>
            </w:r>
          </w:p>
        </w:tc>
      </w:tr>
      <w:tr w:rsidR="00AE6A98" w:rsidRPr="00AE6A98" w14:paraId="2FB3ADAA" w14:textId="77777777" w:rsidTr="00AE6A98">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54661F2F"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145</w:t>
            </w:r>
          </w:p>
        </w:tc>
        <w:tc>
          <w:tcPr>
            <w:tcW w:w="879" w:type="dxa"/>
            <w:tcBorders>
              <w:top w:val="nil"/>
              <w:left w:val="nil"/>
              <w:bottom w:val="single" w:sz="4" w:space="0" w:color="auto"/>
              <w:right w:val="single" w:sz="4" w:space="0" w:color="auto"/>
            </w:tcBorders>
            <w:shd w:val="clear" w:color="auto" w:fill="auto"/>
            <w:noWrap/>
            <w:vAlign w:val="center"/>
            <w:hideMark/>
          </w:tcPr>
          <w:p w14:paraId="6CC7261D"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901125404</w:t>
            </w:r>
          </w:p>
        </w:tc>
        <w:tc>
          <w:tcPr>
            <w:tcW w:w="4258" w:type="dxa"/>
            <w:tcBorders>
              <w:top w:val="nil"/>
              <w:left w:val="nil"/>
              <w:bottom w:val="single" w:sz="4" w:space="0" w:color="auto"/>
              <w:right w:val="single" w:sz="4" w:space="0" w:color="auto"/>
            </w:tcBorders>
            <w:shd w:val="clear" w:color="auto" w:fill="auto"/>
            <w:vAlign w:val="center"/>
            <w:hideMark/>
          </w:tcPr>
          <w:p w14:paraId="2F0E10C9"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JULIA-RD SA ESP</w:t>
            </w:r>
          </w:p>
        </w:tc>
        <w:tc>
          <w:tcPr>
            <w:tcW w:w="1559" w:type="dxa"/>
            <w:tcBorders>
              <w:top w:val="nil"/>
              <w:left w:val="nil"/>
              <w:bottom w:val="single" w:sz="4" w:space="0" w:color="auto"/>
              <w:right w:val="single" w:sz="4" w:space="0" w:color="auto"/>
            </w:tcBorders>
            <w:shd w:val="clear" w:color="auto" w:fill="auto"/>
            <w:noWrap/>
            <w:vAlign w:val="center"/>
            <w:hideMark/>
          </w:tcPr>
          <w:p w14:paraId="49A6B860" w14:textId="7D9EFE44"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2</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894</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422</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689 </w:t>
            </w:r>
          </w:p>
        </w:tc>
        <w:tc>
          <w:tcPr>
            <w:tcW w:w="1559" w:type="dxa"/>
            <w:tcBorders>
              <w:top w:val="nil"/>
              <w:left w:val="nil"/>
              <w:bottom w:val="single" w:sz="4" w:space="0" w:color="auto"/>
              <w:right w:val="single" w:sz="4" w:space="0" w:color="auto"/>
            </w:tcBorders>
            <w:shd w:val="clear" w:color="auto" w:fill="auto"/>
            <w:noWrap/>
            <w:vAlign w:val="center"/>
            <w:hideMark/>
          </w:tcPr>
          <w:p w14:paraId="1BFC0E0C" w14:textId="1BD8A99E"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28</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944</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227 </w:t>
            </w:r>
          </w:p>
        </w:tc>
      </w:tr>
      <w:tr w:rsidR="00AE6A98" w:rsidRPr="00AE6A98" w14:paraId="020F3B44" w14:textId="77777777" w:rsidTr="00AE6A98">
        <w:trPr>
          <w:trHeight w:val="46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1B1A1B4A"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146</w:t>
            </w:r>
          </w:p>
        </w:tc>
        <w:tc>
          <w:tcPr>
            <w:tcW w:w="879" w:type="dxa"/>
            <w:tcBorders>
              <w:top w:val="nil"/>
              <w:left w:val="nil"/>
              <w:bottom w:val="single" w:sz="4" w:space="0" w:color="auto"/>
              <w:right w:val="single" w:sz="4" w:space="0" w:color="auto"/>
            </w:tcBorders>
            <w:shd w:val="clear" w:color="auto" w:fill="auto"/>
            <w:noWrap/>
            <w:vAlign w:val="center"/>
            <w:hideMark/>
          </w:tcPr>
          <w:p w14:paraId="5395B921"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818000276</w:t>
            </w:r>
          </w:p>
        </w:tc>
        <w:tc>
          <w:tcPr>
            <w:tcW w:w="4258" w:type="dxa"/>
            <w:tcBorders>
              <w:top w:val="nil"/>
              <w:left w:val="nil"/>
              <w:bottom w:val="single" w:sz="4" w:space="0" w:color="auto"/>
              <w:right w:val="single" w:sz="4" w:space="0" w:color="auto"/>
            </w:tcBorders>
            <w:shd w:val="clear" w:color="auto" w:fill="auto"/>
            <w:vAlign w:val="center"/>
            <w:hideMark/>
          </w:tcPr>
          <w:p w14:paraId="31EBF943"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JUNTA ADMINISTRADORA DE SERVICIOS PÚBLICOS  DE  CAPURGANA</w:t>
            </w:r>
          </w:p>
        </w:tc>
        <w:tc>
          <w:tcPr>
            <w:tcW w:w="1559" w:type="dxa"/>
            <w:tcBorders>
              <w:top w:val="nil"/>
              <w:left w:val="nil"/>
              <w:bottom w:val="single" w:sz="4" w:space="0" w:color="auto"/>
              <w:right w:val="single" w:sz="4" w:space="0" w:color="auto"/>
            </w:tcBorders>
            <w:shd w:val="clear" w:color="auto" w:fill="auto"/>
            <w:noWrap/>
            <w:vAlign w:val="center"/>
            <w:hideMark/>
          </w:tcPr>
          <w:p w14:paraId="44C643C0" w14:textId="5B60935A"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280</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625</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836 </w:t>
            </w:r>
          </w:p>
        </w:tc>
        <w:tc>
          <w:tcPr>
            <w:tcW w:w="1559" w:type="dxa"/>
            <w:tcBorders>
              <w:top w:val="nil"/>
              <w:left w:val="nil"/>
              <w:bottom w:val="single" w:sz="4" w:space="0" w:color="auto"/>
              <w:right w:val="single" w:sz="4" w:space="0" w:color="auto"/>
            </w:tcBorders>
            <w:shd w:val="clear" w:color="auto" w:fill="auto"/>
            <w:noWrap/>
            <w:vAlign w:val="center"/>
            <w:hideMark/>
          </w:tcPr>
          <w:p w14:paraId="0521F060" w14:textId="7877B5B5"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2</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806</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258 </w:t>
            </w:r>
          </w:p>
        </w:tc>
      </w:tr>
      <w:tr w:rsidR="00AE6A98" w:rsidRPr="00AE6A98" w14:paraId="59C11E6C" w14:textId="77777777" w:rsidTr="00AE6A98">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1D614F83"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147</w:t>
            </w:r>
          </w:p>
        </w:tc>
        <w:tc>
          <w:tcPr>
            <w:tcW w:w="879" w:type="dxa"/>
            <w:tcBorders>
              <w:top w:val="nil"/>
              <w:left w:val="nil"/>
              <w:bottom w:val="single" w:sz="4" w:space="0" w:color="auto"/>
              <w:right w:val="single" w:sz="4" w:space="0" w:color="auto"/>
            </w:tcBorders>
            <w:shd w:val="clear" w:color="auto" w:fill="auto"/>
            <w:noWrap/>
            <w:vAlign w:val="center"/>
            <w:hideMark/>
          </w:tcPr>
          <w:p w14:paraId="393403B9"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900073583</w:t>
            </w:r>
          </w:p>
        </w:tc>
        <w:tc>
          <w:tcPr>
            <w:tcW w:w="4258" w:type="dxa"/>
            <w:tcBorders>
              <w:top w:val="nil"/>
              <w:left w:val="nil"/>
              <w:bottom w:val="single" w:sz="4" w:space="0" w:color="auto"/>
              <w:right w:val="single" w:sz="4" w:space="0" w:color="auto"/>
            </w:tcBorders>
            <w:shd w:val="clear" w:color="auto" w:fill="auto"/>
            <w:vAlign w:val="center"/>
            <w:hideMark/>
          </w:tcPr>
          <w:p w14:paraId="1B7FA45B"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LA CASCADA S.A.S E.S.P.</w:t>
            </w:r>
          </w:p>
        </w:tc>
        <w:tc>
          <w:tcPr>
            <w:tcW w:w="1559" w:type="dxa"/>
            <w:tcBorders>
              <w:top w:val="nil"/>
              <w:left w:val="nil"/>
              <w:bottom w:val="single" w:sz="4" w:space="0" w:color="auto"/>
              <w:right w:val="single" w:sz="4" w:space="0" w:color="auto"/>
            </w:tcBorders>
            <w:shd w:val="clear" w:color="auto" w:fill="auto"/>
            <w:noWrap/>
            <w:vAlign w:val="center"/>
            <w:hideMark/>
          </w:tcPr>
          <w:p w14:paraId="0AD0E9DD" w14:textId="1D17B030"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312</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115</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267 </w:t>
            </w:r>
          </w:p>
        </w:tc>
        <w:tc>
          <w:tcPr>
            <w:tcW w:w="1559" w:type="dxa"/>
            <w:tcBorders>
              <w:top w:val="nil"/>
              <w:left w:val="nil"/>
              <w:bottom w:val="single" w:sz="4" w:space="0" w:color="auto"/>
              <w:right w:val="single" w:sz="4" w:space="0" w:color="auto"/>
            </w:tcBorders>
            <w:shd w:val="clear" w:color="auto" w:fill="auto"/>
            <w:noWrap/>
            <w:vAlign w:val="center"/>
            <w:hideMark/>
          </w:tcPr>
          <w:p w14:paraId="0BA87C9C" w14:textId="12AA7F8C"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3</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121</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153 </w:t>
            </w:r>
          </w:p>
        </w:tc>
      </w:tr>
      <w:tr w:rsidR="00AE6A98" w:rsidRPr="00AE6A98" w14:paraId="46AEC867" w14:textId="77777777" w:rsidTr="00AE6A98">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60B90673"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148</w:t>
            </w:r>
          </w:p>
        </w:tc>
        <w:tc>
          <w:tcPr>
            <w:tcW w:w="879" w:type="dxa"/>
            <w:tcBorders>
              <w:top w:val="nil"/>
              <w:left w:val="nil"/>
              <w:bottom w:val="single" w:sz="4" w:space="0" w:color="auto"/>
              <w:right w:val="single" w:sz="4" w:space="0" w:color="auto"/>
            </w:tcBorders>
            <w:shd w:val="clear" w:color="auto" w:fill="auto"/>
            <w:noWrap/>
            <w:vAlign w:val="center"/>
            <w:hideMark/>
          </w:tcPr>
          <w:p w14:paraId="3539553A"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901033186</w:t>
            </w:r>
          </w:p>
        </w:tc>
        <w:tc>
          <w:tcPr>
            <w:tcW w:w="4258" w:type="dxa"/>
            <w:tcBorders>
              <w:top w:val="nil"/>
              <w:left w:val="nil"/>
              <w:bottom w:val="single" w:sz="4" w:space="0" w:color="auto"/>
              <w:right w:val="single" w:sz="4" w:space="0" w:color="auto"/>
            </w:tcBorders>
            <w:shd w:val="clear" w:color="auto" w:fill="auto"/>
            <w:vAlign w:val="center"/>
            <w:hideMark/>
          </w:tcPr>
          <w:p w14:paraId="738757AD"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MESSER ENERGY SERVICES SAS ESP</w:t>
            </w:r>
          </w:p>
        </w:tc>
        <w:tc>
          <w:tcPr>
            <w:tcW w:w="1559" w:type="dxa"/>
            <w:tcBorders>
              <w:top w:val="nil"/>
              <w:left w:val="nil"/>
              <w:bottom w:val="single" w:sz="4" w:space="0" w:color="auto"/>
              <w:right w:val="single" w:sz="4" w:space="0" w:color="auto"/>
            </w:tcBorders>
            <w:shd w:val="clear" w:color="auto" w:fill="auto"/>
            <w:noWrap/>
            <w:vAlign w:val="center"/>
            <w:hideMark/>
          </w:tcPr>
          <w:p w14:paraId="2A3B7E3C" w14:textId="362C5B6C"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96</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561</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727 </w:t>
            </w:r>
          </w:p>
        </w:tc>
        <w:tc>
          <w:tcPr>
            <w:tcW w:w="1559" w:type="dxa"/>
            <w:tcBorders>
              <w:top w:val="nil"/>
              <w:left w:val="nil"/>
              <w:bottom w:val="single" w:sz="4" w:space="0" w:color="auto"/>
              <w:right w:val="single" w:sz="4" w:space="0" w:color="auto"/>
            </w:tcBorders>
            <w:shd w:val="clear" w:color="auto" w:fill="auto"/>
            <w:noWrap/>
            <w:vAlign w:val="center"/>
            <w:hideMark/>
          </w:tcPr>
          <w:p w14:paraId="47669D56" w14:textId="72645205"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965</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617 </w:t>
            </w:r>
          </w:p>
        </w:tc>
      </w:tr>
      <w:tr w:rsidR="00AE6A98" w:rsidRPr="00AE6A98" w14:paraId="2041B516" w14:textId="77777777" w:rsidTr="00AE6A98">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3A4B014B"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149</w:t>
            </w:r>
          </w:p>
        </w:tc>
        <w:tc>
          <w:tcPr>
            <w:tcW w:w="879" w:type="dxa"/>
            <w:tcBorders>
              <w:top w:val="nil"/>
              <w:left w:val="nil"/>
              <w:bottom w:val="single" w:sz="4" w:space="0" w:color="auto"/>
              <w:right w:val="single" w:sz="4" w:space="0" w:color="auto"/>
            </w:tcBorders>
            <w:shd w:val="clear" w:color="auto" w:fill="auto"/>
            <w:noWrap/>
            <w:vAlign w:val="center"/>
            <w:hideMark/>
          </w:tcPr>
          <w:p w14:paraId="6A7D66F8"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800070375</w:t>
            </w:r>
          </w:p>
        </w:tc>
        <w:tc>
          <w:tcPr>
            <w:tcW w:w="4258" w:type="dxa"/>
            <w:tcBorders>
              <w:top w:val="nil"/>
              <w:left w:val="nil"/>
              <w:bottom w:val="single" w:sz="4" w:space="0" w:color="auto"/>
              <w:right w:val="single" w:sz="4" w:space="0" w:color="auto"/>
            </w:tcBorders>
            <w:shd w:val="clear" w:color="auto" w:fill="auto"/>
            <w:vAlign w:val="center"/>
            <w:hideMark/>
          </w:tcPr>
          <w:p w14:paraId="67E4384B"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MUNICIPIO DE BOJAYA</w:t>
            </w:r>
          </w:p>
        </w:tc>
        <w:tc>
          <w:tcPr>
            <w:tcW w:w="1559" w:type="dxa"/>
            <w:tcBorders>
              <w:top w:val="nil"/>
              <w:left w:val="nil"/>
              <w:bottom w:val="single" w:sz="4" w:space="0" w:color="auto"/>
              <w:right w:val="single" w:sz="4" w:space="0" w:color="auto"/>
            </w:tcBorders>
            <w:shd w:val="clear" w:color="auto" w:fill="auto"/>
            <w:noWrap/>
            <w:vAlign w:val="center"/>
            <w:hideMark/>
          </w:tcPr>
          <w:p w14:paraId="39508D48" w14:textId="047E1083"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53</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971</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424 </w:t>
            </w:r>
          </w:p>
        </w:tc>
        <w:tc>
          <w:tcPr>
            <w:tcW w:w="1559" w:type="dxa"/>
            <w:tcBorders>
              <w:top w:val="nil"/>
              <w:left w:val="nil"/>
              <w:bottom w:val="single" w:sz="4" w:space="0" w:color="auto"/>
              <w:right w:val="single" w:sz="4" w:space="0" w:color="auto"/>
            </w:tcBorders>
            <w:shd w:val="clear" w:color="auto" w:fill="auto"/>
            <w:noWrap/>
            <w:vAlign w:val="center"/>
            <w:hideMark/>
          </w:tcPr>
          <w:p w14:paraId="6248DC8B" w14:textId="4DC3517D"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539</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714 </w:t>
            </w:r>
          </w:p>
        </w:tc>
      </w:tr>
      <w:tr w:rsidR="00AE6A98" w:rsidRPr="00AE6A98" w14:paraId="7A3EF1C8" w14:textId="77777777" w:rsidTr="00AE6A98">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13CCD8BF"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150</w:t>
            </w:r>
          </w:p>
        </w:tc>
        <w:tc>
          <w:tcPr>
            <w:tcW w:w="879" w:type="dxa"/>
            <w:tcBorders>
              <w:top w:val="nil"/>
              <w:left w:val="nil"/>
              <w:bottom w:val="single" w:sz="4" w:space="0" w:color="auto"/>
              <w:right w:val="single" w:sz="4" w:space="0" w:color="auto"/>
            </w:tcBorders>
            <w:shd w:val="clear" w:color="auto" w:fill="auto"/>
            <w:noWrap/>
            <w:vAlign w:val="center"/>
            <w:hideMark/>
          </w:tcPr>
          <w:p w14:paraId="34A3E35D"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800095613</w:t>
            </w:r>
          </w:p>
        </w:tc>
        <w:tc>
          <w:tcPr>
            <w:tcW w:w="4258" w:type="dxa"/>
            <w:tcBorders>
              <w:top w:val="nil"/>
              <w:left w:val="nil"/>
              <w:bottom w:val="single" w:sz="4" w:space="0" w:color="auto"/>
              <w:right w:val="single" w:sz="4" w:space="0" w:color="auto"/>
            </w:tcBorders>
            <w:shd w:val="clear" w:color="auto" w:fill="auto"/>
            <w:vAlign w:val="center"/>
            <w:hideMark/>
          </w:tcPr>
          <w:p w14:paraId="0E5647AC"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MUNICIPIO DE SIPI</w:t>
            </w:r>
          </w:p>
        </w:tc>
        <w:tc>
          <w:tcPr>
            <w:tcW w:w="1559" w:type="dxa"/>
            <w:tcBorders>
              <w:top w:val="nil"/>
              <w:left w:val="nil"/>
              <w:bottom w:val="single" w:sz="4" w:space="0" w:color="auto"/>
              <w:right w:val="single" w:sz="4" w:space="0" w:color="auto"/>
            </w:tcBorders>
            <w:shd w:val="clear" w:color="auto" w:fill="auto"/>
            <w:noWrap/>
            <w:vAlign w:val="center"/>
            <w:hideMark/>
          </w:tcPr>
          <w:p w14:paraId="1F083FA4" w14:textId="6771CEFE"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12</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488</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646</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947 </w:t>
            </w:r>
          </w:p>
        </w:tc>
        <w:tc>
          <w:tcPr>
            <w:tcW w:w="1559" w:type="dxa"/>
            <w:tcBorders>
              <w:top w:val="nil"/>
              <w:left w:val="nil"/>
              <w:bottom w:val="single" w:sz="4" w:space="0" w:color="auto"/>
              <w:right w:val="single" w:sz="4" w:space="0" w:color="auto"/>
            </w:tcBorders>
            <w:shd w:val="clear" w:color="auto" w:fill="auto"/>
            <w:noWrap/>
            <w:vAlign w:val="center"/>
            <w:hideMark/>
          </w:tcPr>
          <w:p w14:paraId="1A7E4C39" w14:textId="26DD8F31"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124</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886</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469 </w:t>
            </w:r>
          </w:p>
        </w:tc>
      </w:tr>
      <w:tr w:rsidR="00AE6A98" w:rsidRPr="00AE6A98" w14:paraId="74D3AEBA" w14:textId="77777777" w:rsidTr="00AE6A98">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5BCE8602"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151</w:t>
            </w:r>
          </w:p>
        </w:tc>
        <w:tc>
          <w:tcPr>
            <w:tcW w:w="879" w:type="dxa"/>
            <w:tcBorders>
              <w:top w:val="nil"/>
              <w:left w:val="nil"/>
              <w:bottom w:val="single" w:sz="4" w:space="0" w:color="auto"/>
              <w:right w:val="single" w:sz="4" w:space="0" w:color="auto"/>
            </w:tcBorders>
            <w:shd w:val="clear" w:color="auto" w:fill="auto"/>
            <w:noWrap/>
            <w:vAlign w:val="center"/>
            <w:hideMark/>
          </w:tcPr>
          <w:p w14:paraId="1CF7DA6A"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818001341</w:t>
            </w:r>
          </w:p>
        </w:tc>
        <w:tc>
          <w:tcPr>
            <w:tcW w:w="4258" w:type="dxa"/>
            <w:tcBorders>
              <w:top w:val="nil"/>
              <w:left w:val="nil"/>
              <w:bottom w:val="single" w:sz="4" w:space="0" w:color="auto"/>
              <w:right w:val="single" w:sz="4" w:space="0" w:color="auto"/>
            </w:tcBorders>
            <w:shd w:val="clear" w:color="auto" w:fill="auto"/>
            <w:vAlign w:val="center"/>
            <w:hideMark/>
          </w:tcPr>
          <w:p w14:paraId="6B82C642"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MUNICIPIO DEL CARMEN DEL DARIEN </w:t>
            </w:r>
          </w:p>
        </w:tc>
        <w:tc>
          <w:tcPr>
            <w:tcW w:w="1559" w:type="dxa"/>
            <w:tcBorders>
              <w:top w:val="nil"/>
              <w:left w:val="nil"/>
              <w:bottom w:val="single" w:sz="4" w:space="0" w:color="auto"/>
              <w:right w:val="single" w:sz="4" w:space="0" w:color="auto"/>
            </w:tcBorders>
            <w:shd w:val="clear" w:color="auto" w:fill="auto"/>
            <w:noWrap/>
            <w:vAlign w:val="center"/>
            <w:hideMark/>
          </w:tcPr>
          <w:p w14:paraId="12FCC332" w14:textId="107A8435"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332</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945</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892 </w:t>
            </w:r>
          </w:p>
        </w:tc>
        <w:tc>
          <w:tcPr>
            <w:tcW w:w="1559" w:type="dxa"/>
            <w:tcBorders>
              <w:top w:val="nil"/>
              <w:left w:val="nil"/>
              <w:bottom w:val="single" w:sz="4" w:space="0" w:color="auto"/>
              <w:right w:val="single" w:sz="4" w:space="0" w:color="auto"/>
            </w:tcBorders>
            <w:shd w:val="clear" w:color="auto" w:fill="auto"/>
            <w:noWrap/>
            <w:vAlign w:val="center"/>
            <w:hideMark/>
          </w:tcPr>
          <w:p w14:paraId="05D91A54" w14:textId="60802865"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3</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329</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459 </w:t>
            </w:r>
          </w:p>
        </w:tc>
      </w:tr>
      <w:tr w:rsidR="00AE6A98" w:rsidRPr="00AE6A98" w14:paraId="20C91049" w14:textId="77777777" w:rsidTr="00AE6A98">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77E307D5"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152</w:t>
            </w:r>
          </w:p>
        </w:tc>
        <w:tc>
          <w:tcPr>
            <w:tcW w:w="879" w:type="dxa"/>
            <w:tcBorders>
              <w:top w:val="nil"/>
              <w:left w:val="nil"/>
              <w:bottom w:val="single" w:sz="4" w:space="0" w:color="auto"/>
              <w:right w:val="single" w:sz="4" w:space="0" w:color="auto"/>
            </w:tcBorders>
            <w:shd w:val="clear" w:color="auto" w:fill="auto"/>
            <w:noWrap/>
            <w:vAlign w:val="center"/>
            <w:hideMark/>
          </w:tcPr>
          <w:p w14:paraId="5BB076BB"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900691280</w:t>
            </w:r>
          </w:p>
        </w:tc>
        <w:tc>
          <w:tcPr>
            <w:tcW w:w="4258" w:type="dxa"/>
            <w:tcBorders>
              <w:top w:val="nil"/>
              <w:left w:val="nil"/>
              <w:bottom w:val="single" w:sz="4" w:space="0" w:color="auto"/>
              <w:right w:val="single" w:sz="4" w:space="0" w:color="auto"/>
            </w:tcBorders>
            <w:shd w:val="clear" w:color="auto" w:fill="auto"/>
            <w:vAlign w:val="center"/>
            <w:hideMark/>
          </w:tcPr>
          <w:p w14:paraId="1BC7C39F"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NITRO ENERGY COLOMBIA S.A.S. E.S.P.</w:t>
            </w:r>
          </w:p>
        </w:tc>
        <w:tc>
          <w:tcPr>
            <w:tcW w:w="1559" w:type="dxa"/>
            <w:tcBorders>
              <w:top w:val="nil"/>
              <w:left w:val="nil"/>
              <w:bottom w:val="single" w:sz="4" w:space="0" w:color="auto"/>
              <w:right w:val="single" w:sz="4" w:space="0" w:color="auto"/>
            </w:tcBorders>
            <w:shd w:val="clear" w:color="auto" w:fill="auto"/>
            <w:noWrap/>
            <w:vAlign w:val="center"/>
            <w:hideMark/>
          </w:tcPr>
          <w:p w14:paraId="59A85C83" w14:textId="384DFAF0"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3</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111</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711</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402 </w:t>
            </w:r>
          </w:p>
        </w:tc>
        <w:tc>
          <w:tcPr>
            <w:tcW w:w="1559" w:type="dxa"/>
            <w:tcBorders>
              <w:top w:val="nil"/>
              <w:left w:val="nil"/>
              <w:bottom w:val="single" w:sz="4" w:space="0" w:color="auto"/>
              <w:right w:val="single" w:sz="4" w:space="0" w:color="auto"/>
            </w:tcBorders>
            <w:shd w:val="clear" w:color="auto" w:fill="auto"/>
            <w:noWrap/>
            <w:vAlign w:val="center"/>
            <w:hideMark/>
          </w:tcPr>
          <w:p w14:paraId="2AF1FECF" w14:textId="790007EE"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31</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117</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114 </w:t>
            </w:r>
          </w:p>
        </w:tc>
      </w:tr>
      <w:tr w:rsidR="00AE6A98" w:rsidRPr="00AE6A98" w14:paraId="564DDB70" w14:textId="77777777" w:rsidTr="00AE6A98">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5C828620"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153</w:t>
            </w:r>
          </w:p>
        </w:tc>
        <w:tc>
          <w:tcPr>
            <w:tcW w:w="879" w:type="dxa"/>
            <w:tcBorders>
              <w:top w:val="nil"/>
              <w:left w:val="nil"/>
              <w:bottom w:val="single" w:sz="4" w:space="0" w:color="auto"/>
              <w:right w:val="single" w:sz="4" w:space="0" w:color="auto"/>
            </w:tcBorders>
            <w:shd w:val="clear" w:color="auto" w:fill="auto"/>
            <w:noWrap/>
            <w:vAlign w:val="center"/>
            <w:hideMark/>
          </w:tcPr>
          <w:p w14:paraId="16607004"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900582235</w:t>
            </w:r>
          </w:p>
        </w:tc>
        <w:tc>
          <w:tcPr>
            <w:tcW w:w="4258" w:type="dxa"/>
            <w:tcBorders>
              <w:top w:val="nil"/>
              <w:left w:val="nil"/>
              <w:bottom w:val="single" w:sz="4" w:space="0" w:color="auto"/>
              <w:right w:val="single" w:sz="4" w:space="0" w:color="auto"/>
            </w:tcBorders>
            <w:shd w:val="clear" w:color="auto" w:fill="auto"/>
            <w:vAlign w:val="center"/>
            <w:hideMark/>
          </w:tcPr>
          <w:p w14:paraId="0CB5FCA2"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PCHS LOS MOLINOS S.A.S. E.S.P.</w:t>
            </w:r>
          </w:p>
        </w:tc>
        <w:tc>
          <w:tcPr>
            <w:tcW w:w="1559" w:type="dxa"/>
            <w:tcBorders>
              <w:top w:val="nil"/>
              <w:left w:val="nil"/>
              <w:bottom w:val="single" w:sz="4" w:space="0" w:color="auto"/>
              <w:right w:val="single" w:sz="4" w:space="0" w:color="auto"/>
            </w:tcBorders>
            <w:shd w:val="clear" w:color="auto" w:fill="auto"/>
            <w:noWrap/>
            <w:vAlign w:val="center"/>
            <w:hideMark/>
          </w:tcPr>
          <w:p w14:paraId="3CA988A7" w14:textId="21E3A631"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2</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418</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548</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409 </w:t>
            </w:r>
          </w:p>
        </w:tc>
        <w:tc>
          <w:tcPr>
            <w:tcW w:w="1559" w:type="dxa"/>
            <w:tcBorders>
              <w:top w:val="nil"/>
              <w:left w:val="nil"/>
              <w:bottom w:val="single" w:sz="4" w:space="0" w:color="auto"/>
              <w:right w:val="single" w:sz="4" w:space="0" w:color="auto"/>
            </w:tcBorders>
            <w:shd w:val="clear" w:color="auto" w:fill="auto"/>
            <w:noWrap/>
            <w:vAlign w:val="center"/>
            <w:hideMark/>
          </w:tcPr>
          <w:p w14:paraId="4EEC322E" w14:textId="64884DB1"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24</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185</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484 </w:t>
            </w:r>
          </w:p>
        </w:tc>
      </w:tr>
      <w:tr w:rsidR="00AE6A98" w:rsidRPr="00AE6A98" w14:paraId="5EB95CE0" w14:textId="77777777" w:rsidTr="00AE6A98">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03E83188"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154</w:t>
            </w:r>
          </w:p>
        </w:tc>
        <w:tc>
          <w:tcPr>
            <w:tcW w:w="879" w:type="dxa"/>
            <w:tcBorders>
              <w:top w:val="nil"/>
              <w:left w:val="nil"/>
              <w:bottom w:val="single" w:sz="4" w:space="0" w:color="auto"/>
              <w:right w:val="single" w:sz="4" w:space="0" w:color="auto"/>
            </w:tcBorders>
            <w:shd w:val="clear" w:color="auto" w:fill="auto"/>
            <w:noWrap/>
            <w:vAlign w:val="center"/>
            <w:hideMark/>
          </w:tcPr>
          <w:p w14:paraId="7DC0D9B6"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901043956</w:t>
            </w:r>
          </w:p>
        </w:tc>
        <w:tc>
          <w:tcPr>
            <w:tcW w:w="4258" w:type="dxa"/>
            <w:tcBorders>
              <w:top w:val="nil"/>
              <w:left w:val="nil"/>
              <w:bottom w:val="single" w:sz="4" w:space="0" w:color="auto"/>
              <w:right w:val="single" w:sz="4" w:space="0" w:color="auto"/>
            </w:tcBorders>
            <w:shd w:val="clear" w:color="auto" w:fill="auto"/>
            <w:vAlign w:val="center"/>
            <w:hideMark/>
          </w:tcPr>
          <w:p w14:paraId="6A6D1ADE"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PLUSENERGY SAS ESP</w:t>
            </w:r>
          </w:p>
        </w:tc>
        <w:tc>
          <w:tcPr>
            <w:tcW w:w="1559" w:type="dxa"/>
            <w:tcBorders>
              <w:top w:val="nil"/>
              <w:left w:val="nil"/>
              <w:bottom w:val="single" w:sz="4" w:space="0" w:color="auto"/>
              <w:right w:val="single" w:sz="4" w:space="0" w:color="auto"/>
            </w:tcBorders>
            <w:shd w:val="clear" w:color="auto" w:fill="auto"/>
            <w:noWrap/>
            <w:vAlign w:val="center"/>
            <w:hideMark/>
          </w:tcPr>
          <w:p w14:paraId="76ACAB4F" w14:textId="228A9896"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164</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343</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802 </w:t>
            </w:r>
          </w:p>
        </w:tc>
        <w:tc>
          <w:tcPr>
            <w:tcW w:w="1559" w:type="dxa"/>
            <w:tcBorders>
              <w:top w:val="nil"/>
              <w:left w:val="nil"/>
              <w:bottom w:val="single" w:sz="4" w:space="0" w:color="auto"/>
              <w:right w:val="single" w:sz="4" w:space="0" w:color="auto"/>
            </w:tcBorders>
            <w:shd w:val="clear" w:color="auto" w:fill="auto"/>
            <w:noWrap/>
            <w:vAlign w:val="center"/>
            <w:hideMark/>
          </w:tcPr>
          <w:p w14:paraId="5934EEC8" w14:textId="38C4067F"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1</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643</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438 </w:t>
            </w:r>
          </w:p>
        </w:tc>
      </w:tr>
      <w:tr w:rsidR="00AE6A98" w:rsidRPr="00AE6A98" w14:paraId="1AD976AA" w14:textId="77777777" w:rsidTr="00AE6A98">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082CDEA3"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155</w:t>
            </w:r>
          </w:p>
        </w:tc>
        <w:tc>
          <w:tcPr>
            <w:tcW w:w="879" w:type="dxa"/>
            <w:tcBorders>
              <w:top w:val="nil"/>
              <w:left w:val="nil"/>
              <w:bottom w:val="single" w:sz="4" w:space="0" w:color="auto"/>
              <w:right w:val="single" w:sz="4" w:space="0" w:color="auto"/>
            </w:tcBorders>
            <w:shd w:val="clear" w:color="auto" w:fill="auto"/>
            <w:noWrap/>
            <w:vAlign w:val="center"/>
            <w:hideMark/>
          </w:tcPr>
          <w:p w14:paraId="3C65BDD9"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900374375</w:t>
            </w:r>
          </w:p>
        </w:tc>
        <w:tc>
          <w:tcPr>
            <w:tcW w:w="4258" w:type="dxa"/>
            <w:tcBorders>
              <w:top w:val="nil"/>
              <w:left w:val="nil"/>
              <w:bottom w:val="single" w:sz="4" w:space="0" w:color="auto"/>
              <w:right w:val="single" w:sz="4" w:space="0" w:color="auto"/>
            </w:tcBorders>
            <w:shd w:val="clear" w:color="auto" w:fill="auto"/>
            <w:vAlign w:val="center"/>
            <w:hideMark/>
          </w:tcPr>
          <w:p w14:paraId="2631153C"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POPAL SAS ESP</w:t>
            </w:r>
          </w:p>
        </w:tc>
        <w:tc>
          <w:tcPr>
            <w:tcW w:w="1559" w:type="dxa"/>
            <w:tcBorders>
              <w:top w:val="nil"/>
              <w:left w:val="nil"/>
              <w:bottom w:val="single" w:sz="4" w:space="0" w:color="auto"/>
              <w:right w:val="single" w:sz="4" w:space="0" w:color="auto"/>
            </w:tcBorders>
            <w:shd w:val="clear" w:color="auto" w:fill="auto"/>
            <w:noWrap/>
            <w:vAlign w:val="center"/>
            <w:hideMark/>
          </w:tcPr>
          <w:p w14:paraId="44086BC0" w14:textId="1EE94D52"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1</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658</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470</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501 </w:t>
            </w:r>
          </w:p>
        </w:tc>
        <w:tc>
          <w:tcPr>
            <w:tcW w:w="1559" w:type="dxa"/>
            <w:tcBorders>
              <w:top w:val="nil"/>
              <w:left w:val="nil"/>
              <w:bottom w:val="single" w:sz="4" w:space="0" w:color="auto"/>
              <w:right w:val="single" w:sz="4" w:space="0" w:color="auto"/>
            </w:tcBorders>
            <w:shd w:val="clear" w:color="auto" w:fill="auto"/>
            <w:noWrap/>
            <w:vAlign w:val="center"/>
            <w:hideMark/>
          </w:tcPr>
          <w:p w14:paraId="121A6D22" w14:textId="2D63F4EC"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16</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584</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705 </w:t>
            </w:r>
          </w:p>
        </w:tc>
      </w:tr>
      <w:tr w:rsidR="00AE6A98" w:rsidRPr="00AE6A98" w14:paraId="2C68C5B6" w14:textId="77777777" w:rsidTr="00AE6A98">
        <w:trPr>
          <w:trHeight w:val="46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23AA0BE9"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156</w:t>
            </w:r>
          </w:p>
        </w:tc>
        <w:tc>
          <w:tcPr>
            <w:tcW w:w="879" w:type="dxa"/>
            <w:tcBorders>
              <w:top w:val="nil"/>
              <w:left w:val="nil"/>
              <w:bottom w:val="single" w:sz="4" w:space="0" w:color="auto"/>
              <w:right w:val="single" w:sz="4" w:space="0" w:color="auto"/>
            </w:tcBorders>
            <w:shd w:val="clear" w:color="auto" w:fill="auto"/>
            <w:noWrap/>
            <w:vAlign w:val="center"/>
            <w:hideMark/>
          </w:tcPr>
          <w:p w14:paraId="4D97AD4E"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901063452</w:t>
            </w:r>
          </w:p>
        </w:tc>
        <w:tc>
          <w:tcPr>
            <w:tcW w:w="4258" w:type="dxa"/>
            <w:tcBorders>
              <w:top w:val="nil"/>
              <w:left w:val="nil"/>
              <w:bottom w:val="single" w:sz="4" w:space="0" w:color="auto"/>
              <w:right w:val="single" w:sz="4" w:space="0" w:color="auto"/>
            </w:tcBorders>
            <w:shd w:val="clear" w:color="auto" w:fill="auto"/>
            <w:vAlign w:val="center"/>
            <w:hideMark/>
          </w:tcPr>
          <w:p w14:paraId="4EE06400"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Prestadora de Servicios Públicos y Energía en ZOnas No Conectadas ESP SAS</w:t>
            </w:r>
          </w:p>
        </w:tc>
        <w:tc>
          <w:tcPr>
            <w:tcW w:w="1559" w:type="dxa"/>
            <w:tcBorders>
              <w:top w:val="nil"/>
              <w:left w:val="nil"/>
              <w:bottom w:val="single" w:sz="4" w:space="0" w:color="auto"/>
              <w:right w:val="single" w:sz="4" w:space="0" w:color="auto"/>
            </w:tcBorders>
            <w:shd w:val="clear" w:color="auto" w:fill="auto"/>
            <w:noWrap/>
            <w:vAlign w:val="center"/>
            <w:hideMark/>
          </w:tcPr>
          <w:p w14:paraId="1169259A" w14:textId="257BC8DD"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58</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285</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575 </w:t>
            </w:r>
          </w:p>
        </w:tc>
        <w:tc>
          <w:tcPr>
            <w:tcW w:w="1559" w:type="dxa"/>
            <w:tcBorders>
              <w:top w:val="nil"/>
              <w:left w:val="nil"/>
              <w:bottom w:val="single" w:sz="4" w:space="0" w:color="auto"/>
              <w:right w:val="single" w:sz="4" w:space="0" w:color="auto"/>
            </w:tcBorders>
            <w:shd w:val="clear" w:color="auto" w:fill="auto"/>
            <w:noWrap/>
            <w:vAlign w:val="center"/>
            <w:hideMark/>
          </w:tcPr>
          <w:p w14:paraId="09D43102" w14:textId="542822EC"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582</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856 </w:t>
            </w:r>
          </w:p>
        </w:tc>
      </w:tr>
      <w:tr w:rsidR="00AE6A98" w:rsidRPr="00AE6A98" w14:paraId="20B242E1" w14:textId="77777777" w:rsidTr="00AE6A98">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4A75A27F"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157</w:t>
            </w:r>
          </w:p>
        </w:tc>
        <w:tc>
          <w:tcPr>
            <w:tcW w:w="879" w:type="dxa"/>
            <w:tcBorders>
              <w:top w:val="nil"/>
              <w:left w:val="nil"/>
              <w:bottom w:val="single" w:sz="4" w:space="0" w:color="auto"/>
              <w:right w:val="single" w:sz="4" w:space="0" w:color="auto"/>
            </w:tcBorders>
            <w:shd w:val="clear" w:color="auto" w:fill="auto"/>
            <w:noWrap/>
            <w:vAlign w:val="center"/>
            <w:hideMark/>
          </w:tcPr>
          <w:p w14:paraId="1DE7B1A3"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900341483</w:t>
            </w:r>
          </w:p>
        </w:tc>
        <w:tc>
          <w:tcPr>
            <w:tcW w:w="4258" w:type="dxa"/>
            <w:tcBorders>
              <w:top w:val="nil"/>
              <w:left w:val="nil"/>
              <w:bottom w:val="single" w:sz="4" w:space="0" w:color="auto"/>
              <w:right w:val="single" w:sz="4" w:space="0" w:color="auto"/>
            </w:tcBorders>
            <w:shd w:val="clear" w:color="auto" w:fill="auto"/>
            <w:vAlign w:val="center"/>
            <w:hideMark/>
          </w:tcPr>
          <w:p w14:paraId="5C968956"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PROFESIONALES EN ENERGÍA S.A E.S.P</w:t>
            </w:r>
          </w:p>
        </w:tc>
        <w:tc>
          <w:tcPr>
            <w:tcW w:w="1559" w:type="dxa"/>
            <w:tcBorders>
              <w:top w:val="nil"/>
              <w:left w:val="nil"/>
              <w:bottom w:val="single" w:sz="4" w:space="0" w:color="auto"/>
              <w:right w:val="single" w:sz="4" w:space="0" w:color="auto"/>
            </w:tcBorders>
            <w:shd w:val="clear" w:color="auto" w:fill="auto"/>
            <w:noWrap/>
            <w:vAlign w:val="center"/>
            <w:hideMark/>
          </w:tcPr>
          <w:p w14:paraId="161FA141" w14:textId="15C920B4"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1</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289</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726</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482 </w:t>
            </w:r>
          </w:p>
        </w:tc>
        <w:tc>
          <w:tcPr>
            <w:tcW w:w="1559" w:type="dxa"/>
            <w:tcBorders>
              <w:top w:val="nil"/>
              <w:left w:val="nil"/>
              <w:bottom w:val="single" w:sz="4" w:space="0" w:color="auto"/>
              <w:right w:val="single" w:sz="4" w:space="0" w:color="auto"/>
            </w:tcBorders>
            <w:shd w:val="clear" w:color="auto" w:fill="auto"/>
            <w:noWrap/>
            <w:vAlign w:val="center"/>
            <w:hideMark/>
          </w:tcPr>
          <w:p w14:paraId="5679FB80" w14:textId="04EB850C"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12</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897</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265 </w:t>
            </w:r>
          </w:p>
        </w:tc>
      </w:tr>
      <w:tr w:rsidR="00AE6A98" w:rsidRPr="00AE6A98" w14:paraId="4C2C07BB" w14:textId="77777777" w:rsidTr="00436FE0">
        <w:trPr>
          <w:trHeight w:val="687"/>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71BC825C"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158</w:t>
            </w:r>
          </w:p>
        </w:tc>
        <w:tc>
          <w:tcPr>
            <w:tcW w:w="879" w:type="dxa"/>
            <w:tcBorders>
              <w:top w:val="nil"/>
              <w:left w:val="nil"/>
              <w:bottom w:val="single" w:sz="4" w:space="0" w:color="auto"/>
              <w:right w:val="single" w:sz="4" w:space="0" w:color="auto"/>
            </w:tcBorders>
            <w:shd w:val="clear" w:color="auto" w:fill="auto"/>
            <w:noWrap/>
            <w:vAlign w:val="center"/>
            <w:hideMark/>
          </w:tcPr>
          <w:p w14:paraId="67E1EE58"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800149537</w:t>
            </w:r>
          </w:p>
        </w:tc>
        <w:tc>
          <w:tcPr>
            <w:tcW w:w="4258" w:type="dxa"/>
            <w:tcBorders>
              <w:top w:val="nil"/>
              <w:left w:val="nil"/>
              <w:bottom w:val="single" w:sz="4" w:space="0" w:color="auto"/>
              <w:right w:val="single" w:sz="4" w:space="0" w:color="auto"/>
            </w:tcBorders>
            <w:shd w:val="clear" w:color="auto" w:fill="auto"/>
            <w:vAlign w:val="center"/>
            <w:hideMark/>
          </w:tcPr>
          <w:p w14:paraId="61818799"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PROMOTORA DE ENERGIA ELECTRICA DE CARTAGENA Y COMPANIA SOCIEDAD EN COMANDITA POR ACCIONES-EMPRESA DE SERVICIOS PUBLICOS</w:t>
            </w:r>
          </w:p>
        </w:tc>
        <w:tc>
          <w:tcPr>
            <w:tcW w:w="1559" w:type="dxa"/>
            <w:tcBorders>
              <w:top w:val="nil"/>
              <w:left w:val="nil"/>
              <w:bottom w:val="single" w:sz="4" w:space="0" w:color="auto"/>
              <w:right w:val="single" w:sz="4" w:space="0" w:color="auto"/>
            </w:tcBorders>
            <w:shd w:val="clear" w:color="auto" w:fill="auto"/>
            <w:noWrap/>
            <w:vAlign w:val="center"/>
            <w:hideMark/>
          </w:tcPr>
          <w:p w14:paraId="413BEC6C" w14:textId="16D884EA"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4</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043</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659</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974 </w:t>
            </w:r>
          </w:p>
        </w:tc>
        <w:tc>
          <w:tcPr>
            <w:tcW w:w="1559" w:type="dxa"/>
            <w:tcBorders>
              <w:top w:val="nil"/>
              <w:left w:val="nil"/>
              <w:bottom w:val="single" w:sz="4" w:space="0" w:color="auto"/>
              <w:right w:val="single" w:sz="4" w:space="0" w:color="auto"/>
            </w:tcBorders>
            <w:shd w:val="clear" w:color="auto" w:fill="auto"/>
            <w:noWrap/>
            <w:vAlign w:val="center"/>
            <w:hideMark/>
          </w:tcPr>
          <w:p w14:paraId="32E9BE08" w14:textId="6A75B944"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40</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436</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600 </w:t>
            </w:r>
          </w:p>
        </w:tc>
      </w:tr>
      <w:tr w:rsidR="00AE6A98" w:rsidRPr="00AE6A98" w14:paraId="2FACB632" w14:textId="77777777" w:rsidTr="00AE6A98">
        <w:trPr>
          <w:trHeight w:val="46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50316E12"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lastRenderedPageBreak/>
              <w:t>159</w:t>
            </w:r>
          </w:p>
        </w:tc>
        <w:tc>
          <w:tcPr>
            <w:tcW w:w="879" w:type="dxa"/>
            <w:tcBorders>
              <w:top w:val="nil"/>
              <w:left w:val="nil"/>
              <w:bottom w:val="single" w:sz="4" w:space="0" w:color="auto"/>
              <w:right w:val="single" w:sz="4" w:space="0" w:color="auto"/>
            </w:tcBorders>
            <w:shd w:val="clear" w:color="auto" w:fill="auto"/>
            <w:noWrap/>
            <w:vAlign w:val="center"/>
            <w:hideMark/>
          </w:tcPr>
          <w:p w14:paraId="135879EA"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817000362</w:t>
            </w:r>
          </w:p>
        </w:tc>
        <w:tc>
          <w:tcPr>
            <w:tcW w:w="4258" w:type="dxa"/>
            <w:tcBorders>
              <w:top w:val="nil"/>
              <w:left w:val="nil"/>
              <w:bottom w:val="single" w:sz="4" w:space="0" w:color="auto"/>
              <w:right w:val="single" w:sz="4" w:space="0" w:color="auto"/>
            </w:tcBorders>
            <w:shd w:val="clear" w:color="auto" w:fill="auto"/>
            <w:vAlign w:val="center"/>
            <w:hideMark/>
          </w:tcPr>
          <w:p w14:paraId="4449C386"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PROYECTOS ENERGETICOS DEL CAUCA S.A. E.S.P.</w:t>
            </w:r>
          </w:p>
        </w:tc>
        <w:tc>
          <w:tcPr>
            <w:tcW w:w="1559" w:type="dxa"/>
            <w:tcBorders>
              <w:top w:val="nil"/>
              <w:left w:val="nil"/>
              <w:bottom w:val="single" w:sz="4" w:space="0" w:color="auto"/>
              <w:right w:val="single" w:sz="4" w:space="0" w:color="auto"/>
            </w:tcBorders>
            <w:shd w:val="clear" w:color="auto" w:fill="auto"/>
            <w:noWrap/>
            <w:vAlign w:val="center"/>
            <w:hideMark/>
          </w:tcPr>
          <w:p w14:paraId="5CDECA63" w14:textId="3D45D0D4"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1</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135</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485</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074 </w:t>
            </w:r>
          </w:p>
        </w:tc>
        <w:tc>
          <w:tcPr>
            <w:tcW w:w="1559" w:type="dxa"/>
            <w:tcBorders>
              <w:top w:val="nil"/>
              <w:left w:val="nil"/>
              <w:bottom w:val="single" w:sz="4" w:space="0" w:color="auto"/>
              <w:right w:val="single" w:sz="4" w:space="0" w:color="auto"/>
            </w:tcBorders>
            <w:shd w:val="clear" w:color="auto" w:fill="auto"/>
            <w:noWrap/>
            <w:vAlign w:val="center"/>
            <w:hideMark/>
          </w:tcPr>
          <w:p w14:paraId="6A072894" w14:textId="6ADCFB8E"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11</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354</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851 </w:t>
            </w:r>
          </w:p>
        </w:tc>
      </w:tr>
      <w:tr w:rsidR="00AE6A98" w:rsidRPr="00AE6A98" w14:paraId="42A08DEE" w14:textId="77777777" w:rsidTr="00AE6A98">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0FD65C62"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160</w:t>
            </w:r>
          </w:p>
        </w:tc>
        <w:tc>
          <w:tcPr>
            <w:tcW w:w="879" w:type="dxa"/>
            <w:tcBorders>
              <w:top w:val="nil"/>
              <w:left w:val="nil"/>
              <w:bottom w:val="single" w:sz="4" w:space="0" w:color="auto"/>
              <w:right w:val="single" w:sz="4" w:space="0" w:color="auto"/>
            </w:tcBorders>
            <w:shd w:val="clear" w:color="auto" w:fill="auto"/>
            <w:noWrap/>
            <w:vAlign w:val="center"/>
            <w:hideMark/>
          </w:tcPr>
          <w:p w14:paraId="2DA2C244"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900677732</w:t>
            </w:r>
          </w:p>
        </w:tc>
        <w:tc>
          <w:tcPr>
            <w:tcW w:w="4258" w:type="dxa"/>
            <w:tcBorders>
              <w:top w:val="nil"/>
              <w:left w:val="nil"/>
              <w:bottom w:val="single" w:sz="4" w:space="0" w:color="auto"/>
              <w:right w:val="single" w:sz="4" w:space="0" w:color="auto"/>
            </w:tcBorders>
            <w:shd w:val="clear" w:color="auto" w:fill="auto"/>
            <w:vAlign w:val="center"/>
            <w:hideMark/>
          </w:tcPr>
          <w:p w14:paraId="58037A0D"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QI ENERGY SAS ESP</w:t>
            </w:r>
          </w:p>
        </w:tc>
        <w:tc>
          <w:tcPr>
            <w:tcW w:w="1559" w:type="dxa"/>
            <w:tcBorders>
              <w:top w:val="nil"/>
              <w:left w:val="nil"/>
              <w:bottom w:val="single" w:sz="4" w:space="0" w:color="auto"/>
              <w:right w:val="single" w:sz="4" w:space="0" w:color="auto"/>
            </w:tcBorders>
            <w:shd w:val="clear" w:color="auto" w:fill="auto"/>
            <w:noWrap/>
            <w:vAlign w:val="center"/>
            <w:hideMark/>
          </w:tcPr>
          <w:p w14:paraId="186E2C47" w14:textId="61AACA9B"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618</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221</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744 </w:t>
            </w:r>
          </w:p>
        </w:tc>
        <w:tc>
          <w:tcPr>
            <w:tcW w:w="1559" w:type="dxa"/>
            <w:tcBorders>
              <w:top w:val="nil"/>
              <w:left w:val="nil"/>
              <w:bottom w:val="single" w:sz="4" w:space="0" w:color="auto"/>
              <w:right w:val="single" w:sz="4" w:space="0" w:color="auto"/>
            </w:tcBorders>
            <w:shd w:val="clear" w:color="auto" w:fill="auto"/>
            <w:noWrap/>
            <w:vAlign w:val="center"/>
            <w:hideMark/>
          </w:tcPr>
          <w:p w14:paraId="55A55451" w14:textId="57623D12"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6</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182</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217 </w:t>
            </w:r>
          </w:p>
        </w:tc>
      </w:tr>
      <w:tr w:rsidR="00AE6A98" w:rsidRPr="00AE6A98" w14:paraId="2F8DC1FE" w14:textId="77777777" w:rsidTr="00AE6A98">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2471A985"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161</w:t>
            </w:r>
          </w:p>
        </w:tc>
        <w:tc>
          <w:tcPr>
            <w:tcW w:w="879" w:type="dxa"/>
            <w:tcBorders>
              <w:top w:val="nil"/>
              <w:left w:val="nil"/>
              <w:bottom w:val="single" w:sz="4" w:space="0" w:color="auto"/>
              <w:right w:val="single" w:sz="4" w:space="0" w:color="auto"/>
            </w:tcBorders>
            <w:shd w:val="clear" w:color="auto" w:fill="auto"/>
            <w:noWrap/>
            <w:vAlign w:val="center"/>
            <w:hideMark/>
          </w:tcPr>
          <w:p w14:paraId="378126CA"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900589503</w:t>
            </w:r>
          </w:p>
        </w:tc>
        <w:tc>
          <w:tcPr>
            <w:tcW w:w="4258" w:type="dxa"/>
            <w:tcBorders>
              <w:top w:val="nil"/>
              <w:left w:val="nil"/>
              <w:bottom w:val="single" w:sz="4" w:space="0" w:color="auto"/>
              <w:right w:val="single" w:sz="4" w:space="0" w:color="auto"/>
            </w:tcBorders>
            <w:shd w:val="clear" w:color="auto" w:fill="auto"/>
            <w:vAlign w:val="center"/>
            <w:hideMark/>
          </w:tcPr>
          <w:p w14:paraId="70B9D431"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RENOVATIO TRADING AMERICAS SAS ESP</w:t>
            </w:r>
          </w:p>
        </w:tc>
        <w:tc>
          <w:tcPr>
            <w:tcW w:w="1559" w:type="dxa"/>
            <w:tcBorders>
              <w:top w:val="nil"/>
              <w:left w:val="nil"/>
              <w:bottom w:val="single" w:sz="4" w:space="0" w:color="auto"/>
              <w:right w:val="single" w:sz="4" w:space="0" w:color="auto"/>
            </w:tcBorders>
            <w:shd w:val="clear" w:color="auto" w:fill="auto"/>
            <w:noWrap/>
            <w:vAlign w:val="center"/>
            <w:hideMark/>
          </w:tcPr>
          <w:p w14:paraId="240E6093" w14:textId="50EDB096"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2</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364</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616</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187 </w:t>
            </w:r>
          </w:p>
        </w:tc>
        <w:tc>
          <w:tcPr>
            <w:tcW w:w="1559" w:type="dxa"/>
            <w:tcBorders>
              <w:top w:val="nil"/>
              <w:left w:val="nil"/>
              <w:bottom w:val="single" w:sz="4" w:space="0" w:color="auto"/>
              <w:right w:val="single" w:sz="4" w:space="0" w:color="auto"/>
            </w:tcBorders>
            <w:shd w:val="clear" w:color="auto" w:fill="auto"/>
            <w:noWrap/>
            <w:vAlign w:val="center"/>
            <w:hideMark/>
          </w:tcPr>
          <w:p w14:paraId="569BBC25" w14:textId="5FDCA4FB"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23</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646</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162 </w:t>
            </w:r>
          </w:p>
        </w:tc>
      </w:tr>
      <w:tr w:rsidR="00AE6A98" w:rsidRPr="00AE6A98" w14:paraId="222F3AB9" w14:textId="77777777" w:rsidTr="00AE6A98">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6C57EBFC"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162</w:t>
            </w:r>
          </w:p>
        </w:tc>
        <w:tc>
          <w:tcPr>
            <w:tcW w:w="879" w:type="dxa"/>
            <w:tcBorders>
              <w:top w:val="nil"/>
              <w:left w:val="nil"/>
              <w:bottom w:val="single" w:sz="4" w:space="0" w:color="auto"/>
              <w:right w:val="single" w:sz="4" w:space="0" w:color="auto"/>
            </w:tcBorders>
            <w:shd w:val="clear" w:color="auto" w:fill="auto"/>
            <w:noWrap/>
            <w:vAlign w:val="center"/>
            <w:hideMark/>
          </w:tcPr>
          <w:p w14:paraId="04052407"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900652334</w:t>
            </w:r>
          </w:p>
        </w:tc>
        <w:tc>
          <w:tcPr>
            <w:tcW w:w="4258" w:type="dxa"/>
            <w:tcBorders>
              <w:top w:val="nil"/>
              <w:left w:val="nil"/>
              <w:bottom w:val="single" w:sz="4" w:space="0" w:color="auto"/>
              <w:right w:val="single" w:sz="4" w:space="0" w:color="auto"/>
            </w:tcBorders>
            <w:shd w:val="clear" w:color="auto" w:fill="auto"/>
            <w:vAlign w:val="center"/>
            <w:hideMark/>
          </w:tcPr>
          <w:p w14:paraId="5443CF39"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RIOPAILA ENERGÍA SAS ESP</w:t>
            </w:r>
          </w:p>
        </w:tc>
        <w:tc>
          <w:tcPr>
            <w:tcW w:w="1559" w:type="dxa"/>
            <w:tcBorders>
              <w:top w:val="nil"/>
              <w:left w:val="nil"/>
              <w:bottom w:val="single" w:sz="4" w:space="0" w:color="auto"/>
              <w:right w:val="single" w:sz="4" w:space="0" w:color="auto"/>
            </w:tcBorders>
            <w:shd w:val="clear" w:color="auto" w:fill="auto"/>
            <w:noWrap/>
            <w:vAlign w:val="center"/>
            <w:hideMark/>
          </w:tcPr>
          <w:p w14:paraId="48719DC4" w14:textId="12387712"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64</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771</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208 </w:t>
            </w:r>
          </w:p>
        </w:tc>
        <w:tc>
          <w:tcPr>
            <w:tcW w:w="1559" w:type="dxa"/>
            <w:tcBorders>
              <w:top w:val="nil"/>
              <w:left w:val="nil"/>
              <w:bottom w:val="single" w:sz="4" w:space="0" w:color="auto"/>
              <w:right w:val="single" w:sz="4" w:space="0" w:color="auto"/>
            </w:tcBorders>
            <w:shd w:val="clear" w:color="auto" w:fill="auto"/>
            <w:noWrap/>
            <w:vAlign w:val="center"/>
            <w:hideMark/>
          </w:tcPr>
          <w:p w14:paraId="49BE3CCC" w14:textId="02894AA5"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647</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712 </w:t>
            </w:r>
          </w:p>
        </w:tc>
      </w:tr>
      <w:tr w:rsidR="00AE6A98" w:rsidRPr="00AE6A98" w14:paraId="4D6A1E95" w14:textId="77777777" w:rsidTr="00AE6A98">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08EC922B"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163</w:t>
            </w:r>
          </w:p>
        </w:tc>
        <w:tc>
          <w:tcPr>
            <w:tcW w:w="879" w:type="dxa"/>
            <w:tcBorders>
              <w:top w:val="nil"/>
              <w:left w:val="nil"/>
              <w:bottom w:val="single" w:sz="4" w:space="0" w:color="auto"/>
              <w:right w:val="single" w:sz="4" w:space="0" w:color="auto"/>
            </w:tcBorders>
            <w:shd w:val="clear" w:color="auto" w:fill="auto"/>
            <w:noWrap/>
            <w:vAlign w:val="center"/>
            <w:hideMark/>
          </w:tcPr>
          <w:p w14:paraId="76B02F9E"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900462761</w:t>
            </w:r>
          </w:p>
        </w:tc>
        <w:tc>
          <w:tcPr>
            <w:tcW w:w="4258" w:type="dxa"/>
            <w:tcBorders>
              <w:top w:val="nil"/>
              <w:left w:val="nil"/>
              <w:bottom w:val="single" w:sz="4" w:space="0" w:color="auto"/>
              <w:right w:val="single" w:sz="4" w:space="0" w:color="auto"/>
            </w:tcBorders>
            <w:shd w:val="clear" w:color="auto" w:fill="auto"/>
            <w:vAlign w:val="center"/>
            <w:hideMark/>
          </w:tcPr>
          <w:p w14:paraId="601FC2D9"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RISARALDA ENERGIA S.A.S. E.S.P.</w:t>
            </w:r>
          </w:p>
        </w:tc>
        <w:tc>
          <w:tcPr>
            <w:tcW w:w="1559" w:type="dxa"/>
            <w:tcBorders>
              <w:top w:val="nil"/>
              <w:left w:val="nil"/>
              <w:bottom w:val="single" w:sz="4" w:space="0" w:color="auto"/>
              <w:right w:val="single" w:sz="4" w:space="0" w:color="auto"/>
            </w:tcBorders>
            <w:shd w:val="clear" w:color="auto" w:fill="auto"/>
            <w:noWrap/>
            <w:vAlign w:val="center"/>
            <w:hideMark/>
          </w:tcPr>
          <w:p w14:paraId="3D82E1D0" w14:textId="4013CF73"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1</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262</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858</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735 </w:t>
            </w:r>
          </w:p>
        </w:tc>
        <w:tc>
          <w:tcPr>
            <w:tcW w:w="1559" w:type="dxa"/>
            <w:tcBorders>
              <w:top w:val="nil"/>
              <w:left w:val="nil"/>
              <w:bottom w:val="single" w:sz="4" w:space="0" w:color="auto"/>
              <w:right w:val="single" w:sz="4" w:space="0" w:color="auto"/>
            </w:tcBorders>
            <w:shd w:val="clear" w:color="auto" w:fill="auto"/>
            <w:noWrap/>
            <w:vAlign w:val="center"/>
            <w:hideMark/>
          </w:tcPr>
          <w:p w14:paraId="611DC060" w14:textId="6B0AF0A8"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12</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628</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587 </w:t>
            </w:r>
          </w:p>
        </w:tc>
      </w:tr>
      <w:tr w:rsidR="00AE6A98" w:rsidRPr="00AE6A98" w14:paraId="4B83FC22" w14:textId="77777777" w:rsidTr="00AE6A98">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7B240FB2"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164</w:t>
            </w:r>
          </w:p>
        </w:tc>
        <w:tc>
          <w:tcPr>
            <w:tcW w:w="879" w:type="dxa"/>
            <w:tcBorders>
              <w:top w:val="nil"/>
              <w:left w:val="nil"/>
              <w:bottom w:val="single" w:sz="4" w:space="0" w:color="auto"/>
              <w:right w:val="single" w:sz="4" w:space="0" w:color="auto"/>
            </w:tcBorders>
            <w:shd w:val="clear" w:color="auto" w:fill="auto"/>
            <w:noWrap/>
            <w:vAlign w:val="center"/>
            <w:hideMark/>
          </w:tcPr>
          <w:p w14:paraId="317B0A23"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804001062</w:t>
            </w:r>
          </w:p>
        </w:tc>
        <w:tc>
          <w:tcPr>
            <w:tcW w:w="4258" w:type="dxa"/>
            <w:tcBorders>
              <w:top w:val="nil"/>
              <w:left w:val="nil"/>
              <w:bottom w:val="single" w:sz="4" w:space="0" w:color="auto"/>
              <w:right w:val="single" w:sz="4" w:space="0" w:color="auto"/>
            </w:tcBorders>
            <w:shd w:val="clear" w:color="auto" w:fill="auto"/>
            <w:vAlign w:val="center"/>
            <w:hideMark/>
          </w:tcPr>
          <w:p w14:paraId="5840BEE6"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RUITOQUE S.A. E.S.P.</w:t>
            </w:r>
          </w:p>
        </w:tc>
        <w:tc>
          <w:tcPr>
            <w:tcW w:w="1559" w:type="dxa"/>
            <w:tcBorders>
              <w:top w:val="nil"/>
              <w:left w:val="nil"/>
              <w:bottom w:val="single" w:sz="4" w:space="0" w:color="auto"/>
              <w:right w:val="single" w:sz="4" w:space="0" w:color="auto"/>
            </w:tcBorders>
            <w:shd w:val="clear" w:color="auto" w:fill="auto"/>
            <w:noWrap/>
            <w:vAlign w:val="center"/>
            <w:hideMark/>
          </w:tcPr>
          <w:p w14:paraId="46E863C2" w14:textId="24879EFA"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1</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489</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301</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835 </w:t>
            </w:r>
          </w:p>
        </w:tc>
        <w:tc>
          <w:tcPr>
            <w:tcW w:w="1559" w:type="dxa"/>
            <w:tcBorders>
              <w:top w:val="nil"/>
              <w:left w:val="nil"/>
              <w:bottom w:val="single" w:sz="4" w:space="0" w:color="auto"/>
              <w:right w:val="single" w:sz="4" w:space="0" w:color="auto"/>
            </w:tcBorders>
            <w:shd w:val="clear" w:color="auto" w:fill="auto"/>
            <w:noWrap/>
            <w:vAlign w:val="center"/>
            <w:hideMark/>
          </w:tcPr>
          <w:p w14:paraId="5C47DA06" w14:textId="5526F726"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14</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893</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018 </w:t>
            </w:r>
          </w:p>
        </w:tc>
      </w:tr>
      <w:tr w:rsidR="00AE6A98" w:rsidRPr="00AE6A98" w14:paraId="60E40F95" w14:textId="77777777" w:rsidTr="00AE6A98">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216C8A08"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165</w:t>
            </w:r>
          </w:p>
        </w:tc>
        <w:tc>
          <w:tcPr>
            <w:tcW w:w="879" w:type="dxa"/>
            <w:tcBorders>
              <w:top w:val="nil"/>
              <w:left w:val="nil"/>
              <w:bottom w:val="single" w:sz="4" w:space="0" w:color="auto"/>
              <w:right w:val="single" w:sz="4" w:space="0" w:color="auto"/>
            </w:tcBorders>
            <w:shd w:val="clear" w:color="auto" w:fill="auto"/>
            <w:noWrap/>
            <w:vAlign w:val="center"/>
            <w:hideMark/>
          </w:tcPr>
          <w:p w14:paraId="5BF81B0A"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900949673</w:t>
            </w:r>
          </w:p>
        </w:tc>
        <w:tc>
          <w:tcPr>
            <w:tcW w:w="4258" w:type="dxa"/>
            <w:tcBorders>
              <w:top w:val="nil"/>
              <w:left w:val="nil"/>
              <w:bottom w:val="single" w:sz="4" w:space="0" w:color="auto"/>
              <w:right w:val="single" w:sz="4" w:space="0" w:color="auto"/>
            </w:tcBorders>
            <w:shd w:val="clear" w:color="auto" w:fill="auto"/>
            <w:vAlign w:val="center"/>
            <w:hideMark/>
          </w:tcPr>
          <w:p w14:paraId="58322912"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SMARTEN SAS ESP</w:t>
            </w:r>
          </w:p>
        </w:tc>
        <w:tc>
          <w:tcPr>
            <w:tcW w:w="1559" w:type="dxa"/>
            <w:tcBorders>
              <w:top w:val="nil"/>
              <w:left w:val="nil"/>
              <w:bottom w:val="single" w:sz="4" w:space="0" w:color="auto"/>
              <w:right w:val="single" w:sz="4" w:space="0" w:color="auto"/>
            </w:tcBorders>
            <w:shd w:val="clear" w:color="auto" w:fill="auto"/>
            <w:noWrap/>
            <w:vAlign w:val="center"/>
            <w:hideMark/>
          </w:tcPr>
          <w:p w14:paraId="175E7A99" w14:textId="002F6DE5"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2</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104</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039</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621 </w:t>
            </w:r>
          </w:p>
        </w:tc>
        <w:tc>
          <w:tcPr>
            <w:tcW w:w="1559" w:type="dxa"/>
            <w:tcBorders>
              <w:top w:val="nil"/>
              <w:left w:val="nil"/>
              <w:bottom w:val="single" w:sz="4" w:space="0" w:color="auto"/>
              <w:right w:val="single" w:sz="4" w:space="0" w:color="auto"/>
            </w:tcBorders>
            <w:shd w:val="clear" w:color="auto" w:fill="auto"/>
            <w:noWrap/>
            <w:vAlign w:val="center"/>
            <w:hideMark/>
          </w:tcPr>
          <w:p w14:paraId="1E91F801" w14:textId="4A59A5D6"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21</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040</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396 </w:t>
            </w:r>
          </w:p>
        </w:tc>
      </w:tr>
      <w:tr w:rsidR="00AE6A98" w:rsidRPr="00AE6A98" w14:paraId="2E755390" w14:textId="77777777" w:rsidTr="00AE6A98">
        <w:trPr>
          <w:trHeight w:val="46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2836C370"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166</w:t>
            </w:r>
          </w:p>
        </w:tc>
        <w:tc>
          <w:tcPr>
            <w:tcW w:w="879" w:type="dxa"/>
            <w:tcBorders>
              <w:top w:val="nil"/>
              <w:left w:val="nil"/>
              <w:bottom w:val="single" w:sz="4" w:space="0" w:color="auto"/>
              <w:right w:val="single" w:sz="4" w:space="0" w:color="auto"/>
            </w:tcBorders>
            <w:shd w:val="clear" w:color="auto" w:fill="auto"/>
            <w:noWrap/>
            <w:vAlign w:val="center"/>
            <w:hideMark/>
          </w:tcPr>
          <w:p w14:paraId="57F46046"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827000108</w:t>
            </w:r>
          </w:p>
        </w:tc>
        <w:tc>
          <w:tcPr>
            <w:tcW w:w="4258" w:type="dxa"/>
            <w:tcBorders>
              <w:top w:val="nil"/>
              <w:left w:val="nil"/>
              <w:bottom w:val="single" w:sz="4" w:space="0" w:color="auto"/>
              <w:right w:val="single" w:sz="4" w:space="0" w:color="auto"/>
            </w:tcBorders>
            <w:shd w:val="clear" w:color="auto" w:fill="auto"/>
            <w:vAlign w:val="center"/>
            <w:hideMark/>
          </w:tcPr>
          <w:p w14:paraId="551E4D4C"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SOCIEDAD PRODUCTORA DE ENERGÍA DE SAN ANDRES Y PROVIDENCIA S.A. E.S.P.</w:t>
            </w:r>
          </w:p>
        </w:tc>
        <w:tc>
          <w:tcPr>
            <w:tcW w:w="1559" w:type="dxa"/>
            <w:tcBorders>
              <w:top w:val="nil"/>
              <w:left w:val="nil"/>
              <w:bottom w:val="single" w:sz="4" w:space="0" w:color="auto"/>
              <w:right w:val="single" w:sz="4" w:space="0" w:color="auto"/>
            </w:tcBorders>
            <w:shd w:val="clear" w:color="auto" w:fill="auto"/>
            <w:noWrap/>
            <w:vAlign w:val="center"/>
            <w:hideMark/>
          </w:tcPr>
          <w:p w14:paraId="06883DB8" w14:textId="0568696B"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6</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879</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552</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137 </w:t>
            </w:r>
          </w:p>
        </w:tc>
        <w:tc>
          <w:tcPr>
            <w:tcW w:w="1559" w:type="dxa"/>
            <w:tcBorders>
              <w:top w:val="nil"/>
              <w:left w:val="nil"/>
              <w:bottom w:val="single" w:sz="4" w:space="0" w:color="auto"/>
              <w:right w:val="single" w:sz="4" w:space="0" w:color="auto"/>
            </w:tcBorders>
            <w:shd w:val="clear" w:color="auto" w:fill="auto"/>
            <w:noWrap/>
            <w:vAlign w:val="center"/>
            <w:hideMark/>
          </w:tcPr>
          <w:p w14:paraId="33B47EE8" w14:textId="7E2B45E0"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68</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795</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521 </w:t>
            </w:r>
          </w:p>
        </w:tc>
      </w:tr>
      <w:tr w:rsidR="00AE6A98" w:rsidRPr="00AE6A98" w14:paraId="0DD41D24" w14:textId="77777777" w:rsidTr="00AE6A98">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66138783"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167</w:t>
            </w:r>
          </w:p>
        </w:tc>
        <w:tc>
          <w:tcPr>
            <w:tcW w:w="879" w:type="dxa"/>
            <w:tcBorders>
              <w:top w:val="nil"/>
              <w:left w:val="nil"/>
              <w:bottom w:val="single" w:sz="4" w:space="0" w:color="auto"/>
              <w:right w:val="single" w:sz="4" w:space="0" w:color="auto"/>
            </w:tcBorders>
            <w:shd w:val="clear" w:color="auto" w:fill="auto"/>
            <w:noWrap/>
            <w:vAlign w:val="center"/>
            <w:hideMark/>
          </w:tcPr>
          <w:p w14:paraId="1642A261"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901254731</w:t>
            </w:r>
          </w:p>
        </w:tc>
        <w:tc>
          <w:tcPr>
            <w:tcW w:w="4258" w:type="dxa"/>
            <w:tcBorders>
              <w:top w:val="nil"/>
              <w:left w:val="nil"/>
              <w:bottom w:val="single" w:sz="4" w:space="0" w:color="auto"/>
              <w:right w:val="single" w:sz="4" w:space="0" w:color="auto"/>
            </w:tcBorders>
            <w:shd w:val="clear" w:color="auto" w:fill="auto"/>
            <w:vAlign w:val="center"/>
            <w:hideMark/>
          </w:tcPr>
          <w:p w14:paraId="155C2B66"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SOLENERGETICAS S.A.S. E.S.P.</w:t>
            </w:r>
          </w:p>
        </w:tc>
        <w:tc>
          <w:tcPr>
            <w:tcW w:w="1559" w:type="dxa"/>
            <w:tcBorders>
              <w:top w:val="nil"/>
              <w:left w:val="nil"/>
              <w:bottom w:val="single" w:sz="4" w:space="0" w:color="auto"/>
              <w:right w:val="single" w:sz="4" w:space="0" w:color="auto"/>
            </w:tcBorders>
            <w:shd w:val="clear" w:color="auto" w:fill="auto"/>
            <w:noWrap/>
            <w:vAlign w:val="center"/>
            <w:hideMark/>
          </w:tcPr>
          <w:p w14:paraId="0BF99876" w14:textId="5A1AAE4A"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122</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812</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905 </w:t>
            </w:r>
          </w:p>
        </w:tc>
        <w:tc>
          <w:tcPr>
            <w:tcW w:w="1559" w:type="dxa"/>
            <w:tcBorders>
              <w:top w:val="nil"/>
              <w:left w:val="nil"/>
              <w:bottom w:val="single" w:sz="4" w:space="0" w:color="auto"/>
              <w:right w:val="single" w:sz="4" w:space="0" w:color="auto"/>
            </w:tcBorders>
            <w:shd w:val="clear" w:color="auto" w:fill="auto"/>
            <w:noWrap/>
            <w:vAlign w:val="center"/>
            <w:hideMark/>
          </w:tcPr>
          <w:p w14:paraId="015AA762" w14:textId="144BB364"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1</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228</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129 </w:t>
            </w:r>
          </w:p>
        </w:tc>
      </w:tr>
      <w:tr w:rsidR="00AE6A98" w:rsidRPr="00AE6A98" w14:paraId="653BDF54" w14:textId="77777777" w:rsidTr="00AE6A98">
        <w:trPr>
          <w:trHeight w:val="46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1D6EACF2"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168</w:t>
            </w:r>
          </w:p>
        </w:tc>
        <w:tc>
          <w:tcPr>
            <w:tcW w:w="879" w:type="dxa"/>
            <w:tcBorders>
              <w:top w:val="nil"/>
              <w:left w:val="nil"/>
              <w:bottom w:val="single" w:sz="4" w:space="0" w:color="auto"/>
              <w:right w:val="single" w:sz="4" w:space="0" w:color="auto"/>
            </w:tcBorders>
            <w:shd w:val="clear" w:color="auto" w:fill="auto"/>
            <w:noWrap/>
            <w:vAlign w:val="center"/>
            <w:hideMark/>
          </w:tcPr>
          <w:p w14:paraId="39ED8E1A"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901179454</w:t>
            </w:r>
          </w:p>
        </w:tc>
        <w:tc>
          <w:tcPr>
            <w:tcW w:w="4258" w:type="dxa"/>
            <w:tcBorders>
              <w:top w:val="nil"/>
              <w:left w:val="nil"/>
              <w:bottom w:val="single" w:sz="4" w:space="0" w:color="auto"/>
              <w:right w:val="single" w:sz="4" w:space="0" w:color="auto"/>
            </w:tcBorders>
            <w:shd w:val="clear" w:color="auto" w:fill="auto"/>
            <w:vAlign w:val="center"/>
            <w:hideMark/>
          </w:tcPr>
          <w:p w14:paraId="697156E5"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SOLUCIONES ENERGÉTICAS INTEGRALES DEL PACIFICO S.A.S. E.S.P.</w:t>
            </w:r>
          </w:p>
        </w:tc>
        <w:tc>
          <w:tcPr>
            <w:tcW w:w="1559" w:type="dxa"/>
            <w:tcBorders>
              <w:top w:val="nil"/>
              <w:left w:val="nil"/>
              <w:bottom w:val="single" w:sz="4" w:space="0" w:color="auto"/>
              <w:right w:val="single" w:sz="4" w:space="0" w:color="auto"/>
            </w:tcBorders>
            <w:shd w:val="clear" w:color="auto" w:fill="auto"/>
            <w:noWrap/>
            <w:vAlign w:val="center"/>
            <w:hideMark/>
          </w:tcPr>
          <w:p w14:paraId="3C1F7073" w14:textId="7BBA5D45"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198</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640</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008 </w:t>
            </w:r>
          </w:p>
        </w:tc>
        <w:tc>
          <w:tcPr>
            <w:tcW w:w="1559" w:type="dxa"/>
            <w:tcBorders>
              <w:top w:val="nil"/>
              <w:left w:val="nil"/>
              <w:bottom w:val="single" w:sz="4" w:space="0" w:color="auto"/>
              <w:right w:val="single" w:sz="4" w:space="0" w:color="auto"/>
            </w:tcBorders>
            <w:shd w:val="clear" w:color="auto" w:fill="auto"/>
            <w:noWrap/>
            <w:vAlign w:val="center"/>
            <w:hideMark/>
          </w:tcPr>
          <w:p w14:paraId="1D29BCC7" w14:textId="250A4F04"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1</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986</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400 </w:t>
            </w:r>
          </w:p>
        </w:tc>
      </w:tr>
      <w:tr w:rsidR="00AE6A98" w:rsidRPr="00AE6A98" w14:paraId="261F8772" w14:textId="77777777" w:rsidTr="00AE6A98">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44F38CD5"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169</w:t>
            </w:r>
          </w:p>
        </w:tc>
        <w:tc>
          <w:tcPr>
            <w:tcW w:w="879" w:type="dxa"/>
            <w:tcBorders>
              <w:top w:val="nil"/>
              <w:left w:val="nil"/>
              <w:bottom w:val="single" w:sz="4" w:space="0" w:color="auto"/>
              <w:right w:val="single" w:sz="4" w:space="0" w:color="auto"/>
            </w:tcBorders>
            <w:shd w:val="clear" w:color="auto" w:fill="auto"/>
            <w:noWrap/>
            <w:vAlign w:val="center"/>
            <w:hideMark/>
          </w:tcPr>
          <w:p w14:paraId="4E6E8FC2"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900403943</w:t>
            </w:r>
          </w:p>
        </w:tc>
        <w:tc>
          <w:tcPr>
            <w:tcW w:w="4258" w:type="dxa"/>
            <w:tcBorders>
              <w:top w:val="nil"/>
              <w:left w:val="nil"/>
              <w:bottom w:val="single" w:sz="4" w:space="0" w:color="auto"/>
              <w:right w:val="single" w:sz="4" w:space="0" w:color="auto"/>
            </w:tcBorders>
            <w:shd w:val="clear" w:color="auto" w:fill="auto"/>
            <w:vAlign w:val="center"/>
            <w:hideMark/>
          </w:tcPr>
          <w:p w14:paraId="028DF127" w14:textId="77777777" w:rsidR="00AE6A98" w:rsidRPr="00D26825" w:rsidRDefault="00AE6A98" w:rsidP="00AE6A98">
            <w:pPr>
              <w:jc w:val="left"/>
              <w:rPr>
                <w:rFonts w:ascii="Arial Narrow" w:hAnsi="Arial Narrow" w:cs="Calibri"/>
                <w:color w:val="000000"/>
                <w:spacing w:val="0"/>
                <w:sz w:val="18"/>
                <w:szCs w:val="18"/>
                <w:lang w:val="en-US" w:eastAsia="es-CO"/>
              </w:rPr>
            </w:pPr>
            <w:r w:rsidRPr="00D26825">
              <w:rPr>
                <w:rFonts w:ascii="Arial Narrow" w:hAnsi="Arial Narrow" w:cs="Calibri"/>
                <w:color w:val="000000"/>
                <w:spacing w:val="0"/>
                <w:sz w:val="18"/>
                <w:szCs w:val="18"/>
                <w:lang w:val="en-US" w:eastAsia="es-CO"/>
              </w:rPr>
              <w:t>SOUTH32 ENERGY S.A.S. E.S.P.</w:t>
            </w:r>
          </w:p>
        </w:tc>
        <w:tc>
          <w:tcPr>
            <w:tcW w:w="1559" w:type="dxa"/>
            <w:tcBorders>
              <w:top w:val="nil"/>
              <w:left w:val="nil"/>
              <w:bottom w:val="single" w:sz="4" w:space="0" w:color="auto"/>
              <w:right w:val="single" w:sz="4" w:space="0" w:color="auto"/>
            </w:tcBorders>
            <w:shd w:val="clear" w:color="auto" w:fill="auto"/>
            <w:noWrap/>
            <w:vAlign w:val="center"/>
            <w:hideMark/>
          </w:tcPr>
          <w:p w14:paraId="1A691952" w14:textId="3B1A9CB4" w:rsidR="00AE6A98" w:rsidRPr="00AE6A98" w:rsidRDefault="00AE6A98" w:rsidP="00AE6A98">
            <w:pPr>
              <w:jc w:val="right"/>
              <w:rPr>
                <w:rFonts w:ascii="Arial Narrow" w:hAnsi="Arial Narrow" w:cs="Calibri"/>
                <w:color w:val="000000"/>
                <w:spacing w:val="0"/>
                <w:sz w:val="18"/>
                <w:szCs w:val="18"/>
                <w:lang w:eastAsia="es-CO"/>
              </w:rPr>
            </w:pPr>
            <w:r w:rsidRPr="00D26825">
              <w:rPr>
                <w:rFonts w:ascii="Arial Narrow" w:hAnsi="Arial Narrow" w:cs="Calibri"/>
                <w:color w:val="000000"/>
                <w:spacing w:val="0"/>
                <w:sz w:val="18"/>
                <w:szCs w:val="18"/>
                <w:lang w:val="en-US" w:eastAsia="es-CO"/>
              </w:rPr>
              <w:t xml:space="preserve">         </w:t>
            </w:r>
            <w:r w:rsidRPr="00AE6A98">
              <w:rPr>
                <w:rFonts w:ascii="Arial Narrow" w:hAnsi="Arial Narrow" w:cs="Calibri"/>
                <w:color w:val="000000"/>
                <w:spacing w:val="0"/>
                <w:sz w:val="18"/>
                <w:szCs w:val="18"/>
                <w:lang w:eastAsia="es-CO"/>
              </w:rPr>
              <w:t>1</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454</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929</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384 </w:t>
            </w:r>
          </w:p>
        </w:tc>
        <w:tc>
          <w:tcPr>
            <w:tcW w:w="1559" w:type="dxa"/>
            <w:tcBorders>
              <w:top w:val="nil"/>
              <w:left w:val="nil"/>
              <w:bottom w:val="single" w:sz="4" w:space="0" w:color="auto"/>
              <w:right w:val="single" w:sz="4" w:space="0" w:color="auto"/>
            </w:tcBorders>
            <w:shd w:val="clear" w:color="auto" w:fill="auto"/>
            <w:noWrap/>
            <w:vAlign w:val="center"/>
            <w:hideMark/>
          </w:tcPr>
          <w:p w14:paraId="4CFD2274" w14:textId="03D47C3C"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14</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549</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294 </w:t>
            </w:r>
          </w:p>
        </w:tc>
      </w:tr>
      <w:tr w:rsidR="00AE6A98" w:rsidRPr="00AE6A98" w14:paraId="3871FFCB" w14:textId="77777777" w:rsidTr="00AE6A98">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229BE8F2"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170</w:t>
            </w:r>
          </w:p>
        </w:tc>
        <w:tc>
          <w:tcPr>
            <w:tcW w:w="879" w:type="dxa"/>
            <w:tcBorders>
              <w:top w:val="nil"/>
              <w:left w:val="nil"/>
              <w:bottom w:val="single" w:sz="4" w:space="0" w:color="auto"/>
              <w:right w:val="single" w:sz="4" w:space="0" w:color="auto"/>
            </w:tcBorders>
            <w:shd w:val="clear" w:color="auto" w:fill="auto"/>
            <w:noWrap/>
            <w:vAlign w:val="center"/>
            <w:hideMark/>
          </w:tcPr>
          <w:p w14:paraId="52445F29"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900637368</w:t>
            </w:r>
          </w:p>
        </w:tc>
        <w:tc>
          <w:tcPr>
            <w:tcW w:w="4258" w:type="dxa"/>
            <w:tcBorders>
              <w:top w:val="nil"/>
              <w:left w:val="nil"/>
              <w:bottom w:val="single" w:sz="4" w:space="0" w:color="auto"/>
              <w:right w:val="single" w:sz="4" w:space="0" w:color="auto"/>
            </w:tcBorders>
            <w:shd w:val="clear" w:color="auto" w:fill="auto"/>
            <w:vAlign w:val="center"/>
            <w:hideMark/>
          </w:tcPr>
          <w:p w14:paraId="24037A2B"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TERMO MECHERO MORRO SAS ESP</w:t>
            </w:r>
          </w:p>
        </w:tc>
        <w:tc>
          <w:tcPr>
            <w:tcW w:w="1559" w:type="dxa"/>
            <w:tcBorders>
              <w:top w:val="nil"/>
              <w:left w:val="nil"/>
              <w:bottom w:val="single" w:sz="4" w:space="0" w:color="auto"/>
              <w:right w:val="single" w:sz="4" w:space="0" w:color="auto"/>
            </w:tcBorders>
            <w:shd w:val="clear" w:color="auto" w:fill="auto"/>
            <w:noWrap/>
            <w:vAlign w:val="center"/>
            <w:hideMark/>
          </w:tcPr>
          <w:p w14:paraId="34728808" w14:textId="33D9822C"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2</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794</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995</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225 </w:t>
            </w:r>
          </w:p>
        </w:tc>
        <w:tc>
          <w:tcPr>
            <w:tcW w:w="1559" w:type="dxa"/>
            <w:tcBorders>
              <w:top w:val="nil"/>
              <w:left w:val="nil"/>
              <w:bottom w:val="single" w:sz="4" w:space="0" w:color="auto"/>
              <w:right w:val="single" w:sz="4" w:space="0" w:color="auto"/>
            </w:tcBorders>
            <w:shd w:val="clear" w:color="auto" w:fill="auto"/>
            <w:noWrap/>
            <w:vAlign w:val="center"/>
            <w:hideMark/>
          </w:tcPr>
          <w:p w14:paraId="28D96E87" w14:textId="42C394D3"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27</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949</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952 </w:t>
            </w:r>
          </w:p>
        </w:tc>
      </w:tr>
      <w:tr w:rsidR="00AE6A98" w:rsidRPr="00AE6A98" w14:paraId="6F38A174" w14:textId="77777777" w:rsidTr="00AE6A98">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086EE4EB"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171</w:t>
            </w:r>
          </w:p>
        </w:tc>
        <w:tc>
          <w:tcPr>
            <w:tcW w:w="879" w:type="dxa"/>
            <w:tcBorders>
              <w:top w:val="nil"/>
              <w:left w:val="nil"/>
              <w:bottom w:val="single" w:sz="4" w:space="0" w:color="auto"/>
              <w:right w:val="single" w:sz="4" w:space="0" w:color="auto"/>
            </w:tcBorders>
            <w:shd w:val="clear" w:color="auto" w:fill="auto"/>
            <w:noWrap/>
            <w:vAlign w:val="center"/>
            <w:hideMark/>
          </w:tcPr>
          <w:p w14:paraId="2150BA81"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800245746</w:t>
            </w:r>
          </w:p>
        </w:tc>
        <w:tc>
          <w:tcPr>
            <w:tcW w:w="4258" w:type="dxa"/>
            <w:tcBorders>
              <w:top w:val="nil"/>
              <w:left w:val="nil"/>
              <w:bottom w:val="single" w:sz="4" w:space="0" w:color="auto"/>
              <w:right w:val="single" w:sz="4" w:space="0" w:color="auto"/>
            </w:tcBorders>
            <w:shd w:val="clear" w:color="auto" w:fill="auto"/>
            <w:vAlign w:val="center"/>
            <w:hideMark/>
          </w:tcPr>
          <w:p w14:paraId="310FA402"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TERMOBARRANQUILLA S.A. E.S.P.</w:t>
            </w:r>
          </w:p>
        </w:tc>
        <w:tc>
          <w:tcPr>
            <w:tcW w:w="1559" w:type="dxa"/>
            <w:tcBorders>
              <w:top w:val="nil"/>
              <w:left w:val="nil"/>
              <w:bottom w:val="single" w:sz="4" w:space="0" w:color="auto"/>
              <w:right w:val="single" w:sz="4" w:space="0" w:color="auto"/>
            </w:tcBorders>
            <w:shd w:val="clear" w:color="auto" w:fill="auto"/>
            <w:noWrap/>
            <w:vAlign w:val="center"/>
            <w:hideMark/>
          </w:tcPr>
          <w:p w14:paraId="40139C98" w14:textId="5EB59285"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23</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846</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587</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660 </w:t>
            </w:r>
          </w:p>
        </w:tc>
        <w:tc>
          <w:tcPr>
            <w:tcW w:w="1559" w:type="dxa"/>
            <w:tcBorders>
              <w:top w:val="nil"/>
              <w:left w:val="nil"/>
              <w:bottom w:val="single" w:sz="4" w:space="0" w:color="auto"/>
              <w:right w:val="single" w:sz="4" w:space="0" w:color="auto"/>
            </w:tcBorders>
            <w:shd w:val="clear" w:color="auto" w:fill="auto"/>
            <w:noWrap/>
            <w:vAlign w:val="center"/>
            <w:hideMark/>
          </w:tcPr>
          <w:p w14:paraId="4B6B5214" w14:textId="1B02FF45"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238</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465</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877 </w:t>
            </w:r>
          </w:p>
        </w:tc>
      </w:tr>
      <w:tr w:rsidR="00AE6A98" w:rsidRPr="00AE6A98" w14:paraId="3A1F627C" w14:textId="77777777" w:rsidTr="00AE6A98">
        <w:trPr>
          <w:trHeight w:val="6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6A96D753"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172</w:t>
            </w:r>
          </w:p>
        </w:tc>
        <w:tc>
          <w:tcPr>
            <w:tcW w:w="879" w:type="dxa"/>
            <w:tcBorders>
              <w:top w:val="nil"/>
              <w:left w:val="nil"/>
              <w:bottom w:val="single" w:sz="4" w:space="0" w:color="auto"/>
              <w:right w:val="single" w:sz="4" w:space="0" w:color="auto"/>
            </w:tcBorders>
            <w:shd w:val="clear" w:color="auto" w:fill="auto"/>
            <w:noWrap/>
            <w:vAlign w:val="center"/>
            <w:hideMark/>
          </w:tcPr>
          <w:p w14:paraId="37CF727B"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806005008</w:t>
            </w:r>
          </w:p>
        </w:tc>
        <w:tc>
          <w:tcPr>
            <w:tcW w:w="4258" w:type="dxa"/>
            <w:tcBorders>
              <w:top w:val="nil"/>
              <w:left w:val="nil"/>
              <w:bottom w:val="single" w:sz="4" w:space="0" w:color="auto"/>
              <w:right w:val="single" w:sz="4" w:space="0" w:color="auto"/>
            </w:tcBorders>
            <w:shd w:val="clear" w:color="auto" w:fill="auto"/>
            <w:vAlign w:val="center"/>
            <w:hideMark/>
          </w:tcPr>
          <w:p w14:paraId="2C679EAB"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TERMOCANDELARIA SOCIEDAD EN COMANDITA POR ACCIONES EMPRESA DE SERVICIOS PUBLICOS</w:t>
            </w:r>
          </w:p>
        </w:tc>
        <w:tc>
          <w:tcPr>
            <w:tcW w:w="1559" w:type="dxa"/>
            <w:tcBorders>
              <w:top w:val="nil"/>
              <w:left w:val="nil"/>
              <w:bottom w:val="single" w:sz="4" w:space="0" w:color="auto"/>
              <w:right w:val="single" w:sz="4" w:space="0" w:color="auto"/>
            </w:tcBorders>
            <w:shd w:val="clear" w:color="auto" w:fill="auto"/>
            <w:noWrap/>
            <w:vAlign w:val="center"/>
            <w:hideMark/>
          </w:tcPr>
          <w:p w14:paraId="1E3ED2A0" w14:textId="2EBA03D6"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6</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899</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930</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219 </w:t>
            </w:r>
          </w:p>
        </w:tc>
        <w:tc>
          <w:tcPr>
            <w:tcW w:w="1559" w:type="dxa"/>
            <w:tcBorders>
              <w:top w:val="nil"/>
              <w:left w:val="nil"/>
              <w:bottom w:val="single" w:sz="4" w:space="0" w:color="auto"/>
              <w:right w:val="single" w:sz="4" w:space="0" w:color="auto"/>
            </w:tcBorders>
            <w:shd w:val="clear" w:color="auto" w:fill="auto"/>
            <w:noWrap/>
            <w:vAlign w:val="center"/>
            <w:hideMark/>
          </w:tcPr>
          <w:p w14:paraId="6B23090F" w14:textId="79BA40B1"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68</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999</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302 </w:t>
            </w:r>
          </w:p>
        </w:tc>
      </w:tr>
      <w:tr w:rsidR="00AE6A98" w:rsidRPr="00AE6A98" w14:paraId="7EE1A906" w14:textId="77777777" w:rsidTr="00AE6A98">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61120763"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173</w:t>
            </w:r>
          </w:p>
        </w:tc>
        <w:tc>
          <w:tcPr>
            <w:tcW w:w="879" w:type="dxa"/>
            <w:tcBorders>
              <w:top w:val="nil"/>
              <w:left w:val="nil"/>
              <w:bottom w:val="single" w:sz="4" w:space="0" w:color="auto"/>
              <w:right w:val="single" w:sz="4" w:space="0" w:color="auto"/>
            </w:tcBorders>
            <w:shd w:val="clear" w:color="auto" w:fill="auto"/>
            <w:noWrap/>
            <w:vAlign w:val="center"/>
            <w:hideMark/>
          </w:tcPr>
          <w:p w14:paraId="0BB240BA"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800253702</w:t>
            </w:r>
          </w:p>
        </w:tc>
        <w:tc>
          <w:tcPr>
            <w:tcW w:w="4258" w:type="dxa"/>
            <w:tcBorders>
              <w:top w:val="nil"/>
              <w:left w:val="nil"/>
              <w:bottom w:val="single" w:sz="4" w:space="0" w:color="auto"/>
              <w:right w:val="single" w:sz="4" w:space="0" w:color="auto"/>
            </w:tcBorders>
            <w:shd w:val="clear" w:color="auto" w:fill="auto"/>
            <w:vAlign w:val="center"/>
            <w:hideMark/>
          </w:tcPr>
          <w:p w14:paraId="5069D84A" w14:textId="072B5F88"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TERMOEMCALI  S.A. ESP</w:t>
            </w:r>
          </w:p>
        </w:tc>
        <w:tc>
          <w:tcPr>
            <w:tcW w:w="1559" w:type="dxa"/>
            <w:tcBorders>
              <w:top w:val="nil"/>
              <w:left w:val="nil"/>
              <w:bottom w:val="single" w:sz="4" w:space="0" w:color="auto"/>
              <w:right w:val="single" w:sz="4" w:space="0" w:color="auto"/>
            </w:tcBorders>
            <w:shd w:val="clear" w:color="auto" w:fill="auto"/>
            <w:noWrap/>
            <w:vAlign w:val="center"/>
            <w:hideMark/>
          </w:tcPr>
          <w:p w14:paraId="079B7BFB" w14:textId="3B2DE9EC"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6</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353</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146</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255 </w:t>
            </w:r>
          </w:p>
        </w:tc>
        <w:tc>
          <w:tcPr>
            <w:tcW w:w="1559" w:type="dxa"/>
            <w:tcBorders>
              <w:top w:val="nil"/>
              <w:left w:val="nil"/>
              <w:bottom w:val="single" w:sz="4" w:space="0" w:color="auto"/>
              <w:right w:val="single" w:sz="4" w:space="0" w:color="auto"/>
            </w:tcBorders>
            <w:shd w:val="clear" w:color="auto" w:fill="auto"/>
            <w:noWrap/>
            <w:vAlign w:val="center"/>
            <w:hideMark/>
          </w:tcPr>
          <w:p w14:paraId="72F011A4" w14:textId="0C20C1FF"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63</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531</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463 </w:t>
            </w:r>
          </w:p>
        </w:tc>
      </w:tr>
      <w:tr w:rsidR="00AE6A98" w:rsidRPr="00AE6A98" w14:paraId="3324C7FF" w14:textId="77777777" w:rsidTr="00AE6A98">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321E537A"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174</w:t>
            </w:r>
          </w:p>
        </w:tc>
        <w:tc>
          <w:tcPr>
            <w:tcW w:w="879" w:type="dxa"/>
            <w:tcBorders>
              <w:top w:val="nil"/>
              <w:left w:val="nil"/>
              <w:bottom w:val="single" w:sz="4" w:space="0" w:color="auto"/>
              <w:right w:val="single" w:sz="4" w:space="0" w:color="auto"/>
            </w:tcBorders>
            <w:shd w:val="clear" w:color="auto" w:fill="auto"/>
            <w:noWrap/>
            <w:vAlign w:val="center"/>
            <w:hideMark/>
          </w:tcPr>
          <w:p w14:paraId="50753261"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900334431</w:t>
            </w:r>
          </w:p>
        </w:tc>
        <w:tc>
          <w:tcPr>
            <w:tcW w:w="4258" w:type="dxa"/>
            <w:tcBorders>
              <w:top w:val="nil"/>
              <w:left w:val="nil"/>
              <w:bottom w:val="single" w:sz="4" w:space="0" w:color="auto"/>
              <w:right w:val="single" w:sz="4" w:space="0" w:color="auto"/>
            </w:tcBorders>
            <w:shd w:val="clear" w:color="auto" w:fill="auto"/>
            <w:vAlign w:val="center"/>
            <w:hideMark/>
          </w:tcPr>
          <w:p w14:paraId="3B1AA2E2"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TERMONORTE SAS ESP</w:t>
            </w:r>
          </w:p>
        </w:tc>
        <w:tc>
          <w:tcPr>
            <w:tcW w:w="1559" w:type="dxa"/>
            <w:tcBorders>
              <w:top w:val="nil"/>
              <w:left w:val="nil"/>
              <w:bottom w:val="single" w:sz="4" w:space="0" w:color="auto"/>
              <w:right w:val="single" w:sz="4" w:space="0" w:color="auto"/>
            </w:tcBorders>
            <w:shd w:val="clear" w:color="auto" w:fill="auto"/>
            <w:noWrap/>
            <w:vAlign w:val="center"/>
            <w:hideMark/>
          </w:tcPr>
          <w:p w14:paraId="07E7844F" w14:textId="0931514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1</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910</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178</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416 </w:t>
            </w:r>
          </w:p>
        </w:tc>
        <w:tc>
          <w:tcPr>
            <w:tcW w:w="1559" w:type="dxa"/>
            <w:tcBorders>
              <w:top w:val="nil"/>
              <w:left w:val="nil"/>
              <w:bottom w:val="single" w:sz="4" w:space="0" w:color="auto"/>
              <w:right w:val="single" w:sz="4" w:space="0" w:color="auto"/>
            </w:tcBorders>
            <w:shd w:val="clear" w:color="auto" w:fill="auto"/>
            <w:noWrap/>
            <w:vAlign w:val="center"/>
            <w:hideMark/>
          </w:tcPr>
          <w:p w14:paraId="57CB73C2" w14:textId="5027A193"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19</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101</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784 </w:t>
            </w:r>
          </w:p>
        </w:tc>
      </w:tr>
      <w:tr w:rsidR="00AE6A98" w:rsidRPr="00AE6A98" w14:paraId="638E85EF" w14:textId="77777777" w:rsidTr="00AE6A98">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25195868"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175</w:t>
            </w:r>
          </w:p>
        </w:tc>
        <w:tc>
          <w:tcPr>
            <w:tcW w:w="879" w:type="dxa"/>
            <w:tcBorders>
              <w:top w:val="nil"/>
              <w:left w:val="nil"/>
              <w:bottom w:val="single" w:sz="4" w:space="0" w:color="auto"/>
              <w:right w:val="single" w:sz="4" w:space="0" w:color="auto"/>
            </w:tcBorders>
            <w:shd w:val="clear" w:color="auto" w:fill="auto"/>
            <w:noWrap/>
            <w:vAlign w:val="center"/>
            <w:hideMark/>
          </w:tcPr>
          <w:p w14:paraId="58614E4B"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830058506</w:t>
            </w:r>
          </w:p>
        </w:tc>
        <w:tc>
          <w:tcPr>
            <w:tcW w:w="4258" w:type="dxa"/>
            <w:tcBorders>
              <w:top w:val="nil"/>
              <w:left w:val="nil"/>
              <w:bottom w:val="single" w:sz="4" w:space="0" w:color="auto"/>
              <w:right w:val="single" w:sz="4" w:space="0" w:color="auto"/>
            </w:tcBorders>
            <w:shd w:val="clear" w:color="auto" w:fill="auto"/>
            <w:vAlign w:val="center"/>
            <w:hideMark/>
          </w:tcPr>
          <w:p w14:paraId="28057C26"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TERMOPIEDRAS S.A. E.S.P.</w:t>
            </w:r>
          </w:p>
        </w:tc>
        <w:tc>
          <w:tcPr>
            <w:tcW w:w="1559" w:type="dxa"/>
            <w:tcBorders>
              <w:top w:val="nil"/>
              <w:left w:val="nil"/>
              <w:bottom w:val="single" w:sz="4" w:space="0" w:color="auto"/>
              <w:right w:val="single" w:sz="4" w:space="0" w:color="auto"/>
            </w:tcBorders>
            <w:shd w:val="clear" w:color="auto" w:fill="auto"/>
            <w:noWrap/>
            <w:vAlign w:val="center"/>
            <w:hideMark/>
          </w:tcPr>
          <w:p w14:paraId="75787CAB" w14:textId="31D0D256"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201</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384</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943 </w:t>
            </w:r>
          </w:p>
        </w:tc>
        <w:tc>
          <w:tcPr>
            <w:tcW w:w="1559" w:type="dxa"/>
            <w:tcBorders>
              <w:top w:val="nil"/>
              <w:left w:val="nil"/>
              <w:bottom w:val="single" w:sz="4" w:space="0" w:color="auto"/>
              <w:right w:val="single" w:sz="4" w:space="0" w:color="auto"/>
            </w:tcBorders>
            <w:shd w:val="clear" w:color="auto" w:fill="auto"/>
            <w:noWrap/>
            <w:vAlign w:val="center"/>
            <w:hideMark/>
          </w:tcPr>
          <w:p w14:paraId="2A53952C" w14:textId="5907F1DE"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2</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013</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849 </w:t>
            </w:r>
          </w:p>
        </w:tc>
      </w:tr>
      <w:tr w:rsidR="00AE6A98" w:rsidRPr="00AE6A98" w14:paraId="7905047C" w14:textId="77777777" w:rsidTr="00AE6A98">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6DB51091"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176</w:t>
            </w:r>
          </w:p>
        </w:tc>
        <w:tc>
          <w:tcPr>
            <w:tcW w:w="879" w:type="dxa"/>
            <w:tcBorders>
              <w:top w:val="nil"/>
              <w:left w:val="nil"/>
              <w:bottom w:val="single" w:sz="4" w:space="0" w:color="auto"/>
              <w:right w:val="single" w:sz="4" w:space="0" w:color="auto"/>
            </w:tcBorders>
            <w:shd w:val="clear" w:color="auto" w:fill="auto"/>
            <w:noWrap/>
            <w:vAlign w:val="center"/>
            <w:hideMark/>
          </w:tcPr>
          <w:p w14:paraId="56497659"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900519716</w:t>
            </w:r>
          </w:p>
        </w:tc>
        <w:tc>
          <w:tcPr>
            <w:tcW w:w="4258" w:type="dxa"/>
            <w:tcBorders>
              <w:top w:val="nil"/>
              <w:left w:val="nil"/>
              <w:bottom w:val="single" w:sz="4" w:space="0" w:color="auto"/>
              <w:right w:val="single" w:sz="4" w:space="0" w:color="auto"/>
            </w:tcBorders>
            <w:shd w:val="clear" w:color="auto" w:fill="auto"/>
            <w:vAlign w:val="center"/>
            <w:hideMark/>
          </w:tcPr>
          <w:p w14:paraId="5B4E0EEB"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TERMOTASAJERO DOS S.A. E.S.P.</w:t>
            </w:r>
          </w:p>
        </w:tc>
        <w:tc>
          <w:tcPr>
            <w:tcW w:w="1559" w:type="dxa"/>
            <w:tcBorders>
              <w:top w:val="nil"/>
              <w:left w:val="nil"/>
              <w:bottom w:val="single" w:sz="4" w:space="0" w:color="auto"/>
              <w:right w:val="single" w:sz="4" w:space="0" w:color="auto"/>
            </w:tcBorders>
            <w:shd w:val="clear" w:color="auto" w:fill="auto"/>
            <w:noWrap/>
            <w:vAlign w:val="center"/>
            <w:hideMark/>
          </w:tcPr>
          <w:p w14:paraId="5C9F3E5D" w14:textId="60CFE3F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1</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415</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795</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184 </w:t>
            </w:r>
          </w:p>
        </w:tc>
        <w:tc>
          <w:tcPr>
            <w:tcW w:w="1559" w:type="dxa"/>
            <w:tcBorders>
              <w:top w:val="nil"/>
              <w:left w:val="nil"/>
              <w:bottom w:val="single" w:sz="4" w:space="0" w:color="auto"/>
              <w:right w:val="single" w:sz="4" w:space="0" w:color="auto"/>
            </w:tcBorders>
            <w:shd w:val="clear" w:color="auto" w:fill="auto"/>
            <w:noWrap/>
            <w:vAlign w:val="center"/>
            <w:hideMark/>
          </w:tcPr>
          <w:p w14:paraId="64284C53" w14:textId="6BCD9BC2"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14</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157</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952 </w:t>
            </w:r>
          </w:p>
        </w:tc>
      </w:tr>
      <w:tr w:rsidR="00AE6A98" w:rsidRPr="00AE6A98" w14:paraId="11C03470" w14:textId="77777777" w:rsidTr="00AE6A98">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5089FE4F"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177</w:t>
            </w:r>
          </w:p>
        </w:tc>
        <w:tc>
          <w:tcPr>
            <w:tcW w:w="879" w:type="dxa"/>
            <w:tcBorders>
              <w:top w:val="nil"/>
              <w:left w:val="nil"/>
              <w:bottom w:val="single" w:sz="4" w:space="0" w:color="auto"/>
              <w:right w:val="single" w:sz="4" w:space="0" w:color="auto"/>
            </w:tcBorders>
            <w:shd w:val="clear" w:color="auto" w:fill="auto"/>
            <w:noWrap/>
            <w:vAlign w:val="center"/>
            <w:hideMark/>
          </w:tcPr>
          <w:p w14:paraId="58EE00E1"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900161460</w:t>
            </w:r>
          </w:p>
        </w:tc>
        <w:tc>
          <w:tcPr>
            <w:tcW w:w="4258" w:type="dxa"/>
            <w:tcBorders>
              <w:top w:val="nil"/>
              <w:left w:val="nil"/>
              <w:bottom w:val="single" w:sz="4" w:space="0" w:color="auto"/>
              <w:right w:val="single" w:sz="4" w:space="0" w:color="auto"/>
            </w:tcBorders>
            <w:shd w:val="clear" w:color="auto" w:fill="auto"/>
            <w:vAlign w:val="center"/>
            <w:hideMark/>
          </w:tcPr>
          <w:p w14:paraId="3DA48BF5"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TERMOTASAJERO SA ESP</w:t>
            </w:r>
          </w:p>
        </w:tc>
        <w:tc>
          <w:tcPr>
            <w:tcW w:w="1559" w:type="dxa"/>
            <w:tcBorders>
              <w:top w:val="nil"/>
              <w:left w:val="nil"/>
              <w:bottom w:val="single" w:sz="4" w:space="0" w:color="auto"/>
              <w:right w:val="single" w:sz="4" w:space="0" w:color="auto"/>
            </w:tcBorders>
            <w:shd w:val="clear" w:color="auto" w:fill="auto"/>
            <w:noWrap/>
            <w:vAlign w:val="center"/>
            <w:hideMark/>
          </w:tcPr>
          <w:p w14:paraId="6C9A1622" w14:textId="0575A305"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15</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596</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131</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935 </w:t>
            </w:r>
          </w:p>
        </w:tc>
        <w:tc>
          <w:tcPr>
            <w:tcW w:w="1559" w:type="dxa"/>
            <w:tcBorders>
              <w:top w:val="nil"/>
              <w:left w:val="nil"/>
              <w:bottom w:val="single" w:sz="4" w:space="0" w:color="auto"/>
              <w:right w:val="single" w:sz="4" w:space="0" w:color="auto"/>
            </w:tcBorders>
            <w:shd w:val="clear" w:color="auto" w:fill="auto"/>
            <w:noWrap/>
            <w:vAlign w:val="center"/>
            <w:hideMark/>
          </w:tcPr>
          <w:p w14:paraId="6E501846" w14:textId="5960F3FC"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155</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961</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319 </w:t>
            </w:r>
          </w:p>
        </w:tc>
      </w:tr>
      <w:tr w:rsidR="00AE6A98" w:rsidRPr="00AE6A98" w14:paraId="0DB68F65" w14:textId="77777777" w:rsidTr="00AE6A98">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15A85BAC"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178</w:t>
            </w:r>
          </w:p>
        </w:tc>
        <w:tc>
          <w:tcPr>
            <w:tcW w:w="879" w:type="dxa"/>
            <w:tcBorders>
              <w:top w:val="nil"/>
              <w:left w:val="nil"/>
              <w:bottom w:val="single" w:sz="4" w:space="0" w:color="auto"/>
              <w:right w:val="single" w:sz="4" w:space="0" w:color="auto"/>
            </w:tcBorders>
            <w:shd w:val="clear" w:color="auto" w:fill="auto"/>
            <w:noWrap/>
            <w:vAlign w:val="center"/>
            <w:hideMark/>
          </w:tcPr>
          <w:p w14:paraId="76D184B0"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805003351</w:t>
            </w:r>
          </w:p>
        </w:tc>
        <w:tc>
          <w:tcPr>
            <w:tcW w:w="4258" w:type="dxa"/>
            <w:tcBorders>
              <w:top w:val="nil"/>
              <w:left w:val="nil"/>
              <w:bottom w:val="single" w:sz="4" w:space="0" w:color="auto"/>
              <w:right w:val="single" w:sz="4" w:space="0" w:color="auto"/>
            </w:tcBorders>
            <w:shd w:val="clear" w:color="auto" w:fill="auto"/>
            <w:vAlign w:val="center"/>
            <w:hideMark/>
          </w:tcPr>
          <w:p w14:paraId="5EDC3E69" w14:textId="25FCA7EB"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TERMOVALLE S.A.S. E.S.P</w:t>
            </w:r>
            <w:r w:rsidR="00436FE0">
              <w:rPr>
                <w:rFonts w:ascii="Arial Narrow" w:hAnsi="Arial Narrow" w:cs="Calibri"/>
                <w:color w:val="000000"/>
                <w:spacing w:val="0"/>
                <w:sz w:val="18"/>
                <w:szCs w:val="18"/>
                <w:lang w:eastAsia="es-CO"/>
              </w:rPr>
              <w:t>.</w:t>
            </w:r>
          </w:p>
        </w:tc>
        <w:tc>
          <w:tcPr>
            <w:tcW w:w="1559" w:type="dxa"/>
            <w:tcBorders>
              <w:top w:val="nil"/>
              <w:left w:val="nil"/>
              <w:bottom w:val="single" w:sz="4" w:space="0" w:color="auto"/>
              <w:right w:val="single" w:sz="4" w:space="0" w:color="auto"/>
            </w:tcBorders>
            <w:shd w:val="clear" w:color="auto" w:fill="auto"/>
            <w:noWrap/>
            <w:vAlign w:val="center"/>
            <w:hideMark/>
          </w:tcPr>
          <w:p w14:paraId="42532054" w14:textId="76592541"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4</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715</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703</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421 </w:t>
            </w:r>
          </w:p>
        </w:tc>
        <w:tc>
          <w:tcPr>
            <w:tcW w:w="1559" w:type="dxa"/>
            <w:tcBorders>
              <w:top w:val="nil"/>
              <w:left w:val="nil"/>
              <w:bottom w:val="single" w:sz="4" w:space="0" w:color="auto"/>
              <w:right w:val="single" w:sz="4" w:space="0" w:color="auto"/>
            </w:tcBorders>
            <w:shd w:val="clear" w:color="auto" w:fill="auto"/>
            <w:noWrap/>
            <w:vAlign w:val="center"/>
            <w:hideMark/>
          </w:tcPr>
          <w:p w14:paraId="0A0C1CB9" w14:textId="69988D38"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47</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157</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034 </w:t>
            </w:r>
          </w:p>
        </w:tc>
      </w:tr>
      <w:tr w:rsidR="00AE6A98" w:rsidRPr="00AE6A98" w14:paraId="07940E30" w14:textId="77777777" w:rsidTr="00AE6A98">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2FA7D349"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179</w:t>
            </w:r>
          </w:p>
        </w:tc>
        <w:tc>
          <w:tcPr>
            <w:tcW w:w="879" w:type="dxa"/>
            <w:tcBorders>
              <w:top w:val="nil"/>
              <w:left w:val="nil"/>
              <w:bottom w:val="single" w:sz="4" w:space="0" w:color="auto"/>
              <w:right w:val="single" w:sz="4" w:space="0" w:color="auto"/>
            </w:tcBorders>
            <w:shd w:val="clear" w:color="auto" w:fill="auto"/>
            <w:noWrap/>
            <w:vAlign w:val="center"/>
            <w:hideMark/>
          </w:tcPr>
          <w:p w14:paraId="546156D5"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830129277</w:t>
            </w:r>
          </w:p>
        </w:tc>
        <w:tc>
          <w:tcPr>
            <w:tcW w:w="4258" w:type="dxa"/>
            <w:tcBorders>
              <w:top w:val="nil"/>
              <w:left w:val="nil"/>
              <w:bottom w:val="single" w:sz="4" w:space="0" w:color="auto"/>
              <w:right w:val="single" w:sz="4" w:space="0" w:color="auto"/>
            </w:tcBorders>
            <w:shd w:val="clear" w:color="auto" w:fill="auto"/>
            <w:vAlign w:val="center"/>
            <w:hideMark/>
          </w:tcPr>
          <w:p w14:paraId="354D15E0"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TERMOYOPAL GENERACION 2 S.A.S. E.S.P.</w:t>
            </w:r>
          </w:p>
        </w:tc>
        <w:tc>
          <w:tcPr>
            <w:tcW w:w="1559" w:type="dxa"/>
            <w:tcBorders>
              <w:top w:val="nil"/>
              <w:left w:val="nil"/>
              <w:bottom w:val="single" w:sz="4" w:space="0" w:color="auto"/>
              <w:right w:val="single" w:sz="4" w:space="0" w:color="auto"/>
            </w:tcBorders>
            <w:shd w:val="clear" w:color="auto" w:fill="auto"/>
            <w:noWrap/>
            <w:vAlign w:val="center"/>
            <w:hideMark/>
          </w:tcPr>
          <w:p w14:paraId="694D0CD0" w14:textId="1D23631B"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2</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294</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731</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323 </w:t>
            </w:r>
          </w:p>
        </w:tc>
        <w:tc>
          <w:tcPr>
            <w:tcW w:w="1559" w:type="dxa"/>
            <w:tcBorders>
              <w:top w:val="nil"/>
              <w:left w:val="nil"/>
              <w:bottom w:val="single" w:sz="4" w:space="0" w:color="auto"/>
              <w:right w:val="single" w:sz="4" w:space="0" w:color="auto"/>
            </w:tcBorders>
            <w:shd w:val="clear" w:color="auto" w:fill="auto"/>
            <w:noWrap/>
            <w:vAlign w:val="center"/>
            <w:hideMark/>
          </w:tcPr>
          <w:p w14:paraId="4BF16A9E" w14:textId="2AAB55CB"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22</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947</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313 </w:t>
            </w:r>
          </w:p>
        </w:tc>
      </w:tr>
      <w:tr w:rsidR="00AE6A98" w:rsidRPr="00AE6A98" w14:paraId="54D6E944" w14:textId="77777777" w:rsidTr="00AE6A98">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55F0F24C"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180</w:t>
            </w:r>
          </w:p>
        </w:tc>
        <w:tc>
          <w:tcPr>
            <w:tcW w:w="879" w:type="dxa"/>
            <w:tcBorders>
              <w:top w:val="nil"/>
              <w:left w:val="nil"/>
              <w:bottom w:val="single" w:sz="4" w:space="0" w:color="auto"/>
              <w:right w:val="single" w:sz="4" w:space="0" w:color="auto"/>
            </w:tcBorders>
            <w:shd w:val="clear" w:color="auto" w:fill="auto"/>
            <w:noWrap/>
            <w:vAlign w:val="center"/>
            <w:hideMark/>
          </w:tcPr>
          <w:p w14:paraId="178C238E"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900433032</w:t>
            </w:r>
          </w:p>
        </w:tc>
        <w:tc>
          <w:tcPr>
            <w:tcW w:w="4258" w:type="dxa"/>
            <w:tcBorders>
              <w:top w:val="nil"/>
              <w:left w:val="nil"/>
              <w:bottom w:val="single" w:sz="4" w:space="0" w:color="auto"/>
              <w:right w:val="single" w:sz="4" w:space="0" w:color="auto"/>
            </w:tcBorders>
            <w:shd w:val="clear" w:color="auto" w:fill="auto"/>
            <w:vAlign w:val="center"/>
            <w:hideMark/>
          </w:tcPr>
          <w:p w14:paraId="763CBF2C" w14:textId="68C2AF18"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TERPEL ENERGIA S.A.S E.S.P</w:t>
            </w:r>
            <w:r w:rsidR="00436FE0">
              <w:rPr>
                <w:rFonts w:ascii="Arial Narrow" w:hAnsi="Arial Narrow" w:cs="Calibri"/>
                <w:color w:val="000000"/>
                <w:spacing w:val="0"/>
                <w:sz w:val="18"/>
                <w:szCs w:val="18"/>
                <w:lang w:eastAsia="es-CO"/>
              </w:rPr>
              <w:t>.</w:t>
            </w:r>
          </w:p>
        </w:tc>
        <w:tc>
          <w:tcPr>
            <w:tcW w:w="1559" w:type="dxa"/>
            <w:tcBorders>
              <w:top w:val="nil"/>
              <w:left w:val="nil"/>
              <w:bottom w:val="single" w:sz="4" w:space="0" w:color="auto"/>
              <w:right w:val="single" w:sz="4" w:space="0" w:color="auto"/>
            </w:tcBorders>
            <w:shd w:val="clear" w:color="auto" w:fill="auto"/>
            <w:noWrap/>
            <w:vAlign w:val="center"/>
            <w:hideMark/>
          </w:tcPr>
          <w:p w14:paraId="137EEADB" w14:textId="0D657701"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475</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121</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964 </w:t>
            </w:r>
          </w:p>
        </w:tc>
        <w:tc>
          <w:tcPr>
            <w:tcW w:w="1559" w:type="dxa"/>
            <w:tcBorders>
              <w:top w:val="nil"/>
              <w:left w:val="nil"/>
              <w:bottom w:val="single" w:sz="4" w:space="0" w:color="auto"/>
              <w:right w:val="single" w:sz="4" w:space="0" w:color="auto"/>
            </w:tcBorders>
            <w:shd w:val="clear" w:color="auto" w:fill="auto"/>
            <w:noWrap/>
            <w:vAlign w:val="center"/>
            <w:hideMark/>
          </w:tcPr>
          <w:p w14:paraId="07048E62" w14:textId="4A444E03"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4</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751</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220 </w:t>
            </w:r>
          </w:p>
        </w:tc>
      </w:tr>
      <w:tr w:rsidR="00AE6A98" w:rsidRPr="00AE6A98" w14:paraId="72C48471" w14:textId="77777777" w:rsidTr="00AE6A98">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53BFC139"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181</w:t>
            </w:r>
          </w:p>
        </w:tc>
        <w:tc>
          <w:tcPr>
            <w:tcW w:w="879" w:type="dxa"/>
            <w:tcBorders>
              <w:top w:val="nil"/>
              <w:left w:val="nil"/>
              <w:bottom w:val="single" w:sz="4" w:space="0" w:color="auto"/>
              <w:right w:val="single" w:sz="4" w:space="0" w:color="auto"/>
            </w:tcBorders>
            <w:shd w:val="clear" w:color="auto" w:fill="auto"/>
            <w:noWrap/>
            <w:vAlign w:val="center"/>
            <w:hideMark/>
          </w:tcPr>
          <w:p w14:paraId="7E649AA5"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802007669</w:t>
            </w:r>
          </w:p>
        </w:tc>
        <w:tc>
          <w:tcPr>
            <w:tcW w:w="4258" w:type="dxa"/>
            <w:tcBorders>
              <w:top w:val="nil"/>
              <w:left w:val="nil"/>
              <w:bottom w:val="single" w:sz="4" w:space="0" w:color="auto"/>
              <w:right w:val="single" w:sz="4" w:space="0" w:color="auto"/>
            </w:tcBorders>
            <w:shd w:val="clear" w:color="auto" w:fill="auto"/>
            <w:vAlign w:val="center"/>
            <w:hideMark/>
          </w:tcPr>
          <w:p w14:paraId="748D9E34"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TRANSELCA S.A. E.S.P.</w:t>
            </w:r>
          </w:p>
        </w:tc>
        <w:tc>
          <w:tcPr>
            <w:tcW w:w="1559" w:type="dxa"/>
            <w:tcBorders>
              <w:top w:val="nil"/>
              <w:left w:val="nil"/>
              <w:bottom w:val="single" w:sz="4" w:space="0" w:color="auto"/>
              <w:right w:val="single" w:sz="4" w:space="0" w:color="auto"/>
            </w:tcBorders>
            <w:shd w:val="clear" w:color="auto" w:fill="auto"/>
            <w:noWrap/>
            <w:vAlign w:val="center"/>
            <w:hideMark/>
          </w:tcPr>
          <w:p w14:paraId="77FB313D" w14:textId="1169D955"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27</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877</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790</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086 </w:t>
            </w:r>
          </w:p>
        </w:tc>
        <w:tc>
          <w:tcPr>
            <w:tcW w:w="1559" w:type="dxa"/>
            <w:tcBorders>
              <w:top w:val="nil"/>
              <w:left w:val="nil"/>
              <w:bottom w:val="single" w:sz="4" w:space="0" w:color="auto"/>
              <w:right w:val="single" w:sz="4" w:space="0" w:color="auto"/>
            </w:tcBorders>
            <w:shd w:val="clear" w:color="auto" w:fill="auto"/>
            <w:noWrap/>
            <w:vAlign w:val="center"/>
            <w:hideMark/>
          </w:tcPr>
          <w:p w14:paraId="7A9CF734" w14:textId="6D1F1488"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278</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777</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901 </w:t>
            </w:r>
          </w:p>
        </w:tc>
      </w:tr>
      <w:tr w:rsidR="00AE6A98" w:rsidRPr="00AE6A98" w14:paraId="16FA87AC" w14:textId="77777777" w:rsidTr="00AE6A98">
        <w:trPr>
          <w:trHeight w:val="6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7819DB4F"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182</w:t>
            </w:r>
          </w:p>
        </w:tc>
        <w:tc>
          <w:tcPr>
            <w:tcW w:w="879" w:type="dxa"/>
            <w:tcBorders>
              <w:top w:val="nil"/>
              <w:left w:val="nil"/>
              <w:bottom w:val="single" w:sz="4" w:space="0" w:color="auto"/>
              <w:right w:val="single" w:sz="4" w:space="0" w:color="auto"/>
            </w:tcBorders>
            <w:shd w:val="clear" w:color="auto" w:fill="auto"/>
            <w:noWrap/>
            <w:vAlign w:val="center"/>
            <w:hideMark/>
          </w:tcPr>
          <w:p w14:paraId="12FF5412"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818000002</w:t>
            </w:r>
          </w:p>
        </w:tc>
        <w:tc>
          <w:tcPr>
            <w:tcW w:w="4258" w:type="dxa"/>
            <w:tcBorders>
              <w:top w:val="nil"/>
              <w:left w:val="nil"/>
              <w:bottom w:val="single" w:sz="4" w:space="0" w:color="auto"/>
              <w:right w:val="single" w:sz="4" w:space="0" w:color="auto"/>
            </w:tcBorders>
            <w:shd w:val="clear" w:color="auto" w:fill="auto"/>
            <w:vAlign w:val="center"/>
            <w:hideMark/>
          </w:tcPr>
          <w:p w14:paraId="6848FF71"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UNIDAD DE SERVICIOS PUBLICOS DE ENERGIA, ACUEDUCTO, ALCANTARILLO Y ASEO DEL MUNICIPIO LITORAL DEL SAN JUAN</w:t>
            </w:r>
          </w:p>
        </w:tc>
        <w:tc>
          <w:tcPr>
            <w:tcW w:w="1559" w:type="dxa"/>
            <w:tcBorders>
              <w:top w:val="nil"/>
              <w:left w:val="nil"/>
              <w:bottom w:val="single" w:sz="4" w:space="0" w:color="auto"/>
              <w:right w:val="single" w:sz="4" w:space="0" w:color="auto"/>
            </w:tcBorders>
            <w:shd w:val="clear" w:color="auto" w:fill="auto"/>
            <w:noWrap/>
            <w:vAlign w:val="center"/>
            <w:hideMark/>
          </w:tcPr>
          <w:p w14:paraId="537C8823" w14:textId="0FDFE1DE"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130</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579</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304 </w:t>
            </w:r>
          </w:p>
        </w:tc>
        <w:tc>
          <w:tcPr>
            <w:tcW w:w="1559" w:type="dxa"/>
            <w:tcBorders>
              <w:top w:val="nil"/>
              <w:left w:val="nil"/>
              <w:bottom w:val="single" w:sz="4" w:space="0" w:color="auto"/>
              <w:right w:val="single" w:sz="4" w:space="0" w:color="auto"/>
            </w:tcBorders>
            <w:shd w:val="clear" w:color="auto" w:fill="auto"/>
            <w:noWrap/>
            <w:vAlign w:val="center"/>
            <w:hideMark/>
          </w:tcPr>
          <w:p w14:paraId="6B7F8ABE" w14:textId="128906DE"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1</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305</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793 </w:t>
            </w:r>
          </w:p>
        </w:tc>
      </w:tr>
      <w:tr w:rsidR="00AE6A98" w:rsidRPr="00AE6A98" w14:paraId="7A31EE7B" w14:textId="77777777" w:rsidTr="00AE6A98">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243393A6"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183</w:t>
            </w:r>
          </w:p>
        </w:tc>
        <w:tc>
          <w:tcPr>
            <w:tcW w:w="879" w:type="dxa"/>
            <w:tcBorders>
              <w:top w:val="nil"/>
              <w:left w:val="nil"/>
              <w:bottom w:val="single" w:sz="4" w:space="0" w:color="auto"/>
              <w:right w:val="single" w:sz="4" w:space="0" w:color="auto"/>
            </w:tcBorders>
            <w:shd w:val="clear" w:color="auto" w:fill="auto"/>
            <w:noWrap/>
            <w:vAlign w:val="center"/>
            <w:hideMark/>
          </w:tcPr>
          <w:p w14:paraId="69B409B0"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900173892</w:t>
            </w:r>
          </w:p>
        </w:tc>
        <w:tc>
          <w:tcPr>
            <w:tcW w:w="4258" w:type="dxa"/>
            <w:tcBorders>
              <w:top w:val="nil"/>
              <w:left w:val="nil"/>
              <w:bottom w:val="single" w:sz="4" w:space="0" w:color="auto"/>
              <w:right w:val="single" w:sz="4" w:space="0" w:color="auto"/>
            </w:tcBorders>
            <w:shd w:val="clear" w:color="auto" w:fill="auto"/>
            <w:vAlign w:val="center"/>
            <w:hideMark/>
          </w:tcPr>
          <w:p w14:paraId="3AE4A298"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UTGC SAS ESP</w:t>
            </w:r>
          </w:p>
        </w:tc>
        <w:tc>
          <w:tcPr>
            <w:tcW w:w="1559" w:type="dxa"/>
            <w:tcBorders>
              <w:top w:val="nil"/>
              <w:left w:val="nil"/>
              <w:bottom w:val="single" w:sz="4" w:space="0" w:color="auto"/>
              <w:right w:val="single" w:sz="4" w:space="0" w:color="auto"/>
            </w:tcBorders>
            <w:shd w:val="clear" w:color="auto" w:fill="auto"/>
            <w:noWrap/>
            <w:vAlign w:val="center"/>
            <w:hideMark/>
          </w:tcPr>
          <w:p w14:paraId="703E6C25" w14:textId="30782B90"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63</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172</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890 </w:t>
            </w:r>
          </w:p>
        </w:tc>
        <w:tc>
          <w:tcPr>
            <w:tcW w:w="1559" w:type="dxa"/>
            <w:tcBorders>
              <w:top w:val="nil"/>
              <w:left w:val="nil"/>
              <w:bottom w:val="single" w:sz="4" w:space="0" w:color="auto"/>
              <w:right w:val="single" w:sz="4" w:space="0" w:color="auto"/>
            </w:tcBorders>
            <w:shd w:val="clear" w:color="auto" w:fill="auto"/>
            <w:noWrap/>
            <w:vAlign w:val="center"/>
            <w:hideMark/>
          </w:tcPr>
          <w:p w14:paraId="25C7B9DC" w14:textId="6A3E6E29"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631</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729 </w:t>
            </w:r>
          </w:p>
        </w:tc>
      </w:tr>
      <w:tr w:rsidR="00AE6A98" w:rsidRPr="00AE6A98" w14:paraId="4B0E71EA" w14:textId="77777777" w:rsidTr="00AE6A98">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6896E269" w14:textId="77777777" w:rsidR="00AE6A98" w:rsidRPr="00AE6A98" w:rsidRDefault="00AE6A98" w:rsidP="00AE6A98">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184</w:t>
            </w:r>
          </w:p>
        </w:tc>
        <w:tc>
          <w:tcPr>
            <w:tcW w:w="879" w:type="dxa"/>
            <w:tcBorders>
              <w:top w:val="nil"/>
              <w:left w:val="nil"/>
              <w:bottom w:val="single" w:sz="4" w:space="0" w:color="auto"/>
              <w:right w:val="single" w:sz="4" w:space="0" w:color="auto"/>
            </w:tcBorders>
            <w:shd w:val="clear" w:color="auto" w:fill="auto"/>
            <w:noWrap/>
            <w:vAlign w:val="center"/>
            <w:hideMark/>
          </w:tcPr>
          <w:p w14:paraId="7F78CE8D" w14:textId="7777777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817001892</w:t>
            </w:r>
          </w:p>
        </w:tc>
        <w:tc>
          <w:tcPr>
            <w:tcW w:w="4258" w:type="dxa"/>
            <w:tcBorders>
              <w:top w:val="nil"/>
              <w:left w:val="nil"/>
              <w:bottom w:val="single" w:sz="4" w:space="0" w:color="auto"/>
              <w:right w:val="single" w:sz="4" w:space="0" w:color="auto"/>
            </w:tcBorders>
            <w:shd w:val="clear" w:color="auto" w:fill="auto"/>
            <w:vAlign w:val="center"/>
            <w:hideMark/>
          </w:tcPr>
          <w:p w14:paraId="5898F374" w14:textId="77777777" w:rsidR="00AE6A98" w:rsidRPr="00AE6A98" w:rsidRDefault="00AE6A98" w:rsidP="00AE6A98">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VATIA S.A. E.S.P.</w:t>
            </w:r>
          </w:p>
        </w:tc>
        <w:tc>
          <w:tcPr>
            <w:tcW w:w="1559" w:type="dxa"/>
            <w:tcBorders>
              <w:top w:val="nil"/>
              <w:left w:val="nil"/>
              <w:bottom w:val="single" w:sz="4" w:space="0" w:color="auto"/>
              <w:right w:val="single" w:sz="4" w:space="0" w:color="auto"/>
            </w:tcBorders>
            <w:shd w:val="clear" w:color="auto" w:fill="auto"/>
            <w:noWrap/>
            <w:vAlign w:val="center"/>
            <w:hideMark/>
          </w:tcPr>
          <w:p w14:paraId="7EC08945" w14:textId="22E55193"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16</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150</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208</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728 </w:t>
            </w:r>
          </w:p>
        </w:tc>
        <w:tc>
          <w:tcPr>
            <w:tcW w:w="1559" w:type="dxa"/>
            <w:tcBorders>
              <w:top w:val="nil"/>
              <w:left w:val="nil"/>
              <w:bottom w:val="single" w:sz="4" w:space="0" w:color="auto"/>
              <w:right w:val="single" w:sz="4" w:space="0" w:color="auto"/>
            </w:tcBorders>
            <w:shd w:val="clear" w:color="auto" w:fill="auto"/>
            <w:noWrap/>
            <w:vAlign w:val="center"/>
            <w:hideMark/>
          </w:tcPr>
          <w:p w14:paraId="3B5F1DFE" w14:textId="111EB427" w:rsidR="00AE6A98" w:rsidRPr="00AE6A98" w:rsidRDefault="00AE6A98" w:rsidP="00AE6A98">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161</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502</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087 </w:t>
            </w:r>
          </w:p>
        </w:tc>
      </w:tr>
      <w:tr w:rsidR="00AE6A98" w:rsidRPr="00AE6A98" w14:paraId="7B276B8F" w14:textId="77777777" w:rsidTr="007825FE">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425B3F58" w14:textId="77777777" w:rsidR="00AE6A98" w:rsidRPr="00AE6A98" w:rsidRDefault="00AE6A98" w:rsidP="007825FE">
            <w:pPr>
              <w:jc w:val="center"/>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185</w:t>
            </w:r>
          </w:p>
        </w:tc>
        <w:tc>
          <w:tcPr>
            <w:tcW w:w="879" w:type="dxa"/>
            <w:tcBorders>
              <w:top w:val="nil"/>
              <w:left w:val="nil"/>
              <w:bottom w:val="single" w:sz="4" w:space="0" w:color="auto"/>
              <w:right w:val="single" w:sz="4" w:space="0" w:color="auto"/>
            </w:tcBorders>
            <w:shd w:val="clear" w:color="auto" w:fill="auto"/>
            <w:noWrap/>
            <w:vAlign w:val="center"/>
            <w:hideMark/>
          </w:tcPr>
          <w:p w14:paraId="4199FE0B" w14:textId="77777777" w:rsidR="00AE6A98" w:rsidRPr="00AE6A98" w:rsidRDefault="00AE6A98" w:rsidP="007825FE">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830113630</w:t>
            </w:r>
          </w:p>
        </w:tc>
        <w:tc>
          <w:tcPr>
            <w:tcW w:w="4258" w:type="dxa"/>
            <w:tcBorders>
              <w:top w:val="nil"/>
              <w:left w:val="nil"/>
              <w:bottom w:val="single" w:sz="4" w:space="0" w:color="auto"/>
              <w:right w:val="single" w:sz="4" w:space="0" w:color="auto"/>
            </w:tcBorders>
            <w:shd w:val="clear" w:color="auto" w:fill="auto"/>
            <w:vAlign w:val="center"/>
            <w:hideMark/>
          </w:tcPr>
          <w:p w14:paraId="4BB3B520" w14:textId="77777777" w:rsidR="00AE6A98" w:rsidRPr="00AE6A98" w:rsidRDefault="00AE6A98" w:rsidP="007825FE">
            <w:pPr>
              <w:jc w:val="lef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ZONA FRANCA CELSIA S.A. E.S.P.</w:t>
            </w:r>
          </w:p>
        </w:tc>
        <w:tc>
          <w:tcPr>
            <w:tcW w:w="1559" w:type="dxa"/>
            <w:tcBorders>
              <w:top w:val="nil"/>
              <w:left w:val="nil"/>
              <w:bottom w:val="single" w:sz="4" w:space="0" w:color="auto"/>
              <w:right w:val="single" w:sz="4" w:space="0" w:color="auto"/>
            </w:tcBorders>
            <w:shd w:val="clear" w:color="auto" w:fill="auto"/>
            <w:noWrap/>
            <w:vAlign w:val="center"/>
            <w:hideMark/>
          </w:tcPr>
          <w:p w14:paraId="48387141" w14:textId="4353DC08" w:rsidR="00AE6A98" w:rsidRPr="00AE6A98" w:rsidRDefault="00AE6A98" w:rsidP="007825FE">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119</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331</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883</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037 </w:t>
            </w:r>
          </w:p>
        </w:tc>
        <w:tc>
          <w:tcPr>
            <w:tcW w:w="1559" w:type="dxa"/>
            <w:tcBorders>
              <w:top w:val="nil"/>
              <w:left w:val="nil"/>
              <w:bottom w:val="single" w:sz="4" w:space="0" w:color="auto"/>
              <w:right w:val="single" w:sz="4" w:space="0" w:color="auto"/>
            </w:tcBorders>
            <w:shd w:val="clear" w:color="auto" w:fill="auto"/>
            <w:noWrap/>
            <w:vAlign w:val="center"/>
            <w:hideMark/>
          </w:tcPr>
          <w:p w14:paraId="385DA248" w14:textId="4AB5E5C5" w:rsidR="00AE6A98" w:rsidRPr="00AE6A98" w:rsidRDefault="00AE6A98" w:rsidP="007825FE">
            <w:pPr>
              <w:jc w:val="right"/>
              <w:rPr>
                <w:rFonts w:ascii="Arial Narrow" w:hAnsi="Arial Narrow" w:cs="Calibri"/>
                <w:color w:val="000000"/>
                <w:spacing w:val="0"/>
                <w:sz w:val="18"/>
                <w:szCs w:val="18"/>
                <w:lang w:eastAsia="es-CO"/>
              </w:rPr>
            </w:pPr>
            <w:r w:rsidRPr="00AE6A98">
              <w:rPr>
                <w:rFonts w:ascii="Arial Narrow" w:hAnsi="Arial Narrow" w:cs="Calibri"/>
                <w:color w:val="000000"/>
                <w:spacing w:val="0"/>
                <w:sz w:val="18"/>
                <w:szCs w:val="18"/>
                <w:lang w:eastAsia="es-CO"/>
              </w:rPr>
              <w:t xml:space="preserve">           1</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193</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318</w:t>
            </w:r>
            <w:r w:rsidR="007F7A3E">
              <w:rPr>
                <w:rFonts w:ascii="Arial Narrow" w:hAnsi="Arial Narrow" w:cs="Calibri"/>
                <w:color w:val="000000"/>
                <w:spacing w:val="0"/>
                <w:sz w:val="18"/>
                <w:szCs w:val="18"/>
                <w:lang w:eastAsia="es-CO"/>
              </w:rPr>
              <w:t>.</w:t>
            </w:r>
            <w:r w:rsidRPr="00AE6A98">
              <w:rPr>
                <w:rFonts w:ascii="Arial Narrow" w:hAnsi="Arial Narrow" w:cs="Calibri"/>
                <w:color w:val="000000"/>
                <w:spacing w:val="0"/>
                <w:sz w:val="18"/>
                <w:szCs w:val="18"/>
                <w:lang w:eastAsia="es-CO"/>
              </w:rPr>
              <w:t xml:space="preserve">830 </w:t>
            </w:r>
          </w:p>
        </w:tc>
      </w:tr>
      <w:tr w:rsidR="00AE6A98" w:rsidRPr="00AE6A98" w14:paraId="7688D3C1" w14:textId="77777777" w:rsidTr="00436FE0">
        <w:trPr>
          <w:trHeight w:val="290"/>
        </w:trPr>
        <w:tc>
          <w:tcPr>
            <w:tcW w:w="7083" w:type="dxa"/>
            <w:gridSpan w:val="4"/>
            <w:tcBorders>
              <w:top w:val="nil"/>
              <w:left w:val="single" w:sz="4" w:space="0" w:color="auto"/>
              <w:bottom w:val="single" w:sz="4" w:space="0" w:color="auto"/>
              <w:right w:val="single" w:sz="4" w:space="0" w:color="auto"/>
            </w:tcBorders>
            <w:shd w:val="clear" w:color="auto" w:fill="E7E6E6" w:themeFill="background2"/>
            <w:noWrap/>
            <w:vAlign w:val="center"/>
          </w:tcPr>
          <w:p w14:paraId="77837E77" w14:textId="0CBE6914" w:rsidR="00AE6A98" w:rsidRPr="00AE6A98" w:rsidRDefault="00AE6A98" w:rsidP="00AE6A98">
            <w:pPr>
              <w:jc w:val="right"/>
              <w:rPr>
                <w:rFonts w:ascii="Arial Narrow" w:hAnsi="Arial Narrow" w:cs="Calibri"/>
                <w:b/>
                <w:bCs/>
                <w:color w:val="000000"/>
                <w:spacing w:val="0"/>
                <w:sz w:val="18"/>
                <w:szCs w:val="18"/>
                <w:lang w:eastAsia="es-CO"/>
              </w:rPr>
            </w:pPr>
            <w:r w:rsidRPr="00AE6A98">
              <w:rPr>
                <w:rFonts w:ascii="Arial Narrow" w:hAnsi="Arial Narrow" w:cs="Calibri"/>
                <w:b/>
                <w:bCs/>
                <w:color w:val="000000"/>
                <w:spacing w:val="0"/>
                <w:sz w:val="18"/>
                <w:szCs w:val="18"/>
                <w:lang w:eastAsia="es-CO"/>
              </w:rPr>
              <w:t>TOTAL</w:t>
            </w:r>
            <w:r w:rsidR="00E96967">
              <w:rPr>
                <w:rFonts w:ascii="Arial Narrow" w:hAnsi="Arial Narrow" w:cs="Calibri"/>
                <w:b/>
                <w:bCs/>
                <w:color w:val="000000"/>
                <w:spacing w:val="0"/>
                <w:sz w:val="18"/>
                <w:szCs w:val="18"/>
                <w:lang w:eastAsia="es-CO"/>
              </w:rPr>
              <w:t xml:space="preserve"> ENERGÍA ELÉCTRICA</w:t>
            </w:r>
            <w:r w:rsidRPr="00AE6A98">
              <w:rPr>
                <w:rFonts w:ascii="Arial Narrow" w:hAnsi="Arial Narrow" w:cs="Calibri"/>
                <w:b/>
                <w:bCs/>
                <w:color w:val="000000"/>
                <w:spacing w:val="0"/>
                <w:sz w:val="18"/>
                <w:szCs w:val="18"/>
                <w:lang w:eastAsia="es-CO"/>
              </w:rPr>
              <w:t xml:space="preserve"> </w:t>
            </w:r>
          </w:p>
        </w:tc>
        <w:tc>
          <w:tcPr>
            <w:tcW w:w="1559" w:type="dxa"/>
            <w:tcBorders>
              <w:top w:val="nil"/>
              <w:left w:val="nil"/>
              <w:bottom w:val="single" w:sz="4" w:space="0" w:color="auto"/>
              <w:right w:val="single" w:sz="4" w:space="0" w:color="auto"/>
            </w:tcBorders>
            <w:shd w:val="clear" w:color="auto" w:fill="E7E6E6" w:themeFill="background2"/>
            <w:noWrap/>
            <w:vAlign w:val="center"/>
            <w:hideMark/>
          </w:tcPr>
          <w:p w14:paraId="0A97A45A" w14:textId="2A3B878D" w:rsidR="00AE6A98" w:rsidRPr="00AE6A98" w:rsidRDefault="00AE6A98" w:rsidP="00AE6A98">
            <w:pPr>
              <w:jc w:val="right"/>
              <w:rPr>
                <w:rFonts w:ascii="Arial Narrow" w:hAnsi="Arial Narrow" w:cs="Calibri"/>
                <w:b/>
                <w:bCs/>
                <w:color w:val="000000"/>
                <w:spacing w:val="0"/>
                <w:sz w:val="18"/>
                <w:szCs w:val="18"/>
                <w:lang w:eastAsia="es-CO"/>
              </w:rPr>
            </w:pPr>
            <w:r w:rsidRPr="00AE6A98">
              <w:rPr>
                <w:rFonts w:ascii="Arial Narrow" w:hAnsi="Arial Narrow" w:cs="Calibri"/>
                <w:b/>
                <w:bCs/>
                <w:color w:val="000000"/>
                <w:sz w:val="18"/>
                <w:szCs w:val="18"/>
              </w:rPr>
              <w:t xml:space="preserve">         19</w:t>
            </w:r>
            <w:r w:rsidR="007F7A3E">
              <w:rPr>
                <w:rFonts w:ascii="Arial Narrow" w:hAnsi="Arial Narrow" w:cs="Calibri"/>
                <w:b/>
                <w:bCs/>
                <w:color w:val="000000"/>
                <w:sz w:val="18"/>
                <w:szCs w:val="18"/>
              </w:rPr>
              <w:t>.</w:t>
            </w:r>
            <w:r w:rsidRPr="00AE6A98">
              <w:rPr>
                <w:rFonts w:ascii="Arial Narrow" w:hAnsi="Arial Narrow" w:cs="Calibri"/>
                <w:b/>
                <w:bCs/>
                <w:color w:val="000000"/>
                <w:sz w:val="18"/>
                <w:szCs w:val="18"/>
              </w:rPr>
              <w:t>789</w:t>
            </w:r>
            <w:r w:rsidR="007F7A3E">
              <w:rPr>
                <w:rFonts w:ascii="Arial Narrow" w:hAnsi="Arial Narrow" w:cs="Calibri"/>
                <w:b/>
                <w:bCs/>
                <w:color w:val="000000"/>
                <w:sz w:val="18"/>
                <w:szCs w:val="18"/>
              </w:rPr>
              <w:t>.</w:t>
            </w:r>
            <w:r w:rsidRPr="00AE6A98">
              <w:rPr>
                <w:rFonts w:ascii="Arial Narrow" w:hAnsi="Arial Narrow" w:cs="Calibri"/>
                <w:b/>
                <w:bCs/>
                <w:color w:val="000000"/>
                <w:sz w:val="18"/>
                <w:szCs w:val="18"/>
              </w:rPr>
              <w:t>790</w:t>
            </w:r>
            <w:r w:rsidR="007F7A3E">
              <w:rPr>
                <w:rFonts w:ascii="Arial Narrow" w:hAnsi="Arial Narrow" w:cs="Calibri"/>
                <w:b/>
                <w:bCs/>
                <w:color w:val="000000"/>
                <w:sz w:val="18"/>
                <w:szCs w:val="18"/>
              </w:rPr>
              <w:t>.</w:t>
            </w:r>
            <w:r w:rsidRPr="00AE6A98">
              <w:rPr>
                <w:rFonts w:ascii="Arial Narrow" w:hAnsi="Arial Narrow" w:cs="Calibri"/>
                <w:b/>
                <w:bCs/>
                <w:color w:val="000000"/>
                <w:sz w:val="18"/>
                <w:szCs w:val="18"/>
              </w:rPr>
              <w:t xml:space="preserve">875 </w:t>
            </w:r>
          </w:p>
        </w:tc>
      </w:tr>
    </w:tbl>
    <w:p w14:paraId="340AB7D1" w14:textId="5E03102E" w:rsidR="00AE6A98" w:rsidRDefault="00AE6A98" w:rsidP="00F154A7">
      <w:pPr>
        <w:pStyle w:val="Prrafodelista"/>
        <w:spacing w:line="240" w:lineRule="auto"/>
        <w:ind w:left="0"/>
        <w:rPr>
          <w:rFonts w:ascii="Arial" w:hAnsi="Arial" w:cs="Arial"/>
          <w:bCs/>
        </w:rPr>
      </w:pPr>
    </w:p>
    <w:p w14:paraId="36909718" w14:textId="64013A26" w:rsidR="00AB0B17" w:rsidRDefault="00AB0B17" w:rsidP="00F154A7">
      <w:pPr>
        <w:pStyle w:val="Prrafodelista"/>
        <w:spacing w:line="240" w:lineRule="auto"/>
        <w:ind w:left="0"/>
        <w:rPr>
          <w:rFonts w:ascii="Arial" w:hAnsi="Arial" w:cs="Arial"/>
          <w:bCs/>
        </w:rPr>
      </w:pPr>
    </w:p>
    <w:p w14:paraId="1E20BA1E" w14:textId="783F44DF" w:rsidR="00AB0B17" w:rsidRDefault="00AB0B17" w:rsidP="00F154A7">
      <w:pPr>
        <w:pStyle w:val="Prrafodelista"/>
        <w:spacing w:line="240" w:lineRule="auto"/>
        <w:ind w:left="0"/>
        <w:rPr>
          <w:rFonts w:ascii="Arial" w:hAnsi="Arial" w:cs="Arial"/>
          <w:bCs/>
        </w:rPr>
      </w:pPr>
    </w:p>
    <w:p w14:paraId="2E4215A0" w14:textId="77777777" w:rsidR="00AB0B17" w:rsidRDefault="00AB0B17" w:rsidP="00F154A7">
      <w:pPr>
        <w:pStyle w:val="Prrafodelista"/>
        <w:spacing w:line="240" w:lineRule="auto"/>
        <w:ind w:left="0"/>
        <w:rPr>
          <w:rFonts w:ascii="Arial" w:hAnsi="Arial" w:cs="Arial"/>
          <w:bCs/>
        </w:rPr>
      </w:pPr>
    </w:p>
    <w:p w14:paraId="07201B49" w14:textId="63F1D4E8" w:rsidR="00583C5E" w:rsidRPr="00767202" w:rsidRDefault="00754297" w:rsidP="00767202">
      <w:pPr>
        <w:pStyle w:val="Subttulo"/>
        <w:numPr>
          <w:ilvl w:val="1"/>
          <w:numId w:val="37"/>
        </w:numPr>
        <w:spacing w:after="0"/>
        <w:ind w:left="357" w:hanging="357"/>
        <w:jc w:val="left"/>
        <w:rPr>
          <w:b/>
          <w:bCs/>
          <w:sz w:val="22"/>
          <w:szCs w:val="22"/>
        </w:rPr>
      </w:pPr>
      <w:bookmarkStart w:id="62" w:name="_Toc88126865"/>
      <w:r w:rsidRPr="00767202">
        <w:rPr>
          <w:b/>
          <w:bCs/>
          <w:sz w:val="22"/>
          <w:szCs w:val="22"/>
        </w:rPr>
        <w:lastRenderedPageBreak/>
        <w:t xml:space="preserve">SERVICIO DE </w:t>
      </w:r>
      <w:r w:rsidR="006A5A99" w:rsidRPr="00767202">
        <w:rPr>
          <w:b/>
          <w:bCs/>
          <w:sz w:val="22"/>
          <w:szCs w:val="22"/>
        </w:rPr>
        <w:t>GAS NATURAL</w:t>
      </w:r>
      <w:r w:rsidR="00147F70" w:rsidRPr="00767202">
        <w:rPr>
          <w:b/>
          <w:bCs/>
          <w:sz w:val="22"/>
          <w:szCs w:val="22"/>
        </w:rPr>
        <w:t>.</w:t>
      </w:r>
      <w:bookmarkEnd w:id="62"/>
      <w:r w:rsidRPr="00767202">
        <w:rPr>
          <w:b/>
          <w:bCs/>
          <w:sz w:val="22"/>
          <w:szCs w:val="22"/>
        </w:rPr>
        <w:t xml:space="preserve"> </w:t>
      </w:r>
    </w:p>
    <w:p w14:paraId="3360ECA6" w14:textId="77777777" w:rsidR="006B5A5E" w:rsidRDefault="006B5A5E" w:rsidP="00583C5E">
      <w:pPr>
        <w:pStyle w:val="Prrafodelista"/>
        <w:ind w:left="0"/>
        <w:jc w:val="left"/>
        <w:rPr>
          <w:rFonts w:cs="Arial"/>
          <w:bCs/>
        </w:rPr>
      </w:pPr>
    </w:p>
    <w:p w14:paraId="563455C5" w14:textId="446A22CE" w:rsidR="00754297" w:rsidRPr="00756169" w:rsidRDefault="00754297" w:rsidP="00583C5E">
      <w:pPr>
        <w:pStyle w:val="Prrafodelista"/>
        <w:ind w:left="0"/>
        <w:jc w:val="left"/>
        <w:rPr>
          <w:rFonts w:ascii="Arial" w:hAnsi="Arial" w:cs="Arial"/>
          <w:bCs/>
        </w:rPr>
      </w:pPr>
      <w:r w:rsidRPr="00756169">
        <w:rPr>
          <w:rFonts w:ascii="Arial" w:hAnsi="Arial" w:cs="Arial"/>
          <w:bCs/>
        </w:rPr>
        <w:t xml:space="preserve">A continuación, se relacionan las empresas reguladas que prestan el servicio de </w:t>
      </w:r>
      <w:r w:rsidR="008E2C67" w:rsidRPr="00756169">
        <w:rPr>
          <w:rFonts w:ascii="Arial" w:hAnsi="Arial" w:cs="Arial"/>
          <w:bCs/>
        </w:rPr>
        <w:t>gas natural</w:t>
      </w:r>
      <w:r w:rsidRPr="00756169">
        <w:rPr>
          <w:rFonts w:ascii="Arial" w:hAnsi="Arial" w:cs="Arial"/>
          <w:bCs/>
        </w:rPr>
        <w:t>:</w:t>
      </w:r>
    </w:p>
    <w:tbl>
      <w:tblPr>
        <w:tblW w:w="8720" w:type="dxa"/>
        <w:tblCellMar>
          <w:left w:w="70" w:type="dxa"/>
          <w:right w:w="70" w:type="dxa"/>
        </w:tblCellMar>
        <w:tblLook w:val="04A0" w:firstRow="1" w:lastRow="0" w:firstColumn="1" w:lastColumn="0" w:noHBand="0" w:noVBand="1"/>
      </w:tblPr>
      <w:tblGrid>
        <w:gridCol w:w="387"/>
        <w:gridCol w:w="879"/>
        <w:gridCol w:w="4354"/>
        <w:gridCol w:w="1480"/>
        <w:gridCol w:w="1620"/>
      </w:tblGrid>
      <w:tr w:rsidR="00436FE0" w:rsidRPr="00436FE0" w14:paraId="2373BCFF" w14:textId="77777777" w:rsidTr="00436FE0">
        <w:trPr>
          <w:trHeight w:val="290"/>
          <w:tblHeader/>
        </w:trPr>
        <w:tc>
          <w:tcPr>
            <w:tcW w:w="387"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A4D2964" w14:textId="77777777" w:rsidR="00436FE0" w:rsidRPr="00436FE0" w:rsidRDefault="00436FE0" w:rsidP="00436FE0">
            <w:pPr>
              <w:jc w:val="center"/>
              <w:rPr>
                <w:rFonts w:ascii="Arial Narrow" w:hAnsi="Arial Narrow" w:cs="Calibri"/>
                <w:b/>
                <w:bCs/>
                <w:color w:val="000000"/>
                <w:spacing w:val="0"/>
                <w:sz w:val="18"/>
                <w:szCs w:val="18"/>
                <w:lang w:eastAsia="es-CO"/>
              </w:rPr>
            </w:pPr>
            <w:r w:rsidRPr="00436FE0">
              <w:rPr>
                <w:rFonts w:ascii="Arial Narrow" w:hAnsi="Arial Narrow" w:cs="Calibri"/>
                <w:b/>
                <w:bCs/>
                <w:color w:val="000000"/>
                <w:spacing w:val="0"/>
                <w:sz w:val="18"/>
                <w:szCs w:val="18"/>
                <w:lang w:eastAsia="es-CO"/>
              </w:rPr>
              <w:t>N°</w:t>
            </w:r>
          </w:p>
        </w:tc>
        <w:tc>
          <w:tcPr>
            <w:tcW w:w="879" w:type="dxa"/>
            <w:tcBorders>
              <w:top w:val="single" w:sz="4" w:space="0" w:color="auto"/>
              <w:left w:val="nil"/>
              <w:bottom w:val="single" w:sz="4" w:space="0" w:color="auto"/>
              <w:right w:val="single" w:sz="4" w:space="0" w:color="auto"/>
            </w:tcBorders>
            <w:shd w:val="clear" w:color="000000" w:fill="F2F2F2"/>
            <w:noWrap/>
            <w:vAlign w:val="center"/>
            <w:hideMark/>
          </w:tcPr>
          <w:p w14:paraId="7D39DB4F" w14:textId="77777777" w:rsidR="00436FE0" w:rsidRPr="00436FE0" w:rsidRDefault="00436FE0" w:rsidP="00436FE0">
            <w:pPr>
              <w:jc w:val="center"/>
              <w:rPr>
                <w:rFonts w:ascii="Arial Narrow" w:hAnsi="Arial Narrow" w:cs="Calibri"/>
                <w:b/>
                <w:bCs/>
                <w:color w:val="000000"/>
                <w:spacing w:val="0"/>
                <w:sz w:val="18"/>
                <w:szCs w:val="18"/>
                <w:lang w:eastAsia="es-CO"/>
              </w:rPr>
            </w:pPr>
            <w:r w:rsidRPr="00436FE0">
              <w:rPr>
                <w:rFonts w:ascii="Arial Narrow" w:hAnsi="Arial Narrow" w:cs="Calibri"/>
                <w:b/>
                <w:bCs/>
                <w:color w:val="000000"/>
                <w:spacing w:val="0"/>
                <w:sz w:val="18"/>
                <w:szCs w:val="18"/>
                <w:lang w:eastAsia="es-CO"/>
              </w:rPr>
              <w:t>NIT</w:t>
            </w:r>
          </w:p>
        </w:tc>
        <w:tc>
          <w:tcPr>
            <w:tcW w:w="4354" w:type="dxa"/>
            <w:tcBorders>
              <w:top w:val="single" w:sz="4" w:space="0" w:color="auto"/>
              <w:left w:val="nil"/>
              <w:bottom w:val="single" w:sz="4" w:space="0" w:color="auto"/>
              <w:right w:val="single" w:sz="4" w:space="0" w:color="auto"/>
            </w:tcBorders>
            <w:shd w:val="clear" w:color="000000" w:fill="F2F2F2"/>
            <w:vAlign w:val="center"/>
            <w:hideMark/>
          </w:tcPr>
          <w:p w14:paraId="2F9F5AD0" w14:textId="77777777" w:rsidR="00436FE0" w:rsidRPr="00436FE0" w:rsidRDefault="00436FE0" w:rsidP="00436FE0">
            <w:pPr>
              <w:jc w:val="center"/>
              <w:rPr>
                <w:rFonts w:ascii="Arial Narrow" w:hAnsi="Arial Narrow" w:cs="Calibri"/>
                <w:b/>
                <w:bCs/>
                <w:color w:val="000000"/>
                <w:spacing w:val="0"/>
                <w:sz w:val="18"/>
                <w:szCs w:val="18"/>
                <w:lang w:eastAsia="es-CO"/>
              </w:rPr>
            </w:pPr>
            <w:r w:rsidRPr="00436FE0">
              <w:rPr>
                <w:rFonts w:ascii="Arial Narrow" w:hAnsi="Arial Narrow" w:cs="Calibri"/>
                <w:b/>
                <w:bCs/>
                <w:color w:val="000000"/>
                <w:spacing w:val="0"/>
                <w:sz w:val="18"/>
                <w:szCs w:val="18"/>
                <w:lang w:eastAsia="es-CO"/>
              </w:rPr>
              <w:t>RAZÓN SOCIAL DEL REGULADO</w:t>
            </w:r>
          </w:p>
        </w:tc>
        <w:tc>
          <w:tcPr>
            <w:tcW w:w="1480" w:type="dxa"/>
            <w:tcBorders>
              <w:top w:val="single" w:sz="4" w:space="0" w:color="auto"/>
              <w:left w:val="nil"/>
              <w:bottom w:val="single" w:sz="4" w:space="0" w:color="auto"/>
              <w:right w:val="single" w:sz="4" w:space="0" w:color="auto"/>
            </w:tcBorders>
            <w:shd w:val="clear" w:color="000000" w:fill="F2F2F2"/>
            <w:noWrap/>
            <w:vAlign w:val="center"/>
            <w:hideMark/>
          </w:tcPr>
          <w:p w14:paraId="0F6BB3CF" w14:textId="77777777" w:rsidR="00436FE0" w:rsidRPr="00436FE0" w:rsidRDefault="00436FE0" w:rsidP="00436FE0">
            <w:pPr>
              <w:jc w:val="center"/>
              <w:rPr>
                <w:rFonts w:ascii="Arial Narrow" w:hAnsi="Arial Narrow" w:cs="Calibri"/>
                <w:b/>
                <w:bCs/>
                <w:color w:val="000000"/>
                <w:spacing w:val="0"/>
                <w:sz w:val="18"/>
                <w:szCs w:val="18"/>
                <w:lang w:eastAsia="es-CO"/>
              </w:rPr>
            </w:pPr>
            <w:r w:rsidRPr="00436FE0">
              <w:rPr>
                <w:rFonts w:ascii="Arial Narrow" w:hAnsi="Arial Narrow" w:cs="Calibri"/>
                <w:b/>
                <w:bCs/>
                <w:color w:val="000000"/>
                <w:spacing w:val="0"/>
                <w:sz w:val="18"/>
                <w:szCs w:val="18"/>
                <w:lang w:eastAsia="es-CO"/>
              </w:rPr>
              <w:t>Base gravable</w:t>
            </w:r>
          </w:p>
        </w:tc>
        <w:tc>
          <w:tcPr>
            <w:tcW w:w="1620" w:type="dxa"/>
            <w:tcBorders>
              <w:top w:val="single" w:sz="4" w:space="0" w:color="auto"/>
              <w:left w:val="nil"/>
              <w:bottom w:val="single" w:sz="4" w:space="0" w:color="auto"/>
              <w:right w:val="single" w:sz="4" w:space="0" w:color="auto"/>
            </w:tcBorders>
            <w:shd w:val="clear" w:color="000000" w:fill="F2F2F2"/>
            <w:noWrap/>
            <w:vAlign w:val="center"/>
            <w:hideMark/>
          </w:tcPr>
          <w:p w14:paraId="31DDC24C" w14:textId="77777777" w:rsidR="00436FE0" w:rsidRPr="00436FE0" w:rsidRDefault="00436FE0" w:rsidP="00436FE0">
            <w:pPr>
              <w:jc w:val="center"/>
              <w:rPr>
                <w:rFonts w:ascii="Arial Narrow" w:hAnsi="Arial Narrow" w:cs="Calibri"/>
                <w:b/>
                <w:bCs/>
                <w:color w:val="000000"/>
                <w:spacing w:val="0"/>
                <w:sz w:val="18"/>
                <w:szCs w:val="18"/>
                <w:lang w:eastAsia="es-CO"/>
              </w:rPr>
            </w:pPr>
            <w:r w:rsidRPr="00436FE0">
              <w:rPr>
                <w:rFonts w:ascii="Arial Narrow" w:hAnsi="Arial Narrow" w:cs="Calibri"/>
                <w:b/>
                <w:bCs/>
                <w:color w:val="000000"/>
                <w:spacing w:val="0"/>
                <w:sz w:val="18"/>
                <w:szCs w:val="18"/>
                <w:lang w:eastAsia="es-CO"/>
              </w:rPr>
              <w:t>Contribución 2021</w:t>
            </w:r>
          </w:p>
        </w:tc>
      </w:tr>
      <w:tr w:rsidR="00436FE0" w:rsidRPr="00436FE0" w14:paraId="2DEECDDA" w14:textId="77777777" w:rsidTr="00436FE0">
        <w:trPr>
          <w:trHeight w:val="251"/>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2A263EE1"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1</w:t>
            </w:r>
          </w:p>
        </w:tc>
        <w:tc>
          <w:tcPr>
            <w:tcW w:w="879" w:type="dxa"/>
            <w:tcBorders>
              <w:top w:val="nil"/>
              <w:left w:val="nil"/>
              <w:bottom w:val="single" w:sz="4" w:space="0" w:color="auto"/>
              <w:right w:val="single" w:sz="4" w:space="0" w:color="auto"/>
            </w:tcBorders>
            <w:shd w:val="clear" w:color="auto" w:fill="auto"/>
            <w:noWrap/>
            <w:vAlign w:val="center"/>
            <w:hideMark/>
          </w:tcPr>
          <w:p w14:paraId="18471914"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900155624</w:t>
            </w:r>
          </w:p>
        </w:tc>
        <w:tc>
          <w:tcPr>
            <w:tcW w:w="4354" w:type="dxa"/>
            <w:tcBorders>
              <w:top w:val="nil"/>
              <w:left w:val="nil"/>
              <w:bottom w:val="single" w:sz="4" w:space="0" w:color="auto"/>
              <w:right w:val="single" w:sz="4" w:space="0" w:color="auto"/>
            </w:tcBorders>
            <w:shd w:val="clear" w:color="auto" w:fill="auto"/>
            <w:vAlign w:val="center"/>
            <w:hideMark/>
          </w:tcPr>
          <w:p w14:paraId="7A99D7D9" w14:textId="77777777" w:rsidR="00436FE0" w:rsidRPr="00436FE0" w:rsidRDefault="00436FE0" w:rsidP="00436FE0">
            <w:pPr>
              <w:jc w:val="lef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A&amp;A ENERGY SAS ESP</w:t>
            </w:r>
          </w:p>
        </w:tc>
        <w:tc>
          <w:tcPr>
            <w:tcW w:w="1480" w:type="dxa"/>
            <w:tcBorders>
              <w:top w:val="nil"/>
              <w:left w:val="nil"/>
              <w:bottom w:val="single" w:sz="4" w:space="0" w:color="auto"/>
              <w:right w:val="single" w:sz="4" w:space="0" w:color="auto"/>
            </w:tcBorders>
            <w:shd w:val="clear" w:color="auto" w:fill="auto"/>
            <w:noWrap/>
            <w:vAlign w:val="center"/>
            <w:hideMark/>
          </w:tcPr>
          <w:p w14:paraId="7AFA99E3" w14:textId="3889AEFC"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221</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318</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616 </w:t>
            </w:r>
          </w:p>
        </w:tc>
        <w:tc>
          <w:tcPr>
            <w:tcW w:w="1620" w:type="dxa"/>
            <w:tcBorders>
              <w:top w:val="nil"/>
              <w:left w:val="nil"/>
              <w:bottom w:val="single" w:sz="4" w:space="0" w:color="auto"/>
              <w:right w:val="single" w:sz="4" w:space="0" w:color="auto"/>
            </w:tcBorders>
            <w:shd w:val="clear" w:color="auto" w:fill="auto"/>
            <w:noWrap/>
            <w:vAlign w:val="center"/>
            <w:hideMark/>
          </w:tcPr>
          <w:p w14:paraId="7AEE959E" w14:textId="35137FCC"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2</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213</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186 </w:t>
            </w:r>
          </w:p>
        </w:tc>
      </w:tr>
      <w:tr w:rsidR="00436FE0" w:rsidRPr="00436FE0" w14:paraId="379B16A6" w14:textId="77777777" w:rsidTr="00436FE0">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3D5BFCFC"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2</w:t>
            </w:r>
          </w:p>
        </w:tc>
        <w:tc>
          <w:tcPr>
            <w:tcW w:w="879" w:type="dxa"/>
            <w:tcBorders>
              <w:top w:val="nil"/>
              <w:left w:val="nil"/>
              <w:bottom w:val="single" w:sz="4" w:space="0" w:color="auto"/>
              <w:right w:val="single" w:sz="4" w:space="0" w:color="auto"/>
            </w:tcBorders>
            <w:shd w:val="clear" w:color="auto" w:fill="auto"/>
            <w:noWrap/>
            <w:vAlign w:val="center"/>
            <w:hideMark/>
          </w:tcPr>
          <w:p w14:paraId="0D0532C1"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891101577</w:t>
            </w:r>
          </w:p>
        </w:tc>
        <w:tc>
          <w:tcPr>
            <w:tcW w:w="4354" w:type="dxa"/>
            <w:tcBorders>
              <w:top w:val="nil"/>
              <w:left w:val="nil"/>
              <w:bottom w:val="single" w:sz="4" w:space="0" w:color="auto"/>
              <w:right w:val="single" w:sz="4" w:space="0" w:color="auto"/>
            </w:tcBorders>
            <w:shd w:val="clear" w:color="auto" w:fill="auto"/>
            <w:vAlign w:val="center"/>
            <w:hideMark/>
          </w:tcPr>
          <w:p w14:paraId="1B78DC79" w14:textId="77777777" w:rsidR="00436FE0" w:rsidRPr="00436FE0" w:rsidRDefault="00436FE0" w:rsidP="00436FE0">
            <w:pPr>
              <w:jc w:val="lef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ALCANOS DE COLOMBIA S.A. E.S.P.</w:t>
            </w:r>
          </w:p>
        </w:tc>
        <w:tc>
          <w:tcPr>
            <w:tcW w:w="1480" w:type="dxa"/>
            <w:tcBorders>
              <w:top w:val="nil"/>
              <w:left w:val="nil"/>
              <w:bottom w:val="single" w:sz="4" w:space="0" w:color="auto"/>
              <w:right w:val="single" w:sz="4" w:space="0" w:color="auto"/>
            </w:tcBorders>
            <w:shd w:val="clear" w:color="auto" w:fill="auto"/>
            <w:noWrap/>
            <w:vAlign w:val="center"/>
            <w:hideMark/>
          </w:tcPr>
          <w:p w14:paraId="06AED6F1" w14:textId="58C1D1C2"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16</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199</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457</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501 </w:t>
            </w:r>
          </w:p>
        </w:tc>
        <w:tc>
          <w:tcPr>
            <w:tcW w:w="1620" w:type="dxa"/>
            <w:tcBorders>
              <w:top w:val="nil"/>
              <w:left w:val="nil"/>
              <w:bottom w:val="single" w:sz="4" w:space="0" w:color="auto"/>
              <w:right w:val="single" w:sz="4" w:space="0" w:color="auto"/>
            </w:tcBorders>
            <w:shd w:val="clear" w:color="auto" w:fill="auto"/>
            <w:noWrap/>
            <w:vAlign w:val="center"/>
            <w:hideMark/>
          </w:tcPr>
          <w:p w14:paraId="7C788BE0" w14:textId="7778C56C"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161</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994</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575 </w:t>
            </w:r>
          </w:p>
        </w:tc>
      </w:tr>
      <w:tr w:rsidR="00436FE0" w:rsidRPr="00436FE0" w14:paraId="15E4B336" w14:textId="77777777" w:rsidTr="00436FE0">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53C0A4F6"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3</w:t>
            </w:r>
          </w:p>
        </w:tc>
        <w:tc>
          <w:tcPr>
            <w:tcW w:w="879" w:type="dxa"/>
            <w:tcBorders>
              <w:top w:val="nil"/>
              <w:left w:val="nil"/>
              <w:bottom w:val="single" w:sz="4" w:space="0" w:color="auto"/>
              <w:right w:val="single" w:sz="4" w:space="0" w:color="auto"/>
            </w:tcBorders>
            <w:shd w:val="clear" w:color="auto" w:fill="auto"/>
            <w:noWrap/>
            <w:vAlign w:val="center"/>
            <w:hideMark/>
          </w:tcPr>
          <w:p w14:paraId="20855639"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900851785</w:t>
            </w:r>
          </w:p>
        </w:tc>
        <w:tc>
          <w:tcPr>
            <w:tcW w:w="4354" w:type="dxa"/>
            <w:tcBorders>
              <w:top w:val="nil"/>
              <w:left w:val="nil"/>
              <w:bottom w:val="single" w:sz="4" w:space="0" w:color="auto"/>
              <w:right w:val="single" w:sz="4" w:space="0" w:color="auto"/>
            </w:tcBorders>
            <w:shd w:val="clear" w:color="auto" w:fill="auto"/>
            <w:vAlign w:val="center"/>
            <w:hideMark/>
          </w:tcPr>
          <w:p w14:paraId="36498EEA" w14:textId="77777777" w:rsidR="00436FE0" w:rsidRPr="00436FE0" w:rsidRDefault="00436FE0" w:rsidP="00436FE0">
            <w:pPr>
              <w:jc w:val="lef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CALAMARI LNG SA ESP</w:t>
            </w:r>
          </w:p>
        </w:tc>
        <w:tc>
          <w:tcPr>
            <w:tcW w:w="1480" w:type="dxa"/>
            <w:tcBorders>
              <w:top w:val="nil"/>
              <w:left w:val="nil"/>
              <w:bottom w:val="single" w:sz="4" w:space="0" w:color="auto"/>
              <w:right w:val="single" w:sz="4" w:space="0" w:color="auto"/>
            </w:tcBorders>
            <w:shd w:val="clear" w:color="auto" w:fill="auto"/>
            <w:noWrap/>
            <w:vAlign w:val="center"/>
            <w:hideMark/>
          </w:tcPr>
          <w:p w14:paraId="3EFC886A" w14:textId="03B33826"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1</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433</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870</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726 </w:t>
            </w:r>
          </w:p>
        </w:tc>
        <w:tc>
          <w:tcPr>
            <w:tcW w:w="1620" w:type="dxa"/>
            <w:tcBorders>
              <w:top w:val="nil"/>
              <w:left w:val="nil"/>
              <w:bottom w:val="single" w:sz="4" w:space="0" w:color="auto"/>
              <w:right w:val="single" w:sz="4" w:space="0" w:color="auto"/>
            </w:tcBorders>
            <w:shd w:val="clear" w:color="auto" w:fill="auto"/>
            <w:noWrap/>
            <w:vAlign w:val="center"/>
            <w:hideMark/>
          </w:tcPr>
          <w:p w14:paraId="790A2970" w14:textId="27D19C3D"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14</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338</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707 </w:t>
            </w:r>
          </w:p>
        </w:tc>
      </w:tr>
      <w:tr w:rsidR="00436FE0" w:rsidRPr="00436FE0" w14:paraId="15E410E0" w14:textId="77777777" w:rsidTr="00436FE0">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01BBEC79"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4</w:t>
            </w:r>
          </w:p>
        </w:tc>
        <w:tc>
          <w:tcPr>
            <w:tcW w:w="879" w:type="dxa"/>
            <w:tcBorders>
              <w:top w:val="nil"/>
              <w:left w:val="nil"/>
              <w:bottom w:val="single" w:sz="4" w:space="0" w:color="auto"/>
              <w:right w:val="single" w:sz="4" w:space="0" w:color="auto"/>
            </w:tcBorders>
            <w:shd w:val="clear" w:color="auto" w:fill="auto"/>
            <w:noWrap/>
            <w:vAlign w:val="center"/>
            <w:hideMark/>
          </w:tcPr>
          <w:p w14:paraId="216B86DF"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830095563</w:t>
            </w:r>
          </w:p>
        </w:tc>
        <w:tc>
          <w:tcPr>
            <w:tcW w:w="4354" w:type="dxa"/>
            <w:tcBorders>
              <w:top w:val="nil"/>
              <w:left w:val="nil"/>
              <w:bottom w:val="single" w:sz="4" w:space="0" w:color="auto"/>
              <w:right w:val="single" w:sz="4" w:space="0" w:color="auto"/>
            </w:tcBorders>
            <w:shd w:val="clear" w:color="auto" w:fill="auto"/>
            <w:vAlign w:val="center"/>
            <w:hideMark/>
          </w:tcPr>
          <w:p w14:paraId="3521D33C" w14:textId="77777777" w:rsidR="00436FE0" w:rsidRPr="00436FE0" w:rsidRDefault="00436FE0" w:rsidP="00436FE0">
            <w:pPr>
              <w:jc w:val="lef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CANACOL ENERGY COLOMBIA S.A.</w:t>
            </w:r>
          </w:p>
        </w:tc>
        <w:tc>
          <w:tcPr>
            <w:tcW w:w="1480" w:type="dxa"/>
            <w:tcBorders>
              <w:top w:val="nil"/>
              <w:left w:val="nil"/>
              <w:bottom w:val="single" w:sz="4" w:space="0" w:color="auto"/>
              <w:right w:val="single" w:sz="4" w:space="0" w:color="auto"/>
            </w:tcBorders>
            <w:shd w:val="clear" w:color="auto" w:fill="auto"/>
            <w:noWrap/>
            <w:vAlign w:val="center"/>
            <w:hideMark/>
          </w:tcPr>
          <w:p w14:paraId="6DB17471" w14:textId="7CC09D39"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48</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049</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177</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041 </w:t>
            </w:r>
          </w:p>
        </w:tc>
        <w:tc>
          <w:tcPr>
            <w:tcW w:w="1620" w:type="dxa"/>
            <w:tcBorders>
              <w:top w:val="nil"/>
              <w:left w:val="nil"/>
              <w:bottom w:val="single" w:sz="4" w:space="0" w:color="auto"/>
              <w:right w:val="single" w:sz="4" w:space="0" w:color="auto"/>
            </w:tcBorders>
            <w:shd w:val="clear" w:color="auto" w:fill="auto"/>
            <w:noWrap/>
            <w:vAlign w:val="center"/>
            <w:hideMark/>
          </w:tcPr>
          <w:p w14:paraId="4BCD167A" w14:textId="707D584D"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480</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491</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770 </w:t>
            </w:r>
          </w:p>
        </w:tc>
      </w:tr>
      <w:tr w:rsidR="00436FE0" w:rsidRPr="00436FE0" w14:paraId="75FF5CE3" w14:textId="77777777" w:rsidTr="00436FE0">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696830F2"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5</w:t>
            </w:r>
          </w:p>
        </w:tc>
        <w:tc>
          <w:tcPr>
            <w:tcW w:w="879" w:type="dxa"/>
            <w:tcBorders>
              <w:top w:val="nil"/>
              <w:left w:val="nil"/>
              <w:bottom w:val="single" w:sz="4" w:space="0" w:color="auto"/>
              <w:right w:val="single" w:sz="4" w:space="0" w:color="auto"/>
            </w:tcBorders>
            <w:shd w:val="clear" w:color="auto" w:fill="auto"/>
            <w:noWrap/>
            <w:vAlign w:val="center"/>
            <w:hideMark/>
          </w:tcPr>
          <w:p w14:paraId="5D2AB05E"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900038232</w:t>
            </w:r>
          </w:p>
        </w:tc>
        <w:tc>
          <w:tcPr>
            <w:tcW w:w="4354" w:type="dxa"/>
            <w:tcBorders>
              <w:top w:val="nil"/>
              <w:left w:val="nil"/>
              <w:bottom w:val="single" w:sz="4" w:space="0" w:color="auto"/>
              <w:right w:val="single" w:sz="4" w:space="0" w:color="auto"/>
            </w:tcBorders>
            <w:shd w:val="clear" w:color="auto" w:fill="auto"/>
            <w:vAlign w:val="center"/>
            <w:hideMark/>
          </w:tcPr>
          <w:p w14:paraId="49BCFB09" w14:textId="77777777" w:rsidR="00436FE0" w:rsidRPr="00436FE0" w:rsidRDefault="00436FE0" w:rsidP="00436FE0">
            <w:pPr>
              <w:jc w:val="lef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CENTRAL TERMOELECTRICA EL MORRO 2 SAS ESP</w:t>
            </w:r>
          </w:p>
        </w:tc>
        <w:tc>
          <w:tcPr>
            <w:tcW w:w="1480" w:type="dxa"/>
            <w:tcBorders>
              <w:top w:val="nil"/>
              <w:left w:val="nil"/>
              <w:bottom w:val="single" w:sz="4" w:space="0" w:color="auto"/>
              <w:right w:val="single" w:sz="4" w:space="0" w:color="auto"/>
            </w:tcBorders>
            <w:shd w:val="clear" w:color="auto" w:fill="auto"/>
            <w:noWrap/>
            <w:vAlign w:val="center"/>
            <w:hideMark/>
          </w:tcPr>
          <w:p w14:paraId="71F76FE5" w14:textId="33DC4826"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598</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363</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686 </w:t>
            </w:r>
          </w:p>
        </w:tc>
        <w:tc>
          <w:tcPr>
            <w:tcW w:w="1620" w:type="dxa"/>
            <w:tcBorders>
              <w:top w:val="nil"/>
              <w:left w:val="nil"/>
              <w:bottom w:val="single" w:sz="4" w:space="0" w:color="auto"/>
              <w:right w:val="single" w:sz="4" w:space="0" w:color="auto"/>
            </w:tcBorders>
            <w:shd w:val="clear" w:color="auto" w:fill="auto"/>
            <w:noWrap/>
            <w:vAlign w:val="center"/>
            <w:hideMark/>
          </w:tcPr>
          <w:p w14:paraId="3C8C860C" w14:textId="105A7468"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5</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983</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637 </w:t>
            </w:r>
          </w:p>
        </w:tc>
      </w:tr>
      <w:tr w:rsidR="00436FE0" w:rsidRPr="00436FE0" w14:paraId="5B5371E1" w14:textId="77777777" w:rsidTr="00436FE0">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609B6B32"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6</w:t>
            </w:r>
          </w:p>
        </w:tc>
        <w:tc>
          <w:tcPr>
            <w:tcW w:w="879" w:type="dxa"/>
            <w:tcBorders>
              <w:top w:val="nil"/>
              <w:left w:val="nil"/>
              <w:bottom w:val="single" w:sz="4" w:space="0" w:color="auto"/>
              <w:right w:val="single" w:sz="4" w:space="0" w:color="auto"/>
            </w:tcBorders>
            <w:shd w:val="clear" w:color="auto" w:fill="auto"/>
            <w:noWrap/>
            <w:vAlign w:val="center"/>
            <w:hideMark/>
          </w:tcPr>
          <w:p w14:paraId="456C4B62"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900808884</w:t>
            </w:r>
          </w:p>
        </w:tc>
        <w:tc>
          <w:tcPr>
            <w:tcW w:w="4354" w:type="dxa"/>
            <w:tcBorders>
              <w:top w:val="nil"/>
              <w:left w:val="nil"/>
              <w:bottom w:val="single" w:sz="4" w:space="0" w:color="auto"/>
              <w:right w:val="single" w:sz="4" w:space="0" w:color="auto"/>
            </w:tcBorders>
            <w:shd w:val="clear" w:color="auto" w:fill="auto"/>
            <w:vAlign w:val="center"/>
            <w:hideMark/>
          </w:tcPr>
          <w:p w14:paraId="6694CFDB" w14:textId="77777777" w:rsidR="00436FE0" w:rsidRPr="00436FE0" w:rsidRDefault="00436FE0" w:rsidP="00436FE0">
            <w:pPr>
              <w:jc w:val="lef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CHIPALO ENERGY TRADING SAS ESP</w:t>
            </w:r>
          </w:p>
        </w:tc>
        <w:tc>
          <w:tcPr>
            <w:tcW w:w="1480" w:type="dxa"/>
            <w:tcBorders>
              <w:top w:val="nil"/>
              <w:left w:val="nil"/>
              <w:bottom w:val="single" w:sz="4" w:space="0" w:color="auto"/>
              <w:right w:val="single" w:sz="4" w:space="0" w:color="auto"/>
            </w:tcBorders>
            <w:shd w:val="clear" w:color="auto" w:fill="auto"/>
            <w:noWrap/>
            <w:vAlign w:val="center"/>
            <w:hideMark/>
          </w:tcPr>
          <w:p w14:paraId="75F6FBEB" w14:textId="7FEBFA59"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32</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394</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720 </w:t>
            </w:r>
          </w:p>
        </w:tc>
        <w:tc>
          <w:tcPr>
            <w:tcW w:w="1620" w:type="dxa"/>
            <w:tcBorders>
              <w:top w:val="nil"/>
              <w:left w:val="nil"/>
              <w:bottom w:val="single" w:sz="4" w:space="0" w:color="auto"/>
              <w:right w:val="single" w:sz="4" w:space="0" w:color="auto"/>
            </w:tcBorders>
            <w:shd w:val="clear" w:color="auto" w:fill="auto"/>
            <w:noWrap/>
            <w:vAlign w:val="center"/>
            <w:hideMark/>
          </w:tcPr>
          <w:p w14:paraId="1F2B4DC6" w14:textId="07E8BD32"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323</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947 </w:t>
            </w:r>
          </w:p>
        </w:tc>
      </w:tr>
      <w:tr w:rsidR="00436FE0" w:rsidRPr="00436FE0" w14:paraId="14625EEC" w14:textId="77777777" w:rsidTr="00436FE0">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2B44B37C"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7</w:t>
            </w:r>
          </w:p>
        </w:tc>
        <w:tc>
          <w:tcPr>
            <w:tcW w:w="879" w:type="dxa"/>
            <w:tcBorders>
              <w:top w:val="nil"/>
              <w:left w:val="nil"/>
              <w:bottom w:val="single" w:sz="4" w:space="0" w:color="auto"/>
              <w:right w:val="single" w:sz="4" w:space="0" w:color="auto"/>
            </w:tcBorders>
            <w:shd w:val="clear" w:color="auto" w:fill="auto"/>
            <w:noWrap/>
            <w:vAlign w:val="center"/>
            <w:hideMark/>
          </w:tcPr>
          <w:p w14:paraId="05A6615C"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900713658</w:t>
            </w:r>
          </w:p>
        </w:tc>
        <w:tc>
          <w:tcPr>
            <w:tcW w:w="4354" w:type="dxa"/>
            <w:tcBorders>
              <w:top w:val="nil"/>
              <w:left w:val="nil"/>
              <w:bottom w:val="single" w:sz="4" w:space="0" w:color="auto"/>
              <w:right w:val="single" w:sz="4" w:space="0" w:color="auto"/>
            </w:tcBorders>
            <w:shd w:val="clear" w:color="auto" w:fill="auto"/>
            <w:vAlign w:val="center"/>
            <w:hideMark/>
          </w:tcPr>
          <w:p w14:paraId="5AF1BA92" w14:textId="77777777" w:rsidR="00436FE0" w:rsidRPr="00436FE0" w:rsidRDefault="00436FE0" w:rsidP="00436FE0">
            <w:pPr>
              <w:jc w:val="lef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CNE OIL &amp; GAS SAS</w:t>
            </w:r>
          </w:p>
        </w:tc>
        <w:tc>
          <w:tcPr>
            <w:tcW w:w="1480" w:type="dxa"/>
            <w:tcBorders>
              <w:top w:val="nil"/>
              <w:left w:val="nil"/>
              <w:bottom w:val="single" w:sz="4" w:space="0" w:color="auto"/>
              <w:right w:val="single" w:sz="4" w:space="0" w:color="auto"/>
            </w:tcBorders>
            <w:shd w:val="clear" w:color="auto" w:fill="auto"/>
            <w:noWrap/>
            <w:vAlign w:val="center"/>
            <w:hideMark/>
          </w:tcPr>
          <w:p w14:paraId="068F5D11" w14:textId="7A2CCE09"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40</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462</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841</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725 </w:t>
            </w:r>
          </w:p>
        </w:tc>
        <w:tc>
          <w:tcPr>
            <w:tcW w:w="1620" w:type="dxa"/>
            <w:tcBorders>
              <w:top w:val="nil"/>
              <w:left w:val="nil"/>
              <w:bottom w:val="single" w:sz="4" w:space="0" w:color="auto"/>
              <w:right w:val="single" w:sz="4" w:space="0" w:color="auto"/>
            </w:tcBorders>
            <w:shd w:val="clear" w:color="auto" w:fill="auto"/>
            <w:noWrap/>
            <w:vAlign w:val="center"/>
            <w:hideMark/>
          </w:tcPr>
          <w:p w14:paraId="44F2097A" w14:textId="58DC41B6"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404</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628</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417 </w:t>
            </w:r>
          </w:p>
        </w:tc>
      </w:tr>
      <w:tr w:rsidR="00436FE0" w:rsidRPr="00436FE0" w14:paraId="7EA2DA41" w14:textId="77777777" w:rsidTr="00436FE0">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1CE02FCB"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8</w:t>
            </w:r>
          </w:p>
        </w:tc>
        <w:tc>
          <w:tcPr>
            <w:tcW w:w="879" w:type="dxa"/>
            <w:tcBorders>
              <w:top w:val="nil"/>
              <w:left w:val="nil"/>
              <w:bottom w:val="single" w:sz="4" w:space="0" w:color="auto"/>
              <w:right w:val="single" w:sz="4" w:space="0" w:color="auto"/>
            </w:tcBorders>
            <w:shd w:val="clear" w:color="auto" w:fill="auto"/>
            <w:noWrap/>
            <w:vAlign w:val="center"/>
            <w:hideMark/>
          </w:tcPr>
          <w:p w14:paraId="5F965117"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900100553</w:t>
            </w:r>
          </w:p>
        </w:tc>
        <w:tc>
          <w:tcPr>
            <w:tcW w:w="4354" w:type="dxa"/>
            <w:tcBorders>
              <w:top w:val="nil"/>
              <w:left w:val="nil"/>
              <w:bottom w:val="single" w:sz="4" w:space="0" w:color="auto"/>
              <w:right w:val="single" w:sz="4" w:space="0" w:color="auto"/>
            </w:tcBorders>
            <w:shd w:val="clear" w:color="auto" w:fill="auto"/>
            <w:vAlign w:val="center"/>
            <w:hideMark/>
          </w:tcPr>
          <w:p w14:paraId="24B1D119" w14:textId="77777777" w:rsidR="00436FE0" w:rsidRPr="00436FE0" w:rsidRDefault="00436FE0" w:rsidP="00436FE0">
            <w:pPr>
              <w:jc w:val="lef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COINOBRAS GAS S.A. ESP</w:t>
            </w:r>
          </w:p>
        </w:tc>
        <w:tc>
          <w:tcPr>
            <w:tcW w:w="1480" w:type="dxa"/>
            <w:tcBorders>
              <w:top w:val="nil"/>
              <w:left w:val="nil"/>
              <w:bottom w:val="single" w:sz="4" w:space="0" w:color="auto"/>
              <w:right w:val="single" w:sz="4" w:space="0" w:color="auto"/>
            </w:tcBorders>
            <w:shd w:val="clear" w:color="auto" w:fill="auto"/>
            <w:noWrap/>
            <w:vAlign w:val="center"/>
            <w:hideMark/>
          </w:tcPr>
          <w:p w14:paraId="54AF7B94" w14:textId="7EB46705"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647</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873</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488 </w:t>
            </w:r>
          </w:p>
        </w:tc>
        <w:tc>
          <w:tcPr>
            <w:tcW w:w="1620" w:type="dxa"/>
            <w:tcBorders>
              <w:top w:val="nil"/>
              <w:left w:val="nil"/>
              <w:bottom w:val="single" w:sz="4" w:space="0" w:color="auto"/>
              <w:right w:val="single" w:sz="4" w:space="0" w:color="auto"/>
            </w:tcBorders>
            <w:shd w:val="clear" w:color="auto" w:fill="auto"/>
            <w:noWrap/>
            <w:vAlign w:val="center"/>
            <w:hideMark/>
          </w:tcPr>
          <w:p w14:paraId="6B24D240" w14:textId="4FC010A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6</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478</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735 </w:t>
            </w:r>
          </w:p>
        </w:tc>
      </w:tr>
      <w:tr w:rsidR="00436FE0" w:rsidRPr="00436FE0" w14:paraId="196C5806" w14:textId="77777777" w:rsidTr="00436FE0">
        <w:trPr>
          <w:trHeight w:val="46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489BFD4D"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9</w:t>
            </w:r>
          </w:p>
        </w:tc>
        <w:tc>
          <w:tcPr>
            <w:tcW w:w="879" w:type="dxa"/>
            <w:tcBorders>
              <w:top w:val="nil"/>
              <w:left w:val="nil"/>
              <w:bottom w:val="single" w:sz="4" w:space="0" w:color="auto"/>
              <w:right w:val="single" w:sz="4" w:space="0" w:color="auto"/>
            </w:tcBorders>
            <w:shd w:val="clear" w:color="auto" w:fill="auto"/>
            <w:noWrap/>
            <w:vAlign w:val="center"/>
            <w:hideMark/>
          </w:tcPr>
          <w:p w14:paraId="23515F65"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900716459</w:t>
            </w:r>
          </w:p>
        </w:tc>
        <w:tc>
          <w:tcPr>
            <w:tcW w:w="4354" w:type="dxa"/>
            <w:tcBorders>
              <w:top w:val="nil"/>
              <w:left w:val="nil"/>
              <w:bottom w:val="single" w:sz="4" w:space="0" w:color="auto"/>
              <w:right w:val="single" w:sz="4" w:space="0" w:color="auto"/>
            </w:tcBorders>
            <w:shd w:val="clear" w:color="auto" w:fill="auto"/>
            <w:vAlign w:val="center"/>
            <w:hideMark/>
          </w:tcPr>
          <w:p w14:paraId="03C5792A" w14:textId="77777777" w:rsidR="00436FE0" w:rsidRPr="00436FE0" w:rsidRDefault="00436FE0" w:rsidP="00436FE0">
            <w:pPr>
              <w:jc w:val="lef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COLOMBIANA DE SERVICIOS PÚBLICOS SOSTENIBLES S.A E.S.P</w:t>
            </w:r>
          </w:p>
        </w:tc>
        <w:tc>
          <w:tcPr>
            <w:tcW w:w="1480" w:type="dxa"/>
            <w:tcBorders>
              <w:top w:val="nil"/>
              <w:left w:val="nil"/>
              <w:bottom w:val="single" w:sz="4" w:space="0" w:color="auto"/>
              <w:right w:val="single" w:sz="4" w:space="0" w:color="auto"/>
            </w:tcBorders>
            <w:shd w:val="clear" w:color="auto" w:fill="auto"/>
            <w:noWrap/>
            <w:vAlign w:val="center"/>
            <w:hideMark/>
          </w:tcPr>
          <w:p w14:paraId="49C60112" w14:textId="3BDE11A0"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144</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986</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003 </w:t>
            </w:r>
          </w:p>
        </w:tc>
        <w:tc>
          <w:tcPr>
            <w:tcW w:w="1620" w:type="dxa"/>
            <w:tcBorders>
              <w:top w:val="nil"/>
              <w:left w:val="nil"/>
              <w:bottom w:val="single" w:sz="4" w:space="0" w:color="auto"/>
              <w:right w:val="single" w:sz="4" w:space="0" w:color="auto"/>
            </w:tcBorders>
            <w:shd w:val="clear" w:color="auto" w:fill="auto"/>
            <w:noWrap/>
            <w:vAlign w:val="center"/>
            <w:hideMark/>
          </w:tcPr>
          <w:p w14:paraId="4C23EDF3" w14:textId="6C54FB9C"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1</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449</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860 </w:t>
            </w:r>
          </w:p>
        </w:tc>
      </w:tr>
      <w:tr w:rsidR="00436FE0" w:rsidRPr="00436FE0" w14:paraId="4D6FC5E0" w14:textId="77777777" w:rsidTr="00436FE0">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6C79A25D"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10</w:t>
            </w:r>
          </w:p>
        </w:tc>
        <w:tc>
          <w:tcPr>
            <w:tcW w:w="879" w:type="dxa"/>
            <w:tcBorders>
              <w:top w:val="nil"/>
              <w:left w:val="nil"/>
              <w:bottom w:val="single" w:sz="4" w:space="0" w:color="auto"/>
              <w:right w:val="single" w:sz="4" w:space="0" w:color="auto"/>
            </w:tcBorders>
            <w:shd w:val="clear" w:color="auto" w:fill="auto"/>
            <w:noWrap/>
            <w:vAlign w:val="center"/>
            <w:hideMark/>
          </w:tcPr>
          <w:p w14:paraId="1156AEDE"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900321520</w:t>
            </w:r>
          </w:p>
        </w:tc>
        <w:tc>
          <w:tcPr>
            <w:tcW w:w="4354" w:type="dxa"/>
            <w:tcBorders>
              <w:top w:val="nil"/>
              <w:left w:val="nil"/>
              <w:bottom w:val="single" w:sz="4" w:space="0" w:color="auto"/>
              <w:right w:val="single" w:sz="4" w:space="0" w:color="auto"/>
            </w:tcBorders>
            <w:shd w:val="clear" w:color="auto" w:fill="auto"/>
            <w:vAlign w:val="center"/>
            <w:hideMark/>
          </w:tcPr>
          <w:p w14:paraId="457F2F79" w14:textId="77777777" w:rsidR="00436FE0" w:rsidRPr="00436FE0" w:rsidRDefault="00436FE0" w:rsidP="00436FE0">
            <w:pPr>
              <w:jc w:val="lef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COMERCIALIZADORA DE GASES NATURALES SAS ESP</w:t>
            </w:r>
          </w:p>
        </w:tc>
        <w:tc>
          <w:tcPr>
            <w:tcW w:w="1480" w:type="dxa"/>
            <w:tcBorders>
              <w:top w:val="nil"/>
              <w:left w:val="nil"/>
              <w:bottom w:val="single" w:sz="4" w:space="0" w:color="auto"/>
              <w:right w:val="single" w:sz="4" w:space="0" w:color="auto"/>
            </w:tcBorders>
            <w:shd w:val="clear" w:color="auto" w:fill="auto"/>
            <w:noWrap/>
            <w:vAlign w:val="center"/>
            <w:hideMark/>
          </w:tcPr>
          <w:p w14:paraId="3B4D10F8" w14:textId="79E4069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835</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885</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384 </w:t>
            </w:r>
          </w:p>
        </w:tc>
        <w:tc>
          <w:tcPr>
            <w:tcW w:w="1620" w:type="dxa"/>
            <w:tcBorders>
              <w:top w:val="nil"/>
              <w:left w:val="nil"/>
              <w:bottom w:val="single" w:sz="4" w:space="0" w:color="auto"/>
              <w:right w:val="single" w:sz="4" w:space="0" w:color="auto"/>
            </w:tcBorders>
            <w:shd w:val="clear" w:color="auto" w:fill="auto"/>
            <w:noWrap/>
            <w:vAlign w:val="center"/>
            <w:hideMark/>
          </w:tcPr>
          <w:p w14:paraId="1690D609" w14:textId="10806BC4"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8</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358</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854 </w:t>
            </w:r>
          </w:p>
        </w:tc>
      </w:tr>
      <w:tr w:rsidR="00436FE0" w:rsidRPr="00436FE0" w14:paraId="596F3ADB" w14:textId="77777777" w:rsidTr="00436FE0">
        <w:trPr>
          <w:trHeight w:val="46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5406FB77"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11</w:t>
            </w:r>
          </w:p>
        </w:tc>
        <w:tc>
          <w:tcPr>
            <w:tcW w:w="879" w:type="dxa"/>
            <w:tcBorders>
              <w:top w:val="nil"/>
              <w:left w:val="nil"/>
              <w:bottom w:val="single" w:sz="4" w:space="0" w:color="auto"/>
              <w:right w:val="single" w:sz="4" w:space="0" w:color="auto"/>
            </w:tcBorders>
            <w:shd w:val="clear" w:color="auto" w:fill="auto"/>
            <w:noWrap/>
            <w:vAlign w:val="center"/>
            <w:hideMark/>
          </w:tcPr>
          <w:p w14:paraId="2AE9DCF2"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901070018</w:t>
            </w:r>
          </w:p>
        </w:tc>
        <w:tc>
          <w:tcPr>
            <w:tcW w:w="4354" w:type="dxa"/>
            <w:tcBorders>
              <w:top w:val="nil"/>
              <w:left w:val="nil"/>
              <w:bottom w:val="single" w:sz="4" w:space="0" w:color="auto"/>
              <w:right w:val="single" w:sz="4" w:space="0" w:color="auto"/>
            </w:tcBorders>
            <w:shd w:val="clear" w:color="auto" w:fill="auto"/>
            <w:vAlign w:val="center"/>
            <w:hideMark/>
          </w:tcPr>
          <w:p w14:paraId="68CE0C26" w14:textId="77777777" w:rsidR="00436FE0" w:rsidRPr="00436FE0" w:rsidRDefault="00436FE0" w:rsidP="00436FE0">
            <w:pPr>
              <w:jc w:val="lef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COMPAÑIA COMERCIALIZADORA DE RECURSOS ENERGETICOS E.S.P SAS</w:t>
            </w:r>
          </w:p>
        </w:tc>
        <w:tc>
          <w:tcPr>
            <w:tcW w:w="1480" w:type="dxa"/>
            <w:tcBorders>
              <w:top w:val="nil"/>
              <w:left w:val="nil"/>
              <w:bottom w:val="single" w:sz="4" w:space="0" w:color="auto"/>
              <w:right w:val="single" w:sz="4" w:space="0" w:color="auto"/>
            </w:tcBorders>
            <w:shd w:val="clear" w:color="auto" w:fill="auto"/>
            <w:noWrap/>
            <w:vAlign w:val="center"/>
            <w:hideMark/>
          </w:tcPr>
          <w:p w14:paraId="43B4FEA6" w14:textId="00F6EF44"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1</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497</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454</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123 </w:t>
            </w:r>
          </w:p>
        </w:tc>
        <w:tc>
          <w:tcPr>
            <w:tcW w:w="1620" w:type="dxa"/>
            <w:tcBorders>
              <w:top w:val="nil"/>
              <w:left w:val="nil"/>
              <w:bottom w:val="single" w:sz="4" w:space="0" w:color="auto"/>
              <w:right w:val="single" w:sz="4" w:space="0" w:color="auto"/>
            </w:tcBorders>
            <w:shd w:val="clear" w:color="auto" w:fill="auto"/>
            <w:noWrap/>
            <w:vAlign w:val="center"/>
            <w:hideMark/>
          </w:tcPr>
          <w:p w14:paraId="1199EEEA" w14:textId="797BCBC6"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14</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974</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541 </w:t>
            </w:r>
          </w:p>
        </w:tc>
      </w:tr>
      <w:tr w:rsidR="00436FE0" w:rsidRPr="00436FE0" w14:paraId="61083F20" w14:textId="77777777" w:rsidTr="00436FE0">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1B31D813"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12</w:t>
            </w:r>
          </w:p>
        </w:tc>
        <w:tc>
          <w:tcPr>
            <w:tcW w:w="879" w:type="dxa"/>
            <w:tcBorders>
              <w:top w:val="nil"/>
              <w:left w:val="nil"/>
              <w:bottom w:val="single" w:sz="4" w:space="0" w:color="auto"/>
              <w:right w:val="single" w:sz="4" w:space="0" w:color="auto"/>
            </w:tcBorders>
            <w:shd w:val="clear" w:color="auto" w:fill="auto"/>
            <w:noWrap/>
            <w:vAlign w:val="center"/>
            <w:hideMark/>
          </w:tcPr>
          <w:p w14:paraId="623B15AF"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901020967</w:t>
            </w:r>
          </w:p>
        </w:tc>
        <w:tc>
          <w:tcPr>
            <w:tcW w:w="4354" w:type="dxa"/>
            <w:tcBorders>
              <w:top w:val="nil"/>
              <w:left w:val="nil"/>
              <w:bottom w:val="single" w:sz="4" w:space="0" w:color="auto"/>
              <w:right w:val="single" w:sz="4" w:space="0" w:color="auto"/>
            </w:tcBorders>
            <w:shd w:val="clear" w:color="auto" w:fill="auto"/>
            <w:vAlign w:val="center"/>
            <w:hideMark/>
          </w:tcPr>
          <w:p w14:paraId="0FBBD10A" w14:textId="77777777" w:rsidR="00436FE0" w:rsidRPr="00436FE0" w:rsidRDefault="00436FE0" w:rsidP="00436FE0">
            <w:pPr>
              <w:jc w:val="lef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COMPRIGAS S.A.S.  E.S.P.</w:t>
            </w:r>
          </w:p>
        </w:tc>
        <w:tc>
          <w:tcPr>
            <w:tcW w:w="1480" w:type="dxa"/>
            <w:tcBorders>
              <w:top w:val="nil"/>
              <w:left w:val="nil"/>
              <w:bottom w:val="single" w:sz="4" w:space="0" w:color="auto"/>
              <w:right w:val="single" w:sz="4" w:space="0" w:color="auto"/>
            </w:tcBorders>
            <w:shd w:val="clear" w:color="auto" w:fill="auto"/>
            <w:noWrap/>
            <w:vAlign w:val="center"/>
            <w:hideMark/>
          </w:tcPr>
          <w:p w14:paraId="334F26C7" w14:textId="76721600"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886</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433</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068 </w:t>
            </w:r>
          </w:p>
        </w:tc>
        <w:tc>
          <w:tcPr>
            <w:tcW w:w="1620" w:type="dxa"/>
            <w:tcBorders>
              <w:top w:val="nil"/>
              <w:left w:val="nil"/>
              <w:bottom w:val="single" w:sz="4" w:space="0" w:color="auto"/>
              <w:right w:val="single" w:sz="4" w:space="0" w:color="auto"/>
            </w:tcBorders>
            <w:shd w:val="clear" w:color="auto" w:fill="auto"/>
            <w:noWrap/>
            <w:vAlign w:val="center"/>
            <w:hideMark/>
          </w:tcPr>
          <w:p w14:paraId="7E8F7855" w14:textId="5BB1345B"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8</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864</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331 </w:t>
            </w:r>
          </w:p>
        </w:tc>
      </w:tr>
      <w:tr w:rsidR="00436FE0" w:rsidRPr="00436FE0" w14:paraId="0CB9FFDB" w14:textId="77777777" w:rsidTr="00436FE0">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146A9E59"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13</w:t>
            </w:r>
          </w:p>
        </w:tc>
        <w:tc>
          <w:tcPr>
            <w:tcW w:w="879" w:type="dxa"/>
            <w:tcBorders>
              <w:top w:val="nil"/>
              <w:left w:val="nil"/>
              <w:bottom w:val="single" w:sz="4" w:space="0" w:color="auto"/>
              <w:right w:val="single" w:sz="4" w:space="0" w:color="auto"/>
            </w:tcBorders>
            <w:shd w:val="clear" w:color="auto" w:fill="auto"/>
            <w:noWrap/>
            <w:vAlign w:val="center"/>
            <w:hideMark/>
          </w:tcPr>
          <w:p w14:paraId="59496923"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830055402</w:t>
            </w:r>
          </w:p>
        </w:tc>
        <w:tc>
          <w:tcPr>
            <w:tcW w:w="4354" w:type="dxa"/>
            <w:tcBorders>
              <w:top w:val="nil"/>
              <w:left w:val="nil"/>
              <w:bottom w:val="single" w:sz="4" w:space="0" w:color="auto"/>
              <w:right w:val="single" w:sz="4" w:space="0" w:color="auto"/>
            </w:tcBorders>
            <w:shd w:val="clear" w:color="auto" w:fill="auto"/>
            <w:vAlign w:val="center"/>
            <w:hideMark/>
          </w:tcPr>
          <w:p w14:paraId="70535561" w14:textId="77777777" w:rsidR="00436FE0" w:rsidRPr="00436FE0" w:rsidRDefault="00436FE0" w:rsidP="00436FE0">
            <w:pPr>
              <w:jc w:val="lef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DINAGAS S.A. E.S.P.</w:t>
            </w:r>
          </w:p>
        </w:tc>
        <w:tc>
          <w:tcPr>
            <w:tcW w:w="1480" w:type="dxa"/>
            <w:tcBorders>
              <w:top w:val="nil"/>
              <w:left w:val="nil"/>
              <w:bottom w:val="single" w:sz="4" w:space="0" w:color="auto"/>
              <w:right w:val="single" w:sz="4" w:space="0" w:color="auto"/>
            </w:tcBorders>
            <w:shd w:val="clear" w:color="auto" w:fill="auto"/>
            <w:noWrap/>
            <w:vAlign w:val="center"/>
            <w:hideMark/>
          </w:tcPr>
          <w:p w14:paraId="47FF5922" w14:textId="24DEF39B"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3</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612</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895</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240 </w:t>
            </w:r>
          </w:p>
        </w:tc>
        <w:tc>
          <w:tcPr>
            <w:tcW w:w="1620" w:type="dxa"/>
            <w:tcBorders>
              <w:top w:val="nil"/>
              <w:left w:val="nil"/>
              <w:bottom w:val="single" w:sz="4" w:space="0" w:color="auto"/>
              <w:right w:val="single" w:sz="4" w:space="0" w:color="auto"/>
            </w:tcBorders>
            <w:shd w:val="clear" w:color="auto" w:fill="auto"/>
            <w:noWrap/>
            <w:vAlign w:val="center"/>
            <w:hideMark/>
          </w:tcPr>
          <w:p w14:paraId="2A0B4099" w14:textId="0DC82316"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36</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128</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952 </w:t>
            </w:r>
          </w:p>
        </w:tc>
      </w:tr>
      <w:tr w:rsidR="00436FE0" w:rsidRPr="00436FE0" w14:paraId="6BF1B231" w14:textId="77777777" w:rsidTr="00436FE0">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569938F8"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14</w:t>
            </w:r>
          </w:p>
        </w:tc>
        <w:tc>
          <w:tcPr>
            <w:tcW w:w="879" w:type="dxa"/>
            <w:tcBorders>
              <w:top w:val="nil"/>
              <w:left w:val="nil"/>
              <w:bottom w:val="single" w:sz="4" w:space="0" w:color="auto"/>
              <w:right w:val="single" w:sz="4" w:space="0" w:color="auto"/>
            </w:tcBorders>
            <w:shd w:val="clear" w:color="auto" w:fill="auto"/>
            <w:noWrap/>
            <w:vAlign w:val="center"/>
            <w:hideMark/>
          </w:tcPr>
          <w:p w14:paraId="4F2B55B7"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900563448</w:t>
            </w:r>
          </w:p>
        </w:tc>
        <w:tc>
          <w:tcPr>
            <w:tcW w:w="4354" w:type="dxa"/>
            <w:tcBorders>
              <w:top w:val="nil"/>
              <w:left w:val="nil"/>
              <w:bottom w:val="single" w:sz="4" w:space="0" w:color="auto"/>
              <w:right w:val="single" w:sz="4" w:space="0" w:color="auto"/>
            </w:tcBorders>
            <w:shd w:val="clear" w:color="auto" w:fill="auto"/>
            <w:vAlign w:val="center"/>
            <w:hideMark/>
          </w:tcPr>
          <w:p w14:paraId="4C841C3B" w14:textId="77777777" w:rsidR="00436FE0" w:rsidRPr="00436FE0" w:rsidRDefault="00436FE0" w:rsidP="00436FE0">
            <w:pPr>
              <w:jc w:val="lef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DISTICON SAS ESP</w:t>
            </w:r>
          </w:p>
        </w:tc>
        <w:tc>
          <w:tcPr>
            <w:tcW w:w="1480" w:type="dxa"/>
            <w:tcBorders>
              <w:top w:val="nil"/>
              <w:left w:val="nil"/>
              <w:bottom w:val="single" w:sz="4" w:space="0" w:color="auto"/>
              <w:right w:val="single" w:sz="4" w:space="0" w:color="auto"/>
            </w:tcBorders>
            <w:shd w:val="clear" w:color="auto" w:fill="auto"/>
            <w:noWrap/>
            <w:vAlign w:val="center"/>
            <w:hideMark/>
          </w:tcPr>
          <w:p w14:paraId="033BD99B" w14:textId="5EC99DD3"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291</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499</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478 </w:t>
            </w:r>
          </w:p>
        </w:tc>
        <w:tc>
          <w:tcPr>
            <w:tcW w:w="1620" w:type="dxa"/>
            <w:tcBorders>
              <w:top w:val="nil"/>
              <w:left w:val="nil"/>
              <w:bottom w:val="single" w:sz="4" w:space="0" w:color="auto"/>
              <w:right w:val="single" w:sz="4" w:space="0" w:color="auto"/>
            </w:tcBorders>
            <w:shd w:val="clear" w:color="auto" w:fill="auto"/>
            <w:noWrap/>
            <w:vAlign w:val="center"/>
            <w:hideMark/>
          </w:tcPr>
          <w:p w14:paraId="2A17BE71" w14:textId="4A8C5868"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2</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914</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995 </w:t>
            </w:r>
          </w:p>
        </w:tc>
      </w:tr>
      <w:tr w:rsidR="00436FE0" w:rsidRPr="00436FE0" w14:paraId="7362C026" w14:textId="77777777" w:rsidTr="00436FE0">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324DFB09"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15</w:t>
            </w:r>
          </w:p>
        </w:tc>
        <w:tc>
          <w:tcPr>
            <w:tcW w:w="879" w:type="dxa"/>
            <w:tcBorders>
              <w:top w:val="nil"/>
              <w:left w:val="nil"/>
              <w:bottom w:val="single" w:sz="4" w:space="0" w:color="auto"/>
              <w:right w:val="single" w:sz="4" w:space="0" w:color="auto"/>
            </w:tcBorders>
            <w:shd w:val="clear" w:color="auto" w:fill="auto"/>
            <w:noWrap/>
            <w:vAlign w:val="center"/>
            <w:hideMark/>
          </w:tcPr>
          <w:p w14:paraId="74A45E36"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901105119</w:t>
            </w:r>
          </w:p>
        </w:tc>
        <w:tc>
          <w:tcPr>
            <w:tcW w:w="4354" w:type="dxa"/>
            <w:tcBorders>
              <w:top w:val="nil"/>
              <w:left w:val="nil"/>
              <w:bottom w:val="single" w:sz="4" w:space="0" w:color="auto"/>
              <w:right w:val="single" w:sz="4" w:space="0" w:color="auto"/>
            </w:tcBorders>
            <w:shd w:val="clear" w:color="auto" w:fill="auto"/>
            <w:vAlign w:val="center"/>
            <w:hideMark/>
          </w:tcPr>
          <w:p w14:paraId="60BF2491" w14:textId="77777777" w:rsidR="00436FE0" w:rsidRPr="00436FE0" w:rsidRDefault="00436FE0" w:rsidP="00436FE0">
            <w:pPr>
              <w:jc w:val="lef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DUTMY S.A. Sucursal Colombia</w:t>
            </w:r>
          </w:p>
        </w:tc>
        <w:tc>
          <w:tcPr>
            <w:tcW w:w="1480" w:type="dxa"/>
            <w:tcBorders>
              <w:top w:val="nil"/>
              <w:left w:val="nil"/>
              <w:bottom w:val="single" w:sz="4" w:space="0" w:color="auto"/>
              <w:right w:val="single" w:sz="4" w:space="0" w:color="auto"/>
            </w:tcBorders>
            <w:shd w:val="clear" w:color="auto" w:fill="auto"/>
            <w:noWrap/>
            <w:vAlign w:val="center"/>
            <w:hideMark/>
          </w:tcPr>
          <w:p w14:paraId="1FEABEB2" w14:textId="0C6CC39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3</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625</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655</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843 </w:t>
            </w:r>
          </w:p>
        </w:tc>
        <w:tc>
          <w:tcPr>
            <w:tcW w:w="1620" w:type="dxa"/>
            <w:tcBorders>
              <w:top w:val="nil"/>
              <w:left w:val="nil"/>
              <w:bottom w:val="single" w:sz="4" w:space="0" w:color="auto"/>
              <w:right w:val="single" w:sz="4" w:space="0" w:color="auto"/>
            </w:tcBorders>
            <w:shd w:val="clear" w:color="auto" w:fill="auto"/>
            <w:noWrap/>
            <w:vAlign w:val="center"/>
            <w:hideMark/>
          </w:tcPr>
          <w:p w14:paraId="0BA27B59" w14:textId="3E7B24BD"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36</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256</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558 </w:t>
            </w:r>
          </w:p>
        </w:tc>
      </w:tr>
      <w:tr w:rsidR="00436FE0" w:rsidRPr="00436FE0" w14:paraId="18A8B2EC" w14:textId="77777777" w:rsidTr="00436FE0">
        <w:trPr>
          <w:trHeight w:val="6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2E726233"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16</w:t>
            </w:r>
          </w:p>
        </w:tc>
        <w:tc>
          <w:tcPr>
            <w:tcW w:w="879" w:type="dxa"/>
            <w:tcBorders>
              <w:top w:val="nil"/>
              <w:left w:val="nil"/>
              <w:bottom w:val="single" w:sz="4" w:space="0" w:color="auto"/>
              <w:right w:val="single" w:sz="4" w:space="0" w:color="auto"/>
            </w:tcBorders>
            <w:shd w:val="clear" w:color="auto" w:fill="auto"/>
            <w:noWrap/>
            <w:vAlign w:val="center"/>
            <w:hideMark/>
          </w:tcPr>
          <w:p w14:paraId="752E03AF"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900129275</w:t>
            </w:r>
          </w:p>
        </w:tc>
        <w:tc>
          <w:tcPr>
            <w:tcW w:w="4354" w:type="dxa"/>
            <w:tcBorders>
              <w:top w:val="nil"/>
              <w:left w:val="nil"/>
              <w:bottom w:val="single" w:sz="4" w:space="0" w:color="auto"/>
              <w:right w:val="single" w:sz="4" w:space="0" w:color="auto"/>
            </w:tcBorders>
            <w:shd w:val="clear" w:color="auto" w:fill="auto"/>
            <w:vAlign w:val="center"/>
            <w:hideMark/>
          </w:tcPr>
          <w:p w14:paraId="01504385" w14:textId="77777777" w:rsidR="00436FE0" w:rsidRPr="00436FE0" w:rsidRDefault="00436FE0" w:rsidP="00436FE0">
            <w:pPr>
              <w:jc w:val="lef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E.A.T. ELECTRIFICADORA  DE ENERGIA ELECTRICA DE LA ZONA RURAL DE LOS CONCEJOS COMUNITARIOS DEL MUNICIPIO DE OLAYA HERRERA </w:t>
            </w:r>
          </w:p>
        </w:tc>
        <w:tc>
          <w:tcPr>
            <w:tcW w:w="1480" w:type="dxa"/>
            <w:tcBorders>
              <w:top w:val="nil"/>
              <w:left w:val="nil"/>
              <w:bottom w:val="single" w:sz="4" w:space="0" w:color="auto"/>
              <w:right w:val="single" w:sz="4" w:space="0" w:color="auto"/>
            </w:tcBorders>
            <w:shd w:val="clear" w:color="auto" w:fill="auto"/>
            <w:noWrap/>
            <w:vAlign w:val="center"/>
            <w:hideMark/>
          </w:tcPr>
          <w:p w14:paraId="7F3AEB00" w14:textId="1F309B60"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34</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878</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652 </w:t>
            </w:r>
          </w:p>
        </w:tc>
        <w:tc>
          <w:tcPr>
            <w:tcW w:w="1620" w:type="dxa"/>
            <w:tcBorders>
              <w:top w:val="nil"/>
              <w:left w:val="nil"/>
              <w:bottom w:val="single" w:sz="4" w:space="0" w:color="auto"/>
              <w:right w:val="single" w:sz="4" w:space="0" w:color="auto"/>
            </w:tcBorders>
            <w:shd w:val="clear" w:color="auto" w:fill="auto"/>
            <w:noWrap/>
            <w:vAlign w:val="center"/>
            <w:hideMark/>
          </w:tcPr>
          <w:p w14:paraId="12566D38" w14:textId="013AB7ED"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348</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787 </w:t>
            </w:r>
          </w:p>
        </w:tc>
      </w:tr>
      <w:tr w:rsidR="00436FE0" w:rsidRPr="00436FE0" w14:paraId="4F55F114" w14:textId="77777777" w:rsidTr="00436FE0">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1AE4B658"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17</w:t>
            </w:r>
          </w:p>
        </w:tc>
        <w:tc>
          <w:tcPr>
            <w:tcW w:w="879" w:type="dxa"/>
            <w:tcBorders>
              <w:top w:val="nil"/>
              <w:left w:val="nil"/>
              <w:bottom w:val="single" w:sz="4" w:space="0" w:color="auto"/>
              <w:right w:val="single" w:sz="4" w:space="0" w:color="auto"/>
            </w:tcBorders>
            <w:shd w:val="clear" w:color="auto" w:fill="auto"/>
            <w:noWrap/>
            <w:vAlign w:val="center"/>
            <w:hideMark/>
          </w:tcPr>
          <w:p w14:paraId="533400B2"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802025052</w:t>
            </w:r>
          </w:p>
        </w:tc>
        <w:tc>
          <w:tcPr>
            <w:tcW w:w="4354" w:type="dxa"/>
            <w:tcBorders>
              <w:top w:val="nil"/>
              <w:left w:val="nil"/>
              <w:bottom w:val="single" w:sz="4" w:space="0" w:color="auto"/>
              <w:right w:val="single" w:sz="4" w:space="0" w:color="auto"/>
            </w:tcBorders>
            <w:shd w:val="clear" w:color="auto" w:fill="auto"/>
            <w:vAlign w:val="center"/>
            <w:hideMark/>
          </w:tcPr>
          <w:p w14:paraId="0D0B8562" w14:textId="77777777" w:rsidR="00436FE0" w:rsidRPr="00436FE0" w:rsidRDefault="00436FE0" w:rsidP="00436FE0">
            <w:pPr>
              <w:jc w:val="lef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E2 ENERGIA EFICIENTE S.A. E.S.P.</w:t>
            </w:r>
          </w:p>
        </w:tc>
        <w:tc>
          <w:tcPr>
            <w:tcW w:w="1480" w:type="dxa"/>
            <w:tcBorders>
              <w:top w:val="nil"/>
              <w:left w:val="nil"/>
              <w:bottom w:val="single" w:sz="4" w:space="0" w:color="auto"/>
              <w:right w:val="single" w:sz="4" w:space="0" w:color="auto"/>
            </w:tcBorders>
            <w:shd w:val="clear" w:color="auto" w:fill="auto"/>
            <w:noWrap/>
            <w:vAlign w:val="center"/>
            <w:hideMark/>
          </w:tcPr>
          <w:p w14:paraId="0E08B67A" w14:textId="5DF7A23F"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2</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228</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454</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313 </w:t>
            </w:r>
          </w:p>
        </w:tc>
        <w:tc>
          <w:tcPr>
            <w:tcW w:w="1620" w:type="dxa"/>
            <w:tcBorders>
              <w:top w:val="nil"/>
              <w:left w:val="nil"/>
              <w:bottom w:val="single" w:sz="4" w:space="0" w:color="auto"/>
              <w:right w:val="single" w:sz="4" w:space="0" w:color="auto"/>
            </w:tcBorders>
            <w:shd w:val="clear" w:color="auto" w:fill="auto"/>
            <w:noWrap/>
            <w:vAlign w:val="center"/>
            <w:hideMark/>
          </w:tcPr>
          <w:p w14:paraId="7F4D30CC" w14:textId="3A33D02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22</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284</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543 </w:t>
            </w:r>
          </w:p>
        </w:tc>
      </w:tr>
      <w:tr w:rsidR="00436FE0" w:rsidRPr="00436FE0" w14:paraId="746BE170" w14:textId="77777777" w:rsidTr="00436FE0">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2F0E668E"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18</w:t>
            </w:r>
          </w:p>
        </w:tc>
        <w:tc>
          <w:tcPr>
            <w:tcW w:w="879" w:type="dxa"/>
            <w:tcBorders>
              <w:top w:val="nil"/>
              <w:left w:val="nil"/>
              <w:bottom w:val="single" w:sz="4" w:space="0" w:color="auto"/>
              <w:right w:val="single" w:sz="4" w:space="0" w:color="auto"/>
            </w:tcBorders>
            <w:shd w:val="clear" w:color="auto" w:fill="auto"/>
            <w:noWrap/>
            <w:vAlign w:val="center"/>
            <w:hideMark/>
          </w:tcPr>
          <w:p w14:paraId="56812AB4"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899999068</w:t>
            </w:r>
          </w:p>
        </w:tc>
        <w:tc>
          <w:tcPr>
            <w:tcW w:w="4354" w:type="dxa"/>
            <w:tcBorders>
              <w:top w:val="nil"/>
              <w:left w:val="nil"/>
              <w:bottom w:val="single" w:sz="4" w:space="0" w:color="auto"/>
              <w:right w:val="single" w:sz="4" w:space="0" w:color="auto"/>
            </w:tcBorders>
            <w:shd w:val="clear" w:color="auto" w:fill="auto"/>
            <w:vAlign w:val="center"/>
            <w:hideMark/>
          </w:tcPr>
          <w:p w14:paraId="3450226B" w14:textId="77777777" w:rsidR="00436FE0" w:rsidRPr="00436FE0" w:rsidRDefault="00436FE0" w:rsidP="00436FE0">
            <w:pPr>
              <w:jc w:val="lef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ECOPETROL S.A.</w:t>
            </w:r>
          </w:p>
        </w:tc>
        <w:tc>
          <w:tcPr>
            <w:tcW w:w="1480" w:type="dxa"/>
            <w:tcBorders>
              <w:top w:val="nil"/>
              <w:left w:val="nil"/>
              <w:bottom w:val="single" w:sz="4" w:space="0" w:color="auto"/>
              <w:right w:val="single" w:sz="4" w:space="0" w:color="auto"/>
            </w:tcBorders>
            <w:shd w:val="clear" w:color="auto" w:fill="auto"/>
            <w:noWrap/>
            <w:vAlign w:val="center"/>
            <w:hideMark/>
          </w:tcPr>
          <w:p w14:paraId="01453359" w14:textId="61FCAD6F"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192</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318</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558</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020 </w:t>
            </w:r>
          </w:p>
        </w:tc>
        <w:tc>
          <w:tcPr>
            <w:tcW w:w="1620" w:type="dxa"/>
            <w:tcBorders>
              <w:top w:val="nil"/>
              <w:left w:val="nil"/>
              <w:bottom w:val="single" w:sz="4" w:space="0" w:color="auto"/>
              <w:right w:val="single" w:sz="4" w:space="0" w:color="auto"/>
            </w:tcBorders>
            <w:shd w:val="clear" w:color="auto" w:fill="auto"/>
            <w:noWrap/>
            <w:vAlign w:val="center"/>
            <w:hideMark/>
          </w:tcPr>
          <w:p w14:paraId="56CF93F4" w14:textId="29FD1249"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1</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923</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185</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580 </w:t>
            </w:r>
          </w:p>
        </w:tc>
      </w:tr>
      <w:tr w:rsidR="00436FE0" w:rsidRPr="00436FE0" w14:paraId="2ADA2ACA" w14:textId="77777777" w:rsidTr="00436FE0">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69B47D45"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19</w:t>
            </w:r>
          </w:p>
        </w:tc>
        <w:tc>
          <w:tcPr>
            <w:tcW w:w="879" w:type="dxa"/>
            <w:tcBorders>
              <w:top w:val="nil"/>
              <w:left w:val="nil"/>
              <w:bottom w:val="single" w:sz="4" w:space="0" w:color="auto"/>
              <w:right w:val="single" w:sz="4" w:space="0" w:color="auto"/>
            </w:tcBorders>
            <w:shd w:val="clear" w:color="auto" w:fill="auto"/>
            <w:noWrap/>
            <w:vAlign w:val="center"/>
            <w:hideMark/>
          </w:tcPr>
          <w:p w14:paraId="4C36BC5F"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800202395</w:t>
            </w:r>
          </w:p>
        </w:tc>
        <w:tc>
          <w:tcPr>
            <w:tcW w:w="4354" w:type="dxa"/>
            <w:tcBorders>
              <w:top w:val="nil"/>
              <w:left w:val="nil"/>
              <w:bottom w:val="single" w:sz="4" w:space="0" w:color="auto"/>
              <w:right w:val="single" w:sz="4" w:space="0" w:color="auto"/>
            </w:tcBorders>
            <w:shd w:val="clear" w:color="auto" w:fill="auto"/>
            <w:vAlign w:val="center"/>
            <w:hideMark/>
          </w:tcPr>
          <w:p w14:paraId="6AE56F76" w14:textId="77777777" w:rsidR="00436FE0" w:rsidRPr="00436FE0" w:rsidRDefault="00436FE0" w:rsidP="00436FE0">
            <w:pPr>
              <w:jc w:val="lef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EFIGAS GAS NATURAL S.A E.S.P </w:t>
            </w:r>
          </w:p>
        </w:tc>
        <w:tc>
          <w:tcPr>
            <w:tcW w:w="1480" w:type="dxa"/>
            <w:tcBorders>
              <w:top w:val="nil"/>
              <w:left w:val="nil"/>
              <w:bottom w:val="single" w:sz="4" w:space="0" w:color="auto"/>
              <w:right w:val="single" w:sz="4" w:space="0" w:color="auto"/>
            </w:tcBorders>
            <w:shd w:val="clear" w:color="auto" w:fill="auto"/>
            <w:noWrap/>
            <w:vAlign w:val="center"/>
            <w:hideMark/>
          </w:tcPr>
          <w:p w14:paraId="7EF1F1BB" w14:textId="6AA75C43"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12</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912</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669</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524 </w:t>
            </w:r>
          </w:p>
        </w:tc>
        <w:tc>
          <w:tcPr>
            <w:tcW w:w="1620" w:type="dxa"/>
            <w:tcBorders>
              <w:top w:val="nil"/>
              <w:left w:val="nil"/>
              <w:bottom w:val="single" w:sz="4" w:space="0" w:color="auto"/>
              <w:right w:val="single" w:sz="4" w:space="0" w:color="auto"/>
            </w:tcBorders>
            <w:shd w:val="clear" w:color="auto" w:fill="auto"/>
            <w:noWrap/>
            <w:vAlign w:val="center"/>
            <w:hideMark/>
          </w:tcPr>
          <w:p w14:paraId="22D39A7B" w14:textId="777E0D8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129</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126</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695 </w:t>
            </w:r>
          </w:p>
        </w:tc>
      </w:tr>
      <w:tr w:rsidR="00436FE0" w:rsidRPr="00436FE0" w14:paraId="634ADEC4" w14:textId="77777777" w:rsidTr="00436FE0">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0EA85383"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20</w:t>
            </w:r>
          </w:p>
        </w:tc>
        <w:tc>
          <w:tcPr>
            <w:tcW w:w="879" w:type="dxa"/>
            <w:tcBorders>
              <w:top w:val="nil"/>
              <w:left w:val="nil"/>
              <w:bottom w:val="single" w:sz="4" w:space="0" w:color="auto"/>
              <w:right w:val="single" w:sz="4" w:space="0" w:color="auto"/>
            </w:tcBorders>
            <w:shd w:val="clear" w:color="auto" w:fill="auto"/>
            <w:noWrap/>
            <w:vAlign w:val="center"/>
            <w:hideMark/>
          </w:tcPr>
          <w:p w14:paraId="6A98910B"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901100124</w:t>
            </w:r>
          </w:p>
        </w:tc>
        <w:tc>
          <w:tcPr>
            <w:tcW w:w="4354" w:type="dxa"/>
            <w:tcBorders>
              <w:top w:val="nil"/>
              <w:left w:val="nil"/>
              <w:bottom w:val="single" w:sz="4" w:space="0" w:color="auto"/>
              <w:right w:val="single" w:sz="4" w:space="0" w:color="auto"/>
            </w:tcBorders>
            <w:shd w:val="clear" w:color="auto" w:fill="auto"/>
            <w:vAlign w:val="center"/>
            <w:hideMark/>
          </w:tcPr>
          <w:p w14:paraId="7A0145A2" w14:textId="77777777" w:rsidR="00436FE0" w:rsidRPr="00436FE0" w:rsidRDefault="00436FE0" w:rsidP="00436FE0">
            <w:pPr>
              <w:jc w:val="lef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EL PASO SOLAR S.A.S. E.S.P</w:t>
            </w:r>
          </w:p>
        </w:tc>
        <w:tc>
          <w:tcPr>
            <w:tcW w:w="1480" w:type="dxa"/>
            <w:tcBorders>
              <w:top w:val="nil"/>
              <w:left w:val="nil"/>
              <w:bottom w:val="single" w:sz="4" w:space="0" w:color="auto"/>
              <w:right w:val="single" w:sz="4" w:space="0" w:color="auto"/>
            </w:tcBorders>
            <w:shd w:val="clear" w:color="auto" w:fill="auto"/>
            <w:noWrap/>
            <w:vAlign w:val="center"/>
            <w:hideMark/>
          </w:tcPr>
          <w:p w14:paraId="1DD9549C" w14:textId="10868E60"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1</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600</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818</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788 </w:t>
            </w:r>
          </w:p>
        </w:tc>
        <w:tc>
          <w:tcPr>
            <w:tcW w:w="1620" w:type="dxa"/>
            <w:tcBorders>
              <w:top w:val="nil"/>
              <w:left w:val="nil"/>
              <w:bottom w:val="single" w:sz="4" w:space="0" w:color="auto"/>
              <w:right w:val="single" w:sz="4" w:space="0" w:color="auto"/>
            </w:tcBorders>
            <w:shd w:val="clear" w:color="auto" w:fill="auto"/>
            <w:noWrap/>
            <w:vAlign w:val="center"/>
            <w:hideMark/>
          </w:tcPr>
          <w:p w14:paraId="358FA8C8" w14:textId="0CF52145"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16</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008</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188 </w:t>
            </w:r>
          </w:p>
        </w:tc>
      </w:tr>
      <w:tr w:rsidR="00436FE0" w:rsidRPr="00436FE0" w14:paraId="4F435774" w14:textId="77777777" w:rsidTr="00436FE0">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4A50E470"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21</w:t>
            </w:r>
          </w:p>
        </w:tc>
        <w:tc>
          <w:tcPr>
            <w:tcW w:w="879" w:type="dxa"/>
            <w:tcBorders>
              <w:top w:val="nil"/>
              <w:left w:val="nil"/>
              <w:bottom w:val="single" w:sz="4" w:space="0" w:color="auto"/>
              <w:right w:val="single" w:sz="4" w:space="0" w:color="auto"/>
            </w:tcBorders>
            <w:shd w:val="clear" w:color="auto" w:fill="auto"/>
            <w:noWrap/>
            <w:vAlign w:val="center"/>
            <w:hideMark/>
          </w:tcPr>
          <w:p w14:paraId="1C58715C"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860063875</w:t>
            </w:r>
          </w:p>
        </w:tc>
        <w:tc>
          <w:tcPr>
            <w:tcW w:w="4354" w:type="dxa"/>
            <w:tcBorders>
              <w:top w:val="nil"/>
              <w:left w:val="nil"/>
              <w:bottom w:val="single" w:sz="4" w:space="0" w:color="auto"/>
              <w:right w:val="single" w:sz="4" w:space="0" w:color="auto"/>
            </w:tcBorders>
            <w:shd w:val="clear" w:color="auto" w:fill="auto"/>
            <w:vAlign w:val="center"/>
            <w:hideMark/>
          </w:tcPr>
          <w:p w14:paraId="080193A4" w14:textId="77777777" w:rsidR="00436FE0" w:rsidRPr="00436FE0" w:rsidRDefault="00436FE0" w:rsidP="00436FE0">
            <w:pPr>
              <w:jc w:val="lef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EMGESA S.A. E.S.P.</w:t>
            </w:r>
          </w:p>
        </w:tc>
        <w:tc>
          <w:tcPr>
            <w:tcW w:w="1480" w:type="dxa"/>
            <w:tcBorders>
              <w:top w:val="nil"/>
              <w:left w:val="nil"/>
              <w:bottom w:val="single" w:sz="4" w:space="0" w:color="auto"/>
              <w:right w:val="single" w:sz="4" w:space="0" w:color="auto"/>
            </w:tcBorders>
            <w:shd w:val="clear" w:color="auto" w:fill="auto"/>
            <w:noWrap/>
            <w:vAlign w:val="center"/>
            <w:hideMark/>
          </w:tcPr>
          <w:p w14:paraId="3F89BD6A" w14:textId="3FE16ECA"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231</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189</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434 </w:t>
            </w:r>
          </w:p>
        </w:tc>
        <w:tc>
          <w:tcPr>
            <w:tcW w:w="1620" w:type="dxa"/>
            <w:tcBorders>
              <w:top w:val="nil"/>
              <w:left w:val="nil"/>
              <w:bottom w:val="single" w:sz="4" w:space="0" w:color="auto"/>
              <w:right w:val="single" w:sz="4" w:space="0" w:color="auto"/>
            </w:tcBorders>
            <w:shd w:val="clear" w:color="auto" w:fill="auto"/>
            <w:noWrap/>
            <w:vAlign w:val="center"/>
            <w:hideMark/>
          </w:tcPr>
          <w:p w14:paraId="22346640" w14:textId="153DEDBC"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2</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311</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894 </w:t>
            </w:r>
          </w:p>
        </w:tc>
      </w:tr>
      <w:tr w:rsidR="00436FE0" w:rsidRPr="00436FE0" w14:paraId="45BF0FC9" w14:textId="77777777" w:rsidTr="00436FE0">
        <w:trPr>
          <w:trHeight w:val="46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657ECB70"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22</w:t>
            </w:r>
          </w:p>
        </w:tc>
        <w:tc>
          <w:tcPr>
            <w:tcW w:w="879" w:type="dxa"/>
            <w:tcBorders>
              <w:top w:val="nil"/>
              <w:left w:val="nil"/>
              <w:bottom w:val="single" w:sz="4" w:space="0" w:color="auto"/>
              <w:right w:val="single" w:sz="4" w:space="0" w:color="auto"/>
            </w:tcBorders>
            <w:shd w:val="clear" w:color="auto" w:fill="auto"/>
            <w:noWrap/>
            <w:vAlign w:val="center"/>
            <w:hideMark/>
          </w:tcPr>
          <w:p w14:paraId="4C4F80C5"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900800144</w:t>
            </w:r>
          </w:p>
        </w:tc>
        <w:tc>
          <w:tcPr>
            <w:tcW w:w="4354" w:type="dxa"/>
            <w:tcBorders>
              <w:top w:val="nil"/>
              <w:left w:val="nil"/>
              <w:bottom w:val="single" w:sz="4" w:space="0" w:color="auto"/>
              <w:right w:val="single" w:sz="4" w:space="0" w:color="auto"/>
            </w:tcBorders>
            <w:shd w:val="clear" w:color="auto" w:fill="auto"/>
            <w:vAlign w:val="center"/>
            <w:hideMark/>
          </w:tcPr>
          <w:p w14:paraId="210BF3CA" w14:textId="77777777" w:rsidR="00436FE0" w:rsidRPr="00436FE0" w:rsidRDefault="00436FE0" w:rsidP="00436FE0">
            <w:pPr>
              <w:jc w:val="lef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EMPRESA ASOCIATIVA DE TRABAJO COMERCIALIZADORA SAN JOSE E.S.P.</w:t>
            </w:r>
          </w:p>
        </w:tc>
        <w:tc>
          <w:tcPr>
            <w:tcW w:w="1480" w:type="dxa"/>
            <w:tcBorders>
              <w:top w:val="nil"/>
              <w:left w:val="nil"/>
              <w:bottom w:val="single" w:sz="4" w:space="0" w:color="auto"/>
              <w:right w:val="single" w:sz="4" w:space="0" w:color="auto"/>
            </w:tcBorders>
            <w:shd w:val="clear" w:color="auto" w:fill="auto"/>
            <w:noWrap/>
            <w:vAlign w:val="center"/>
            <w:hideMark/>
          </w:tcPr>
          <w:p w14:paraId="62944746" w14:textId="6D552F35"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92</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575</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832 </w:t>
            </w:r>
          </w:p>
        </w:tc>
        <w:tc>
          <w:tcPr>
            <w:tcW w:w="1620" w:type="dxa"/>
            <w:tcBorders>
              <w:top w:val="nil"/>
              <w:left w:val="nil"/>
              <w:bottom w:val="single" w:sz="4" w:space="0" w:color="auto"/>
              <w:right w:val="single" w:sz="4" w:space="0" w:color="auto"/>
            </w:tcBorders>
            <w:shd w:val="clear" w:color="auto" w:fill="auto"/>
            <w:noWrap/>
            <w:vAlign w:val="center"/>
            <w:hideMark/>
          </w:tcPr>
          <w:p w14:paraId="6D7F3FCA" w14:textId="5803E60C"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925</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758 </w:t>
            </w:r>
          </w:p>
        </w:tc>
      </w:tr>
      <w:tr w:rsidR="00436FE0" w:rsidRPr="00436FE0" w14:paraId="46916BC5" w14:textId="77777777" w:rsidTr="00436FE0">
        <w:trPr>
          <w:trHeight w:val="6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4DCD5EF8"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23</w:t>
            </w:r>
          </w:p>
        </w:tc>
        <w:tc>
          <w:tcPr>
            <w:tcW w:w="879" w:type="dxa"/>
            <w:tcBorders>
              <w:top w:val="nil"/>
              <w:left w:val="nil"/>
              <w:bottom w:val="single" w:sz="4" w:space="0" w:color="auto"/>
              <w:right w:val="single" w:sz="4" w:space="0" w:color="auto"/>
            </w:tcBorders>
            <w:shd w:val="clear" w:color="auto" w:fill="auto"/>
            <w:noWrap/>
            <w:vAlign w:val="center"/>
            <w:hideMark/>
          </w:tcPr>
          <w:p w14:paraId="5AC13ED6"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901091586</w:t>
            </w:r>
          </w:p>
        </w:tc>
        <w:tc>
          <w:tcPr>
            <w:tcW w:w="4354" w:type="dxa"/>
            <w:tcBorders>
              <w:top w:val="nil"/>
              <w:left w:val="nil"/>
              <w:bottom w:val="single" w:sz="4" w:space="0" w:color="auto"/>
              <w:right w:val="single" w:sz="4" w:space="0" w:color="auto"/>
            </w:tcBorders>
            <w:shd w:val="clear" w:color="auto" w:fill="auto"/>
            <w:vAlign w:val="center"/>
            <w:hideMark/>
          </w:tcPr>
          <w:p w14:paraId="4294836A" w14:textId="77777777" w:rsidR="00436FE0" w:rsidRPr="00436FE0" w:rsidRDefault="00436FE0" w:rsidP="00436FE0">
            <w:pPr>
              <w:jc w:val="lef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EMPRESA ASOCIATIVA DE TRABAJO PARA LA PRESTACIÓN DE SERVICIOS DE ENERGÍA DEL PACIFICO MUNICIPIO DE SANTA BARBARA ISCUANDE</w:t>
            </w:r>
          </w:p>
        </w:tc>
        <w:tc>
          <w:tcPr>
            <w:tcW w:w="1480" w:type="dxa"/>
            <w:tcBorders>
              <w:top w:val="nil"/>
              <w:left w:val="nil"/>
              <w:bottom w:val="single" w:sz="4" w:space="0" w:color="auto"/>
              <w:right w:val="single" w:sz="4" w:space="0" w:color="auto"/>
            </w:tcBorders>
            <w:shd w:val="clear" w:color="auto" w:fill="auto"/>
            <w:noWrap/>
            <w:vAlign w:val="center"/>
            <w:hideMark/>
          </w:tcPr>
          <w:p w14:paraId="56825405" w14:textId="7286121B"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505</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107</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240 </w:t>
            </w:r>
          </w:p>
        </w:tc>
        <w:tc>
          <w:tcPr>
            <w:tcW w:w="1620" w:type="dxa"/>
            <w:tcBorders>
              <w:top w:val="nil"/>
              <w:left w:val="nil"/>
              <w:bottom w:val="single" w:sz="4" w:space="0" w:color="auto"/>
              <w:right w:val="single" w:sz="4" w:space="0" w:color="auto"/>
            </w:tcBorders>
            <w:shd w:val="clear" w:color="auto" w:fill="auto"/>
            <w:noWrap/>
            <w:vAlign w:val="center"/>
            <w:hideMark/>
          </w:tcPr>
          <w:p w14:paraId="60DE2DD7" w14:textId="02C1FEF2"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5</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051</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072 </w:t>
            </w:r>
          </w:p>
        </w:tc>
      </w:tr>
      <w:tr w:rsidR="00436FE0" w:rsidRPr="00436FE0" w14:paraId="688F1B51" w14:textId="77777777" w:rsidTr="00436FE0">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53E0362A"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24</w:t>
            </w:r>
          </w:p>
        </w:tc>
        <w:tc>
          <w:tcPr>
            <w:tcW w:w="879" w:type="dxa"/>
            <w:tcBorders>
              <w:top w:val="nil"/>
              <w:left w:val="nil"/>
              <w:bottom w:val="single" w:sz="4" w:space="0" w:color="auto"/>
              <w:right w:val="single" w:sz="4" w:space="0" w:color="auto"/>
            </w:tcBorders>
            <w:shd w:val="clear" w:color="auto" w:fill="auto"/>
            <w:noWrap/>
            <w:vAlign w:val="center"/>
            <w:hideMark/>
          </w:tcPr>
          <w:p w14:paraId="5B8ABBAD"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844004576</w:t>
            </w:r>
          </w:p>
        </w:tc>
        <w:tc>
          <w:tcPr>
            <w:tcW w:w="4354" w:type="dxa"/>
            <w:tcBorders>
              <w:top w:val="nil"/>
              <w:left w:val="nil"/>
              <w:bottom w:val="single" w:sz="4" w:space="0" w:color="auto"/>
              <w:right w:val="single" w:sz="4" w:space="0" w:color="auto"/>
            </w:tcBorders>
            <w:shd w:val="clear" w:color="auto" w:fill="auto"/>
            <w:vAlign w:val="center"/>
            <w:hideMark/>
          </w:tcPr>
          <w:p w14:paraId="744ED48E" w14:textId="77777777" w:rsidR="00436FE0" w:rsidRPr="00436FE0" w:rsidRDefault="00436FE0" w:rsidP="00436FE0">
            <w:pPr>
              <w:jc w:val="lef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EMPRESA DE ENERGIA DE CASANARE SA ESP</w:t>
            </w:r>
          </w:p>
        </w:tc>
        <w:tc>
          <w:tcPr>
            <w:tcW w:w="1480" w:type="dxa"/>
            <w:tcBorders>
              <w:top w:val="nil"/>
              <w:left w:val="nil"/>
              <w:bottom w:val="single" w:sz="4" w:space="0" w:color="auto"/>
              <w:right w:val="single" w:sz="4" w:space="0" w:color="auto"/>
            </w:tcBorders>
            <w:shd w:val="clear" w:color="auto" w:fill="auto"/>
            <w:noWrap/>
            <w:vAlign w:val="center"/>
            <w:hideMark/>
          </w:tcPr>
          <w:p w14:paraId="0F3D3D55" w14:textId="361B0606"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897</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861</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981 </w:t>
            </w:r>
          </w:p>
        </w:tc>
        <w:tc>
          <w:tcPr>
            <w:tcW w:w="1620" w:type="dxa"/>
            <w:tcBorders>
              <w:top w:val="nil"/>
              <w:left w:val="nil"/>
              <w:bottom w:val="single" w:sz="4" w:space="0" w:color="auto"/>
              <w:right w:val="single" w:sz="4" w:space="0" w:color="auto"/>
            </w:tcBorders>
            <w:shd w:val="clear" w:color="auto" w:fill="auto"/>
            <w:noWrap/>
            <w:vAlign w:val="center"/>
            <w:hideMark/>
          </w:tcPr>
          <w:p w14:paraId="3B668F2A" w14:textId="1C2A3E45"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8</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978</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620 </w:t>
            </w:r>
          </w:p>
        </w:tc>
      </w:tr>
      <w:tr w:rsidR="00436FE0" w:rsidRPr="00436FE0" w14:paraId="42D9F954" w14:textId="77777777" w:rsidTr="00436FE0">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5517E331"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25</w:t>
            </w:r>
          </w:p>
        </w:tc>
        <w:tc>
          <w:tcPr>
            <w:tcW w:w="879" w:type="dxa"/>
            <w:tcBorders>
              <w:top w:val="nil"/>
              <w:left w:val="nil"/>
              <w:bottom w:val="single" w:sz="4" w:space="0" w:color="auto"/>
              <w:right w:val="single" w:sz="4" w:space="0" w:color="auto"/>
            </w:tcBorders>
            <w:shd w:val="clear" w:color="auto" w:fill="auto"/>
            <w:noWrap/>
            <w:vAlign w:val="center"/>
            <w:hideMark/>
          </w:tcPr>
          <w:p w14:paraId="1073B6CE"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800249860</w:t>
            </w:r>
          </w:p>
        </w:tc>
        <w:tc>
          <w:tcPr>
            <w:tcW w:w="4354" w:type="dxa"/>
            <w:tcBorders>
              <w:top w:val="nil"/>
              <w:left w:val="nil"/>
              <w:bottom w:val="single" w:sz="4" w:space="0" w:color="auto"/>
              <w:right w:val="single" w:sz="4" w:space="0" w:color="auto"/>
            </w:tcBorders>
            <w:shd w:val="clear" w:color="auto" w:fill="auto"/>
            <w:vAlign w:val="center"/>
            <w:hideMark/>
          </w:tcPr>
          <w:p w14:paraId="4238B4CF" w14:textId="77777777" w:rsidR="00436FE0" w:rsidRPr="00436FE0" w:rsidRDefault="00436FE0" w:rsidP="00436FE0">
            <w:pPr>
              <w:jc w:val="lef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EMPRESA DE ENERGÍA DEL PACÍFICO S.A. E.S.P.</w:t>
            </w:r>
          </w:p>
        </w:tc>
        <w:tc>
          <w:tcPr>
            <w:tcW w:w="1480" w:type="dxa"/>
            <w:tcBorders>
              <w:top w:val="nil"/>
              <w:left w:val="nil"/>
              <w:bottom w:val="single" w:sz="4" w:space="0" w:color="auto"/>
              <w:right w:val="single" w:sz="4" w:space="0" w:color="auto"/>
            </w:tcBorders>
            <w:shd w:val="clear" w:color="auto" w:fill="auto"/>
            <w:noWrap/>
            <w:vAlign w:val="center"/>
            <w:hideMark/>
          </w:tcPr>
          <w:p w14:paraId="147D36FA" w14:textId="7719F77E"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75</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848</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545 </w:t>
            </w:r>
          </w:p>
        </w:tc>
        <w:tc>
          <w:tcPr>
            <w:tcW w:w="1620" w:type="dxa"/>
            <w:tcBorders>
              <w:top w:val="nil"/>
              <w:left w:val="nil"/>
              <w:bottom w:val="single" w:sz="4" w:space="0" w:color="auto"/>
              <w:right w:val="single" w:sz="4" w:space="0" w:color="auto"/>
            </w:tcBorders>
            <w:shd w:val="clear" w:color="auto" w:fill="auto"/>
            <w:noWrap/>
            <w:vAlign w:val="center"/>
            <w:hideMark/>
          </w:tcPr>
          <w:p w14:paraId="22B2DD21" w14:textId="2977CE28"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758</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485 </w:t>
            </w:r>
          </w:p>
        </w:tc>
      </w:tr>
      <w:tr w:rsidR="00436FE0" w:rsidRPr="00436FE0" w14:paraId="21B64228" w14:textId="77777777" w:rsidTr="00436FE0">
        <w:trPr>
          <w:trHeight w:val="46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3F3EEA27"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26</w:t>
            </w:r>
          </w:p>
        </w:tc>
        <w:tc>
          <w:tcPr>
            <w:tcW w:w="879" w:type="dxa"/>
            <w:tcBorders>
              <w:top w:val="nil"/>
              <w:left w:val="nil"/>
              <w:bottom w:val="single" w:sz="4" w:space="0" w:color="auto"/>
              <w:right w:val="single" w:sz="4" w:space="0" w:color="auto"/>
            </w:tcBorders>
            <w:shd w:val="clear" w:color="auto" w:fill="auto"/>
            <w:noWrap/>
            <w:vAlign w:val="center"/>
            <w:hideMark/>
          </w:tcPr>
          <w:p w14:paraId="6BA99D74"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900988019</w:t>
            </w:r>
          </w:p>
        </w:tc>
        <w:tc>
          <w:tcPr>
            <w:tcW w:w="4354" w:type="dxa"/>
            <w:tcBorders>
              <w:top w:val="nil"/>
              <w:left w:val="nil"/>
              <w:bottom w:val="single" w:sz="4" w:space="0" w:color="auto"/>
              <w:right w:val="single" w:sz="4" w:space="0" w:color="auto"/>
            </w:tcBorders>
            <w:shd w:val="clear" w:color="auto" w:fill="auto"/>
            <w:vAlign w:val="center"/>
            <w:hideMark/>
          </w:tcPr>
          <w:p w14:paraId="650A4953" w14:textId="77777777" w:rsidR="00436FE0" w:rsidRPr="00436FE0" w:rsidRDefault="00436FE0" w:rsidP="00436FE0">
            <w:pPr>
              <w:jc w:val="lef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EMPRESA DE SERVICIOS PUCLICOS Y ENERGIA DEL LITORAL DEL SAN JUAN S.A.S. E.S.P.</w:t>
            </w:r>
          </w:p>
        </w:tc>
        <w:tc>
          <w:tcPr>
            <w:tcW w:w="1480" w:type="dxa"/>
            <w:tcBorders>
              <w:top w:val="nil"/>
              <w:left w:val="nil"/>
              <w:bottom w:val="single" w:sz="4" w:space="0" w:color="auto"/>
              <w:right w:val="single" w:sz="4" w:space="0" w:color="auto"/>
            </w:tcBorders>
            <w:shd w:val="clear" w:color="auto" w:fill="auto"/>
            <w:noWrap/>
            <w:vAlign w:val="center"/>
            <w:hideMark/>
          </w:tcPr>
          <w:p w14:paraId="56ABDB6E" w14:textId="5E8E8ECF"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99</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146</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721 </w:t>
            </w:r>
          </w:p>
        </w:tc>
        <w:tc>
          <w:tcPr>
            <w:tcW w:w="1620" w:type="dxa"/>
            <w:tcBorders>
              <w:top w:val="nil"/>
              <w:left w:val="nil"/>
              <w:bottom w:val="single" w:sz="4" w:space="0" w:color="auto"/>
              <w:right w:val="single" w:sz="4" w:space="0" w:color="auto"/>
            </w:tcBorders>
            <w:shd w:val="clear" w:color="auto" w:fill="auto"/>
            <w:noWrap/>
            <w:vAlign w:val="center"/>
            <w:hideMark/>
          </w:tcPr>
          <w:p w14:paraId="1A0DE27B" w14:textId="6F99073D"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991</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467 </w:t>
            </w:r>
          </w:p>
        </w:tc>
      </w:tr>
      <w:tr w:rsidR="00436FE0" w:rsidRPr="00436FE0" w14:paraId="6B4944C1" w14:textId="77777777" w:rsidTr="00436FE0">
        <w:trPr>
          <w:trHeight w:val="46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6814B838"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lastRenderedPageBreak/>
              <w:t>27</w:t>
            </w:r>
          </w:p>
        </w:tc>
        <w:tc>
          <w:tcPr>
            <w:tcW w:w="879" w:type="dxa"/>
            <w:tcBorders>
              <w:top w:val="nil"/>
              <w:left w:val="nil"/>
              <w:bottom w:val="single" w:sz="4" w:space="0" w:color="auto"/>
              <w:right w:val="single" w:sz="4" w:space="0" w:color="auto"/>
            </w:tcBorders>
            <w:shd w:val="clear" w:color="auto" w:fill="auto"/>
            <w:noWrap/>
            <w:vAlign w:val="center"/>
            <w:hideMark/>
          </w:tcPr>
          <w:p w14:paraId="7DEC2551"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809010690</w:t>
            </w:r>
          </w:p>
        </w:tc>
        <w:tc>
          <w:tcPr>
            <w:tcW w:w="4354" w:type="dxa"/>
            <w:tcBorders>
              <w:top w:val="nil"/>
              <w:left w:val="nil"/>
              <w:bottom w:val="single" w:sz="4" w:space="0" w:color="auto"/>
              <w:right w:val="single" w:sz="4" w:space="0" w:color="auto"/>
            </w:tcBorders>
            <w:shd w:val="clear" w:color="auto" w:fill="auto"/>
            <w:vAlign w:val="center"/>
            <w:hideMark/>
          </w:tcPr>
          <w:p w14:paraId="6760809F" w14:textId="77777777" w:rsidR="00436FE0" w:rsidRPr="00436FE0" w:rsidRDefault="00436FE0" w:rsidP="00436FE0">
            <w:pPr>
              <w:jc w:val="lef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EMPRESA INTEGRAL DE SERVICIOS OP&amp;S CONSTRUCCIONES SA ESP</w:t>
            </w:r>
          </w:p>
        </w:tc>
        <w:tc>
          <w:tcPr>
            <w:tcW w:w="1480" w:type="dxa"/>
            <w:tcBorders>
              <w:top w:val="nil"/>
              <w:left w:val="nil"/>
              <w:bottom w:val="single" w:sz="4" w:space="0" w:color="auto"/>
              <w:right w:val="single" w:sz="4" w:space="0" w:color="auto"/>
            </w:tcBorders>
            <w:shd w:val="clear" w:color="auto" w:fill="auto"/>
            <w:noWrap/>
            <w:vAlign w:val="center"/>
            <w:hideMark/>
          </w:tcPr>
          <w:p w14:paraId="7C3338B0" w14:textId="3E6E82E4"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664</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204</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268 </w:t>
            </w:r>
          </w:p>
        </w:tc>
        <w:tc>
          <w:tcPr>
            <w:tcW w:w="1620" w:type="dxa"/>
            <w:tcBorders>
              <w:top w:val="nil"/>
              <w:left w:val="nil"/>
              <w:bottom w:val="single" w:sz="4" w:space="0" w:color="auto"/>
              <w:right w:val="single" w:sz="4" w:space="0" w:color="auto"/>
            </w:tcBorders>
            <w:shd w:val="clear" w:color="auto" w:fill="auto"/>
            <w:noWrap/>
            <w:vAlign w:val="center"/>
            <w:hideMark/>
          </w:tcPr>
          <w:p w14:paraId="5412AB7A" w14:textId="1A3AE52F"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6</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642</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043 </w:t>
            </w:r>
          </w:p>
        </w:tc>
      </w:tr>
      <w:tr w:rsidR="00436FE0" w:rsidRPr="00436FE0" w14:paraId="55AABB9A" w14:textId="77777777" w:rsidTr="00436FE0">
        <w:trPr>
          <w:trHeight w:val="46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74DF8D5B"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28</w:t>
            </w:r>
          </w:p>
        </w:tc>
        <w:tc>
          <w:tcPr>
            <w:tcW w:w="879" w:type="dxa"/>
            <w:tcBorders>
              <w:top w:val="nil"/>
              <w:left w:val="nil"/>
              <w:bottom w:val="single" w:sz="4" w:space="0" w:color="auto"/>
              <w:right w:val="single" w:sz="4" w:space="0" w:color="auto"/>
            </w:tcBorders>
            <w:shd w:val="clear" w:color="auto" w:fill="auto"/>
            <w:noWrap/>
            <w:vAlign w:val="center"/>
            <w:hideMark/>
          </w:tcPr>
          <w:p w14:paraId="3F3ED5F8"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817000487</w:t>
            </w:r>
          </w:p>
        </w:tc>
        <w:tc>
          <w:tcPr>
            <w:tcW w:w="4354" w:type="dxa"/>
            <w:tcBorders>
              <w:top w:val="nil"/>
              <w:left w:val="nil"/>
              <w:bottom w:val="single" w:sz="4" w:space="0" w:color="auto"/>
              <w:right w:val="single" w:sz="4" w:space="0" w:color="auto"/>
            </w:tcBorders>
            <w:shd w:val="clear" w:color="auto" w:fill="auto"/>
            <w:vAlign w:val="center"/>
            <w:hideMark/>
          </w:tcPr>
          <w:p w14:paraId="68A352F3" w14:textId="77777777" w:rsidR="00436FE0" w:rsidRPr="00436FE0" w:rsidRDefault="00436FE0" w:rsidP="00436FE0">
            <w:pPr>
              <w:jc w:val="lef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EMPRESA MIXTA DE SERVICIOS PÚBLICOS DE ENERGÍA ELÉCTRICA DE TIMBIQUI S.A.</w:t>
            </w:r>
          </w:p>
        </w:tc>
        <w:tc>
          <w:tcPr>
            <w:tcW w:w="1480" w:type="dxa"/>
            <w:tcBorders>
              <w:top w:val="nil"/>
              <w:left w:val="nil"/>
              <w:bottom w:val="single" w:sz="4" w:space="0" w:color="auto"/>
              <w:right w:val="single" w:sz="4" w:space="0" w:color="auto"/>
            </w:tcBorders>
            <w:shd w:val="clear" w:color="auto" w:fill="auto"/>
            <w:noWrap/>
            <w:vAlign w:val="center"/>
            <w:hideMark/>
          </w:tcPr>
          <w:p w14:paraId="5CB21588" w14:textId="6461A4C8"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588</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686</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248 </w:t>
            </w:r>
          </w:p>
        </w:tc>
        <w:tc>
          <w:tcPr>
            <w:tcW w:w="1620" w:type="dxa"/>
            <w:tcBorders>
              <w:top w:val="nil"/>
              <w:left w:val="nil"/>
              <w:bottom w:val="single" w:sz="4" w:space="0" w:color="auto"/>
              <w:right w:val="single" w:sz="4" w:space="0" w:color="auto"/>
            </w:tcBorders>
            <w:shd w:val="clear" w:color="auto" w:fill="auto"/>
            <w:noWrap/>
            <w:vAlign w:val="center"/>
            <w:hideMark/>
          </w:tcPr>
          <w:p w14:paraId="36F0F9C5" w14:textId="255275BE"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5</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886</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862 </w:t>
            </w:r>
          </w:p>
        </w:tc>
      </w:tr>
      <w:tr w:rsidR="00436FE0" w:rsidRPr="00436FE0" w14:paraId="6C49D346" w14:textId="77777777" w:rsidTr="00436FE0">
        <w:trPr>
          <w:trHeight w:val="46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11EBF643"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29</w:t>
            </w:r>
          </w:p>
        </w:tc>
        <w:tc>
          <w:tcPr>
            <w:tcW w:w="879" w:type="dxa"/>
            <w:tcBorders>
              <w:top w:val="nil"/>
              <w:left w:val="nil"/>
              <w:bottom w:val="single" w:sz="4" w:space="0" w:color="auto"/>
              <w:right w:val="single" w:sz="4" w:space="0" w:color="auto"/>
            </w:tcBorders>
            <w:shd w:val="clear" w:color="auto" w:fill="auto"/>
            <w:noWrap/>
            <w:vAlign w:val="center"/>
            <w:hideMark/>
          </w:tcPr>
          <w:p w14:paraId="245330B9"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900063884</w:t>
            </w:r>
          </w:p>
        </w:tc>
        <w:tc>
          <w:tcPr>
            <w:tcW w:w="4354" w:type="dxa"/>
            <w:tcBorders>
              <w:top w:val="nil"/>
              <w:left w:val="nil"/>
              <w:bottom w:val="single" w:sz="4" w:space="0" w:color="auto"/>
              <w:right w:val="single" w:sz="4" w:space="0" w:color="auto"/>
            </w:tcBorders>
            <w:shd w:val="clear" w:color="auto" w:fill="auto"/>
            <w:vAlign w:val="center"/>
            <w:hideMark/>
          </w:tcPr>
          <w:p w14:paraId="2680EE85" w14:textId="77777777" w:rsidR="00436FE0" w:rsidRPr="00436FE0" w:rsidRDefault="00436FE0" w:rsidP="00436FE0">
            <w:pPr>
              <w:jc w:val="lef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EMPRESA MUNICIPAL DE SERVICIOS PUBLICOS DE PUERTO PARRA EMSEPAR E.S.P. S.A.</w:t>
            </w:r>
          </w:p>
        </w:tc>
        <w:tc>
          <w:tcPr>
            <w:tcW w:w="1480" w:type="dxa"/>
            <w:tcBorders>
              <w:top w:val="nil"/>
              <w:left w:val="nil"/>
              <w:bottom w:val="single" w:sz="4" w:space="0" w:color="auto"/>
              <w:right w:val="single" w:sz="4" w:space="0" w:color="auto"/>
            </w:tcBorders>
            <w:shd w:val="clear" w:color="auto" w:fill="auto"/>
            <w:noWrap/>
            <w:vAlign w:val="center"/>
            <w:hideMark/>
          </w:tcPr>
          <w:p w14:paraId="3B4B1878" w14:textId="15DAE810"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151</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323</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036 </w:t>
            </w:r>
          </w:p>
        </w:tc>
        <w:tc>
          <w:tcPr>
            <w:tcW w:w="1620" w:type="dxa"/>
            <w:tcBorders>
              <w:top w:val="nil"/>
              <w:left w:val="nil"/>
              <w:bottom w:val="single" w:sz="4" w:space="0" w:color="auto"/>
              <w:right w:val="single" w:sz="4" w:space="0" w:color="auto"/>
            </w:tcBorders>
            <w:shd w:val="clear" w:color="auto" w:fill="auto"/>
            <w:noWrap/>
            <w:vAlign w:val="center"/>
            <w:hideMark/>
          </w:tcPr>
          <w:p w14:paraId="4AF67741" w14:textId="7BFE5B5F"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1</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513</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230 </w:t>
            </w:r>
          </w:p>
        </w:tc>
      </w:tr>
      <w:tr w:rsidR="00436FE0" w:rsidRPr="00436FE0" w14:paraId="50CFEEA4" w14:textId="77777777" w:rsidTr="00436FE0">
        <w:trPr>
          <w:trHeight w:val="46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673B1C63"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30</w:t>
            </w:r>
          </w:p>
        </w:tc>
        <w:tc>
          <w:tcPr>
            <w:tcW w:w="879" w:type="dxa"/>
            <w:tcBorders>
              <w:top w:val="nil"/>
              <w:left w:val="nil"/>
              <w:bottom w:val="single" w:sz="4" w:space="0" w:color="auto"/>
              <w:right w:val="single" w:sz="4" w:space="0" w:color="auto"/>
            </w:tcBorders>
            <w:shd w:val="clear" w:color="auto" w:fill="auto"/>
            <w:noWrap/>
            <w:vAlign w:val="center"/>
            <w:hideMark/>
          </w:tcPr>
          <w:p w14:paraId="61BCFAD3"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901175206</w:t>
            </w:r>
          </w:p>
        </w:tc>
        <w:tc>
          <w:tcPr>
            <w:tcW w:w="4354" w:type="dxa"/>
            <w:tcBorders>
              <w:top w:val="nil"/>
              <w:left w:val="nil"/>
              <w:bottom w:val="single" w:sz="4" w:space="0" w:color="auto"/>
              <w:right w:val="single" w:sz="4" w:space="0" w:color="auto"/>
            </w:tcBorders>
            <w:shd w:val="clear" w:color="auto" w:fill="auto"/>
            <w:vAlign w:val="center"/>
            <w:hideMark/>
          </w:tcPr>
          <w:p w14:paraId="29EF49F8" w14:textId="77777777" w:rsidR="00436FE0" w:rsidRPr="00436FE0" w:rsidRDefault="00436FE0" w:rsidP="00436FE0">
            <w:pPr>
              <w:jc w:val="lef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Empresa Privada de Servicios Públicos de la Amazonía ZOMAC SAS</w:t>
            </w:r>
          </w:p>
        </w:tc>
        <w:tc>
          <w:tcPr>
            <w:tcW w:w="1480" w:type="dxa"/>
            <w:tcBorders>
              <w:top w:val="nil"/>
              <w:left w:val="nil"/>
              <w:bottom w:val="single" w:sz="4" w:space="0" w:color="auto"/>
              <w:right w:val="single" w:sz="4" w:space="0" w:color="auto"/>
            </w:tcBorders>
            <w:shd w:val="clear" w:color="auto" w:fill="auto"/>
            <w:noWrap/>
            <w:vAlign w:val="center"/>
            <w:hideMark/>
          </w:tcPr>
          <w:p w14:paraId="5BF57659" w14:textId="3F7E7AD4"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152</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878</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257 </w:t>
            </w:r>
          </w:p>
        </w:tc>
        <w:tc>
          <w:tcPr>
            <w:tcW w:w="1620" w:type="dxa"/>
            <w:tcBorders>
              <w:top w:val="nil"/>
              <w:left w:val="nil"/>
              <w:bottom w:val="single" w:sz="4" w:space="0" w:color="auto"/>
              <w:right w:val="single" w:sz="4" w:space="0" w:color="auto"/>
            </w:tcBorders>
            <w:shd w:val="clear" w:color="auto" w:fill="auto"/>
            <w:noWrap/>
            <w:vAlign w:val="center"/>
            <w:hideMark/>
          </w:tcPr>
          <w:p w14:paraId="72CA2A91" w14:textId="4EC17DAA"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1</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528</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783 </w:t>
            </w:r>
          </w:p>
        </w:tc>
      </w:tr>
      <w:tr w:rsidR="00436FE0" w:rsidRPr="00436FE0" w14:paraId="297E2FC8" w14:textId="77777777" w:rsidTr="00436FE0">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5402EE0E"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31</w:t>
            </w:r>
          </w:p>
        </w:tc>
        <w:tc>
          <w:tcPr>
            <w:tcW w:w="879" w:type="dxa"/>
            <w:tcBorders>
              <w:top w:val="nil"/>
              <w:left w:val="nil"/>
              <w:bottom w:val="single" w:sz="4" w:space="0" w:color="auto"/>
              <w:right w:val="single" w:sz="4" w:space="0" w:color="auto"/>
            </w:tcBorders>
            <w:shd w:val="clear" w:color="auto" w:fill="auto"/>
            <w:noWrap/>
            <w:vAlign w:val="center"/>
            <w:hideMark/>
          </w:tcPr>
          <w:p w14:paraId="0F737F2F"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890904996</w:t>
            </w:r>
          </w:p>
        </w:tc>
        <w:tc>
          <w:tcPr>
            <w:tcW w:w="4354" w:type="dxa"/>
            <w:tcBorders>
              <w:top w:val="nil"/>
              <w:left w:val="nil"/>
              <w:bottom w:val="single" w:sz="4" w:space="0" w:color="auto"/>
              <w:right w:val="single" w:sz="4" w:space="0" w:color="auto"/>
            </w:tcBorders>
            <w:shd w:val="clear" w:color="auto" w:fill="auto"/>
            <w:vAlign w:val="center"/>
            <w:hideMark/>
          </w:tcPr>
          <w:p w14:paraId="5CE2D75C" w14:textId="77777777" w:rsidR="00436FE0" w:rsidRPr="00436FE0" w:rsidRDefault="00436FE0" w:rsidP="00436FE0">
            <w:pPr>
              <w:jc w:val="lef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EMPRESAS PÚBLICAS DE MEDELLIN E.S.P.</w:t>
            </w:r>
          </w:p>
        </w:tc>
        <w:tc>
          <w:tcPr>
            <w:tcW w:w="1480" w:type="dxa"/>
            <w:tcBorders>
              <w:top w:val="nil"/>
              <w:left w:val="nil"/>
              <w:bottom w:val="single" w:sz="4" w:space="0" w:color="auto"/>
              <w:right w:val="single" w:sz="4" w:space="0" w:color="auto"/>
            </w:tcBorders>
            <w:shd w:val="clear" w:color="auto" w:fill="auto"/>
            <w:noWrap/>
            <w:vAlign w:val="center"/>
            <w:hideMark/>
          </w:tcPr>
          <w:p w14:paraId="056CC17D" w14:textId="37C7A1D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48</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018</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278</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140 </w:t>
            </w:r>
          </w:p>
        </w:tc>
        <w:tc>
          <w:tcPr>
            <w:tcW w:w="1620" w:type="dxa"/>
            <w:tcBorders>
              <w:top w:val="nil"/>
              <w:left w:val="nil"/>
              <w:bottom w:val="single" w:sz="4" w:space="0" w:color="auto"/>
              <w:right w:val="single" w:sz="4" w:space="0" w:color="auto"/>
            </w:tcBorders>
            <w:shd w:val="clear" w:color="auto" w:fill="auto"/>
            <w:noWrap/>
            <w:vAlign w:val="center"/>
            <w:hideMark/>
          </w:tcPr>
          <w:p w14:paraId="38477C74" w14:textId="17E8A052"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480</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182</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781 </w:t>
            </w:r>
          </w:p>
        </w:tc>
      </w:tr>
      <w:tr w:rsidR="00436FE0" w:rsidRPr="00436FE0" w14:paraId="71DC8DF1" w14:textId="77777777" w:rsidTr="00436FE0">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68FBC3A0"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32</w:t>
            </w:r>
          </w:p>
        </w:tc>
        <w:tc>
          <w:tcPr>
            <w:tcW w:w="879" w:type="dxa"/>
            <w:tcBorders>
              <w:top w:val="nil"/>
              <w:left w:val="nil"/>
              <w:bottom w:val="single" w:sz="4" w:space="0" w:color="auto"/>
              <w:right w:val="single" w:sz="4" w:space="0" w:color="auto"/>
            </w:tcBorders>
            <w:shd w:val="clear" w:color="auto" w:fill="auto"/>
            <w:noWrap/>
            <w:vAlign w:val="center"/>
            <w:hideMark/>
          </w:tcPr>
          <w:p w14:paraId="1D8CC544"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800063823</w:t>
            </w:r>
          </w:p>
        </w:tc>
        <w:tc>
          <w:tcPr>
            <w:tcW w:w="4354" w:type="dxa"/>
            <w:tcBorders>
              <w:top w:val="nil"/>
              <w:left w:val="nil"/>
              <w:bottom w:val="single" w:sz="4" w:space="0" w:color="auto"/>
              <w:right w:val="single" w:sz="4" w:space="0" w:color="auto"/>
            </w:tcBorders>
            <w:shd w:val="clear" w:color="auto" w:fill="auto"/>
            <w:vAlign w:val="center"/>
            <w:hideMark/>
          </w:tcPr>
          <w:p w14:paraId="3C788A02" w14:textId="77777777" w:rsidR="00436FE0" w:rsidRPr="00436FE0" w:rsidRDefault="00436FE0" w:rsidP="00436FE0">
            <w:pPr>
              <w:jc w:val="lef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EMPRESAS PÚBLICAS DEL QUINDIO S.A.   E.S.P.</w:t>
            </w:r>
          </w:p>
        </w:tc>
        <w:tc>
          <w:tcPr>
            <w:tcW w:w="1480" w:type="dxa"/>
            <w:tcBorders>
              <w:top w:val="nil"/>
              <w:left w:val="nil"/>
              <w:bottom w:val="single" w:sz="4" w:space="0" w:color="auto"/>
              <w:right w:val="single" w:sz="4" w:space="0" w:color="auto"/>
            </w:tcBorders>
            <w:shd w:val="clear" w:color="auto" w:fill="auto"/>
            <w:noWrap/>
            <w:vAlign w:val="center"/>
            <w:hideMark/>
          </w:tcPr>
          <w:p w14:paraId="7753536D" w14:textId="60759411"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111</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645</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847 </w:t>
            </w:r>
          </w:p>
        </w:tc>
        <w:tc>
          <w:tcPr>
            <w:tcW w:w="1620" w:type="dxa"/>
            <w:tcBorders>
              <w:top w:val="nil"/>
              <w:left w:val="nil"/>
              <w:bottom w:val="single" w:sz="4" w:space="0" w:color="auto"/>
              <w:right w:val="single" w:sz="4" w:space="0" w:color="auto"/>
            </w:tcBorders>
            <w:shd w:val="clear" w:color="auto" w:fill="auto"/>
            <w:noWrap/>
            <w:vAlign w:val="center"/>
            <w:hideMark/>
          </w:tcPr>
          <w:p w14:paraId="52B48198" w14:textId="0C173AA9"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1</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116</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458 </w:t>
            </w:r>
          </w:p>
        </w:tc>
      </w:tr>
      <w:tr w:rsidR="00436FE0" w:rsidRPr="00436FE0" w14:paraId="5D035731" w14:textId="77777777" w:rsidTr="00436FE0">
        <w:trPr>
          <w:trHeight w:val="46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353E3BB4"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33</w:t>
            </w:r>
          </w:p>
        </w:tc>
        <w:tc>
          <w:tcPr>
            <w:tcW w:w="879" w:type="dxa"/>
            <w:tcBorders>
              <w:top w:val="nil"/>
              <w:left w:val="nil"/>
              <w:bottom w:val="single" w:sz="4" w:space="0" w:color="auto"/>
              <w:right w:val="single" w:sz="4" w:space="0" w:color="auto"/>
            </w:tcBorders>
            <w:shd w:val="clear" w:color="auto" w:fill="auto"/>
            <w:noWrap/>
            <w:vAlign w:val="center"/>
            <w:hideMark/>
          </w:tcPr>
          <w:p w14:paraId="2F854A9F"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900189881</w:t>
            </w:r>
          </w:p>
        </w:tc>
        <w:tc>
          <w:tcPr>
            <w:tcW w:w="4354" w:type="dxa"/>
            <w:tcBorders>
              <w:top w:val="nil"/>
              <w:left w:val="nil"/>
              <w:bottom w:val="single" w:sz="4" w:space="0" w:color="auto"/>
              <w:right w:val="single" w:sz="4" w:space="0" w:color="auto"/>
            </w:tcBorders>
            <w:shd w:val="clear" w:color="auto" w:fill="auto"/>
            <w:vAlign w:val="center"/>
            <w:hideMark/>
          </w:tcPr>
          <w:p w14:paraId="278C949F" w14:textId="77777777" w:rsidR="00436FE0" w:rsidRPr="00436FE0" w:rsidRDefault="00436FE0" w:rsidP="00436FE0">
            <w:pPr>
              <w:jc w:val="lef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ENERCOR S.A. E.S.P. - COMERCIALIZADORA ENERGETICA DEL ORIENTE</w:t>
            </w:r>
          </w:p>
        </w:tc>
        <w:tc>
          <w:tcPr>
            <w:tcW w:w="1480" w:type="dxa"/>
            <w:tcBorders>
              <w:top w:val="nil"/>
              <w:left w:val="nil"/>
              <w:bottom w:val="single" w:sz="4" w:space="0" w:color="auto"/>
              <w:right w:val="single" w:sz="4" w:space="0" w:color="auto"/>
            </w:tcBorders>
            <w:shd w:val="clear" w:color="auto" w:fill="auto"/>
            <w:noWrap/>
            <w:vAlign w:val="center"/>
            <w:hideMark/>
          </w:tcPr>
          <w:p w14:paraId="572E6FF4" w14:textId="0F71D68F"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302</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087</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329 </w:t>
            </w:r>
          </w:p>
        </w:tc>
        <w:tc>
          <w:tcPr>
            <w:tcW w:w="1620" w:type="dxa"/>
            <w:tcBorders>
              <w:top w:val="nil"/>
              <w:left w:val="nil"/>
              <w:bottom w:val="single" w:sz="4" w:space="0" w:color="auto"/>
              <w:right w:val="single" w:sz="4" w:space="0" w:color="auto"/>
            </w:tcBorders>
            <w:shd w:val="clear" w:color="auto" w:fill="auto"/>
            <w:noWrap/>
            <w:vAlign w:val="center"/>
            <w:hideMark/>
          </w:tcPr>
          <w:p w14:paraId="2B89B577" w14:textId="10066C75"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3</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020</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873 </w:t>
            </w:r>
          </w:p>
        </w:tc>
      </w:tr>
      <w:tr w:rsidR="00436FE0" w:rsidRPr="00436FE0" w14:paraId="7EA866B8" w14:textId="77777777" w:rsidTr="00436FE0">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6434DF25"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34</w:t>
            </w:r>
          </w:p>
        </w:tc>
        <w:tc>
          <w:tcPr>
            <w:tcW w:w="879" w:type="dxa"/>
            <w:tcBorders>
              <w:top w:val="nil"/>
              <w:left w:val="nil"/>
              <w:bottom w:val="single" w:sz="4" w:space="0" w:color="auto"/>
              <w:right w:val="single" w:sz="4" w:space="0" w:color="auto"/>
            </w:tcBorders>
            <w:shd w:val="clear" w:color="auto" w:fill="auto"/>
            <w:noWrap/>
            <w:vAlign w:val="center"/>
            <w:hideMark/>
          </w:tcPr>
          <w:p w14:paraId="5B61814E"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901007478</w:t>
            </w:r>
          </w:p>
        </w:tc>
        <w:tc>
          <w:tcPr>
            <w:tcW w:w="4354" w:type="dxa"/>
            <w:tcBorders>
              <w:top w:val="nil"/>
              <w:left w:val="nil"/>
              <w:bottom w:val="single" w:sz="4" w:space="0" w:color="auto"/>
              <w:right w:val="single" w:sz="4" w:space="0" w:color="auto"/>
            </w:tcBorders>
            <w:shd w:val="clear" w:color="auto" w:fill="auto"/>
            <w:vAlign w:val="center"/>
            <w:hideMark/>
          </w:tcPr>
          <w:p w14:paraId="46AA78A2" w14:textId="77777777" w:rsidR="00436FE0" w:rsidRPr="00436FE0" w:rsidRDefault="00436FE0" w:rsidP="00436FE0">
            <w:pPr>
              <w:jc w:val="lef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ENERGIAS DE LA SIERRA SAS ESP</w:t>
            </w:r>
          </w:p>
        </w:tc>
        <w:tc>
          <w:tcPr>
            <w:tcW w:w="1480" w:type="dxa"/>
            <w:tcBorders>
              <w:top w:val="nil"/>
              <w:left w:val="nil"/>
              <w:bottom w:val="single" w:sz="4" w:space="0" w:color="auto"/>
              <w:right w:val="single" w:sz="4" w:space="0" w:color="auto"/>
            </w:tcBorders>
            <w:shd w:val="clear" w:color="auto" w:fill="auto"/>
            <w:noWrap/>
            <w:vAlign w:val="center"/>
            <w:hideMark/>
          </w:tcPr>
          <w:p w14:paraId="14E2BCE4" w14:textId="6A07455B"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2</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742</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681</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508 </w:t>
            </w:r>
          </w:p>
        </w:tc>
        <w:tc>
          <w:tcPr>
            <w:tcW w:w="1620" w:type="dxa"/>
            <w:tcBorders>
              <w:top w:val="nil"/>
              <w:left w:val="nil"/>
              <w:bottom w:val="single" w:sz="4" w:space="0" w:color="auto"/>
              <w:right w:val="single" w:sz="4" w:space="0" w:color="auto"/>
            </w:tcBorders>
            <w:shd w:val="clear" w:color="auto" w:fill="auto"/>
            <w:noWrap/>
            <w:vAlign w:val="center"/>
            <w:hideMark/>
          </w:tcPr>
          <w:p w14:paraId="597528BB" w14:textId="31D9E514"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27</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426</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815 </w:t>
            </w:r>
          </w:p>
        </w:tc>
      </w:tr>
      <w:tr w:rsidR="00436FE0" w:rsidRPr="00436FE0" w14:paraId="55519F6C" w14:textId="77777777" w:rsidTr="00436FE0">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1D79AA6A"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35</w:t>
            </w:r>
          </w:p>
        </w:tc>
        <w:tc>
          <w:tcPr>
            <w:tcW w:w="879" w:type="dxa"/>
            <w:tcBorders>
              <w:top w:val="nil"/>
              <w:left w:val="nil"/>
              <w:bottom w:val="single" w:sz="4" w:space="0" w:color="auto"/>
              <w:right w:val="single" w:sz="4" w:space="0" w:color="auto"/>
            </w:tcBorders>
            <w:shd w:val="clear" w:color="auto" w:fill="auto"/>
            <w:noWrap/>
            <w:vAlign w:val="center"/>
            <w:hideMark/>
          </w:tcPr>
          <w:p w14:paraId="5F8B6ADD"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901023319</w:t>
            </w:r>
          </w:p>
        </w:tc>
        <w:tc>
          <w:tcPr>
            <w:tcW w:w="4354" w:type="dxa"/>
            <w:tcBorders>
              <w:top w:val="nil"/>
              <w:left w:val="nil"/>
              <w:bottom w:val="single" w:sz="4" w:space="0" w:color="auto"/>
              <w:right w:val="single" w:sz="4" w:space="0" w:color="auto"/>
            </w:tcBorders>
            <w:shd w:val="clear" w:color="auto" w:fill="auto"/>
            <w:vAlign w:val="center"/>
            <w:hideMark/>
          </w:tcPr>
          <w:p w14:paraId="028F8FA2" w14:textId="77777777" w:rsidR="00436FE0" w:rsidRPr="00D26825" w:rsidRDefault="00436FE0" w:rsidP="00436FE0">
            <w:pPr>
              <w:jc w:val="left"/>
              <w:rPr>
                <w:rFonts w:ascii="Arial Narrow" w:hAnsi="Arial Narrow" w:cs="Calibri"/>
                <w:color w:val="000000"/>
                <w:spacing w:val="0"/>
                <w:sz w:val="18"/>
                <w:szCs w:val="18"/>
                <w:lang w:val="en-US" w:eastAsia="es-CO"/>
              </w:rPr>
            </w:pPr>
            <w:r w:rsidRPr="00D26825">
              <w:rPr>
                <w:rFonts w:ascii="Arial Narrow" w:hAnsi="Arial Narrow" w:cs="Calibri"/>
                <w:color w:val="000000"/>
                <w:spacing w:val="0"/>
                <w:sz w:val="18"/>
                <w:szCs w:val="18"/>
                <w:lang w:val="en-US" w:eastAsia="es-CO"/>
              </w:rPr>
              <w:t>Energy for the Caribbean S.A.S. E.S.P.</w:t>
            </w:r>
          </w:p>
        </w:tc>
        <w:tc>
          <w:tcPr>
            <w:tcW w:w="1480" w:type="dxa"/>
            <w:tcBorders>
              <w:top w:val="nil"/>
              <w:left w:val="nil"/>
              <w:bottom w:val="single" w:sz="4" w:space="0" w:color="auto"/>
              <w:right w:val="single" w:sz="4" w:space="0" w:color="auto"/>
            </w:tcBorders>
            <w:shd w:val="clear" w:color="auto" w:fill="auto"/>
            <w:noWrap/>
            <w:vAlign w:val="center"/>
            <w:hideMark/>
          </w:tcPr>
          <w:p w14:paraId="5885EA2E" w14:textId="6CBF8EF4" w:rsidR="00436FE0" w:rsidRPr="00436FE0" w:rsidRDefault="00436FE0" w:rsidP="00436FE0">
            <w:pPr>
              <w:jc w:val="right"/>
              <w:rPr>
                <w:rFonts w:ascii="Arial Narrow" w:hAnsi="Arial Narrow" w:cs="Calibri"/>
                <w:color w:val="000000"/>
                <w:spacing w:val="0"/>
                <w:sz w:val="18"/>
                <w:szCs w:val="18"/>
                <w:lang w:eastAsia="es-CO"/>
              </w:rPr>
            </w:pPr>
            <w:r w:rsidRPr="00D26825">
              <w:rPr>
                <w:rFonts w:ascii="Arial Narrow" w:hAnsi="Arial Narrow" w:cs="Calibri"/>
                <w:color w:val="000000"/>
                <w:spacing w:val="0"/>
                <w:sz w:val="18"/>
                <w:szCs w:val="18"/>
                <w:lang w:val="en-US" w:eastAsia="es-CO"/>
              </w:rPr>
              <w:t xml:space="preserve">            </w:t>
            </w:r>
            <w:r w:rsidRPr="00436FE0">
              <w:rPr>
                <w:rFonts w:ascii="Arial Narrow" w:hAnsi="Arial Narrow" w:cs="Calibri"/>
                <w:color w:val="000000"/>
                <w:spacing w:val="0"/>
                <w:sz w:val="18"/>
                <w:szCs w:val="18"/>
                <w:lang w:eastAsia="es-CO"/>
              </w:rPr>
              <w:t>320</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732</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072 </w:t>
            </w:r>
          </w:p>
        </w:tc>
        <w:tc>
          <w:tcPr>
            <w:tcW w:w="1620" w:type="dxa"/>
            <w:tcBorders>
              <w:top w:val="nil"/>
              <w:left w:val="nil"/>
              <w:bottom w:val="single" w:sz="4" w:space="0" w:color="auto"/>
              <w:right w:val="single" w:sz="4" w:space="0" w:color="auto"/>
            </w:tcBorders>
            <w:shd w:val="clear" w:color="auto" w:fill="auto"/>
            <w:noWrap/>
            <w:vAlign w:val="center"/>
            <w:hideMark/>
          </w:tcPr>
          <w:p w14:paraId="2475C6A0" w14:textId="3C7F3E9D"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3</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207</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321 </w:t>
            </w:r>
          </w:p>
        </w:tc>
      </w:tr>
      <w:tr w:rsidR="00436FE0" w:rsidRPr="00436FE0" w14:paraId="635CA229" w14:textId="77777777" w:rsidTr="00436FE0">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375DCE06"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36</w:t>
            </w:r>
          </w:p>
        </w:tc>
        <w:tc>
          <w:tcPr>
            <w:tcW w:w="879" w:type="dxa"/>
            <w:tcBorders>
              <w:top w:val="nil"/>
              <w:left w:val="nil"/>
              <w:bottom w:val="single" w:sz="4" w:space="0" w:color="auto"/>
              <w:right w:val="single" w:sz="4" w:space="0" w:color="auto"/>
            </w:tcBorders>
            <w:shd w:val="clear" w:color="auto" w:fill="auto"/>
            <w:noWrap/>
            <w:vAlign w:val="center"/>
            <w:hideMark/>
          </w:tcPr>
          <w:p w14:paraId="24B58337"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900912454</w:t>
            </w:r>
          </w:p>
        </w:tc>
        <w:tc>
          <w:tcPr>
            <w:tcW w:w="4354" w:type="dxa"/>
            <w:tcBorders>
              <w:top w:val="nil"/>
              <w:left w:val="nil"/>
              <w:bottom w:val="single" w:sz="4" w:space="0" w:color="auto"/>
              <w:right w:val="single" w:sz="4" w:space="0" w:color="auto"/>
            </w:tcBorders>
            <w:shd w:val="clear" w:color="auto" w:fill="auto"/>
            <w:vAlign w:val="center"/>
            <w:hideMark/>
          </w:tcPr>
          <w:p w14:paraId="62778FF2" w14:textId="77777777" w:rsidR="00436FE0" w:rsidRPr="00436FE0" w:rsidRDefault="00436FE0" w:rsidP="00436FE0">
            <w:pPr>
              <w:jc w:val="lef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ENERGY GAS S.A.S. E.S.P</w:t>
            </w:r>
          </w:p>
        </w:tc>
        <w:tc>
          <w:tcPr>
            <w:tcW w:w="1480" w:type="dxa"/>
            <w:tcBorders>
              <w:top w:val="nil"/>
              <w:left w:val="nil"/>
              <w:bottom w:val="single" w:sz="4" w:space="0" w:color="auto"/>
              <w:right w:val="single" w:sz="4" w:space="0" w:color="auto"/>
            </w:tcBorders>
            <w:shd w:val="clear" w:color="auto" w:fill="auto"/>
            <w:noWrap/>
            <w:vAlign w:val="center"/>
            <w:hideMark/>
          </w:tcPr>
          <w:p w14:paraId="1FDA353F" w14:textId="49673BC3"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836</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494</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417 </w:t>
            </w:r>
          </w:p>
        </w:tc>
        <w:tc>
          <w:tcPr>
            <w:tcW w:w="1620" w:type="dxa"/>
            <w:tcBorders>
              <w:top w:val="nil"/>
              <w:left w:val="nil"/>
              <w:bottom w:val="single" w:sz="4" w:space="0" w:color="auto"/>
              <w:right w:val="single" w:sz="4" w:space="0" w:color="auto"/>
            </w:tcBorders>
            <w:shd w:val="clear" w:color="auto" w:fill="auto"/>
            <w:noWrap/>
            <w:vAlign w:val="center"/>
            <w:hideMark/>
          </w:tcPr>
          <w:p w14:paraId="11396ECE" w14:textId="77064915"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8</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364</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944 </w:t>
            </w:r>
          </w:p>
        </w:tc>
      </w:tr>
      <w:tr w:rsidR="00436FE0" w:rsidRPr="00436FE0" w14:paraId="05BCEDC1" w14:textId="77777777" w:rsidTr="00436FE0">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73C5EA1D"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37</w:t>
            </w:r>
          </w:p>
        </w:tc>
        <w:tc>
          <w:tcPr>
            <w:tcW w:w="879" w:type="dxa"/>
            <w:tcBorders>
              <w:top w:val="nil"/>
              <w:left w:val="nil"/>
              <w:bottom w:val="single" w:sz="4" w:space="0" w:color="auto"/>
              <w:right w:val="single" w:sz="4" w:space="0" w:color="auto"/>
            </w:tcBorders>
            <w:shd w:val="clear" w:color="auto" w:fill="auto"/>
            <w:noWrap/>
            <w:vAlign w:val="center"/>
            <w:hideMark/>
          </w:tcPr>
          <w:p w14:paraId="0AB357F8"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901263317</w:t>
            </w:r>
          </w:p>
        </w:tc>
        <w:tc>
          <w:tcPr>
            <w:tcW w:w="4354" w:type="dxa"/>
            <w:tcBorders>
              <w:top w:val="nil"/>
              <w:left w:val="nil"/>
              <w:bottom w:val="single" w:sz="4" w:space="0" w:color="auto"/>
              <w:right w:val="single" w:sz="4" w:space="0" w:color="auto"/>
            </w:tcBorders>
            <w:shd w:val="clear" w:color="auto" w:fill="auto"/>
            <w:vAlign w:val="center"/>
            <w:hideMark/>
          </w:tcPr>
          <w:p w14:paraId="1D427B45" w14:textId="77777777" w:rsidR="00436FE0" w:rsidRPr="00D26825" w:rsidRDefault="00436FE0" w:rsidP="00436FE0">
            <w:pPr>
              <w:jc w:val="left"/>
              <w:rPr>
                <w:rFonts w:ascii="Arial Narrow" w:hAnsi="Arial Narrow" w:cs="Calibri"/>
                <w:color w:val="000000"/>
                <w:spacing w:val="0"/>
                <w:sz w:val="18"/>
                <w:szCs w:val="18"/>
                <w:lang w:val="en-US" w:eastAsia="es-CO"/>
              </w:rPr>
            </w:pPr>
            <w:r w:rsidRPr="00D26825">
              <w:rPr>
                <w:rFonts w:ascii="Arial Narrow" w:hAnsi="Arial Narrow" w:cs="Calibri"/>
                <w:color w:val="000000"/>
                <w:spacing w:val="0"/>
                <w:sz w:val="18"/>
                <w:szCs w:val="18"/>
                <w:lang w:val="en-US" w:eastAsia="es-CO"/>
              </w:rPr>
              <w:t>ENERGY TRANSITIONS S.A.S. ESP</w:t>
            </w:r>
          </w:p>
        </w:tc>
        <w:tc>
          <w:tcPr>
            <w:tcW w:w="1480" w:type="dxa"/>
            <w:tcBorders>
              <w:top w:val="nil"/>
              <w:left w:val="nil"/>
              <w:bottom w:val="single" w:sz="4" w:space="0" w:color="auto"/>
              <w:right w:val="single" w:sz="4" w:space="0" w:color="auto"/>
            </w:tcBorders>
            <w:shd w:val="clear" w:color="auto" w:fill="auto"/>
            <w:noWrap/>
            <w:vAlign w:val="center"/>
            <w:hideMark/>
          </w:tcPr>
          <w:p w14:paraId="1A7FC60F" w14:textId="32FEDF73" w:rsidR="00436FE0" w:rsidRPr="00436FE0" w:rsidRDefault="00436FE0" w:rsidP="00436FE0">
            <w:pPr>
              <w:jc w:val="right"/>
              <w:rPr>
                <w:rFonts w:ascii="Arial Narrow" w:hAnsi="Arial Narrow" w:cs="Calibri"/>
                <w:color w:val="000000"/>
                <w:spacing w:val="0"/>
                <w:sz w:val="18"/>
                <w:szCs w:val="18"/>
                <w:lang w:eastAsia="es-CO"/>
              </w:rPr>
            </w:pPr>
            <w:r w:rsidRPr="00D26825">
              <w:rPr>
                <w:rFonts w:ascii="Arial Narrow" w:hAnsi="Arial Narrow" w:cs="Calibri"/>
                <w:color w:val="000000"/>
                <w:spacing w:val="0"/>
                <w:sz w:val="18"/>
                <w:szCs w:val="18"/>
                <w:lang w:val="en-US" w:eastAsia="es-CO"/>
              </w:rPr>
              <w:t xml:space="preserve">         </w:t>
            </w:r>
            <w:r w:rsidRPr="00436FE0">
              <w:rPr>
                <w:rFonts w:ascii="Arial Narrow" w:hAnsi="Arial Narrow" w:cs="Calibri"/>
                <w:color w:val="000000"/>
                <w:spacing w:val="0"/>
                <w:sz w:val="18"/>
                <w:szCs w:val="18"/>
                <w:lang w:eastAsia="es-CO"/>
              </w:rPr>
              <w:t>1</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046</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416</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768 </w:t>
            </w:r>
          </w:p>
        </w:tc>
        <w:tc>
          <w:tcPr>
            <w:tcW w:w="1620" w:type="dxa"/>
            <w:tcBorders>
              <w:top w:val="nil"/>
              <w:left w:val="nil"/>
              <w:bottom w:val="single" w:sz="4" w:space="0" w:color="auto"/>
              <w:right w:val="single" w:sz="4" w:space="0" w:color="auto"/>
            </w:tcBorders>
            <w:shd w:val="clear" w:color="auto" w:fill="auto"/>
            <w:noWrap/>
            <w:vAlign w:val="center"/>
            <w:hideMark/>
          </w:tcPr>
          <w:p w14:paraId="32DDE592" w14:textId="4B642144"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10</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464</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168 </w:t>
            </w:r>
          </w:p>
        </w:tc>
      </w:tr>
      <w:tr w:rsidR="00436FE0" w:rsidRPr="00436FE0" w14:paraId="061F0EF9" w14:textId="77777777" w:rsidTr="00436FE0">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3BF9C52D"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38</w:t>
            </w:r>
          </w:p>
        </w:tc>
        <w:tc>
          <w:tcPr>
            <w:tcW w:w="879" w:type="dxa"/>
            <w:tcBorders>
              <w:top w:val="nil"/>
              <w:left w:val="nil"/>
              <w:bottom w:val="single" w:sz="4" w:space="0" w:color="auto"/>
              <w:right w:val="single" w:sz="4" w:space="0" w:color="auto"/>
            </w:tcBorders>
            <w:shd w:val="clear" w:color="auto" w:fill="auto"/>
            <w:noWrap/>
            <w:vAlign w:val="center"/>
            <w:hideMark/>
          </w:tcPr>
          <w:p w14:paraId="780E34CC"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901034973</w:t>
            </w:r>
          </w:p>
        </w:tc>
        <w:tc>
          <w:tcPr>
            <w:tcW w:w="4354" w:type="dxa"/>
            <w:tcBorders>
              <w:top w:val="nil"/>
              <w:left w:val="nil"/>
              <w:bottom w:val="single" w:sz="4" w:space="0" w:color="auto"/>
              <w:right w:val="single" w:sz="4" w:space="0" w:color="auto"/>
            </w:tcBorders>
            <w:shd w:val="clear" w:color="auto" w:fill="auto"/>
            <w:vAlign w:val="center"/>
            <w:hideMark/>
          </w:tcPr>
          <w:p w14:paraId="540C7410" w14:textId="77777777" w:rsidR="00436FE0" w:rsidRPr="00436FE0" w:rsidRDefault="00436FE0" w:rsidP="00436FE0">
            <w:pPr>
              <w:jc w:val="lef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EOS ENERGY S.A.S. E.S.P.</w:t>
            </w:r>
          </w:p>
        </w:tc>
        <w:tc>
          <w:tcPr>
            <w:tcW w:w="1480" w:type="dxa"/>
            <w:tcBorders>
              <w:top w:val="nil"/>
              <w:left w:val="nil"/>
              <w:bottom w:val="single" w:sz="4" w:space="0" w:color="auto"/>
              <w:right w:val="single" w:sz="4" w:space="0" w:color="auto"/>
            </w:tcBorders>
            <w:shd w:val="clear" w:color="auto" w:fill="auto"/>
            <w:noWrap/>
            <w:vAlign w:val="center"/>
            <w:hideMark/>
          </w:tcPr>
          <w:p w14:paraId="7CCD70B0" w14:textId="161A3960"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68</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400</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788 </w:t>
            </w:r>
          </w:p>
        </w:tc>
        <w:tc>
          <w:tcPr>
            <w:tcW w:w="1620" w:type="dxa"/>
            <w:tcBorders>
              <w:top w:val="nil"/>
              <w:left w:val="nil"/>
              <w:bottom w:val="single" w:sz="4" w:space="0" w:color="auto"/>
              <w:right w:val="single" w:sz="4" w:space="0" w:color="auto"/>
            </w:tcBorders>
            <w:shd w:val="clear" w:color="auto" w:fill="auto"/>
            <w:noWrap/>
            <w:vAlign w:val="center"/>
            <w:hideMark/>
          </w:tcPr>
          <w:p w14:paraId="7068F8D6" w14:textId="362BF584"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684</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008 </w:t>
            </w:r>
          </w:p>
        </w:tc>
      </w:tr>
      <w:tr w:rsidR="00436FE0" w:rsidRPr="00436FE0" w14:paraId="737D8396" w14:textId="77777777" w:rsidTr="00436FE0">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708E2937"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39</w:t>
            </w:r>
          </w:p>
        </w:tc>
        <w:tc>
          <w:tcPr>
            <w:tcW w:w="879" w:type="dxa"/>
            <w:tcBorders>
              <w:top w:val="nil"/>
              <w:left w:val="nil"/>
              <w:bottom w:val="single" w:sz="4" w:space="0" w:color="auto"/>
              <w:right w:val="single" w:sz="4" w:space="0" w:color="auto"/>
            </w:tcBorders>
            <w:shd w:val="clear" w:color="auto" w:fill="auto"/>
            <w:noWrap/>
            <w:vAlign w:val="center"/>
            <w:hideMark/>
          </w:tcPr>
          <w:p w14:paraId="18D01D1E"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860002426</w:t>
            </w:r>
          </w:p>
        </w:tc>
        <w:tc>
          <w:tcPr>
            <w:tcW w:w="4354" w:type="dxa"/>
            <w:tcBorders>
              <w:top w:val="nil"/>
              <w:left w:val="nil"/>
              <w:bottom w:val="single" w:sz="4" w:space="0" w:color="auto"/>
              <w:right w:val="single" w:sz="4" w:space="0" w:color="auto"/>
            </w:tcBorders>
            <w:shd w:val="clear" w:color="auto" w:fill="auto"/>
            <w:vAlign w:val="center"/>
            <w:hideMark/>
          </w:tcPr>
          <w:p w14:paraId="02F9BE60" w14:textId="77777777" w:rsidR="00436FE0" w:rsidRPr="00436FE0" w:rsidRDefault="00436FE0" w:rsidP="00436FE0">
            <w:pPr>
              <w:jc w:val="lef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EQUION ENERGIA LIMITED</w:t>
            </w:r>
          </w:p>
        </w:tc>
        <w:tc>
          <w:tcPr>
            <w:tcW w:w="1480" w:type="dxa"/>
            <w:tcBorders>
              <w:top w:val="nil"/>
              <w:left w:val="nil"/>
              <w:bottom w:val="single" w:sz="4" w:space="0" w:color="auto"/>
              <w:right w:val="single" w:sz="4" w:space="0" w:color="auto"/>
            </w:tcBorders>
            <w:shd w:val="clear" w:color="auto" w:fill="auto"/>
            <w:noWrap/>
            <w:vAlign w:val="center"/>
            <w:hideMark/>
          </w:tcPr>
          <w:p w14:paraId="42091E60" w14:textId="27BAD839"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110</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720</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879 </w:t>
            </w:r>
          </w:p>
        </w:tc>
        <w:tc>
          <w:tcPr>
            <w:tcW w:w="1620" w:type="dxa"/>
            <w:tcBorders>
              <w:top w:val="nil"/>
              <w:left w:val="nil"/>
              <w:bottom w:val="single" w:sz="4" w:space="0" w:color="auto"/>
              <w:right w:val="single" w:sz="4" w:space="0" w:color="auto"/>
            </w:tcBorders>
            <w:shd w:val="clear" w:color="auto" w:fill="auto"/>
            <w:noWrap/>
            <w:vAlign w:val="center"/>
            <w:hideMark/>
          </w:tcPr>
          <w:p w14:paraId="72DF16E0" w14:textId="3CC0BDAC"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1</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107</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209 </w:t>
            </w:r>
          </w:p>
        </w:tc>
      </w:tr>
      <w:tr w:rsidR="00436FE0" w:rsidRPr="00436FE0" w14:paraId="61B14F42" w14:textId="77777777" w:rsidTr="00436FE0">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312E0735"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40</w:t>
            </w:r>
          </w:p>
        </w:tc>
        <w:tc>
          <w:tcPr>
            <w:tcW w:w="879" w:type="dxa"/>
            <w:tcBorders>
              <w:top w:val="nil"/>
              <w:left w:val="nil"/>
              <w:bottom w:val="single" w:sz="4" w:space="0" w:color="auto"/>
              <w:right w:val="single" w:sz="4" w:space="0" w:color="auto"/>
            </w:tcBorders>
            <w:shd w:val="clear" w:color="auto" w:fill="auto"/>
            <w:noWrap/>
            <w:vAlign w:val="center"/>
            <w:hideMark/>
          </w:tcPr>
          <w:p w14:paraId="4DD73D84"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804014885</w:t>
            </w:r>
          </w:p>
        </w:tc>
        <w:tc>
          <w:tcPr>
            <w:tcW w:w="4354" w:type="dxa"/>
            <w:tcBorders>
              <w:top w:val="nil"/>
              <w:left w:val="nil"/>
              <w:bottom w:val="single" w:sz="4" w:space="0" w:color="auto"/>
              <w:right w:val="single" w:sz="4" w:space="0" w:color="auto"/>
            </w:tcBorders>
            <w:shd w:val="clear" w:color="auto" w:fill="auto"/>
            <w:vAlign w:val="center"/>
            <w:hideMark/>
          </w:tcPr>
          <w:p w14:paraId="555FD2CF" w14:textId="77777777" w:rsidR="00436FE0" w:rsidRPr="00436FE0" w:rsidRDefault="00436FE0" w:rsidP="00436FE0">
            <w:pPr>
              <w:jc w:val="lef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ESPIGAS S.A. E.S.P.</w:t>
            </w:r>
          </w:p>
        </w:tc>
        <w:tc>
          <w:tcPr>
            <w:tcW w:w="1480" w:type="dxa"/>
            <w:tcBorders>
              <w:top w:val="nil"/>
              <w:left w:val="nil"/>
              <w:bottom w:val="single" w:sz="4" w:space="0" w:color="auto"/>
              <w:right w:val="single" w:sz="4" w:space="0" w:color="auto"/>
            </w:tcBorders>
            <w:shd w:val="clear" w:color="auto" w:fill="auto"/>
            <w:noWrap/>
            <w:vAlign w:val="center"/>
            <w:hideMark/>
          </w:tcPr>
          <w:p w14:paraId="58273194" w14:textId="1A7EC709"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191</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732</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603 </w:t>
            </w:r>
          </w:p>
        </w:tc>
        <w:tc>
          <w:tcPr>
            <w:tcW w:w="1620" w:type="dxa"/>
            <w:tcBorders>
              <w:top w:val="nil"/>
              <w:left w:val="nil"/>
              <w:bottom w:val="single" w:sz="4" w:space="0" w:color="auto"/>
              <w:right w:val="single" w:sz="4" w:space="0" w:color="auto"/>
            </w:tcBorders>
            <w:shd w:val="clear" w:color="auto" w:fill="auto"/>
            <w:noWrap/>
            <w:vAlign w:val="center"/>
            <w:hideMark/>
          </w:tcPr>
          <w:p w14:paraId="72A5E78F" w14:textId="09B8ED99"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1</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917</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326 </w:t>
            </w:r>
          </w:p>
        </w:tc>
      </w:tr>
      <w:tr w:rsidR="00436FE0" w:rsidRPr="00436FE0" w14:paraId="058A9B93" w14:textId="77777777" w:rsidTr="00436FE0">
        <w:trPr>
          <w:trHeight w:val="46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6A3A8FFC"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41</w:t>
            </w:r>
          </w:p>
        </w:tc>
        <w:tc>
          <w:tcPr>
            <w:tcW w:w="879" w:type="dxa"/>
            <w:tcBorders>
              <w:top w:val="nil"/>
              <w:left w:val="nil"/>
              <w:bottom w:val="single" w:sz="4" w:space="0" w:color="auto"/>
              <w:right w:val="single" w:sz="4" w:space="0" w:color="auto"/>
            </w:tcBorders>
            <w:shd w:val="clear" w:color="auto" w:fill="auto"/>
            <w:noWrap/>
            <w:vAlign w:val="center"/>
            <w:hideMark/>
          </w:tcPr>
          <w:p w14:paraId="63B29DCC"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830126302</w:t>
            </w:r>
          </w:p>
        </w:tc>
        <w:tc>
          <w:tcPr>
            <w:tcW w:w="4354" w:type="dxa"/>
            <w:tcBorders>
              <w:top w:val="nil"/>
              <w:left w:val="nil"/>
              <w:bottom w:val="single" w:sz="4" w:space="0" w:color="auto"/>
              <w:right w:val="single" w:sz="4" w:space="0" w:color="auto"/>
            </w:tcBorders>
            <w:shd w:val="clear" w:color="auto" w:fill="auto"/>
            <w:vAlign w:val="center"/>
            <w:hideMark/>
          </w:tcPr>
          <w:p w14:paraId="565C807C" w14:textId="77777777" w:rsidR="00436FE0" w:rsidRPr="00436FE0" w:rsidRDefault="00436FE0" w:rsidP="00436FE0">
            <w:pPr>
              <w:jc w:val="lef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FRONTERA ENERGY COLOMBIA CORP.,  SUCURSAL COLOMBIA</w:t>
            </w:r>
          </w:p>
        </w:tc>
        <w:tc>
          <w:tcPr>
            <w:tcW w:w="1480" w:type="dxa"/>
            <w:tcBorders>
              <w:top w:val="nil"/>
              <w:left w:val="nil"/>
              <w:bottom w:val="single" w:sz="4" w:space="0" w:color="auto"/>
              <w:right w:val="single" w:sz="4" w:space="0" w:color="auto"/>
            </w:tcBorders>
            <w:shd w:val="clear" w:color="auto" w:fill="auto"/>
            <w:noWrap/>
            <w:vAlign w:val="center"/>
            <w:hideMark/>
          </w:tcPr>
          <w:p w14:paraId="35BA0C09" w14:textId="09FA7CC6"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74</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228</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754 </w:t>
            </w:r>
          </w:p>
        </w:tc>
        <w:tc>
          <w:tcPr>
            <w:tcW w:w="1620" w:type="dxa"/>
            <w:tcBorders>
              <w:top w:val="nil"/>
              <w:left w:val="nil"/>
              <w:bottom w:val="single" w:sz="4" w:space="0" w:color="auto"/>
              <w:right w:val="single" w:sz="4" w:space="0" w:color="auto"/>
            </w:tcBorders>
            <w:shd w:val="clear" w:color="auto" w:fill="auto"/>
            <w:noWrap/>
            <w:vAlign w:val="center"/>
            <w:hideMark/>
          </w:tcPr>
          <w:p w14:paraId="3D6C79D4" w14:textId="0976761B"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742</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288 </w:t>
            </w:r>
          </w:p>
        </w:tc>
      </w:tr>
      <w:tr w:rsidR="00436FE0" w:rsidRPr="00436FE0" w14:paraId="16E4226F" w14:textId="77777777" w:rsidTr="00436FE0">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317F1CE9"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42</w:t>
            </w:r>
          </w:p>
        </w:tc>
        <w:tc>
          <w:tcPr>
            <w:tcW w:w="879" w:type="dxa"/>
            <w:tcBorders>
              <w:top w:val="nil"/>
              <w:left w:val="nil"/>
              <w:bottom w:val="single" w:sz="4" w:space="0" w:color="auto"/>
              <w:right w:val="single" w:sz="4" w:space="0" w:color="auto"/>
            </w:tcBorders>
            <w:shd w:val="clear" w:color="auto" w:fill="auto"/>
            <w:noWrap/>
            <w:vAlign w:val="center"/>
            <w:hideMark/>
          </w:tcPr>
          <w:p w14:paraId="7484ED8F"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900542835</w:t>
            </w:r>
          </w:p>
        </w:tc>
        <w:tc>
          <w:tcPr>
            <w:tcW w:w="4354" w:type="dxa"/>
            <w:tcBorders>
              <w:top w:val="nil"/>
              <w:left w:val="nil"/>
              <w:bottom w:val="single" w:sz="4" w:space="0" w:color="auto"/>
              <w:right w:val="single" w:sz="4" w:space="0" w:color="auto"/>
            </w:tcBorders>
            <w:shd w:val="clear" w:color="auto" w:fill="auto"/>
            <w:vAlign w:val="center"/>
            <w:hideMark/>
          </w:tcPr>
          <w:p w14:paraId="2A9A7BC4" w14:textId="77777777" w:rsidR="00436FE0" w:rsidRPr="00436FE0" w:rsidRDefault="00436FE0" w:rsidP="00436FE0">
            <w:pPr>
              <w:jc w:val="lef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G8 PROYECTOS ENERGETICOS SAS ESP</w:t>
            </w:r>
          </w:p>
        </w:tc>
        <w:tc>
          <w:tcPr>
            <w:tcW w:w="1480" w:type="dxa"/>
            <w:tcBorders>
              <w:top w:val="nil"/>
              <w:left w:val="nil"/>
              <w:bottom w:val="single" w:sz="4" w:space="0" w:color="auto"/>
              <w:right w:val="single" w:sz="4" w:space="0" w:color="auto"/>
            </w:tcBorders>
            <w:shd w:val="clear" w:color="auto" w:fill="auto"/>
            <w:noWrap/>
            <w:vAlign w:val="center"/>
            <w:hideMark/>
          </w:tcPr>
          <w:p w14:paraId="038AC894" w14:textId="1437249C"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210</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718</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529 </w:t>
            </w:r>
          </w:p>
        </w:tc>
        <w:tc>
          <w:tcPr>
            <w:tcW w:w="1620" w:type="dxa"/>
            <w:tcBorders>
              <w:top w:val="nil"/>
              <w:left w:val="nil"/>
              <w:bottom w:val="single" w:sz="4" w:space="0" w:color="auto"/>
              <w:right w:val="single" w:sz="4" w:space="0" w:color="auto"/>
            </w:tcBorders>
            <w:shd w:val="clear" w:color="auto" w:fill="auto"/>
            <w:noWrap/>
            <w:vAlign w:val="center"/>
            <w:hideMark/>
          </w:tcPr>
          <w:p w14:paraId="7E3D75FB" w14:textId="7279E0EE"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2</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107</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185 </w:t>
            </w:r>
          </w:p>
        </w:tc>
      </w:tr>
      <w:tr w:rsidR="00436FE0" w:rsidRPr="00436FE0" w14:paraId="2D003B2A" w14:textId="77777777" w:rsidTr="00436FE0">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4909C6BA"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43</w:t>
            </w:r>
          </w:p>
        </w:tc>
        <w:tc>
          <w:tcPr>
            <w:tcW w:w="879" w:type="dxa"/>
            <w:tcBorders>
              <w:top w:val="nil"/>
              <w:left w:val="nil"/>
              <w:bottom w:val="single" w:sz="4" w:space="0" w:color="auto"/>
              <w:right w:val="single" w:sz="4" w:space="0" w:color="auto"/>
            </w:tcBorders>
            <w:shd w:val="clear" w:color="auto" w:fill="auto"/>
            <w:noWrap/>
            <w:vAlign w:val="center"/>
            <w:hideMark/>
          </w:tcPr>
          <w:p w14:paraId="1719B593"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900655560</w:t>
            </w:r>
          </w:p>
        </w:tc>
        <w:tc>
          <w:tcPr>
            <w:tcW w:w="4354" w:type="dxa"/>
            <w:tcBorders>
              <w:top w:val="nil"/>
              <w:left w:val="nil"/>
              <w:bottom w:val="single" w:sz="4" w:space="0" w:color="auto"/>
              <w:right w:val="single" w:sz="4" w:space="0" w:color="auto"/>
            </w:tcBorders>
            <w:shd w:val="clear" w:color="auto" w:fill="auto"/>
            <w:vAlign w:val="center"/>
            <w:hideMark/>
          </w:tcPr>
          <w:p w14:paraId="50578060" w14:textId="77777777" w:rsidR="00436FE0" w:rsidRPr="00436FE0" w:rsidRDefault="00436FE0" w:rsidP="00436FE0">
            <w:pPr>
              <w:jc w:val="lef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GAS DE LA ORINOQUIA S.A. ESP.</w:t>
            </w:r>
          </w:p>
        </w:tc>
        <w:tc>
          <w:tcPr>
            <w:tcW w:w="1480" w:type="dxa"/>
            <w:tcBorders>
              <w:top w:val="nil"/>
              <w:left w:val="nil"/>
              <w:bottom w:val="single" w:sz="4" w:space="0" w:color="auto"/>
              <w:right w:val="single" w:sz="4" w:space="0" w:color="auto"/>
            </w:tcBorders>
            <w:shd w:val="clear" w:color="auto" w:fill="auto"/>
            <w:noWrap/>
            <w:vAlign w:val="center"/>
            <w:hideMark/>
          </w:tcPr>
          <w:p w14:paraId="47E4B0A7" w14:textId="69602AC6"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262</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927</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244 </w:t>
            </w:r>
          </w:p>
        </w:tc>
        <w:tc>
          <w:tcPr>
            <w:tcW w:w="1620" w:type="dxa"/>
            <w:tcBorders>
              <w:top w:val="nil"/>
              <w:left w:val="nil"/>
              <w:bottom w:val="single" w:sz="4" w:space="0" w:color="auto"/>
              <w:right w:val="single" w:sz="4" w:space="0" w:color="auto"/>
            </w:tcBorders>
            <w:shd w:val="clear" w:color="auto" w:fill="auto"/>
            <w:noWrap/>
            <w:vAlign w:val="center"/>
            <w:hideMark/>
          </w:tcPr>
          <w:p w14:paraId="2B59BEFA" w14:textId="03A689A9"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2</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629</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272 </w:t>
            </w:r>
          </w:p>
        </w:tc>
      </w:tr>
      <w:tr w:rsidR="00436FE0" w:rsidRPr="00436FE0" w14:paraId="1CEAF679" w14:textId="77777777" w:rsidTr="00436FE0">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7CEA7287"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44</w:t>
            </w:r>
          </w:p>
        </w:tc>
        <w:tc>
          <w:tcPr>
            <w:tcW w:w="879" w:type="dxa"/>
            <w:tcBorders>
              <w:top w:val="nil"/>
              <w:left w:val="nil"/>
              <w:bottom w:val="single" w:sz="4" w:space="0" w:color="auto"/>
              <w:right w:val="single" w:sz="4" w:space="0" w:color="auto"/>
            </w:tcBorders>
            <w:shd w:val="clear" w:color="auto" w:fill="auto"/>
            <w:noWrap/>
            <w:vAlign w:val="center"/>
            <w:hideMark/>
          </w:tcPr>
          <w:p w14:paraId="49388EB1"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830045472</w:t>
            </w:r>
          </w:p>
        </w:tc>
        <w:tc>
          <w:tcPr>
            <w:tcW w:w="4354" w:type="dxa"/>
            <w:tcBorders>
              <w:top w:val="nil"/>
              <w:left w:val="nil"/>
              <w:bottom w:val="single" w:sz="4" w:space="0" w:color="auto"/>
              <w:right w:val="single" w:sz="4" w:space="0" w:color="auto"/>
            </w:tcBorders>
            <w:shd w:val="clear" w:color="auto" w:fill="auto"/>
            <w:vAlign w:val="center"/>
            <w:hideMark/>
          </w:tcPr>
          <w:p w14:paraId="19C6FAA3" w14:textId="77777777" w:rsidR="00436FE0" w:rsidRPr="00436FE0" w:rsidRDefault="00436FE0" w:rsidP="00436FE0">
            <w:pPr>
              <w:jc w:val="lef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GAS NATURAL CUNDIBOYACENSE SA ESP</w:t>
            </w:r>
          </w:p>
        </w:tc>
        <w:tc>
          <w:tcPr>
            <w:tcW w:w="1480" w:type="dxa"/>
            <w:tcBorders>
              <w:top w:val="nil"/>
              <w:left w:val="nil"/>
              <w:bottom w:val="single" w:sz="4" w:space="0" w:color="auto"/>
              <w:right w:val="single" w:sz="4" w:space="0" w:color="auto"/>
            </w:tcBorders>
            <w:shd w:val="clear" w:color="auto" w:fill="auto"/>
            <w:noWrap/>
            <w:vAlign w:val="center"/>
            <w:hideMark/>
          </w:tcPr>
          <w:p w14:paraId="018A0CFF" w14:textId="1339BF8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18</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124</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050</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709 </w:t>
            </w:r>
          </w:p>
        </w:tc>
        <w:tc>
          <w:tcPr>
            <w:tcW w:w="1620" w:type="dxa"/>
            <w:tcBorders>
              <w:top w:val="nil"/>
              <w:left w:val="nil"/>
              <w:bottom w:val="single" w:sz="4" w:space="0" w:color="auto"/>
              <w:right w:val="single" w:sz="4" w:space="0" w:color="auto"/>
            </w:tcBorders>
            <w:shd w:val="clear" w:color="auto" w:fill="auto"/>
            <w:noWrap/>
            <w:vAlign w:val="center"/>
            <w:hideMark/>
          </w:tcPr>
          <w:p w14:paraId="28213495" w14:textId="77303F3B"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181</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240</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507 </w:t>
            </w:r>
          </w:p>
        </w:tc>
      </w:tr>
      <w:tr w:rsidR="00436FE0" w:rsidRPr="00436FE0" w14:paraId="2B711705" w14:textId="77777777" w:rsidTr="00436FE0">
        <w:trPr>
          <w:trHeight w:val="46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7CFE43BA"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45</w:t>
            </w:r>
          </w:p>
        </w:tc>
        <w:tc>
          <w:tcPr>
            <w:tcW w:w="879" w:type="dxa"/>
            <w:tcBorders>
              <w:top w:val="nil"/>
              <w:left w:val="nil"/>
              <w:bottom w:val="single" w:sz="4" w:space="0" w:color="auto"/>
              <w:right w:val="single" w:sz="4" w:space="0" w:color="auto"/>
            </w:tcBorders>
            <w:shd w:val="clear" w:color="auto" w:fill="auto"/>
            <w:noWrap/>
            <w:vAlign w:val="center"/>
            <w:hideMark/>
          </w:tcPr>
          <w:p w14:paraId="41792EDE"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804000551</w:t>
            </w:r>
          </w:p>
        </w:tc>
        <w:tc>
          <w:tcPr>
            <w:tcW w:w="4354" w:type="dxa"/>
            <w:tcBorders>
              <w:top w:val="nil"/>
              <w:left w:val="nil"/>
              <w:bottom w:val="single" w:sz="4" w:space="0" w:color="auto"/>
              <w:right w:val="single" w:sz="4" w:space="0" w:color="auto"/>
            </w:tcBorders>
            <w:shd w:val="clear" w:color="auto" w:fill="auto"/>
            <w:vAlign w:val="center"/>
            <w:hideMark/>
          </w:tcPr>
          <w:p w14:paraId="6107D948" w14:textId="77777777" w:rsidR="00436FE0" w:rsidRPr="00436FE0" w:rsidRDefault="00436FE0" w:rsidP="00436FE0">
            <w:pPr>
              <w:jc w:val="lef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GAS NATURAL DEL CESAR S.A. EMPRESA DE SERVICIOS PUBLICOS</w:t>
            </w:r>
          </w:p>
        </w:tc>
        <w:tc>
          <w:tcPr>
            <w:tcW w:w="1480" w:type="dxa"/>
            <w:tcBorders>
              <w:top w:val="nil"/>
              <w:left w:val="nil"/>
              <w:bottom w:val="single" w:sz="4" w:space="0" w:color="auto"/>
              <w:right w:val="single" w:sz="4" w:space="0" w:color="auto"/>
            </w:tcBorders>
            <w:shd w:val="clear" w:color="auto" w:fill="auto"/>
            <w:noWrap/>
            <w:vAlign w:val="center"/>
            <w:hideMark/>
          </w:tcPr>
          <w:p w14:paraId="052788CF" w14:textId="0F5E8966"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3</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445</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571</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779 </w:t>
            </w:r>
          </w:p>
        </w:tc>
        <w:tc>
          <w:tcPr>
            <w:tcW w:w="1620" w:type="dxa"/>
            <w:tcBorders>
              <w:top w:val="nil"/>
              <w:left w:val="nil"/>
              <w:bottom w:val="single" w:sz="4" w:space="0" w:color="auto"/>
              <w:right w:val="single" w:sz="4" w:space="0" w:color="auto"/>
            </w:tcBorders>
            <w:shd w:val="clear" w:color="auto" w:fill="auto"/>
            <w:noWrap/>
            <w:vAlign w:val="center"/>
            <w:hideMark/>
          </w:tcPr>
          <w:p w14:paraId="58B82505" w14:textId="68027304"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34</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455</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718 </w:t>
            </w:r>
          </w:p>
        </w:tc>
      </w:tr>
      <w:tr w:rsidR="00436FE0" w:rsidRPr="00436FE0" w14:paraId="002D6C24" w14:textId="77777777" w:rsidTr="00436FE0">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2C8CEB5E"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46</w:t>
            </w:r>
          </w:p>
        </w:tc>
        <w:tc>
          <w:tcPr>
            <w:tcW w:w="879" w:type="dxa"/>
            <w:tcBorders>
              <w:top w:val="nil"/>
              <w:left w:val="nil"/>
              <w:bottom w:val="single" w:sz="4" w:space="0" w:color="auto"/>
              <w:right w:val="single" w:sz="4" w:space="0" w:color="auto"/>
            </w:tcBorders>
            <w:shd w:val="clear" w:color="auto" w:fill="auto"/>
            <w:noWrap/>
            <w:vAlign w:val="center"/>
            <w:hideMark/>
          </w:tcPr>
          <w:p w14:paraId="352E32BE"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890205952</w:t>
            </w:r>
          </w:p>
        </w:tc>
        <w:tc>
          <w:tcPr>
            <w:tcW w:w="4354" w:type="dxa"/>
            <w:tcBorders>
              <w:top w:val="nil"/>
              <w:left w:val="nil"/>
              <w:bottom w:val="single" w:sz="4" w:space="0" w:color="auto"/>
              <w:right w:val="single" w:sz="4" w:space="0" w:color="auto"/>
            </w:tcBorders>
            <w:shd w:val="clear" w:color="auto" w:fill="auto"/>
            <w:vAlign w:val="center"/>
            <w:hideMark/>
          </w:tcPr>
          <w:p w14:paraId="485D6256" w14:textId="77777777" w:rsidR="00436FE0" w:rsidRPr="00436FE0" w:rsidRDefault="00436FE0" w:rsidP="00436FE0">
            <w:pPr>
              <w:jc w:val="lef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GAS NATURAL DEL ORIENTE SA ESP</w:t>
            </w:r>
          </w:p>
        </w:tc>
        <w:tc>
          <w:tcPr>
            <w:tcW w:w="1480" w:type="dxa"/>
            <w:tcBorders>
              <w:top w:val="nil"/>
              <w:left w:val="nil"/>
              <w:bottom w:val="single" w:sz="4" w:space="0" w:color="auto"/>
              <w:right w:val="single" w:sz="4" w:space="0" w:color="auto"/>
            </w:tcBorders>
            <w:shd w:val="clear" w:color="auto" w:fill="auto"/>
            <w:noWrap/>
            <w:vAlign w:val="center"/>
            <w:hideMark/>
          </w:tcPr>
          <w:p w14:paraId="419269BD" w14:textId="7544D765"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15</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934</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707</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287 </w:t>
            </w:r>
          </w:p>
        </w:tc>
        <w:tc>
          <w:tcPr>
            <w:tcW w:w="1620" w:type="dxa"/>
            <w:tcBorders>
              <w:top w:val="nil"/>
              <w:left w:val="nil"/>
              <w:bottom w:val="single" w:sz="4" w:space="0" w:color="auto"/>
              <w:right w:val="single" w:sz="4" w:space="0" w:color="auto"/>
            </w:tcBorders>
            <w:shd w:val="clear" w:color="auto" w:fill="auto"/>
            <w:noWrap/>
            <w:vAlign w:val="center"/>
            <w:hideMark/>
          </w:tcPr>
          <w:p w14:paraId="28EF521A" w14:textId="3960DD3B"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159</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347</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073 </w:t>
            </w:r>
          </w:p>
        </w:tc>
      </w:tr>
      <w:tr w:rsidR="00436FE0" w:rsidRPr="00436FE0" w14:paraId="2177AAF7" w14:textId="77777777" w:rsidTr="00436FE0">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699A597F"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47</w:t>
            </w:r>
          </w:p>
        </w:tc>
        <w:tc>
          <w:tcPr>
            <w:tcW w:w="879" w:type="dxa"/>
            <w:tcBorders>
              <w:top w:val="nil"/>
              <w:left w:val="nil"/>
              <w:bottom w:val="single" w:sz="4" w:space="0" w:color="auto"/>
              <w:right w:val="single" w:sz="4" w:space="0" w:color="auto"/>
            </w:tcBorders>
            <w:shd w:val="clear" w:color="auto" w:fill="auto"/>
            <w:noWrap/>
            <w:vAlign w:val="center"/>
            <w:hideMark/>
          </w:tcPr>
          <w:p w14:paraId="616854B9"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800007813</w:t>
            </w:r>
          </w:p>
        </w:tc>
        <w:tc>
          <w:tcPr>
            <w:tcW w:w="4354" w:type="dxa"/>
            <w:tcBorders>
              <w:top w:val="nil"/>
              <w:left w:val="nil"/>
              <w:bottom w:val="single" w:sz="4" w:space="0" w:color="auto"/>
              <w:right w:val="single" w:sz="4" w:space="0" w:color="auto"/>
            </w:tcBorders>
            <w:shd w:val="clear" w:color="auto" w:fill="auto"/>
            <w:vAlign w:val="center"/>
            <w:hideMark/>
          </w:tcPr>
          <w:p w14:paraId="7A872188" w14:textId="77777777" w:rsidR="00436FE0" w:rsidRPr="00436FE0" w:rsidRDefault="00436FE0" w:rsidP="00436FE0">
            <w:pPr>
              <w:jc w:val="lef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GAS NATURAL S.A. E.S..P</w:t>
            </w:r>
          </w:p>
        </w:tc>
        <w:tc>
          <w:tcPr>
            <w:tcW w:w="1480" w:type="dxa"/>
            <w:tcBorders>
              <w:top w:val="nil"/>
              <w:left w:val="nil"/>
              <w:bottom w:val="single" w:sz="4" w:space="0" w:color="auto"/>
              <w:right w:val="single" w:sz="4" w:space="0" w:color="auto"/>
            </w:tcBorders>
            <w:shd w:val="clear" w:color="auto" w:fill="auto"/>
            <w:noWrap/>
            <w:vAlign w:val="center"/>
            <w:hideMark/>
          </w:tcPr>
          <w:p w14:paraId="2D1E66ED" w14:textId="53F27B0E"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149</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089</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568</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466 </w:t>
            </w:r>
          </w:p>
        </w:tc>
        <w:tc>
          <w:tcPr>
            <w:tcW w:w="1620" w:type="dxa"/>
            <w:tcBorders>
              <w:top w:val="nil"/>
              <w:left w:val="nil"/>
              <w:bottom w:val="single" w:sz="4" w:space="0" w:color="auto"/>
              <w:right w:val="single" w:sz="4" w:space="0" w:color="auto"/>
            </w:tcBorders>
            <w:shd w:val="clear" w:color="auto" w:fill="auto"/>
            <w:noWrap/>
            <w:vAlign w:val="center"/>
            <w:hideMark/>
          </w:tcPr>
          <w:p w14:paraId="025F6A24" w14:textId="1E33431C"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1</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490</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895</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685 </w:t>
            </w:r>
          </w:p>
        </w:tc>
      </w:tr>
      <w:tr w:rsidR="00436FE0" w:rsidRPr="00436FE0" w14:paraId="4F7D2838" w14:textId="77777777" w:rsidTr="00436FE0">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06E68EF1"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48</w:t>
            </w:r>
          </w:p>
        </w:tc>
        <w:tc>
          <w:tcPr>
            <w:tcW w:w="879" w:type="dxa"/>
            <w:tcBorders>
              <w:top w:val="nil"/>
              <w:left w:val="nil"/>
              <w:bottom w:val="single" w:sz="4" w:space="0" w:color="auto"/>
              <w:right w:val="single" w:sz="4" w:space="0" w:color="auto"/>
            </w:tcBorders>
            <w:shd w:val="clear" w:color="auto" w:fill="auto"/>
            <w:noWrap/>
            <w:vAlign w:val="center"/>
            <w:hideMark/>
          </w:tcPr>
          <w:p w14:paraId="5606696C"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900570262</w:t>
            </w:r>
          </w:p>
        </w:tc>
        <w:tc>
          <w:tcPr>
            <w:tcW w:w="4354" w:type="dxa"/>
            <w:tcBorders>
              <w:top w:val="nil"/>
              <w:left w:val="nil"/>
              <w:bottom w:val="single" w:sz="4" w:space="0" w:color="auto"/>
              <w:right w:val="single" w:sz="4" w:space="0" w:color="auto"/>
            </w:tcBorders>
            <w:shd w:val="clear" w:color="auto" w:fill="auto"/>
            <w:vAlign w:val="center"/>
            <w:hideMark/>
          </w:tcPr>
          <w:p w14:paraId="4F074513" w14:textId="77777777" w:rsidR="00436FE0" w:rsidRPr="00436FE0" w:rsidRDefault="00436FE0" w:rsidP="00436FE0">
            <w:pPr>
              <w:jc w:val="lef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GASES ANDINOS DE COLOMBIA S.A.S. E.S.P.</w:t>
            </w:r>
          </w:p>
        </w:tc>
        <w:tc>
          <w:tcPr>
            <w:tcW w:w="1480" w:type="dxa"/>
            <w:tcBorders>
              <w:top w:val="nil"/>
              <w:left w:val="nil"/>
              <w:bottom w:val="single" w:sz="4" w:space="0" w:color="auto"/>
              <w:right w:val="single" w:sz="4" w:space="0" w:color="auto"/>
            </w:tcBorders>
            <w:shd w:val="clear" w:color="auto" w:fill="auto"/>
            <w:noWrap/>
            <w:vAlign w:val="center"/>
            <w:hideMark/>
          </w:tcPr>
          <w:p w14:paraId="64F1D8DF" w14:textId="14EFB219"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1</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069</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485</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788 </w:t>
            </w:r>
          </w:p>
        </w:tc>
        <w:tc>
          <w:tcPr>
            <w:tcW w:w="1620" w:type="dxa"/>
            <w:tcBorders>
              <w:top w:val="nil"/>
              <w:left w:val="nil"/>
              <w:bottom w:val="single" w:sz="4" w:space="0" w:color="auto"/>
              <w:right w:val="single" w:sz="4" w:space="0" w:color="auto"/>
            </w:tcBorders>
            <w:shd w:val="clear" w:color="auto" w:fill="auto"/>
            <w:noWrap/>
            <w:vAlign w:val="center"/>
            <w:hideMark/>
          </w:tcPr>
          <w:p w14:paraId="2D19BD3A" w14:textId="7D38B721"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10</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694</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858 </w:t>
            </w:r>
          </w:p>
        </w:tc>
      </w:tr>
      <w:tr w:rsidR="00436FE0" w:rsidRPr="00436FE0" w14:paraId="4CA251E7" w14:textId="77777777" w:rsidTr="00436FE0">
        <w:trPr>
          <w:trHeight w:val="46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0F7CD77F"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49</w:t>
            </w:r>
          </w:p>
        </w:tc>
        <w:tc>
          <w:tcPr>
            <w:tcW w:w="879" w:type="dxa"/>
            <w:tcBorders>
              <w:top w:val="nil"/>
              <w:left w:val="nil"/>
              <w:bottom w:val="single" w:sz="4" w:space="0" w:color="auto"/>
              <w:right w:val="single" w:sz="4" w:space="0" w:color="auto"/>
            </w:tcBorders>
            <w:shd w:val="clear" w:color="auto" w:fill="auto"/>
            <w:noWrap/>
            <w:vAlign w:val="center"/>
            <w:hideMark/>
          </w:tcPr>
          <w:p w14:paraId="4363CCDF"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892115036</w:t>
            </w:r>
          </w:p>
        </w:tc>
        <w:tc>
          <w:tcPr>
            <w:tcW w:w="4354" w:type="dxa"/>
            <w:tcBorders>
              <w:top w:val="nil"/>
              <w:left w:val="nil"/>
              <w:bottom w:val="single" w:sz="4" w:space="0" w:color="auto"/>
              <w:right w:val="single" w:sz="4" w:space="0" w:color="auto"/>
            </w:tcBorders>
            <w:shd w:val="clear" w:color="auto" w:fill="auto"/>
            <w:vAlign w:val="center"/>
            <w:hideMark/>
          </w:tcPr>
          <w:p w14:paraId="66B76784" w14:textId="77777777" w:rsidR="00436FE0" w:rsidRPr="00436FE0" w:rsidRDefault="00436FE0" w:rsidP="00436FE0">
            <w:pPr>
              <w:jc w:val="lef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GASES DE LA GUAJIRA S.A., EMPRESA DE SERVICIOS PUBLICOS</w:t>
            </w:r>
          </w:p>
        </w:tc>
        <w:tc>
          <w:tcPr>
            <w:tcW w:w="1480" w:type="dxa"/>
            <w:tcBorders>
              <w:top w:val="nil"/>
              <w:left w:val="nil"/>
              <w:bottom w:val="single" w:sz="4" w:space="0" w:color="auto"/>
              <w:right w:val="single" w:sz="4" w:space="0" w:color="auto"/>
            </w:tcBorders>
            <w:shd w:val="clear" w:color="auto" w:fill="auto"/>
            <w:noWrap/>
            <w:vAlign w:val="center"/>
            <w:hideMark/>
          </w:tcPr>
          <w:p w14:paraId="250B315C" w14:textId="2D27A26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5</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100</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433</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975 </w:t>
            </w:r>
          </w:p>
        </w:tc>
        <w:tc>
          <w:tcPr>
            <w:tcW w:w="1620" w:type="dxa"/>
            <w:tcBorders>
              <w:top w:val="nil"/>
              <w:left w:val="nil"/>
              <w:bottom w:val="single" w:sz="4" w:space="0" w:color="auto"/>
              <w:right w:val="single" w:sz="4" w:space="0" w:color="auto"/>
            </w:tcBorders>
            <w:shd w:val="clear" w:color="auto" w:fill="auto"/>
            <w:noWrap/>
            <w:vAlign w:val="center"/>
            <w:hideMark/>
          </w:tcPr>
          <w:p w14:paraId="39715A4F" w14:textId="30BDF706"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51</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004</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340 </w:t>
            </w:r>
          </w:p>
        </w:tc>
      </w:tr>
      <w:tr w:rsidR="00436FE0" w:rsidRPr="00436FE0" w14:paraId="61FEF936" w14:textId="77777777" w:rsidTr="00436FE0">
        <w:trPr>
          <w:trHeight w:val="46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0A2CF685"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50</w:t>
            </w:r>
          </w:p>
        </w:tc>
        <w:tc>
          <w:tcPr>
            <w:tcW w:w="879" w:type="dxa"/>
            <w:tcBorders>
              <w:top w:val="nil"/>
              <w:left w:val="nil"/>
              <w:bottom w:val="single" w:sz="4" w:space="0" w:color="auto"/>
              <w:right w:val="single" w:sz="4" w:space="0" w:color="auto"/>
            </w:tcBorders>
            <w:shd w:val="clear" w:color="auto" w:fill="auto"/>
            <w:noWrap/>
            <w:vAlign w:val="center"/>
            <w:hideMark/>
          </w:tcPr>
          <w:p w14:paraId="79F9F97F"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800167643</w:t>
            </w:r>
          </w:p>
        </w:tc>
        <w:tc>
          <w:tcPr>
            <w:tcW w:w="4354" w:type="dxa"/>
            <w:tcBorders>
              <w:top w:val="nil"/>
              <w:left w:val="nil"/>
              <w:bottom w:val="single" w:sz="4" w:space="0" w:color="auto"/>
              <w:right w:val="single" w:sz="4" w:space="0" w:color="auto"/>
            </w:tcBorders>
            <w:shd w:val="clear" w:color="auto" w:fill="auto"/>
            <w:vAlign w:val="center"/>
            <w:hideMark/>
          </w:tcPr>
          <w:p w14:paraId="05E56B49" w14:textId="77777777" w:rsidR="00436FE0" w:rsidRPr="00436FE0" w:rsidRDefault="00436FE0" w:rsidP="00436FE0">
            <w:pPr>
              <w:jc w:val="lef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GASES DE OCCIDENTE S. A. EMPRESA DE SERVICIOS PUBLICOS</w:t>
            </w:r>
          </w:p>
        </w:tc>
        <w:tc>
          <w:tcPr>
            <w:tcW w:w="1480" w:type="dxa"/>
            <w:tcBorders>
              <w:top w:val="nil"/>
              <w:left w:val="nil"/>
              <w:bottom w:val="single" w:sz="4" w:space="0" w:color="auto"/>
              <w:right w:val="single" w:sz="4" w:space="0" w:color="auto"/>
            </w:tcBorders>
            <w:shd w:val="clear" w:color="auto" w:fill="auto"/>
            <w:noWrap/>
            <w:vAlign w:val="center"/>
            <w:hideMark/>
          </w:tcPr>
          <w:p w14:paraId="4D518398" w14:textId="35A08CED"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30</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508</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956</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762 </w:t>
            </w:r>
          </w:p>
        </w:tc>
        <w:tc>
          <w:tcPr>
            <w:tcW w:w="1620" w:type="dxa"/>
            <w:tcBorders>
              <w:top w:val="nil"/>
              <w:left w:val="nil"/>
              <w:bottom w:val="single" w:sz="4" w:space="0" w:color="auto"/>
              <w:right w:val="single" w:sz="4" w:space="0" w:color="auto"/>
            </w:tcBorders>
            <w:shd w:val="clear" w:color="auto" w:fill="auto"/>
            <w:noWrap/>
            <w:vAlign w:val="center"/>
            <w:hideMark/>
          </w:tcPr>
          <w:p w14:paraId="4B324146" w14:textId="3BF49579"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305</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089</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568 </w:t>
            </w:r>
          </w:p>
        </w:tc>
      </w:tr>
      <w:tr w:rsidR="00436FE0" w:rsidRPr="00436FE0" w14:paraId="03637D2F" w14:textId="77777777" w:rsidTr="00436FE0">
        <w:trPr>
          <w:trHeight w:val="46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0DAB8435"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51</w:t>
            </w:r>
          </w:p>
        </w:tc>
        <w:tc>
          <w:tcPr>
            <w:tcW w:w="879" w:type="dxa"/>
            <w:tcBorders>
              <w:top w:val="nil"/>
              <w:left w:val="nil"/>
              <w:bottom w:val="single" w:sz="4" w:space="0" w:color="auto"/>
              <w:right w:val="single" w:sz="4" w:space="0" w:color="auto"/>
            </w:tcBorders>
            <w:shd w:val="clear" w:color="auto" w:fill="auto"/>
            <w:noWrap/>
            <w:vAlign w:val="center"/>
            <w:hideMark/>
          </w:tcPr>
          <w:p w14:paraId="07FB94D6"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890101691</w:t>
            </w:r>
          </w:p>
        </w:tc>
        <w:tc>
          <w:tcPr>
            <w:tcW w:w="4354" w:type="dxa"/>
            <w:tcBorders>
              <w:top w:val="nil"/>
              <w:left w:val="nil"/>
              <w:bottom w:val="single" w:sz="4" w:space="0" w:color="auto"/>
              <w:right w:val="single" w:sz="4" w:space="0" w:color="auto"/>
            </w:tcBorders>
            <w:shd w:val="clear" w:color="auto" w:fill="auto"/>
            <w:vAlign w:val="center"/>
            <w:hideMark/>
          </w:tcPr>
          <w:p w14:paraId="59899654" w14:textId="77777777" w:rsidR="00436FE0" w:rsidRPr="00436FE0" w:rsidRDefault="00436FE0" w:rsidP="00436FE0">
            <w:pPr>
              <w:jc w:val="lef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GASES DEL CARIBE S.A. EMPRESA DE SERVICIOS PUBLICOS </w:t>
            </w:r>
          </w:p>
        </w:tc>
        <w:tc>
          <w:tcPr>
            <w:tcW w:w="1480" w:type="dxa"/>
            <w:tcBorders>
              <w:top w:val="nil"/>
              <w:left w:val="nil"/>
              <w:bottom w:val="single" w:sz="4" w:space="0" w:color="auto"/>
              <w:right w:val="single" w:sz="4" w:space="0" w:color="auto"/>
            </w:tcBorders>
            <w:shd w:val="clear" w:color="auto" w:fill="auto"/>
            <w:noWrap/>
            <w:vAlign w:val="center"/>
            <w:hideMark/>
          </w:tcPr>
          <w:p w14:paraId="0E590463" w14:textId="26D38B48"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42</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134</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345</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900 </w:t>
            </w:r>
          </w:p>
        </w:tc>
        <w:tc>
          <w:tcPr>
            <w:tcW w:w="1620" w:type="dxa"/>
            <w:tcBorders>
              <w:top w:val="nil"/>
              <w:left w:val="nil"/>
              <w:bottom w:val="single" w:sz="4" w:space="0" w:color="auto"/>
              <w:right w:val="single" w:sz="4" w:space="0" w:color="auto"/>
            </w:tcBorders>
            <w:shd w:val="clear" w:color="auto" w:fill="auto"/>
            <w:noWrap/>
            <w:vAlign w:val="center"/>
            <w:hideMark/>
          </w:tcPr>
          <w:p w14:paraId="080A04B6" w14:textId="0A85124A"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421</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343</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459 </w:t>
            </w:r>
          </w:p>
        </w:tc>
      </w:tr>
      <w:tr w:rsidR="00436FE0" w:rsidRPr="00436FE0" w14:paraId="5A685C37" w14:textId="77777777" w:rsidTr="00436FE0">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1AC616FE"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52</w:t>
            </w:r>
          </w:p>
        </w:tc>
        <w:tc>
          <w:tcPr>
            <w:tcW w:w="879" w:type="dxa"/>
            <w:tcBorders>
              <w:top w:val="nil"/>
              <w:left w:val="nil"/>
              <w:bottom w:val="single" w:sz="4" w:space="0" w:color="auto"/>
              <w:right w:val="single" w:sz="4" w:space="0" w:color="auto"/>
            </w:tcBorders>
            <w:shd w:val="clear" w:color="auto" w:fill="auto"/>
            <w:noWrap/>
            <w:vAlign w:val="center"/>
            <w:hideMark/>
          </w:tcPr>
          <w:p w14:paraId="3C6CDA7A"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800218682</w:t>
            </w:r>
          </w:p>
        </w:tc>
        <w:tc>
          <w:tcPr>
            <w:tcW w:w="4354" w:type="dxa"/>
            <w:tcBorders>
              <w:top w:val="nil"/>
              <w:left w:val="nil"/>
              <w:bottom w:val="single" w:sz="4" w:space="0" w:color="auto"/>
              <w:right w:val="single" w:sz="4" w:space="0" w:color="auto"/>
            </w:tcBorders>
            <w:shd w:val="clear" w:color="auto" w:fill="auto"/>
            <w:vAlign w:val="center"/>
            <w:hideMark/>
          </w:tcPr>
          <w:p w14:paraId="370649BF" w14:textId="77777777" w:rsidR="00436FE0" w:rsidRPr="00436FE0" w:rsidRDefault="00436FE0" w:rsidP="00436FE0">
            <w:pPr>
              <w:jc w:val="lef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GASES DEL CUSIANA S.A. E.S.P</w:t>
            </w:r>
          </w:p>
        </w:tc>
        <w:tc>
          <w:tcPr>
            <w:tcW w:w="1480" w:type="dxa"/>
            <w:tcBorders>
              <w:top w:val="nil"/>
              <w:left w:val="nil"/>
              <w:bottom w:val="single" w:sz="4" w:space="0" w:color="auto"/>
              <w:right w:val="single" w:sz="4" w:space="0" w:color="auto"/>
            </w:tcBorders>
            <w:shd w:val="clear" w:color="auto" w:fill="auto"/>
            <w:noWrap/>
            <w:vAlign w:val="center"/>
            <w:hideMark/>
          </w:tcPr>
          <w:p w14:paraId="0747EC8C" w14:textId="0DF29264"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1</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686</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056</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196 </w:t>
            </w:r>
          </w:p>
        </w:tc>
        <w:tc>
          <w:tcPr>
            <w:tcW w:w="1620" w:type="dxa"/>
            <w:tcBorders>
              <w:top w:val="nil"/>
              <w:left w:val="nil"/>
              <w:bottom w:val="single" w:sz="4" w:space="0" w:color="auto"/>
              <w:right w:val="single" w:sz="4" w:space="0" w:color="auto"/>
            </w:tcBorders>
            <w:shd w:val="clear" w:color="auto" w:fill="auto"/>
            <w:noWrap/>
            <w:vAlign w:val="center"/>
            <w:hideMark/>
          </w:tcPr>
          <w:p w14:paraId="6D4A6743" w14:textId="23C37941"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16</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860</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562 </w:t>
            </w:r>
          </w:p>
        </w:tc>
      </w:tr>
      <w:tr w:rsidR="00436FE0" w:rsidRPr="00436FE0" w14:paraId="7BBF0184" w14:textId="77777777" w:rsidTr="00436FE0">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70A692F4"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53</w:t>
            </w:r>
          </w:p>
        </w:tc>
        <w:tc>
          <w:tcPr>
            <w:tcW w:w="879" w:type="dxa"/>
            <w:tcBorders>
              <w:top w:val="nil"/>
              <w:left w:val="nil"/>
              <w:bottom w:val="single" w:sz="4" w:space="0" w:color="auto"/>
              <w:right w:val="single" w:sz="4" w:space="0" w:color="auto"/>
            </w:tcBorders>
            <w:shd w:val="clear" w:color="auto" w:fill="auto"/>
            <w:noWrap/>
            <w:vAlign w:val="center"/>
            <w:hideMark/>
          </w:tcPr>
          <w:p w14:paraId="416086D6"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800021272</w:t>
            </w:r>
          </w:p>
        </w:tc>
        <w:tc>
          <w:tcPr>
            <w:tcW w:w="4354" w:type="dxa"/>
            <w:tcBorders>
              <w:top w:val="nil"/>
              <w:left w:val="nil"/>
              <w:bottom w:val="single" w:sz="4" w:space="0" w:color="auto"/>
              <w:right w:val="single" w:sz="4" w:space="0" w:color="auto"/>
            </w:tcBorders>
            <w:shd w:val="clear" w:color="auto" w:fill="auto"/>
            <w:vAlign w:val="center"/>
            <w:hideMark/>
          </w:tcPr>
          <w:p w14:paraId="2F21A4AC" w14:textId="77777777" w:rsidR="00436FE0" w:rsidRPr="00436FE0" w:rsidRDefault="00436FE0" w:rsidP="00436FE0">
            <w:pPr>
              <w:jc w:val="lef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GASES DEL LLANO S.A EMPRESA DE SERVICIOS PUBLICOS</w:t>
            </w:r>
          </w:p>
        </w:tc>
        <w:tc>
          <w:tcPr>
            <w:tcW w:w="1480" w:type="dxa"/>
            <w:tcBorders>
              <w:top w:val="nil"/>
              <w:left w:val="nil"/>
              <w:bottom w:val="single" w:sz="4" w:space="0" w:color="auto"/>
              <w:right w:val="single" w:sz="4" w:space="0" w:color="auto"/>
            </w:tcBorders>
            <w:shd w:val="clear" w:color="auto" w:fill="auto"/>
            <w:noWrap/>
            <w:vAlign w:val="center"/>
            <w:hideMark/>
          </w:tcPr>
          <w:p w14:paraId="38B727A9" w14:textId="2C2B3069"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4</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538</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758</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404 </w:t>
            </w:r>
          </w:p>
        </w:tc>
        <w:tc>
          <w:tcPr>
            <w:tcW w:w="1620" w:type="dxa"/>
            <w:tcBorders>
              <w:top w:val="nil"/>
              <w:left w:val="nil"/>
              <w:bottom w:val="single" w:sz="4" w:space="0" w:color="auto"/>
              <w:right w:val="single" w:sz="4" w:space="0" w:color="auto"/>
            </w:tcBorders>
            <w:shd w:val="clear" w:color="auto" w:fill="auto"/>
            <w:noWrap/>
            <w:vAlign w:val="center"/>
            <w:hideMark/>
          </w:tcPr>
          <w:p w14:paraId="65795BAE" w14:textId="685B0745"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45</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387</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584 </w:t>
            </w:r>
          </w:p>
        </w:tc>
      </w:tr>
      <w:tr w:rsidR="00436FE0" w:rsidRPr="00436FE0" w14:paraId="5C90D828" w14:textId="77777777" w:rsidTr="00436FE0">
        <w:trPr>
          <w:trHeight w:val="46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69AA26F4"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54</w:t>
            </w:r>
          </w:p>
        </w:tc>
        <w:tc>
          <w:tcPr>
            <w:tcW w:w="879" w:type="dxa"/>
            <w:tcBorders>
              <w:top w:val="nil"/>
              <w:left w:val="nil"/>
              <w:bottom w:val="single" w:sz="4" w:space="0" w:color="auto"/>
              <w:right w:val="single" w:sz="4" w:space="0" w:color="auto"/>
            </w:tcBorders>
            <w:shd w:val="clear" w:color="auto" w:fill="auto"/>
            <w:noWrap/>
            <w:vAlign w:val="center"/>
            <w:hideMark/>
          </w:tcPr>
          <w:p w14:paraId="3FA53E2D"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890503900</w:t>
            </w:r>
          </w:p>
        </w:tc>
        <w:tc>
          <w:tcPr>
            <w:tcW w:w="4354" w:type="dxa"/>
            <w:tcBorders>
              <w:top w:val="nil"/>
              <w:left w:val="nil"/>
              <w:bottom w:val="single" w:sz="4" w:space="0" w:color="auto"/>
              <w:right w:val="single" w:sz="4" w:space="0" w:color="auto"/>
            </w:tcBorders>
            <w:shd w:val="clear" w:color="auto" w:fill="auto"/>
            <w:vAlign w:val="center"/>
            <w:hideMark/>
          </w:tcPr>
          <w:p w14:paraId="414F0E87" w14:textId="77777777" w:rsidR="00436FE0" w:rsidRPr="00436FE0" w:rsidRDefault="00436FE0" w:rsidP="00436FE0">
            <w:pPr>
              <w:jc w:val="lef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GASES DEL ORIENTE S.A.  EMPRESA DE SERVICIOS PUBLICOS DOMICILIARIOS</w:t>
            </w:r>
          </w:p>
        </w:tc>
        <w:tc>
          <w:tcPr>
            <w:tcW w:w="1480" w:type="dxa"/>
            <w:tcBorders>
              <w:top w:val="nil"/>
              <w:left w:val="nil"/>
              <w:bottom w:val="single" w:sz="4" w:space="0" w:color="auto"/>
              <w:right w:val="single" w:sz="4" w:space="0" w:color="auto"/>
            </w:tcBorders>
            <w:shd w:val="clear" w:color="auto" w:fill="auto"/>
            <w:noWrap/>
            <w:vAlign w:val="center"/>
            <w:hideMark/>
          </w:tcPr>
          <w:p w14:paraId="10ED2424" w14:textId="00C283C1"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3</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923</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665</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881 </w:t>
            </w:r>
          </w:p>
        </w:tc>
        <w:tc>
          <w:tcPr>
            <w:tcW w:w="1620" w:type="dxa"/>
            <w:tcBorders>
              <w:top w:val="nil"/>
              <w:left w:val="nil"/>
              <w:bottom w:val="single" w:sz="4" w:space="0" w:color="auto"/>
              <w:right w:val="single" w:sz="4" w:space="0" w:color="auto"/>
            </w:tcBorders>
            <w:shd w:val="clear" w:color="auto" w:fill="auto"/>
            <w:noWrap/>
            <w:vAlign w:val="center"/>
            <w:hideMark/>
          </w:tcPr>
          <w:p w14:paraId="74903D69" w14:textId="6B190BDB"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39</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236</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659 </w:t>
            </w:r>
          </w:p>
        </w:tc>
      </w:tr>
      <w:tr w:rsidR="00436FE0" w:rsidRPr="00436FE0" w14:paraId="2DB0E5A9" w14:textId="77777777" w:rsidTr="00436FE0">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3BC16FD7"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55</w:t>
            </w:r>
          </w:p>
        </w:tc>
        <w:tc>
          <w:tcPr>
            <w:tcW w:w="879" w:type="dxa"/>
            <w:tcBorders>
              <w:top w:val="nil"/>
              <w:left w:val="nil"/>
              <w:bottom w:val="single" w:sz="4" w:space="0" w:color="auto"/>
              <w:right w:val="single" w:sz="4" w:space="0" w:color="auto"/>
            </w:tcBorders>
            <w:shd w:val="clear" w:color="auto" w:fill="auto"/>
            <w:noWrap/>
            <w:vAlign w:val="center"/>
            <w:hideMark/>
          </w:tcPr>
          <w:p w14:paraId="06EC67DF"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804002801</w:t>
            </w:r>
          </w:p>
        </w:tc>
        <w:tc>
          <w:tcPr>
            <w:tcW w:w="4354" w:type="dxa"/>
            <w:tcBorders>
              <w:top w:val="nil"/>
              <w:left w:val="nil"/>
              <w:bottom w:val="single" w:sz="4" w:space="0" w:color="auto"/>
              <w:right w:val="single" w:sz="4" w:space="0" w:color="auto"/>
            </w:tcBorders>
            <w:shd w:val="clear" w:color="auto" w:fill="auto"/>
            <w:vAlign w:val="center"/>
            <w:hideMark/>
          </w:tcPr>
          <w:p w14:paraId="3659848B" w14:textId="77777777" w:rsidR="00436FE0" w:rsidRPr="00436FE0" w:rsidRDefault="00436FE0" w:rsidP="00436FE0">
            <w:pPr>
              <w:jc w:val="lef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GASES DEL SUR DE SANTANDER S.A. E.S.P.</w:t>
            </w:r>
          </w:p>
        </w:tc>
        <w:tc>
          <w:tcPr>
            <w:tcW w:w="1480" w:type="dxa"/>
            <w:tcBorders>
              <w:top w:val="nil"/>
              <w:left w:val="nil"/>
              <w:bottom w:val="single" w:sz="4" w:space="0" w:color="auto"/>
              <w:right w:val="single" w:sz="4" w:space="0" w:color="auto"/>
            </w:tcBorders>
            <w:shd w:val="clear" w:color="auto" w:fill="auto"/>
            <w:noWrap/>
            <w:vAlign w:val="center"/>
            <w:hideMark/>
          </w:tcPr>
          <w:p w14:paraId="233E9A9F" w14:textId="3B32B964"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7</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007</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939</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111 </w:t>
            </w:r>
          </w:p>
        </w:tc>
        <w:tc>
          <w:tcPr>
            <w:tcW w:w="1620" w:type="dxa"/>
            <w:tcBorders>
              <w:top w:val="nil"/>
              <w:left w:val="nil"/>
              <w:bottom w:val="single" w:sz="4" w:space="0" w:color="auto"/>
              <w:right w:val="single" w:sz="4" w:space="0" w:color="auto"/>
            </w:tcBorders>
            <w:shd w:val="clear" w:color="auto" w:fill="auto"/>
            <w:noWrap/>
            <w:vAlign w:val="center"/>
            <w:hideMark/>
          </w:tcPr>
          <w:p w14:paraId="33BE7C3C" w14:textId="05D3EB13"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70</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079</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391 </w:t>
            </w:r>
          </w:p>
        </w:tc>
      </w:tr>
      <w:tr w:rsidR="00436FE0" w:rsidRPr="00436FE0" w14:paraId="6C336139" w14:textId="77777777" w:rsidTr="00436FE0">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76675264"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56</w:t>
            </w:r>
          </w:p>
        </w:tc>
        <w:tc>
          <w:tcPr>
            <w:tcW w:w="879" w:type="dxa"/>
            <w:tcBorders>
              <w:top w:val="nil"/>
              <w:left w:val="nil"/>
              <w:bottom w:val="single" w:sz="4" w:space="0" w:color="auto"/>
              <w:right w:val="single" w:sz="4" w:space="0" w:color="auto"/>
            </w:tcBorders>
            <w:shd w:val="clear" w:color="auto" w:fill="auto"/>
            <w:noWrap/>
            <w:vAlign w:val="center"/>
            <w:hideMark/>
          </w:tcPr>
          <w:p w14:paraId="74D0C9E6"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901021569</w:t>
            </w:r>
          </w:p>
        </w:tc>
        <w:tc>
          <w:tcPr>
            <w:tcW w:w="4354" w:type="dxa"/>
            <w:tcBorders>
              <w:top w:val="nil"/>
              <w:left w:val="nil"/>
              <w:bottom w:val="single" w:sz="4" w:space="0" w:color="auto"/>
              <w:right w:val="single" w:sz="4" w:space="0" w:color="auto"/>
            </w:tcBorders>
            <w:shd w:val="clear" w:color="auto" w:fill="auto"/>
            <w:vAlign w:val="center"/>
            <w:hideMark/>
          </w:tcPr>
          <w:p w14:paraId="08DE7B43" w14:textId="77777777" w:rsidR="00436FE0" w:rsidRPr="00436FE0" w:rsidRDefault="00436FE0" w:rsidP="00436FE0">
            <w:pPr>
              <w:jc w:val="lef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GASTUMACO DEL PACIFICO SAS ESP</w:t>
            </w:r>
          </w:p>
        </w:tc>
        <w:tc>
          <w:tcPr>
            <w:tcW w:w="1480" w:type="dxa"/>
            <w:tcBorders>
              <w:top w:val="nil"/>
              <w:left w:val="nil"/>
              <w:bottom w:val="single" w:sz="4" w:space="0" w:color="auto"/>
              <w:right w:val="single" w:sz="4" w:space="0" w:color="auto"/>
            </w:tcBorders>
            <w:shd w:val="clear" w:color="auto" w:fill="auto"/>
            <w:noWrap/>
            <w:vAlign w:val="center"/>
            <w:hideMark/>
          </w:tcPr>
          <w:p w14:paraId="5A2B72CF" w14:textId="385BBCF0"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390</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561</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738 </w:t>
            </w:r>
          </w:p>
        </w:tc>
        <w:tc>
          <w:tcPr>
            <w:tcW w:w="1620" w:type="dxa"/>
            <w:tcBorders>
              <w:top w:val="nil"/>
              <w:left w:val="nil"/>
              <w:bottom w:val="single" w:sz="4" w:space="0" w:color="auto"/>
              <w:right w:val="single" w:sz="4" w:space="0" w:color="auto"/>
            </w:tcBorders>
            <w:shd w:val="clear" w:color="auto" w:fill="auto"/>
            <w:noWrap/>
            <w:vAlign w:val="center"/>
            <w:hideMark/>
          </w:tcPr>
          <w:p w14:paraId="4FE05540" w14:textId="2D637F23"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3</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905</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617 </w:t>
            </w:r>
          </w:p>
        </w:tc>
      </w:tr>
      <w:tr w:rsidR="00436FE0" w:rsidRPr="00436FE0" w14:paraId="07DB5BB2" w14:textId="77777777" w:rsidTr="00436FE0">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0A25B3E8"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lastRenderedPageBreak/>
              <w:t>57</w:t>
            </w:r>
          </w:p>
        </w:tc>
        <w:tc>
          <w:tcPr>
            <w:tcW w:w="879" w:type="dxa"/>
            <w:tcBorders>
              <w:top w:val="nil"/>
              <w:left w:val="nil"/>
              <w:bottom w:val="single" w:sz="4" w:space="0" w:color="auto"/>
              <w:right w:val="single" w:sz="4" w:space="0" w:color="auto"/>
            </w:tcBorders>
            <w:shd w:val="clear" w:color="auto" w:fill="auto"/>
            <w:noWrap/>
            <w:vAlign w:val="center"/>
            <w:hideMark/>
          </w:tcPr>
          <w:p w14:paraId="637389D8"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830111971</w:t>
            </w:r>
          </w:p>
        </w:tc>
        <w:tc>
          <w:tcPr>
            <w:tcW w:w="4354" w:type="dxa"/>
            <w:tcBorders>
              <w:top w:val="nil"/>
              <w:left w:val="nil"/>
              <w:bottom w:val="single" w:sz="4" w:space="0" w:color="auto"/>
              <w:right w:val="single" w:sz="4" w:space="0" w:color="auto"/>
            </w:tcBorders>
            <w:shd w:val="clear" w:color="auto" w:fill="auto"/>
            <w:vAlign w:val="center"/>
            <w:hideMark/>
          </w:tcPr>
          <w:p w14:paraId="627C1702" w14:textId="77777777" w:rsidR="00436FE0" w:rsidRPr="00D26825" w:rsidRDefault="00436FE0" w:rsidP="00436FE0">
            <w:pPr>
              <w:jc w:val="left"/>
              <w:rPr>
                <w:rFonts w:ascii="Arial Narrow" w:hAnsi="Arial Narrow" w:cs="Calibri"/>
                <w:color w:val="000000"/>
                <w:spacing w:val="0"/>
                <w:sz w:val="18"/>
                <w:szCs w:val="18"/>
                <w:lang w:val="en-US" w:eastAsia="es-CO"/>
              </w:rPr>
            </w:pPr>
            <w:r w:rsidRPr="00D26825">
              <w:rPr>
                <w:rFonts w:ascii="Arial Narrow" w:hAnsi="Arial Narrow" w:cs="Calibri"/>
                <w:color w:val="000000"/>
                <w:spacing w:val="0"/>
                <w:sz w:val="18"/>
                <w:szCs w:val="18"/>
                <w:lang w:val="en-US" w:eastAsia="es-CO"/>
              </w:rPr>
              <w:t>GEOPRODUCTION OIL AND GAS COMPANY OF COLOMBIA</w:t>
            </w:r>
          </w:p>
        </w:tc>
        <w:tc>
          <w:tcPr>
            <w:tcW w:w="1480" w:type="dxa"/>
            <w:tcBorders>
              <w:top w:val="nil"/>
              <w:left w:val="nil"/>
              <w:bottom w:val="single" w:sz="4" w:space="0" w:color="auto"/>
              <w:right w:val="single" w:sz="4" w:space="0" w:color="auto"/>
            </w:tcBorders>
            <w:shd w:val="clear" w:color="auto" w:fill="auto"/>
            <w:noWrap/>
            <w:vAlign w:val="center"/>
            <w:hideMark/>
          </w:tcPr>
          <w:p w14:paraId="4D8B8503" w14:textId="5768B8BC" w:rsidR="00436FE0" w:rsidRPr="00436FE0" w:rsidRDefault="00436FE0" w:rsidP="00436FE0">
            <w:pPr>
              <w:jc w:val="right"/>
              <w:rPr>
                <w:rFonts w:ascii="Arial Narrow" w:hAnsi="Arial Narrow" w:cs="Calibri"/>
                <w:color w:val="000000"/>
                <w:spacing w:val="0"/>
                <w:sz w:val="18"/>
                <w:szCs w:val="18"/>
                <w:lang w:eastAsia="es-CO"/>
              </w:rPr>
            </w:pPr>
            <w:r w:rsidRPr="00D26825">
              <w:rPr>
                <w:rFonts w:ascii="Arial Narrow" w:hAnsi="Arial Narrow" w:cs="Calibri"/>
                <w:color w:val="000000"/>
                <w:spacing w:val="0"/>
                <w:sz w:val="18"/>
                <w:szCs w:val="18"/>
                <w:lang w:val="en-US" w:eastAsia="es-CO"/>
              </w:rPr>
              <w:t xml:space="preserve">       </w:t>
            </w:r>
            <w:r w:rsidRPr="00436FE0">
              <w:rPr>
                <w:rFonts w:ascii="Arial Narrow" w:hAnsi="Arial Narrow" w:cs="Calibri"/>
                <w:color w:val="000000"/>
                <w:spacing w:val="0"/>
                <w:sz w:val="18"/>
                <w:szCs w:val="18"/>
                <w:lang w:eastAsia="es-CO"/>
              </w:rPr>
              <w:t>21</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166</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578</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424 </w:t>
            </w:r>
          </w:p>
        </w:tc>
        <w:tc>
          <w:tcPr>
            <w:tcW w:w="1620" w:type="dxa"/>
            <w:tcBorders>
              <w:top w:val="nil"/>
              <w:left w:val="nil"/>
              <w:bottom w:val="single" w:sz="4" w:space="0" w:color="auto"/>
              <w:right w:val="single" w:sz="4" w:space="0" w:color="auto"/>
            </w:tcBorders>
            <w:shd w:val="clear" w:color="auto" w:fill="auto"/>
            <w:noWrap/>
            <w:vAlign w:val="center"/>
            <w:hideMark/>
          </w:tcPr>
          <w:p w14:paraId="7C7AA365" w14:textId="3546FC1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211</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665</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784 </w:t>
            </w:r>
          </w:p>
        </w:tc>
      </w:tr>
      <w:tr w:rsidR="00436FE0" w:rsidRPr="00436FE0" w14:paraId="2B9A2639" w14:textId="77777777" w:rsidTr="00436FE0">
        <w:trPr>
          <w:trHeight w:val="46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055974D7"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58</w:t>
            </w:r>
          </w:p>
        </w:tc>
        <w:tc>
          <w:tcPr>
            <w:tcW w:w="879" w:type="dxa"/>
            <w:tcBorders>
              <w:top w:val="nil"/>
              <w:left w:val="nil"/>
              <w:bottom w:val="single" w:sz="4" w:space="0" w:color="auto"/>
              <w:right w:val="single" w:sz="4" w:space="0" w:color="auto"/>
            </w:tcBorders>
            <w:shd w:val="clear" w:color="auto" w:fill="auto"/>
            <w:noWrap/>
            <w:vAlign w:val="center"/>
            <w:hideMark/>
          </w:tcPr>
          <w:p w14:paraId="53E3FFEC"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901306019</w:t>
            </w:r>
          </w:p>
        </w:tc>
        <w:tc>
          <w:tcPr>
            <w:tcW w:w="4354" w:type="dxa"/>
            <w:tcBorders>
              <w:top w:val="nil"/>
              <w:left w:val="nil"/>
              <w:bottom w:val="single" w:sz="4" w:space="0" w:color="auto"/>
              <w:right w:val="single" w:sz="4" w:space="0" w:color="auto"/>
            </w:tcBorders>
            <w:shd w:val="clear" w:color="auto" w:fill="auto"/>
            <w:vAlign w:val="center"/>
            <w:hideMark/>
          </w:tcPr>
          <w:p w14:paraId="6CDDD3D4" w14:textId="77777777" w:rsidR="00436FE0" w:rsidRPr="00436FE0" w:rsidRDefault="00436FE0" w:rsidP="00436FE0">
            <w:pPr>
              <w:jc w:val="lef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GIGAS ENERGY SOCIEDAD POR ACCIONES SIMPLIFICADAS EMPRESA DE SERVICIOS PUBLICOS</w:t>
            </w:r>
          </w:p>
        </w:tc>
        <w:tc>
          <w:tcPr>
            <w:tcW w:w="1480" w:type="dxa"/>
            <w:tcBorders>
              <w:top w:val="nil"/>
              <w:left w:val="nil"/>
              <w:bottom w:val="single" w:sz="4" w:space="0" w:color="auto"/>
              <w:right w:val="single" w:sz="4" w:space="0" w:color="auto"/>
            </w:tcBorders>
            <w:shd w:val="clear" w:color="auto" w:fill="auto"/>
            <w:noWrap/>
            <w:vAlign w:val="center"/>
            <w:hideMark/>
          </w:tcPr>
          <w:p w14:paraId="151456B7" w14:textId="2F84EAA9"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285</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336</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151 </w:t>
            </w:r>
          </w:p>
        </w:tc>
        <w:tc>
          <w:tcPr>
            <w:tcW w:w="1620" w:type="dxa"/>
            <w:tcBorders>
              <w:top w:val="nil"/>
              <w:left w:val="nil"/>
              <w:bottom w:val="single" w:sz="4" w:space="0" w:color="auto"/>
              <w:right w:val="single" w:sz="4" w:space="0" w:color="auto"/>
            </w:tcBorders>
            <w:shd w:val="clear" w:color="auto" w:fill="auto"/>
            <w:noWrap/>
            <w:vAlign w:val="center"/>
            <w:hideMark/>
          </w:tcPr>
          <w:p w14:paraId="484F7722" w14:textId="02E49B34"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2</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853</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362 </w:t>
            </w:r>
          </w:p>
        </w:tc>
      </w:tr>
      <w:tr w:rsidR="00436FE0" w:rsidRPr="00436FE0" w14:paraId="05F9CBD6" w14:textId="77777777" w:rsidTr="00436FE0">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53B92E80"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59</w:t>
            </w:r>
          </w:p>
        </w:tc>
        <w:tc>
          <w:tcPr>
            <w:tcW w:w="879" w:type="dxa"/>
            <w:tcBorders>
              <w:top w:val="nil"/>
              <w:left w:val="nil"/>
              <w:bottom w:val="single" w:sz="4" w:space="0" w:color="auto"/>
              <w:right w:val="single" w:sz="4" w:space="0" w:color="auto"/>
            </w:tcBorders>
            <w:shd w:val="clear" w:color="auto" w:fill="auto"/>
            <w:noWrap/>
            <w:vAlign w:val="center"/>
            <w:hideMark/>
          </w:tcPr>
          <w:p w14:paraId="0239BD85"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900922760</w:t>
            </w:r>
          </w:p>
        </w:tc>
        <w:tc>
          <w:tcPr>
            <w:tcW w:w="4354" w:type="dxa"/>
            <w:tcBorders>
              <w:top w:val="nil"/>
              <w:left w:val="nil"/>
              <w:bottom w:val="single" w:sz="4" w:space="0" w:color="auto"/>
              <w:right w:val="single" w:sz="4" w:space="0" w:color="auto"/>
            </w:tcBorders>
            <w:shd w:val="clear" w:color="auto" w:fill="auto"/>
            <w:vAlign w:val="center"/>
            <w:hideMark/>
          </w:tcPr>
          <w:p w14:paraId="7C2842B2" w14:textId="77777777" w:rsidR="00436FE0" w:rsidRPr="00436FE0" w:rsidRDefault="00436FE0" w:rsidP="00436FE0">
            <w:pPr>
              <w:jc w:val="lef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GLOBAL, REDES Y OBRAS S.A.S. E.S.P. </w:t>
            </w:r>
          </w:p>
        </w:tc>
        <w:tc>
          <w:tcPr>
            <w:tcW w:w="1480" w:type="dxa"/>
            <w:tcBorders>
              <w:top w:val="nil"/>
              <w:left w:val="nil"/>
              <w:bottom w:val="single" w:sz="4" w:space="0" w:color="auto"/>
              <w:right w:val="single" w:sz="4" w:space="0" w:color="auto"/>
            </w:tcBorders>
            <w:shd w:val="clear" w:color="auto" w:fill="auto"/>
            <w:noWrap/>
            <w:vAlign w:val="center"/>
            <w:hideMark/>
          </w:tcPr>
          <w:p w14:paraId="2F93AD64" w14:textId="4DB52864"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381</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105</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128 </w:t>
            </w:r>
          </w:p>
        </w:tc>
        <w:tc>
          <w:tcPr>
            <w:tcW w:w="1620" w:type="dxa"/>
            <w:tcBorders>
              <w:top w:val="nil"/>
              <w:left w:val="nil"/>
              <w:bottom w:val="single" w:sz="4" w:space="0" w:color="auto"/>
              <w:right w:val="single" w:sz="4" w:space="0" w:color="auto"/>
            </w:tcBorders>
            <w:shd w:val="clear" w:color="auto" w:fill="auto"/>
            <w:noWrap/>
            <w:vAlign w:val="center"/>
            <w:hideMark/>
          </w:tcPr>
          <w:p w14:paraId="4F6F9025" w14:textId="38F765A1"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3</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811</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051 </w:t>
            </w:r>
          </w:p>
        </w:tc>
      </w:tr>
      <w:tr w:rsidR="00436FE0" w:rsidRPr="00436FE0" w14:paraId="6A4E2AC4" w14:textId="77777777" w:rsidTr="00436FE0">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5B0D95E6"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60</w:t>
            </w:r>
          </w:p>
        </w:tc>
        <w:tc>
          <w:tcPr>
            <w:tcW w:w="879" w:type="dxa"/>
            <w:tcBorders>
              <w:top w:val="nil"/>
              <w:left w:val="nil"/>
              <w:bottom w:val="single" w:sz="4" w:space="0" w:color="auto"/>
              <w:right w:val="single" w:sz="4" w:space="0" w:color="auto"/>
            </w:tcBorders>
            <w:shd w:val="clear" w:color="auto" w:fill="auto"/>
            <w:noWrap/>
            <w:vAlign w:val="center"/>
            <w:hideMark/>
          </w:tcPr>
          <w:p w14:paraId="333C8B7F"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900103542</w:t>
            </w:r>
          </w:p>
        </w:tc>
        <w:tc>
          <w:tcPr>
            <w:tcW w:w="4354" w:type="dxa"/>
            <w:tcBorders>
              <w:top w:val="nil"/>
              <w:left w:val="nil"/>
              <w:bottom w:val="single" w:sz="4" w:space="0" w:color="auto"/>
              <w:right w:val="single" w:sz="4" w:space="0" w:color="auto"/>
            </w:tcBorders>
            <w:shd w:val="clear" w:color="auto" w:fill="auto"/>
            <w:vAlign w:val="center"/>
            <w:hideMark/>
          </w:tcPr>
          <w:p w14:paraId="34C0530A" w14:textId="77777777" w:rsidR="00436FE0" w:rsidRPr="00436FE0" w:rsidRDefault="00436FE0" w:rsidP="00436FE0">
            <w:pPr>
              <w:jc w:val="lef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GNI GAS NATURAL INDUSTRIAL DE COLOMBIA S.A.S. E.S.P.</w:t>
            </w:r>
          </w:p>
        </w:tc>
        <w:tc>
          <w:tcPr>
            <w:tcW w:w="1480" w:type="dxa"/>
            <w:tcBorders>
              <w:top w:val="nil"/>
              <w:left w:val="nil"/>
              <w:bottom w:val="single" w:sz="4" w:space="0" w:color="auto"/>
              <w:right w:val="single" w:sz="4" w:space="0" w:color="auto"/>
            </w:tcBorders>
            <w:shd w:val="clear" w:color="auto" w:fill="auto"/>
            <w:noWrap/>
            <w:vAlign w:val="center"/>
            <w:hideMark/>
          </w:tcPr>
          <w:p w14:paraId="513E808C" w14:textId="431EF8EF"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1</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266</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868</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312 </w:t>
            </w:r>
          </w:p>
        </w:tc>
        <w:tc>
          <w:tcPr>
            <w:tcW w:w="1620" w:type="dxa"/>
            <w:tcBorders>
              <w:top w:val="nil"/>
              <w:left w:val="nil"/>
              <w:bottom w:val="single" w:sz="4" w:space="0" w:color="auto"/>
              <w:right w:val="single" w:sz="4" w:space="0" w:color="auto"/>
            </w:tcBorders>
            <w:shd w:val="clear" w:color="auto" w:fill="auto"/>
            <w:noWrap/>
            <w:vAlign w:val="center"/>
            <w:hideMark/>
          </w:tcPr>
          <w:p w14:paraId="65D6537F" w14:textId="00F59C30"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12</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668</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683 </w:t>
            </w:r>
          </w:p>
        </w:tc>
      </w:tr>
      <w:tr w:rsidR="00436FE0" w:rsidRPr="00436FE0" w14:paraId="2C2D8E52" w14:textId="77777777" w:rsidTr="00436FE0">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53CB962A"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61</w:t>
            </w:r>
          </w:p>
        </w:tc>
        <w:tc>
          <w:tcPr>
            <w:tcW w:w="879" w:type="dxa"/>
            <w:tcBorders>
              <w:top w:val="nil"/>
              <w:left w:val="nil"/>
              <w:bottom w:val="single" w:sz="4" w:space="0" w:color="auto"/>
              <w:right w:val="single" w:sz="4" w:space="0" w:color="auto"/>
            </w:tcBorders>
            <w:shd w:val="clear" w:color="auto" w:fill="auto"/>
            <w:noWrap/>
            <w:vAlign w:val="center"/>
            <w:hideMark/>
          </w:tcPr>
          <w:p w14:paraId="444CB7DA"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860516431</w:t>
            </w:r>
          </w:p>
        </w:tc>
        <w:tc>
          <w:tcPr>
            <w:tcW w:w="4354" w:type="dxa"/>
            <w:tcBorders>
              <w:top w:val="nil"/>
              <w:left w:val="nil"/>
              <w:bottom w:val="single" w:sz="4" w:space="0" w:color="auto"/>
              <w:right w:val="single" w:sz="4" w:space="0" w:color="auto"/>
            </w:tcBorders>
            <w:shd w:val="clear" w:color="auto" w:fill="auto"/>
            <w:vAlign w:val="center"/>
            <w:hideMark/>
          </w:tcPr>
          <w:p w14:paraId="4E3603EE" w14:textId="77777777" w:rsidR="00436FE0" w:rsidRPr="00436FE0" w:rsidRDefault="00436FE0" w:rsidP="00436FE0">
            <w:pPr>
              <w:jc w:val="lef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GRAN TIERRA ENERGY COLOMBIA LTD</w:t>
            </w:r>
          </w:p>
        </w:tc>
        <w:tc>
          <w:tcPr>
            <w:tcW w:w="1480" w:type="dxa"/>
            <w:tcBorders>
              <w:top w:val="nil"/>
              <w:left w:val="nil"/>
              <w:bottom w:val="single" w:sz="4" w:space="0" w:color="auto"/>
              <w:right w:val="single" w:sz="4" w:space="0" w:color="auto"/>
            </w:tcBorders>
            <w:shd w:val="clear" w:color="auto" w:fill="auto"/>
            <w:noWrap/>
            <w:vAlign w:val="center"/>
            <w:hideMark/>
          </w:tcPr>
          <w:p w14:paraId="0941A438" w14:textId="14DB9343"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364</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456</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467 </w:t>
            </w:r>
          </w:p>
        </w:tc>
        <w:tc>
          <w:tcPr>
            <w:tcW w:w="1620" w:type="dxa"/>
            <w:tcBorders>
              <w:top w:val="nil"/>
              <w:left w:val="nil"/>
              <w:bottom w:val="single" w:sz="4" w:space="0" w:color="auto"/>
              <w:right w:val="single" w:sz="4" w:space="0" w:color="auto"/>
            </w:tcBorders>
            <w:shd w:val="clear" w:color="auto" w:fill="auto"/>
            <w:noWrap/>
            <w:vAlign w:val="center"/>
            <w:hideMark/>
          </w:tcPr>
          <w:p w14:paraId="3645BB41" w14:textId="4AA9DDD2"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3</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644</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565 </w:t>
            </w:r>
          </w:p>
        </w:tc>
      </w:tr>
      <w:tr w:rsidR="00436FE0" w:rsidRPr="00436FE0" w14:paraId="2D90A3AF" w14:textId="77777777" w:rsidTr="00436FE0">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6AB9B43B"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62</w:t>
            </w:r>
          </w:p>
        </w:tc>
        <w:tc>
          <w:tcPr>
            <w:tcW w:w="879" w:type="dxa"/>
            <w:tcBorders>
              <w:top w:val="nil"/>
              <w:left w:val="nil"/>
              <w:bottom w:val="single" w:sz="4" w:space="0" w:color="auto"/>
              <w:right w:val="single" w:sz="4" w:space="0" w:color="auto"/>
            </w:tcBorders>
            <w:shd w:val="clear" w:color="auto" w:fill="auto"/>
            <w:noWrap/>
            <w:vAlign w:val="center"/>
            <w:hideMark/>
          </w:tcPr>
          <w:p w14:paraId="71443078"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900737783</w:t>
            </w:r>
          </w:p>
        </w:tc>
        <w:tc>
          <w:tcPr>
            <w:tcW w:w="4354" w:type="dxa"/>
            <w:tcBorders>
              <w:top w:val="nil"/>
              <w:left w:val="nil"/>
              <w:bottom w:val="single" w:sz="4" w:space="0" w:color="auto"/>
              <w:right w:val="single" w:sz="4" w:space="0" w:color="auto"/>
            </w:tcBorders>
            <w:shd w:val="clear" w:color="auto" w:fill="auto"/>
            <w:vAlign w:val="center"/>
            <w:hideMark/>
          </w:tcPr>
          <w:p w14:paraId="60046128" w14:textId="77777777" w:rsidR="00436FE0" w:rsidRPr="00436FE0" w:rsidRDefault="00436FE0" w:rsidP="00436FE0">
            <w:pPr>
              <w:jc w:val="lef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GRUPO BILATERAL ENERGY SAS ESP</w:t>
            </w:r>
          </w:p>
        </w:tc>
        <w:tc>
          <w:tcPr>
            <w:tcW w:w="1480" w:type="dxa"/>
            <w:tcBorders>
              <w:top w:val="nil"/>
              <w:left w:val="nil"/>
              <w:bottom w:val="single" w:sz="4" w:space="0" w:color="auto"/>
              <w:right w:val="single" w:sz="4" w:space="0" w:color="auto"/>
            </w:tcBorders>
            <w:shd w:val="clear" w:color="auto" w:fill="auto"/>
            <w:noWrap/>
            <w:vAlign w:val="center"/>
            <w:hideMark/>
          </w:tcPr>
          <w:p w14:paraId="23101539" w14:textId="3EEDE3F2"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82</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303</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335 </w:t>
            </w:r>
          </w:p>
        </w:tc>
        <w:tc>
          <w:tcPr>
            <w:tcW w:w="1620" w:type="dxa"/>
            <w:tcBorders>
              <w:top w:val="nil"/>
              <w:left w:val="nil"/>
              <w:bottom w:val="single" w:sz="4" w:space="0" w:color="auto"/>
              <w:right w:val="single" w:sz="4" w:space="0" w:color="auto"/>
            </w:tcBorders>
            <w:shd w:val="clear" w:color="auto" w:fill="auto"/>
            <w:noWrap/>
            <w:vAlign w:val="center"/>
            <w:hideMark/>
          </w:tcPr>
          <w:p w14:paraId="3B0AEF71" w14:textId="2E2610D8"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823</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033 </w:t>
            </w:r>
          </w:p>
        </w:tc>
      </w:tr>
      <w:tr w:rsidR="00436FE0" w:rsidRPr="00436FE0" w14:paraId="4B7D9194" w14:textId="77777777" w:rsidTr="00436FE0">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20E43E0D"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63</w:t>
            </w:r>
          </w:p>
        </w:tc>
        <w:tc>
          <w:tcPr>
            <w:tcW w:w="879" w:type="dxa"/>
            <w:tcBorders>
              <w:top w:val="nil"/>
              <w:left w:val="nil"/>
              <w:bottom w:val="single" w:sz="4" w:space="0" w:color="auto"/>
              <w:right w:val="single" w:sz="4" w:space="0" w:color="auto"/>
            </w:tcBorders>
            <w:shd w:val="clear" w:color="auto" w:fill="auto"/>
            <w:noWrap/>
            <w:vAlign w:val="center"/>
            <w:hideMark/>
          </w:tcPr>
          <w:p w14:paraId="6F2D4B84"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900197640</w:t>
            </w:r>
          </w:p>
        </w:tc>
        <w:tc>
          <w:tcPr>
            <w:tcW w:w="4354" w:type="dxa"/>
            <w:tcBorders>
              <w:top w:val="nil"/>
              <w:left w:val="nil"/>
              <w:bottom w:val="single" w:sz="4" w:space="0" w:color="auto"/>
              <w:right w:val="single" w:sz="4" w:space="0" w:color="auto"/>
            </w:tcBorders>
            <w:shd w:val="clear" w:color="auto" w:fill="auto"/>
            <w:vAlign w:val="center"/>
            <w:hideMark/>
          </w:tcPr>
          <w:p w14:paraId="37B6FC24" w14:textId="77777777" w:rsidR="00436FE0" w:rsidRPr="00436FE0" w:rsidRDefault="00436FE0" w:rsidP="00436FE0">
            <w:pPr>
              <w:jc w:val="lef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HEGA SA ESP</w:t>
            </w:r>
          </w:p>
        </w:tc>
        <w:tc>
          <w:tcPr>
            <w:tcW w:w="1480" w:type="dxa"/>
            <w:tcBorders>
              <w:top w:val="nil"/>
              <w:left w:val="nil"/>
              <w:bottom w:val="single" w:sz="4" w:space="0" w:color="auto"/>
              <w:right w:val="single" w:sz="4" w:space="0" w:color="auto"/>
            </w:tcBorders>
            <w:shd w:val="clear" w:color="auto" w:fill="auto"/>
            <w:noWrap/>
            <w:vAlign w:val="center"/>
            <w:hideMark/>
          </w:tcPr>
          <w:p w14:paraId="01F3CE38" w14:textId="3EDBA493"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312</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357</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772 </w:t>
            </w:r>
          </w:p>
        </w:tc>
        <w:tc>
          <w:tcPr>
            <w:tcW w:w="1620" w:type="dxa"/>
            <w:tcBorders>
              <w:top w:val="nil"/>
              <w:left w:val="nil"/>
              <w:bottom w:val="single" w:sz="4" w:space="0" w:color="auto"/>
              <w:right w:val="single" w:sz="4" w:space="0" w:color="auto"/>
            </w:tcBorders>
            <w:shd w:val="clear" w:color="auto" w:fill="auto"/>
            <w:noWrap/>
            <w:vAlign w:val="center"/>
            <w:hideMark/>
          </w:tcPr>
          <w:p w14:paraId="013AE55B" w14:textId="7C95DFEE"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3</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123</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578 </w:t>
            </w:r>
          </w:p>
        </w:tc>
      </w:tr>
      <w:tr w:rsidR="00436FE0" w:rsidRPr="00436FE0" w14:paraId="02FE0174" w14:textId="77777777" w:rsidTr="00436FE0">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2B46AA1C"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64</w:t>
            </w:r>
          </w:p>
        </w:tc>
        <w:tc>
          <w:tcPr>
            <w:tcW w:w="879" w:type="dxa"/>
            <w:tcBorders>
              <w:top w:val="nil"/>
              <w:left w:val="nil"/>
              <w:bottom w:val="single" w:sz="4" w:space="0" w:color="auto"/>
              <w:right w:val="single" w:sz="4" w:space="0" w:color="auto"/>
            </w:tcBorders>
            <w:shd w:val="clear" w:color="auto" w:fill="auto"/>
            <w:noWrap/>
            <w:vAlign w:val="center"/>
            <w:hideMark/>
          </w:tcPr>
          <w:p w14:paraId="50F8C89E"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901315859</w:t>
            </w:r>
          </w:p>
        </w:tc>
        <w:tc>
          <w:tcPr>
            <w:tcW w:w="4354" w:type="dxa"/>
            <w:tcBorders>
              <w:top w:val="nil"/>
              <w:left w:val="nil"/>
              <w:bottom w:val="single" w:sz="4" w:space="0" w:color="auto"/>
              <w:right w:val="single" w:sz="4" w:space="0" w:color="auto"/>
            </w:tcBorders>
            <w:shd w:val="clear" w:color="auto" w:fill="auto"/>
            <w:vAlign w:val="center"/>
            <w:hideMark/>
          </w:tcPr>
          <w:p w14:paraId="73352412" w14:textId="77777777" w:rsidR="00436FE0" w:rsidRPr="00436FE0" w:rsidRDefault="00436FE0" w:rsidP="00436FE0">
            <w:pPr>
              <w:jc w:val="lef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HIDROCARBUROS TRIPLE A SAS ESP</w:t>
            </w:r>
          </w:p>
        </w:tc>
        <w:tc>
          <w:tcPr>
            <w:tcW w:w="1480" w:type="dxa"/>
            <w:tcBorders>
              <w:top w:val="nil"/>
              <w:left w:val="nil"/>
              <w:bottom w:val="single" w:sz="4" w:space="0" w:color="auto"/>
              <w:right w:val="single" w:sz="4" w:space="0" w:color="auto"/>
            </w:tcBorders>
            <w:shd w:val="clear" w:color="auto" w:fill="auto"/>
            <w:noWrap/>
            <w:vAlign w:val="center"/>
            <w:hideMark/>
          </w:tcPr>
          <w:p w14:paraId="58B5BC1A" w14:textId="24D4EEDD"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133</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654</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258 </w:t>
            </w:r>
          </w:p>
        </w:tc>
        <w:tc>
          <w:tcPr>
            <w:tcW w:w="1620" w:type="dxa"/>
            <w:tcBorders>
              <w:top w:val="nil"/>
              <w:left w:val="nil"/>
              <w:bottom w:val="single" w:sz="4" w:space="0" w:color="auto"/>
              <w:right w:val="single" w:sz="4" w:space="0" w:color="auto"/>
            </w:tcBorders>
            <w:shd w:val="clear" w:color="auto" w:fill="auto"/>
            <w:noWrap/>
            <w:vAlign w:val="center"/>
            <w:hideMark/>
          </w:tcPr>
          <w:p w14:paraId="4EFE0B22" w14:textId="23C828A9"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1</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336</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543 </w:t>
            </w:r>
          </w:p>
        </w:tc>
      </w:tr>
      <w:tr w:rsidR="00436FE0" w:rsidRPr="00436FE0" w14:paraId="6E2775CB" w14:textId="77777777" w:rsidTr="00436FE0">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658A7A68"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65</w:t>
            </w:r>
          </w:p>
        </w:tc>
        <w:tc>
          <w:tcPr>
            <w:tcW w:w="879" w:type="dxa"/>
            <w:tcBorders>
              <w:top w:val="nil"/>
              <w:left w:val="nil"/>
              <w:bottom w:val="single" w:sz="4" w:space="0" w:color="auto"/>
              <w:right w:val="single" w:sz="4" w:space="0" w:color="auto"/>
            </w:tcBorders>
            <w:shd w:val="clear" w:color="auto" w:fill="auto"/>
            <w:noWrap/>
            <w:vAlign w:val="center"/>
            <w:hideMark/>
          </w:tcPr>
          <w:p w14:paraId="0C86DBA0"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860072134</w:t>
            </w:r>
          </w:p>
        </w:tc>
        <w:tc>
          <w:tcPr>
            <w:tcW w:w="4354" w:type="dxa"/>
            <w:tcBorders>
              <w:top w:val="nil"/>
              <w:left w:val="nil"/>
              <w:bottom w:val="single" w:sz="4" w:space="0" w:color="auto"/>
              <w:right w:val="single" w:sz="4" w:space="0" w:color="auto"/>
            </w:tcBorders>
            <w:shd w:val="clear" w:color="auto" w:fill="auto"/>
            <w:vAlign w:val="center"/>
            <w:hideMark/>
          </w:tcPr>
          <w:p w14:paraId="2CA44C90" w14:textId="77777777" w:rsidR="00436FE0" w:rsidRPr="00436FE0" w:rsidRDefault="00436FE0" w:rsidP="00436FE0">
            <w:pPr>
              <w:jc w:val="lef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HOCOL S.A</w:t>
            </w:r>
          </w:p>
        </w:tc>
        <w:tc>
          <w:tcPr>
            <w:tcW w:w="1480" w:type="dxa"/>
            <w:tcBorders>
              <w:top w:val="nil"/>
              <w:left w:val="nil"/>
              <w:bottom w:val="single" w:sz="4" w:space="0" w:color="auto"/>
              <w:right w:val="single" w:sz="4" w:space="0" w:color="auto"/>
            </w:tcBorders>
            <w:shd w:val="clear" w:color="auto" w:fill="auto"/>
            <w:noWrap/>
            <w:vAlign w:val="center"/>
            <w:hideMark/>
          </w:tcPr>
          <w:p w14:paraId="3619F612" w14:textId="72805CD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21</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279</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001</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233 </w:t>
            </w:r>
          </w:p>
        </w:tc>
        <w:tc>
          <w:tcPr>
            <w:tcW w:w="1620" w:type="dxa"/>
            <w:tcBorders>
              <w:top w:val="nil"/>
              <w:left w:val="nil"/>
              <w:bottom w:val="single" w:sz="4" w:space="0" w:color="auto"/>
              <w:right w:val="single" w:sz="4" w:space="0" w:color="auto"/>
            </w:tcBorders>
            <w:shd w:val="clear" w:color="auto" w:fill="auto"/>
            <w:noWrap/>
            <w:vAlign w:val="center"/>
            <w:hideMark/>
          </w:tcPr>
          <w:p w14:paraId="1D01EE80" w14:textId="63FF0188"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212</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790</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012 </w:t>
            </w:r>
          </w:p>
        </w:tc>
      </w:tr>
      <w:tr w:rsidR="00436FE0" w:rsidRPr="00436FE0" w14:paraId="2F96CD56" w14:textId="77777777" w:rsidTr="00436FE0">
        <w:trPr>
          <w:trHeight w:val="46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7ADEF004"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66</w:t>
            </w:r>
          </w:p>
        </w:tc>
        <w:tc>
          <w:tcPr>
            <w:tcW w:w="879" w:type="dxa"/>
            <w:tcBorders>
              <w:top w:val="nil"/>
              <w:left w:val="nil"/>
              <w:bottom w:val="single" w:sz="4" w:space="0" w:color="auto"/>
              <w:right w:val="single" w:sz="4" w:space="0" w:color="auto"/>
            </w:tcBorders>
            <w:shd w:val="clear" w:color="auto" w:fill="auto"/>
            <w:noWrap/>
            <w:vAlign w:val="center"/>
            <w:hideMark/>
          </w:tcPr>
          <w:p w14:paraId="55AAD2A5"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804011800</w:t>
            </w:r>
          </w:p>
        </w:tc>
        <w:tc>
          <w:tcPr>
            <w:tcW w:w="4354" w:type="dxa"/>
            <w:tcBorders>
              <w:top w:val="nil"/>
              <w:left w:val="nil"/>
              <w:bottom w:val="single" w:sz="4" w:space="0" w:color="auto"/>
              <w:right w:val="single" w:sz="4" w:space="0" w:color="auto"/>
            </w:tcBorders>
            <w:shd w:val="clear" w:color="auto" w:fill="auto"/>
            <w:vAlign w:val="center"/>
            <w:hideMark/>
          </w:tcPr>
          <w:p w14:paraId="155FF443" w14:textId="77777777" w:rsidR="00436FE0" w:rsidRPr="00436FE0" w:rsidRDefault="00436FE0" w:rsidP="00436FE0">
            <w:pPr>
              <w:jc w:val="lef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INGENIERÍA Y SERVICIOS SOCIEDAD ANÓNIMA EMPRESA DE SERVICIOS PÚBLICOS</w:t>
            </w:r>
          </w:p>
        </w:tc>
        <w:tc>
          <w:tcPr>
            <w:tcW w:w="1480" w:type="dxa"/>
            <w:tcBorders>
              <w:top w:val="nil"/>
              <w:left w:val="nil"/>
              <w:bottom w:val="single" w:sz="4" w:space="0" w:color="auto"/>
              <w:right w:val="single" w:sz="4" w:space="0" w:color="auto"/>
            </w:tcBorders>
            <w:shd w:val="clear" w:color="auto" w:fill="auto"/>
            <w:noWrap/>
            <w:vAlign w:val="center"/>
            <w:hideMark/>
          </w:tcPr>
          <w:p w14:paraId="1D2A6C88" w14:textId="1297460D"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767</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607</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572 </w:t>
            </w:r>
          </w:p>
        </w:tc>
        <w:tc>
          <w:tcPr>
            <w:tcW w:w="1620" w:type="dxa"/>
            <w:tcBorders>
              <w:top w:val="nil"/>
              <w:left w:val="nil"/>
              <w:bottom w:val="single" w:sz="4" w:space="0" w:color="auto"/>
              <w:right w:val="single" w:sz="4" w:space="0" w:color="auto"/>
            </w:tcBorders>
            <w:shd w:val="clear" w:color="auto" w:fill="auto"/>
            <w:noWrap/>
            <w:vAlign w:val="center"/>
            <w:hideMark/>
          </w:tcPr>
          <w:p w14:paraId="7F926E1A" w14:textId="52E2B568"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7</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676</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076 </w:t>
            </w:r>
          </w:p>
        </w:tc>
      </w:tr>
      <w:tr w:rsidR="00436FE0" w:rsidRPr="00436FE0" w14:paraId="631147B7" w14:textId="77777777" w:rsidTr="00436FE0">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475039AD"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67</w:t>
            </w:r>
          </w:p>
        </w:tc>
        <w:tc>
          <w:tcPr>
            <w:tcW w:w="879" w:type="dxa"/>
            <w:tcBorders>
              <w:top w:val="nil"/>
              <w:left w:val="nil"/>
              <w:bottom w:val="single" w:sz="4" w:space="0" w:color="auto"/>
              <w:right w:val="single" w:sz="4" w:space="0" w:color="auto"/>
            </w:tcBorders>
            <w:shd w:val="clear" w:color="auto" w:fill="auto"/>
            <w:noWrap/>
            <w:vAlign w:val="center"/>
            <w:hideMark/>
          </w:tcPr>
          <w:p w14:paraId="6BC18F17"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860529657</w:t>
            </w:r>
          </w:p>
        </w:tc>
        <w:tc>
          <w:tcPr>
            <w:tcW w:w="4354" w:type="dxa"/>
            <w:tcBorders>
              <w:top w:val="nil"/>
              <w:left w:val="nil"/>
              <w:bottom w:val="single" w:sz="4" w:space="0" w:color="auto"/>
              <w:right w:val="single" w:sz="4" w:space="0" w:color="auto"/>
            </w:tcBorders>
            <w:shd w:val="clear" w:color="auto" w:fill="auto"/>
            <w:vAlign w:val="center"/>
            <w:hideMark/>
          </w:tcPr>
          <w:p w14:paraId="7B9B5F1C" w14:textId="77777777" w:rsidR="00436FE0" w:rsidRPr="00D26825" w:rsidRDefault="00436FE0" w:rsidP="00436FE0">
            <w:pPr>
              <w:jc w:val="left"/>
              <w:rPr>
                <w:rFonts w:ascii="Arial Narrow" w:hAnsi="Arial Narrow" w:cs="Calibri"/>
                <w:color w:val="000000"/>
                <w:spacing w:val="0"/>
                <w:sz w:val="18"/>
                <w:szCs w:val="18"/>
                <w:lang w:val="en-US" w:eastAsia="es-CO"/>
              </w:rPr>
            </w:pPr>
            <w:r w:rsidRPr="00D26825">
              <w:rPr>
                <w:rFonts w:ascii="Arial Narrow" w:hAnsi="Arial Narrow" w:cs="Calibri"/>
                <w:color w:val="000000"/>
                <w:spacing w:val="0"/>
                <w:sz w:val="18"/>
                <w:szCs w:val="18"/>
                <w:lang w:val="en-US" w:eastAsia="es-CO"/>
              </w:rPr>
              <w:t>INTEROIL COLOMBIA EXPLORATION AND PRODUCTION</w:t>
            </w:r>
          </w:p>
        </w:tc>
        <w:tc>
          <w:tcPr>
            <w:tcW w:w="1480" w:type="dxa"/>
            <w:tcBorders>
              <w:top w:val="nil"/>
              <w:left w:val="nil"/>
              <w:bottom w:val="single" w:sz="4" w:space="0" w:color="auto"/>
              <w:right w:val="single" w:sz="4" w:space="0" w:color="auto"/>
            </w:tcBorders>
            <w:shd w:val="clear" w:color="auto" w:fill="auto"/>
            <w:noWrap/>
            <w:vAlign w:val="center"/>
            <w:hideMark/>
          </w:tcPr>
          <w:p w14:paraId="129CBBD2" w14:textId="52A8DA98" w:rsidR="00436FE0" w:rsidRPr="00436FE0" w:rsidRDefault="00436FE0" w:rsidP="00436FE0">
            <w:pPr>
              <w:jc w:val="right"/>
              <w:rPr>
                <w:rFonts w:ascii="Arial Narrow" w:hAnsi="Arial Narrow" w:cs="Calibri"/>
                <w:color w:val="000000"/>
                <w:spacing w:val="0"/>
                <w:sz w:val="18"/>
                <w:szCs w:val="18"/>
                <w:lang w:eastAsia="es-CO"/>
              </w:rPr>
            </w:pPr>
            <w:r w:rsidRPr="00D26825">
              <w:rPr>
                <w:rFonts w:ascii="Arial Narrow" w:hAnsi="Arial Narrow" w:cs="Calibri"/>
                <w:color w:val="000000"/>
                <w:spacing w:val="0"/>
                <w:sz w:val="18"/>
                <w:szCs w:val="18"/>
                <w:lang w:val="en-US" w:eastAsia="es-CO"/>
              </w:rPr>
              <w:t xml:space="preserve">            </w:t>
            </w:r>
            <w:r w:rsidRPr="00436FE0">
              <w:rPr>
                <w:rFonts w:ascii="Arial Narrow" w:hAnsi="Arial Narrow" w:cs="Calibri"/>
                <w:color w:val="000000"/>
                <w:spacing w:val="0"/>
                <w:sz w:val="18"/>
                <w:szCs w:val="18"/>
                <w:lang w:eastAsia="es-CO"/>
              </w:rPr>
              <w:t>516</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476</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029 </w:t>
            </w:r>
          </w:p>
        </w:tc>
        <w:tc>
          <w:tcPr>
            <w:tcW w:w="1620" w:type="dxa"/>
            <w:tcBorders>
              <w:top w:val="nil"/>
              <w:left w:val="nil"/>
              <w:bottom w:val="single" w:sz="4" w:space="0" w:color="auto"/>
              <w:right w:val="single" w:sz="4" w:space="0" w:color="auto"/>
            </w:tcBorders>
            <w:shd w:val="clear" w:color="auto" w:fill="auto"/>
            <w:noWrap/>
            <w:vAlign w:val="center"/>
            <w:hideMark/>
          </w:tcPr>
          <w:p w14:paraId="21DE2A80" w14:textId="5C59CAFD"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5</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164</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760 </w:t>
            </w:r>
          </w:p>
        </w:tc>
      </w:tr>
      <w:tr w:rsidR="00436FE0" w:rsidRPr="00436FE0" w14:paraId="728D1F39" w14:textId="77777777" w:rsidTr="00436FE0">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28F921CE"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68</w:t>
            </w:r>
          </w:p>
        </w:tc>
        <w:tc>
          <w:tcPr>
            <w:tcW w:w="879" w:type="dxa"/>
            <w:tcBorders>
              <w:top w:val="nil"/>
              <w:left w:val="nil"/>
              <w:bottom w:val="single" w:sz="4" w:space="0" w:color="auto"/>
              <w:right w:val="single" w:sz="4" w:space="0" w:color="auto"/>
            </w:tcBorders>
            <w:shd w:val="clear" w:color="auto" w:fill="auto"/>
            <w:noWrap/>
            <w:vAlign w:val="center"/>
            <w:hideMark/>
          </w:tcPr>
          <w:p w14:paraId="7892AC02"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811000740</w:t>
            </w:r>
          </w:p>
        </w:tc>
        <w:tc>
          <w:tcPr>
            <w:tcW w:w="4354" w:type="dxa"/>
            <w:tcBorders>
              <w:top w:val="nil"/>
              <w:left w:val="nil"/>
              <w:bottom w:val="single" w:sz="4" w:space="0" w:color="auto"/>
              <w:right w:val="single" w:sz="4" w:space="0" w:color="auto"/>
            </w:tcBorders>
            <w:shd w:val="clear" w:color="auto" w:fill="auto"/>
            <w:vAlign w:val="center"/>
            <w:hideMark/>
          </w:tcPr>
          <w:p w14:paraId="2DDDB034" w14:textId="77777777" w:rsidR="00436FE0" w:rsidRPr="00D26825" w:rsidRDefault="00436FE0" w:rsidP="00436FE0">
            <w:pPr>
              <w:jc w:val="left"/>
              <w:rPr>
                <w:rFonts w:ascii="Arial Narrow" w:hAnsi="Arial Narrow" w:cs="Calibri"/>
                <w:color w:val="000000"/>
                <w:spacing w:val="0"/>
                <w:sz w:val="18"/>
                <w:szCs w:val="18"/>
                <w:lang w:val="en-US" w:eastAsia="es-CO"/>
              </w:rPr>
            </w:pPr>
            <w:r w:rsidRPr="00D26825">
              <w:rPr>
                <w:rFonts w:ascii="Arial Narrow" w:hAnsi="Arial Narrow" w:cs="Calibri"/>
                <w:color w:val="000000"/>
                <w:spacing w:val="0"/>
                <w:sz w:val="18"/>
                <w:szCs w:val="18"/>
                <w:lang w:val="en-US" w:eastAsia="es-CO"/>
              </w:rPr>
              <w:t>ISAGEN S.A. E.S.P.</w:t>
            </w:r>
          </w:p>
        </w:tc>
        <w:tc>
          <w:tcPr>
            <w:tcW w:w="1480" w:type="dxa"/>
            <w:tcBorders>
              <w:top w:val="nil"/>
              <w:left w:val="nil"/>
              <w:bottom w:val="single" w:sz="4" w:space="0" w:color="auto"/>
              <w:right w:val="single" w:sz="4" w:space="0" w:color="auto"/>
            </w:tcBorders>
            <w:shd w:val="clear" w:color="auto" w:fill="auto"/>
            <w:noWrap/>
            <w:vAlign w:val="center"/>
            <w:hideMark/>
          </w:tcPr>
          <w:p w14:paraId="2CBD8EE3" w14:textId="12D4EF2C" w:rsidR="00436FE0" w:rsidRPr="00436FE0" w:rsidRDefault="00436FE0" w:rsidP="00436FE0">
            <w:pPr>
              <w:jc w:val="right"/>
              <w:rPr>
                <w:rFonts w:ascii="Arial Narrow" w:hAnsi="Arial Narrow" w:cs="Calibri"/>
                <w:color w:val="000000"/>
                <w:spacing w:val="0"/>
                <w:sz w:val="18"/>
                <w:szCs w:val="18"/>
                <w:lang w:eastAsia="es-CO"/>
              </w:rPr>
            </w:pPr>
            <w:r w:rsidRPr="00D26825">
              <w:rPr>
                <w:rFonts w:ascii="Arial Narrow" w:hAnsi="Arial Narrow" w:cs="Calibri"/>
                <w:color w:val="000000"/>
                <w:spacing w:val="0"/>
                <w:sz w:val="18"/>
                <w:szCs w:val="18"/>
                <w:lang w:val="en-US" w:eastAsia="es-CO"/>
              </w:rPr>
              <w:t xml:space="preserve">            </w:t>
            </w:r>
            <w:r w:rsidRPr="00436FE0">
              <w:rPr>
                <w:rFonts w:ascii="Arial Narrow" w:hAnsi="Arial Narrow" w:cs="Calibri"/>
                <w:color w:val="000000"/>
                <w:spacing w:val="0"/>
                <w:sz w:val="18"/>
                <w:szCs w:val="18"/>
                <w:lang w:eastAsia="es-CO"/>
              </w:rPr>
              <w:t>335</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295</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303 </w:t>
            </w:r>
          </w:p>
        </w:tc>
        <w:tc>
          <w:tcPr>
            <w:tcW w:w="1620" w:type="dxa"/>
            <w:tcBorders>
              <w:top w:val="nil"/>
              <w:left w:val="nil"/>
              <w:bottom w:val="single" w:sz="4" w:space="0" w:color="auto"/>
              <w:right w:val="single" w:sz="4" w:space="0" w:color="auto"/>
            </w:tcBorders>
            <w:shd w:val="clear" w:color="auto" w:fill="auto"/>
            <w:noWrap/>
            <w:vAlign w:val="center"/>
            <w:hideMark/>
          </w:tcPr>
          <w:p w14:paraId="7F1F65B0" w14:textId="211DF3C3"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3</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352</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953 </w:t>
            </w:r>
          </w:p>
        </w:tc>
      </w:tr>
      <w:tr w:rsidR="00436FE0" w:rsidRPr="00436FE0" w14:paraId="43820BF2" w14:textId="77777777" w:rsidTr="00436FE0">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2AF3CB83"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69</w:t>
            </w:r>
          </w:p>
        </w:tc>
        <w:tc>
          <w:tcPr>
            <w:tcW w:w="879" w:type="dxa"/>
            <w:tcBorders>
              <w:top w:val="nil"/>
              <w:left w:val="nil"/>
              <w:bottom w:val="single" w:sz="4" w:space="0" w:color="auto"/>
              <w:right w:val="single" w:sz="4" w:space="0" w:color="auto"/>
            </w:tcBorders>
            <w:shd w:val="clear" w:color="auto" w:fill="auto"/>
            <w:noWrap/>
            <w:vAlign w:val="center"/>
            <w:hideMark/>
          </w:tcPr>
          <w:p w14:paraId="65D33987"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900440491</w:t>
            </w:r>
          </w:p>
        </w:tc>
        <w:tc>
          <w:tcPr>
            <w:tcW w:w="4354" w:type="dxa"/>
            <w:tcBorders>
              <w:top w:val="nil"/>
              <w:left w:val="nil"/>
              <w:bottom w:val="single" w:sz="4" w:space="0" w:color="auto"/>
              <w:right w:val="single" w:sz="4" w:space="0" w:color="auto"/>
            </w:tcBorders>
            <w:shd w:val="clear" w:color="auto" w:fill="auto"/>
            <w:vAlign w:val="center"/>
            <w:hideMark/>
          </w:tcPr>
          <w:p w14:paraId="7352E12F" w14:textId="77777777" w:rsidR="00436FE0" w:rsidRPr="00436FE0" w:rsidRDefault="00436FE0" w:rsidP="00436FE0">
            <w:pPr>
              <w:jc w:val="lef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JADAPE SAS ESP</w:t>
            </w:r>
          </w:p>
        </w:tc>
        <w:tc>
          <w:tcPr>
            <w:tcW w:w="1480" w:type="dxa"/>
            <w:tcBorders>
              <w:top w:val="nil"/>
              <w:left w:val="nil"/>
              <w:bottom w:val="single" w:sz="4" w:space="0" w:color="auto"/>
              <w:right w:val="single" w:sz="4" w:space="0" w:color="auto"/>
            </w:tcBorders>
            <w:shd w:val="clear" w:color="auto" w:fill="auto"/>
            <w:noWrap/>
            <w:vAlign w:val="center"/>
            <w:hideMark/>
          </w:tcPr>
          <w:p w14:paraId="4D95AC8D" w14:textId="72D480EF"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128</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787</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202 </w:t>
            </w:r>
          </w:p>
        </w:tc>
        <w:tc>
          <w:tcPr>
            <w:tcW w:w="1620" w:type="dxa"/>
            <w:tcBorders>
              <w:top w:val="nil"/>
              <w:left w:val="nil"/>
              <w:bottom w:val="single" w:sz="4" w:space="0" w:color="auto"/>
              <w:right w:val="single" w:sz="4" w:space="0" w:color="auto"/>
            </w:tcBorders>
            <w:shd w:val="clear" w:color="auto" w:fill="auto"/>
            <w:noWrap/>
            <w:vAlign w:val="center"/>
            <w:hideMark/>
          </w:tcPr>
          <w:p w14:paraId="02098D65" w14:textId="76F6FD2B"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1</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287</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872 </w:t>
            </w:r>
          </w:p>
        </w:tc>
      </w:tr>
      <w:tr w:rsidR="00436FE0" w:rsidRPr="00436FE0" w14:paraId="4D292D2E" w14:textId="77777777" w:rsidTr="00436FE0">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6F111BDB"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70</w:t>
            </w:r>
          </w:p>
        </w:tc>
        <w:tc>
          <w:tcPr>
            <w:tcW w:w="879" w:type="dxa"/>
            <w:tcBorders>
              <w:top w:val="nil"/>
              <w:left w:val="nil"/>
              <w:bottom w:val="single" w:sz="4" w:space="0" w:color="auto"/>
              <w:right w:val="single" w:sz="4" w:space="0" w:color="auto"/>
            </w:tcBorders>
            <w:shd w:val="clear" w:color="auto" w:fill="auto"/>
            <w:noWrap/>
            <w:vAlign w:val="center"/>
            <w:hideMark/>
          </w:tcPr>
          <w:p w14:paraId="7E668256"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900653272</w:t>
            </w:r>
          </w:p>
        </w:tc>
        <w:tc>
          <w:tcPr>
            <w:tcW w:w="4354" w:type="dxa"/>
            <w:tcBorders>
              <w:top w:val="nil"/>
              <w:left w:val="nil"/>
              <w:bottom w:val="single" w:sz="4" w:space="0" w:color="auto"/>
              <w:right w:val="single" w:sz="4" w:space="0" w:color="auto"/>
            </w:tcBorders>
            <w:shd w:val="clear" w:color="auto" w:fill="auto"/>
            <w:vAlign w:val="center"/>
            <w:hideMark/>
          </w:tcPr>
          <w:p w14:paraId="3DA31F18" w14:textId="77777777" w:rsidR="00436FE0" w:rsidRPr="00436FE0" w:rsidRDefault="00436FE0" w:rsidP="00436FE0">
            <w:pPr>
              <w:jc w:val="lef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KEOPS Y ASOCIADOS SAS ESP</w:t>
            </w:r>
          </w:p>
        </w:tc>
        <w:tc>
          <w:tcPr>
            <w:tcW w:w="1480" w:type="dxa"/>
            <w:tcBorders>
              <w:top w:val="nil"/>
              <w:left w:val="nil"/>
              <w:bottom w:val="single" w:sz="4" w:space="0" w:color="auto"/>
              <w:right w:val="single" w:sz="4" w:space="0" w:color="auto"/>
            </w:tcBorders>
            <w:shd w:val="clear" w:color="auto" w:fill="auto"/>
            <w:noWrap/>
            <w:vAlign w:val="center"/>
            <w:hideMark/>
          </w:tcPr>
          <w:p w14:paraId="35ECAD51" w14:textId="77707619"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215</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746</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270 </w:t>
            </w:r>
          </w:p>
        </w:tc>
        <w:tc>
          <w:tcPr>
            <w:tcW w:w="1620" w:type="dxa"/>
            <w:tcBorders>
              <w:top w:val="nil"/>
              <w:left w:val="nil"/>
              <w:bottom w:val="single" w:sz="4" w:space="0" w:color="auto"/>
              <w:right w:val="single" w:sz="4" w:space="0" w:color="auto"/>
            </w:tcBorders>
            <w:shd w:val="clear" w:color="auto" w:fill="auto"/>
            <w:noWrap/>
            <w:vAlign w:val="center"/>
            <w:hideMark/>
          </w:tcPr>
          <w:p w14:paraId="53C1CED9" w14:textId="4AAC95BE"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2</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157</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463 </w:t>
            </w:r>
          </w:p>
        </w:tc>
      </w:tr>
      <w:tr w:rsidR="00436FE0" w:rsidRPr="00436FE0" w14:paraId="08E5DD9A" w14:textId="77777777" w:rsidTr="00436FE0">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3FB70917"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71</w:t>
            </w:r>
          </w:p>
        </w:tc>
        <w:tc>
          <w:tcPr>
            <w:tcW w:w="879" w:type="dxa"/>
            <w:tcBorders>
              <w:top w:val="nil"/>
              <w:left w:val="nil"/>
              <w:bottom w:val="single" w:sz="4" w:space="0" w:color="auto"/>
              <w:right w:val="single" w:sz="4" w:space="0" w:color="auto"/>
            </w:tcBorders>
            <w:shd w:val="clear" w:color="auto" w:fill="auto"/>
            <w:noWrap/>
            <w:vAlign w:val="center"/>
            <w:hideMark/>
          </w:tcPr>
          <w:p w14:paraId="6BE486DA"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900555031</w:t>
            </w:r>
          </w:p>
        </w:tc>
        <w:tc>
          <w:tcPr>
            <w:tcW w:w="4354" w:type="dxa"/>
            <w:tcBorders>
              <w:top w:val="nil"/>
              <w:left w:val="nil"/>
              <w:bottom w:val="single" w:sz="4" w:space="0" w:color="auto"/>
              <w:right w:val="single" w:sz="4" w:space="0" w:color="auto"/>
            </w:tcBorders>
            <w:shd w:val="clear" w:color="auto" w:fill="auto"/>
            <w:vAlign w:val="center"/>
            <w:hideMark/>
          </w:tcPr>
          <w:p w14:paraId="39164EAF" w14:textId="77777777" w:rsidR="00436FE0" w:rsidRPr="00436FE0" w:rsidRDefault="00436FE0" w:rsidP="00436FE0">
            <w:pPr>
              <w:jc w:val="lef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KRONOS ENERGY S.A. E.S.P.</w:t>
            </w:r>
          </w:p>
        </w:tc>
        <w:tc>
          <w:tcPr>
            <w:tcW w:w="1480" w:type="dxa"/>
            <w:tcBorders>
              <w:top w:val="nil"/>
              <w:left w:val="nil"/>
              <w:bottom w:val="single" w:sz="4" w:space="0" w:color="auto"/>
              <w:right w:val="single" w:sz="4" w:space="0" w:color="auto"/>
            </w:tcBorders>
            <w:shd w:val="clear" w:color="auto" w:fill="auto"/>
            <w:noWrap/>
            <w:vAlign w:val="center"/>
            <w:hideMark/>
          </w:tcPr>
          <w:p w14:paraId="27D56239" w14:textId="52117F23"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3</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115</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569</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445 </w:t>
            </w:r>
          </w:p>
        </w:tc>
        <w:tc>
          <w:tcPr>
            <w:tcW w:w="1620" w:type="dxa"/>
            <w:tcBorders>
              <w:top w:val="nil"/>
              <w:left w:val="nil"/>
              <w:bottom w:val="single" w:sz="4" w:space="0" w:color="auto"/>
              <w:right w:val="single" w:sz="4" w:space="0" w:color="auto"/>
            </w:tcBorders>
            <w:shd w:val="clear" w:color="auto" w:fill="auto"/>
            <w:noWrap/>
            <w:vAlign w:val="center"/>
            <w:hideMark/>
          </w:tcPr>
          <w:p w14:paraId="4025E598" w14:textId="09E917E2"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31</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155</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694 </w:t>
            </w:r>
          </w:p>
        </w:tc>
      </w:tr>
      <w:tr w:rsidR="00436FE0" w:rsidRPr="00436FE0" w14:paraId="6883A3B3" w14:textId="77777777" w:rsidTr="00436FE0">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75730734"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72</w:t>
            </w:r>
          </w:p>
        </w:tc>
        <w:tc>
          <w:tcPr>
            <w:tcW w:w="879" w:type="dxa"/>
            <w:tcBorders>
              <w:top w:val="nil"/>
              <w:left w:val="nil"/>
              <w:bottom w:val="single" w:sz="4" w:space="0" w:color="auto"/>
              <w:right w:val="single" w:sz="4" w:space="0" w:color="auto"/>
            </w:tcBorders>
            <w:shd w:val="clear" w:color="auto" w:fill="auto"/>
            <w:noWrap/>
            <w:vAlign w:val="center"/>
            <w:hideMark/>
          </w:tcPr>
          <w:p w14:paraId="58E840D0"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900089276</w:t>
            </w:r>
          </w:p>
        </w:tc>
        <w:tc>
          <w:tcPr>
            <w:tcW w:w="4354" w:type="dxa"/>
            <w:tcBorders>
              <w:top w:val="nil"/>
              <w:left w:val="nil"/>
              <w:bottom w:val="single" w:sz="4" w:space="0" w:color="auto"/>
              <w:right w:val="single" w:sz="4" w:space="0" w:color="auto"/>
            </w:tcBorders>
            <w:shd w:val="clear" w:color="auto" w:fill="auto"/>
            <w:vAlign w:val="center"/>
            <w:hideMark/>
          </w:tcPr>
          <w:p w14:paraId="610B4D31" w14:textId="77777777" w:rsidR="00436FE0" w:rsidRPr="00436FE0" w:rsidRDefault="00436FE0" w:rsidP="00436FE0">
            <w:pPr>
              <w:jc w:val="lef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LEWIS ENERGY COLOMBIA INC </w:t>
            </w:r>
          </w:p>
        </w:tc>
        <w:tc>
          <w:tcPr>
            <w:tcW w:w="1480" w:type="dxa"/>
            <w:tcBorders>
              <w:top w:val="nil"/>
              <w:left w:val="nil"/>
              <w:bottom w:val="single" w:sz="4" w:space="0" w:color="auto"/>
              <w:right w:val="single" w:sz="4" w:space="0" w:color="auto"/>
            </w:tcBorders>
            <w:shd w:val="clear" w:color="auto" w:fill="auto"/>
            <w:noWrap/>
            <w:vAlign w:val="center"/>
            <w:hideMark/>
          </w:tcPr>
          <w:p w14:paraId="099D44A5" w14:textId="47C11ED6"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7</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849</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876</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381 </w:t>
            </w:r>
          </w:p>
        </w:tc>
        <w:tc>
          <w:tcPr>
            <w:tcW w:w="1620" w:type="dxa"/>
            <w:tcBorders>
              <w:top w:val="nil"/>
              <w:left w:val="nil"/>
              <w:bottom w:val="single" w:sz="4" w:space="0" w:color="auto"/>
              <w:right w:val="single" w:sz="4" w:space="0" w:color="auto"/>
            </w:tcBorders>
            <w:shd w:val="clear" w:color="auto" w:fill="auto"/>
            <w:noWrap/>
            <w:vAlign w:val="center"/>
            <w:hideMark/>
          </w:tcPr>
          <w:p w14:paraId="715F1A5F" w14:textId="7D458881"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78</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498</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764 </w:t>
            </w:r>
          </w:p>
        </w:tc>
      </w:tr>
      <w:tr w:rsidR="00436FE0" w:rsidRPr="00436FE0" w14:paraId="4ACC717C" w14:textId="77777777" w:rsidTr="00436FE0">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1D2BE72A"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73</w:t>
            </w:r>
          </w:p>
        </w:tc>
        <w:tc>
          <w:tcPr>
            <w:tcW w:w="879" w:type="dxa"/>
            <w:tcBorders>
              <w:top w:val="nil"/>
              <w:left w:val="nil"/>
              <w:bottom w:val="single" w:sz="4" w:space="0" w:color="auto"/>
              <w:right w:val="single" w:sz="4" w:space="0" w:color="auto"/>
            </w:tcBorders>
            <w:shd w:val="clear" w:color="auto" w:fill="auto"/>
            <w:noWrap/>
            <w:vAlign w:val="center"/>
            <w:hideMark/>
          </w:tcPr>
          <w:p w14:paraId="385007A1"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822001073</w:t>
            </w:r>
          </w:p>
        </w:tc>
        <w:tc>
          <w:tcPr>
            <w:tcW w:w="4354" w:type="dxa"/>
            <w:tcBorders>
              <w:top w:val="nil"/>
              <w:left w:val="nil"/>
              <w:bottom w:val="single" w:sz="4" w:space="0" w:color="auto"/>
              <w:right w:val="single" w:sz="4" w:space="0" w:color="auto"/>
            </w:tcBorders>
            <w:shd w:val="clear" w:color="auto" w:fill="auto"/>
            <w:vAlign w:val="center"/>
            <w:hideMark/>
          </w:tcPr>
          <w:p w14:paraId="71418F5D" w14:textId="77777777" w:rsidR="00436FE0" w:rsidRPr="00436FE0" w:rsidRDefault="00436FE0" w:rsidP="00436FE0">
            <w:pPr>
              <w:jc w:val="lef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MADIGAS INGENIEROS S.A. E.S.P.</w:t>
            </w:r>
          </w:p>
        </w:tc>
        <w:tc>
          <w:tcPr>
            <w:tcW w:w="1480" w:type="dxa"/>
            <w:tcBorders>
              <w:top w:val="nil"/>
              <w:left w:val="nil"/>
              <w:bottom w:val="single" w:sz="4" w:space="0" w:color="auto"/>
              <w:right w:val="single" w:sz="4" w:space="0" w:color="auto"/>
            </w:tcBorders>
            <w:shd w:val="clear" w:color="auto" w:fill="auto"/>
            <w:noWrap/>
            <w:vAlign w:val="center"/>
            <w:hideMark/>
          </w:tcPr>
          <w:p w14:paraId="7B25E7DB" w14:textId="62E7A548"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801</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348</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735 </w:t>
            </w:r>
          </w:p>
        </w:tc>
        <w:tc>
          <w:tcPr>
            <w:tcW w:w="1620" w:type="dxa"/>
            <w:tcBorders>
              <w:top w:val="nil"/>
              <w:left w:val="nil"/>
              <w:bottom w:val="single" w:sz="4" w:space="0" w:color="auto"/>
              <w:right w:val="single" w:sz="4" w:space="0" w:color="auto"/>
            </w:tcBorders>
            <w:shd w:val="clear" w:color="auto" w:fill="auto"/>
            <w:noWrap/>
            <w:vAlign w:val="center"/>
            <w:hideMark/>
          </w:tcPr>
          <w:p w14:paraId="783CAD2C" w14:textId="1AE3CC79"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8</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013</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487 </w:t>
            </w:r>
          </w:p>
        </w:tc>
      </w:tr>
      <w:tr w:rsidR="00436FE0" w:rsidRPr="00436FE0" w14:paraId="586A5975" w14:textId="77777777" w:rsidTr="00436FE0">
        <w:trPr>
          <w:trHeight w:val="46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202A8FAB"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74</w:t>
            </w:r>
          </w:p>
        </w:tc>
        <w:tc>
          <w:tcPr>
            <w:tcW w:w="879" w:type="dxa"/>
            <w:tcBorders>
              <w:top w:val="nil"/>
              <w:left w:val="nil"/>
              <w:bottom w:val="single" w:sz="4" w:space="0" w:color="auto"/>
              <w:right w:val="single" w:sz="4" w:space="0" w:color="auto"/>
            </w:tcBorders>
            <w:shd w:val="clear" w:color="auto" w:fill="auto"/>
            <w:noWrap/>
            <w:vAlign w:val="center"/>
            <w:hideMark/>
          </w:tcPr>
          <w:p w14:paraId="1BD662FF"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900090229</w:t>
            </w:r>
          </w:p>
        </w:tc>
        <w:tc>
          <w:tcPr>
            <w:tcW w:w="4354" w:type="dxa"/>
            <w:tcBorders>
              <w:top w:val="nil"/>
              <w:left w:val="nil"/>
              <w:bottom w:val="single" w:sz="4" w:space="0" w:color="auto"/>
              <w:right w:val="single" w:sz="4" w:space="0" w:color="auto"/>
            </w:tcBorders>
            <w:shd w:val="clear" w:color="auto" w:fill="auto"/>
            <w:vAlign w:val="center"/>
            <w:hideMark/>
          </w:tcPr>
          <w:p w14:paraId="0AA09C3E" w14:textId="77777777" w:rsidR="00436FE0" w:rsidRPr="00436FE0" w:rsidRDefault="00436FE0" w:rsidP="00436FE0">
            <w:pPr>
              <w:jc w:val="lef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MC2 SOCIEDAD POR ACCIONES SIMPLIFICADA EMPRESA DE SERVICIOS PUBLICOS</w:t>
            </w:r>
          </w:p>
        </w:tc>
        <w:tc>
          <w:tcPr>
            <w:tcW w:w="1480" w:type="dxa"/>
            <w:tcBorders>
              <w:top w:val="nil"/>
              <w:left w:val="nil"/>
              <w:bottom w:val="single" w:sz="4" w:space="0" w:color="auto"/>
              <w:right w:val="single" w:sz="4" w:space="0" w:color="auto"/>
            </w:tcBorders>
            <w:shd w:val="clear" w:color="auto" w:fill="auto"/>
            <w:noWrap/>
            <w:vAlign w:val="center"/>
            <w:hideMark/>
          </w:tcPr>
          <w:p w14:paraId="4E96B490" w14:textId="5F2DF03D"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1</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330</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371</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121 </w:t>
            </w:r>
          </w:p>
        </w:tc>
        <w:tc>
          <w:tcPr>
            <w:tcW w:w="1620" w:type="dxa"/>
            <w:tcBorders>
              <w:top w:val="nil"/>
              <w:left w:val="nil"/>
              <w:bottom w:val="single" w:sz="4" w:space="0" w:color="auto"/>
              <w:right w:val="single" w:sz="4" w:space="0" w:color="auto"/>
            </w:tcBorders>
            <w:shd w:val="clear" w:color="auto" w:fill="auto"/>
            <w:noWrap/>
            <w:vAlign w:val="center"/>
            <w:hideMark/>
          </w:tcPr>
          <w:p w14:paraId="0699E171" w14:textId="00BB6DB5"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13</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303</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711 </w:t>
            </w:r>
          </w:p>
        </w:tc>
      </w:tr>
      <w:tr w:rsidR="00436FE0" w:rsidRPr="00436FE0" w14:paraId="3DD73C5A" w14:textId="77777777" w:rsidTr="00436FE0">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02F6BA32"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75</w:t>
            </w:r>
          </w:p>
        </w:tc>
        <w:tc>
          <w:tcPr>
            <w:tcW w:w="879" w:type="dxa"/>
            <w:tcBorders>
              <w:top w:val="nil"/>
              <w:left w:val="nil"/>
              <w:bottom w:val="single" w:sz="4" w:space="0" w:color="auto"/>
              <w:right w:val="single" w:sz="4" w:space="0" w:color="auto"/>
            </w:tcBorders>
            <w:shd w:val="clear" w:color="auto" w:fill="auto"/>
            <w:noWrap/>
            <w:vAlign w:val="center"/>
            <w:hideMark/>
          </w:tcPr>
          <w:p w14:paraId="4E51B7BA"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900913507</w:t>
            </w:r>
          </w:p>
        </w:tc>
        <w:tc>
          <w:tcPr>
            <w:tcW w:w="4354" w:type="dxa"/>
            <w:tcBorders>
              <w:top w:val="nil"/>
              <w:left w:val="nil"/>
              <w:bottom w:val="single" w:sz="4" w:space="0" w:color="auto"/>
              <w:right w:val="single" w:sz="4" w:space="0" w:color="auto"/>
            </w:tcBorders>
            <w:shd w:val="clear" w:color="auto" w:fill="auto"/>
            <w:vAlign w:val="center"/>
            <w:hideMark/>
          </w:tcPr>
          <w:p w14:paraId="300230D1" w14:textId="77777777" w:rsidR="00436FE0" w:rsidRPr="00436FE0" w:rsidRDefault="00436FE0" w:rsidP="00436FE0">
            <w:pPr>
              <w:jc w:val="lef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MEGAS S.A.S. ESP</w:t>
            </w:r>
          </w:p>
        </w:tc>
        <w:tc>
          <w:tcPr>
            <w:tcW w:w="1480" w:type="dxa"/>
            <w:tcBorders>
              <w:top w:val="nil"/>
              <w:left w:val="nil"/>
              <w:bottom w:val="single" w:sz="4" w:space="0" w:color="auto"/>
              <w:right w:val="single" w:sz="4" w:space="0" w:color="auto"/>
            </w:tcBorders>
            <w:shd w:val="clear" w:color="auto" w:fill="auto"/>
            <w:noWrap/>
            <w:vAlign w:val="center"/>
            <w:hideMark/>
          </w:tcPr>
          <w:p w14:paraId="5F178F07" w14:textId="1F3E0013"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1</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294</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434</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830 </w:t>
            </w:r>
          </w:p>
        </w:tc>
        <w:tc>
          <w:tcPr>
            <w:tcW w:w="1620" w:type="dxa"/>
            <w:tcBorders>
              <w:top w:val="nil"/>
              <w:left w:val="nil"/>
              <w:bottom w:val="single" w:sz="4" w:space="0" w:color="auto"/>
              <w:right w:val="single" w:sz="4" w:space="0" w:color="auto"/>
            </w:tcBorders>
            <w:shd w:val="clear" w:color="auto" w:fill="auto"/>
            <w:noWrap/>
            <w:vAlign w:val="center"/>
            <w:hideMark/>
          </w:tcPr>
          <w:p w14:paraId="25D6D5DD" w14:textId="7FE6DDDC"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12</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944</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348 </w:t>
            </w:r>
          </w:p>
        </w:tc>
      </w:tr>
      <w:tr w:rsidR="00436FE0" w:rsidRPr="00436FE0" w14:paraId="5CC4810F" w14:textId="77777777" w:rsidTr="00436FE0">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053323F6"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76</w:t>
            </w:r>
          </w:p>
        </w:tc>
        <w:tc>
          <w:tcPr>
            <w:tcW w:w="879" w:type="dxa"/>
            <w:tcBorders>
              <w:top w:val="nil"/>
              <w:left w:val="nil"/>
              <w:bottom w:val="single" w:sz="4" w:space="0" w:color="auto"/>
              <w:right w:val="single" w:sz="4" w:space="0" w:color="auto"/>
            </w:tcBorders>
            <w:shd w:val="clear" w:color="auto" w:fill="auto"/>
            <w:noWrap/>
            <w:vAlign w:val="center"/>
            <w:hideMark/>
          </w:tcPr>
          <w:p w14:paraId="15F750FD"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890208316</w:t>
            </w:r>
          </w:p>
        </w:tc>
        <w:tc>
          <w:tcPr>
            <w:tcW w:w="4354" w:type="dxa"/>
            <w:tcBorders>
              <w:top w:val="nil"/>
              <w:left w:val="nil"/>
              <w:bottom w:val="single" w:sz="4" w:space="0" w:color="auto"/>
              <w:right w:val="single" w:sz="4" w:space="0" w:color="auto"/>
            </w:tcBorders>
            <w:shd w:val="clear" w:color="auto" w:fill="auto"/>
            <w:vAlign w:val="center"/>
            <w:hideMark/>
          </w:tcPr>
          <w:p w14:paraId="4BEAAB5D" w14:textId="77777777" w:rsidR="00436FE0" w:rsidRPr="00436FE0" w:rsidRDefault="00436FE0" w:rsidP="00436FE0">
            <w:pPr>
              <w:jc w:val="lef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METROGAS DE COLOMBIA S.A. E.S.P. </w:t>
            </w:r>
          </w:p>
        </w:tc>
        <w:tc>
          <w:tcPr>
            <w:tcW w:w="1480" w:type="dxa"/>
            <w:tcBorders>
              <w:top w:val="nil"/>
              <w:left w:val="nil"/>
              <w:bottom w:val="single" w:sz="4" w:space="0" w:color="auto"/>
              <w:right w:val="single" w:sz="4" w:space="0" w:color="auto"/>
            </w:tcBorders>
            <w:shd w:val="clear" w:color="auto" w:fill="auto"/>
            <w:noWrap/>
            <w:vAlign w:val="center"/>
            <w:hideMark/>
          </w:tcPr>
          <w:p w14:paraId="04BCE422" w14:textId="3FC8310A"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2</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657</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951</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916 </w:t>
            </w:r>
          </w:p>
        </w:tc>
        <w:tc>
          <w:tcPr>
            <w:tcW w:w="1620" w:type="dxa"/>
            <w:tcBorders>
              <w:top w:val="nil"/>
              <w:left w:val="nil"/>
              <w:bottom w:val="single" w:sz="4" w:space="0" w:color="auto"/>
              <w:right w:val="single" w:sz="4" w:space="0" w:color="auto"/>
            </w:tcBorders>
            <w:shd w:val="clear" w:color="auto" w:fill="auto"/>
            <w:noWrap/>
            <w:vAlign w:val="center"/>
            <w:hideMark/>
          </w:tcPr>
          <w:p w14:paraId="5D889B8E" w14:textId="56A5C56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26</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579</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519 </w:t>
            </w:r>
          </w:p>
        </w:tc>
      </w:tr>
      <w:tr w:rsidR="00436FE0" w:rsidRPr="00436FE0" w14:paraId="5A468562" w14:textId="77777777" w:rsidTr="00436FE0">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7997FA8E"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77</w:t>
            </w:r>
          </w:p>
        </w:tc>
        <w:tc>
          <w:tcPr>
            <w:tcW w:w="879" w:type="dxa"/>
            <w:tcBorders>
              <w:top w:val="nil"/>
              <w:left w:val="nil"/>
              <w:bottom w:val="single" w:sz="4" w:space="0" w:color="auto"/>
              <w:right w:val="single" w:sz="4" w:space="0" w:color="auto"/>
            </w:tcBorders>
            <w:shd w:val="clear" w:color="auto" w:fill="auto"/>
            <w:noWrap/>
            <w:vAlign w:val="center"/>
            <w:hideMark/>
          </w:tcPr>
          <w:p w14:paraId="56741F2F"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800103198</w:t>
            </w:r>
          </w:p>
        </w:tc>
        <w:tc>
          <w:tcPr>
            <w:tcW w:w="4354" w:type="dxa"/>
            <w:tcBorders>
              <w:top w:val="nil"/>
              <w:left w:val="nil"/>
              <w:bottom w:val="single" w:sz="4" w:space="0" w:color="auto"/>
              <w:right w:val="single" w:sz="4" w:space="0" w:color="auto"/>
            </w:tcBorders>
            <w:shd w:val="clear" w:color="auto" w:fill="auto"/>
            <w:vAlign w:val="center"/>
            <w:hideMark/>
          </w:tcPr>
          <w:p w14:paraId="3FDD22D2" w14:textId="77777777" w:rsidR="00436FE0" w:rsidRPr="00436FE0" w:rsidRDefault="00436FE0" w:rsidP="00436FE0">
            <w:pPr>
              <w:jc w:val="lef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MUNICIPIO DE MIRAFLORES GUAVIARE</w:t>
            </w:r>
          </w:p>
        </w:tc>
        <w:tc>
          <w:tcPr>
            <w:tcW w:w="1480" w:type="dxa"/>
            <w:tcBorders>
              <w:top w:val="nil"/>
              <w:left w:val="nil"/>
              <w:bottom w:val="single" w:sz="4" w:space="0" w:color="auto"/>
              <w:right w:val="single" w:sz="4" w:space="0" w:color="auto"/>
            </w:tcBorders>
            <w:shd w:val="clear" w:color="auto" w:fill="auto"/>
            <w:noWrap/>
            <w:vAlign w:val="center"/>
            <w:hideMark/>
          </w:tcPr>
          <w:p w14:paraId="218D967A" w14:textId="1C6370E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408</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462</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399 </w:t>
            </w:r>
          </w:p>
        </w:tc>
        <w:tc>
          <w:tcPr>
            <w:tcW w:w="1620" w:type="dxa"/>
            <w:tcBorders>
              <w:top w:val="nil"/>
              <w:left w:val="nil"/>
              <w:bottom w:val="single" w:sz="4" w:space="0" w:color="auto"/>
              <w:right w:val="single" w:sz="4" w:space="0" w:color="auto"/>
            </w:tcBorders>
            <w:shd w:val="clear" w:color="auto" w:fill="auto"/>
            <w:noWrap/>
            <w:vAlign w:val="center"/>
            <w:hideMark/>
          </w:tcPr>
          <w:p w14:paraId="4FD28509" w14:textId="1F1CD721"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4</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084</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624 </w:t>
            </w:r>
          </w:p>
        </w:tc>
      </w:tr>
      <w:tr w:rsidR="00436FE0" w:rsidRPr="00436FE0" w14:paraId="66F9719B" w14:textId="77777777" w:rsidTr="00436FE0">
        <w:trPr>
          <w:trHeight w:val="46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5E77D5A5"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78</w:t>
            </w:r>
          </w:p>
        </w:tc>
        <w:tc>
          <w:tcPr>
            <w:tcW w:w="879" w:type="dxa"/>
            <w:tcBorders>
              <w:top w:val="nil"/>
              <w:left w:val="nil"/>
              <w:bottom w:val="single" w:sz="4" w:space="0" w:color="auto"/>
              <w:right w:val="single" w:sz="4" w:space="0" w:color="auto"/>
            </w:tcBorders>
            <w:shd w:val="clear" w:color="auto" w:fill="auto"/>
            <w:noWrap/>
            <w:vAlign w:val="center"/>
            <w:hideMark/>
          </w:tcPr>
          <w:p w14:paraId="364BFB00"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830118416</w:t>
            </w:r>
          </w:p>
        </w:tc>
        <w:tc>
          <w:tcPr>
            <w:tcW w:w="4354" w:type="dxa"/>
            <w:tcBorders>
              <w:top w:val="nil"/>
              <w:left w:val="nil"/>
              <w:bottom w:val="single" w:sz="4" w:space="0" w:color="auto"/>
              <w:right w:val="single" w:sz="4" w:space="0" w:color="auto"/>
            </w:tcBorders>
            <w:shd w:val="clear" w:color="auto" w:fill="auto"/>
            <w:vAlign w:val="center"/>
            <w:hideMark/>
          </w:tcPr>
          <w:p w14:paraId="1BE90399" w14:textId="77777777" w:rsidR="00436FE0" w:rsidRPr="00436FE0" w:rsidRDefault="00436FE0" w:rsidP="00436FE0">
            <w:pPr>
              <w:jc w:val="lef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NACIONAL DE SERVICIOS PÚBLICOS DOMICILIARIOS S.A. E.S.P.</w:t>
            </w:r>
          </w:p>
        </w:tc>
        <w:tc>
          <w:tcPr>
            <w:tcW w:w="1480" w:type="dxa"/>
            <w:tcBorders>
              <w:top w:val="nil"/>
              <w:left w:val="nil"/>
              <w:bottom w:val="single" w:sz="4" w:space="0" w:color="auto"/>
              <w:right w:val="single" w:sz="4" w:space="0" w:color="auto"/>
            </w:tcBorders>
            <w:shd w:val="clear" w:color="auto" w:fill="auto"/>
            <w:noWrap/>
            <w:vAlign w:val="center"/>
            <w:hideMark/>
          </w:tcPr>
          <w:p w14:paraId="553BBAD4" w14:textId="436EFA00"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677</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008</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825 </w:t>
            </w:r>
          </w:p>
        </w:tc>
        <w:tc>
          <w:tcPr>
            <w:tcW w:w="1620" w:type="dxa"/>
            <w:tcBorders>
              <w:top w:val="nil"/>
              <w:left w:val="nil"/>
              <w:bottom w:val="single" w:sz="4" w:space="0" w:color="auto"/>
              <w:right w:val="single" w:sz="4" w:space="0" w:color="auto"/>
            </w:tcBorders>
            <w:shd w:val="clear" w:color="auto" w:fill="auto"/>
            <w:noWrap/>
            <w:vAlign w:val="center"/>
            <w:hideMark/>
          </w:tcPr>
          <w:p w14:paraId="6F7B4455" w14:textId="7B8D8F8D"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6</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770</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088 </w:t>
            </w:r>
          </w:p>
        </w:tc>
      </w:tr>
      <w:tr w:rsidR="00436FE0" w:rsidRPr="00436FE0" w14:paraId="5056EA31" w14:textId="77777777" w:rsidTr="00436FE0">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0A88238D"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79</w:t>
            </w:r>
          </w:p>
        </w:tc>
        <w:tc>
          <w:tcPr>
            <w:tcW w:w="879" w:type="dxa"/>
            <w:tcBorders>
              <w:top w:val="nil"/>
              <w:left w:val="nil"/>
              <w:bottom w:val="single" w:sz="4" w:space="0" w:color="auto"/>
              <w:right w:val="single" w:sz="4" w:space="0" w:color="auto"/>
            </w:tcBorders>
            <w:shd w:val="clear" w:color="auto" w:fill="auto"/>
            <w:noWrap/>
            <w:vAlign w:val="center"/>
            <w:hideMark/>
          </w:tcPr>
          <w:p w14:paraId="23C87C57"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830104866</w:t>
            </w:r>
          </w:p>
        </w:tc>
        <w:tc>
          <w:tcPr>
            <w:tcW w:w="4354" w:type="dxa"/>
            <w:tcBorders>
              <w:top w:val="nil"/>
              <w:left w:val="nil"/>
              <w:bottom w:val="single" w:sz="4" w:space="0" w:color="auto"/>
              <w:right w:val="single" w:sz="4" w:space="0" w:color="auto"/>
            </w:tcBorders>
            <w:shd w:val="clear" w:color="auto" w:fill="auto"/>
            <w:vAlign w:val="center"/>
            <w:hideMark/>
          </w:tcPr>
          <w:p w14:paraId="5D56DE36" w14:textId="77777777" w:rsidR="00436FE0" w:rsidRPr="00436FE0" w:rsidRDefault="00436FE0" w:rsidP="00436FE0">
            <w:pPr>
              <w:jc w:val="lef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NIKOIL ENERGY CORP SUC COLOMBIA</w:t>
            </w:r>
          </w:p>
        </w:tc>
        <w:tc>
          <w:tcPr>
            <w:tcW w:w="1480" w:type="dxa"/>
            <w:tcBorders>
              <w:top w:val="nil"/>
              <w:left w:val="nil"/>
              <w:bottom w:val="single" w:sz="4" w:space="0" w:color="auto"/>
              <w:right w:val="single" w:sz="4" w:space="0" w:color="auto"/>
            </w:tcBorders>
            <w:shd w:val="clear" w:color="auto" w:fill="auto"/>
            <w:noWrap/>
            <w:vAlign w:val="center"/>
            <w:hideMark/>
          </w:tcPr>
          <w:p w14:paraId="689797D4" w14:textId="2520ED40"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1</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439</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996</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167 </w:t>
            </w:r>
          </w:p>
        </w:tc>
        <w:tc>
          <w:tcPr>
            <w:tcW w:w="1620" w:type="dxa"/>
            <w:tcBorders>
              <w:top w:val="nil"/>
              <w:left w:val="nil"/>
              <w:bottom w:val="single" w:sz="4" w:space="0" w:color="auto"/>
              <w:right w:val="single" w:sz="4" w:space="0" w:color="auto"/>
            </w:tcBorders>
            <w:shd w:val="clear" w:color="auto" w:fill="auto"/>
            <w:noWrap/>
            <w:vAlign w:val="center"/>
            <w:hideMark/>
          </w:tcPr>
          <w:p w14:paraId="1AA89488" w14:textId="5CADC628"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14</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399</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962 </w:t>
            </w:r>
          </w:p>
        </w:tc>
      </w:tr>
      <w:tr w:rsidR="00436FE0" w:rsidRPr="00436FE0" w14:paraId="69A939FE" w14:textId="77777777" w:rsidTr="00436FE0">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316329E6"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80</w:t>
            </w:r>
          </w:p>
        </w:tc>
        <w:tc>
          <w:tcPr>
            <w:tcW w:w="879" w:type="dxa"/>
            <w:tcBorders>
              <w:top w:val="nil"/>
              <w:left w:val="nil"/>
              <w:bottom w:val="single" w:sz="4" w:space="0" w:color="auto"/>
              <w:right w:val="single" w:sz="4" w:space="0" w:color="auto"/>
            </w:tcBorders>
            <w:shd w:val="clear" w:color="auto" w:fill="auto"/>
            <w:noWrap/>
            <w:vAlign w:val="center"/>
            <w:hideMark/>
          </w:tcPr>
          <w:p w14:paraId="444B3D10"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890500726</w:t>
            </w:r>
          </w:p>
        </w:tc>
        <w:tc>
          <w:tcPr>
            <w:tcW w:w="4354" w:type="dxa"/>
            <w:tcBorders>
              <w:top w:val="nil"/>
              <w:left w:val="nil"/>
              <w:bottom w:val="single" w:sz="4" w:space="0" w:color="auto"/>
              <w:right w:val="single" w:sz="4" w:space="0" w:color="auto"/>
            </w:tcBorders>
            <w:shd w:val="clear" w:color="auto" w:fill="auto"/>
            <w:vAlign w:val="center"/>
            <w:hideMark/>
          </w:tcPr>
          <w:p w14:paraId="157266DB" w14:textId="77777777" w:rsidR="00436FE0" w:rsidRPr="00436FE0" w:rsidRDefault="00436FE0" w:rsidP="00436FE0">
            <w:pPr>
              <w:jc w:val="lef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NORTESANTANDEREANA DE GAS S.A. E.S.P.</w:t>
            </w:r>
          </w:p>
        </w:tc>
        <w:tc>
          <w:tcPr>
            <w:tcW w:w="1480" w:type="dxa"/>
            <w:tcBorders>
              <w:top w:val="nil"/>
              <w:left w:val="nil"/>
              <w:bottom w:val="single" w:sz="4" w:space="0" w:color="auto"/>
              <w:right w:val="single" w:sz="4" w:space="0" w:color="auto"/>
            </w:tcBorders>
            <w:shd w:val="clear" w:color="auto" w:fill="auto"/>
            <w:noWrap/>
            <w:vAlign w:val="center"/>
            <w:hideMark/>
          </w:tcPr>
          <w:p w14:paraId="60E0A371" w14:textId="1419C01B"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116</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932</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021 </w:t>
            </w:r>
          </w:p>
        </w:tc>
        <w:tc>
          <w:tcPr>
            <w:tcW w:w="1620" w:type="dxa"/>
            <w:tcBorders>
              <w:top w:val="nil"/>
              <w:left w:val="nil"/>
              <w:bottom w:val="single" w:sz="4" w:space="0" w:color="auto"/>
              <w:right w:val="single" w:sz="4" w:space="0" w:color="auto"/>
            </w:tcBorders>
            <w:shd w:val="clear" w:color="auto" w:fill="auto"/>
            <w:noWrap/>
            <w:vAlign w:val="center"/>
            <w:hideMark/>
          </w:tcPr>
          <w:p w14:paraId="24EB159F" w14:textId="5D401935"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1</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169</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320 </w:t>
            </w:r>
          </w:p>
        </w:tc>
      </w:tr>
      <w:tr w:rsidR="00436FE0" w:rsidRPr="00436FE0" w14:paraId="5236D4B3" w14:textId="77777777" w:rsidTr="00436FE0">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1C22BF2F"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81</w:t>
            </w:r>
          </w:p>
        </w:tc>
        <w:tc>
          <w:tcPr>
            <w:tcW w:w="879" w:type="dxa"/>
            <w:tcBorders>
              <w:top w:val="nil"/>
              <w:left w:val="nil"/>
              <w:bottom w:val="single" w:sz="4" w:space="0" w:color="auto"/>
              <w:right w:val="single" w:sz="4" w:space="0" w:color="auto"/>
            </w:tcBorders>
            <w:shd w:val="clear" w:color="auto" w:fill="auto"/>
            <w:noWrap/>
            <w:vAlign w:val="center"/>
            <w:hideMark/>
          </w:tcPr>
          <w:p w14:paraId="7C0D35DA"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900268747</w:t>
            </w:r>
          </w:p>
        </w:tc>
        <w:tc>
          <w:tcPr>
            <w:tcW w:w="4354" w:type="dxa"/>
            <w:tcBorders>
              <w:top w:val="nil"/>
              <w:left w:val="nil"/>
              <w:bottom w:val="single" w:sz="4" w:space="0" w:color="auto"/>
              <w:right w:val="single" w:sz="4" w:space="0" w:color="auto"/>
            </w:tcBorders>
            <w:shd w:val="clear" w:color="auto" w:fill="auto"/>
            <w:vAlign w:val="center"/>
            <w:hideMark/>
          </w:tcPr>
          <w:p w14:paraId="21D7ECD9" w14:textId="77777777" w:rsidR="00436FE0" w:rsidRPr="00436FE0" w:rsidRDefault="00436FE0" w:rsidP="00436FE0">
            <w:pPr>
              <w:jc w:val="lef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PAREX RESOURCES COLOMBIA LTD SUCURSAL</w:t>
            </w:r>
          </w:p>
        </w:tc>
        <w:tc>
          <w:tcPr>
            <w:tcW w:w="1480" w:type="dxa"/>
            <w:tcBorders>
              <w:top w:val="nil"/>
              <w:left w:val="nil"/>
              <w:bottom w:val="single" w:sz="4" w:space="0" w:color="auto"/>
              <w:right w:val="single" w:sz="4" w:space="0" w:color="auto"/>
            </w:tcBorders>
            <w:shd w:val="clear" w:color="auto" w:fill="auto"/>
            <w:noWrap/>
            <w:vAlign w:val="center"/>
            <w:hideMark/>
          </w:tcPr>
          <w:p w14:paraId="73A61606" w14:textId="31C1BB84"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1</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953</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690</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148 </w:t>
            </w:r>
          </w:p>
        </w:tc>
        <w:tc>
          <w:tcPr>
            <w:tcW w:w="1620" w:type="dxa"/>
            <w:tcBorders>
              <w:top w:val="nil"/>
              <w:left w:val="nil"/>
              <w:bottom w:val="single" w:sz="4" w:space="0" w:color="auto"/>
              <w:right w:val="single" w:sz="4" w:space="0" w:color="auto"/>
            </w:tcBorders>
            <w:shd w:val="clear" w:color="auto" w:fill="auto"/>
            <w:noWrap/>
            <w:vAlign w:val="center"/>
            <w:hideMark/>
          </w:tcPr>
          <w:p w14:paraId="45A7D22D" w14:textId="3EA351A1"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19</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536</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901 </w:t>
            </w:r>
          </w:p>
        </w:tc>
      </w:tr>
      <w:tr w:rsidR="00436FE0" w:rsidRPr="00436FE0" w14:paraId="034F0323" w14:textId="77777777" w:rsidTr="00436FE0">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1C8AB464"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82</w:t>
            </w:r>
          </w:p>
        </w:tc>
        <w:tc>
          <w:tcPr>
            <w:tcW w:w="879" w:type="dxa"/>
            <w:tcBorders>
              <w:top w:val="nil"/>
              <w:left w:val="nil"/>
              <w:bottom w:val="single" w:sz="4" w:space="0" w:color="auto"/>
              <w:right w:val="single" w:sz="4" w:space="0" w:color="auto"/>
            </w:tcBorders>
            <w:shd w:val="clear" w:color="auto" w:fill="auto"/>
            <w:noWrap/>
            <w:vAlign w:val="center"/>
            <w:hideMark/>
          </w:tcPr>
          <w:p w14:paraId="1037203F"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900331322</w:t>
            </w:r>
          </w:p>
        </w:tc>
        <w:tc>
          <w:tcPr>
            <w:tcW w:w="4354" w:type="dxa"/>
            <w:tcBorders>
              <w:top w:val="nil"/>
              <w:left w:val="nil"/>
              <w:bottom w:val="single" w:sz="4" w:space="0" w:color="auto"/>
              <w:right w:val="single" w:sz="4" w:space="0" w:color="auto"/>
            </w:tcBorders>
            <w:shd w:val="clear" w:color="auto" w:fill="auto"/>
            <w:vAlign w:val="center"/>
            <w:hideMark/>
          </w:tcPr>
          <w:p w14:paraId="2DDCC20B" w14:textId="77777777" w:rsidR="00436FE0" w:rsidRPr="00436FE0" w:rsidRDefault="00436FE0" w:rsidP="00436FE0">
            <w:pPr>
              <w:jc w:val="lef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PAREX VERANO LIMITED SUCURSAL</w:t>
            </w:r>
          </w:p>
        </w:tc>
        <w:tc>
          <w:tcPr>
            <w:tcW w:w="1480" w:type="dxa"/>
            <w:tcBorders>
              <w:top w:val="nil"/>
              <w:left w:val="nil"/>
              <w:bottom w:val="single" w:sz="4" w:space="0" w:color="auto"/>
              <w:right w:val="single" w:sz="4" w:space="0" w:color="auto"/>
            </w:tcBorders>
            <w:shd w:val="clear" w:color="auto" w:fill="auto"/>
            <w:noWrap/>
            <w:vAlign w:val="center"/>
            <w:hideMark/>
          </w:tcPr>
          <w:p w14:paraId="090CD978" w14:textId="5EAB1956"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4</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364</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771</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580 </w:t>
            </w:r>
          </w:p>
        </w:tc>
        <w:tc>
          <w:tcPr>
            <w:tcW w:w="1620" w:type="dxa"/>
            <w:tcBorders>
              <w:top w:val="nil"/>
              <w:left w:val="nil"/>
              <w:bottom w:val="single" w:sz="4" w:space="0" w:color="auto"/>
              <w:right w:val="single" w:sz="4" w:space="0" w:color="auto"/>
            </w:tcBorders>
            <w:shd w:val="clear" w:color="auto" w:fill="auto"/>
            <w:noWrap/>
            <w:vAlign w:val="center"/>
            <w:hideMark/>
          </w:tcPr>
          <w:p w14:paraId="4CFF9048" w14:textId="0B9C6D0E"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43</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647</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716 </w:t>
            </w:r>
          </w:p>
        </w:tc>
      </w:tr>
      <w:tr w:rsidR="00436FE0" w:rsidRPr="00436FE0" w14:paraId="3562E7DD" w14:textId="77777777" w:rsidTr="00436FE0">
        <w:trPr>
          <w:trHeight w:val="46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0937F530"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83</w:t>
            </w:r>
          </w:p>
        </w:tc>
        <w:tc>
          <w:tcPr>
            <w:tcW w:w="879" w:type="dxa"/>
            <w:tcBorders>
              <w:top w:val="nil"/>
              <w:left w:val="nil"/>
              <w:bottom w:val="single" w:sz="4" w:space="0" w:color="auto"/>
              <w:right w:val="single" w:sz="4" w:space="0" w:color="auto"/>
            </w:tcBorders>
            <w:shd w:val="clear" w:color="auto" w:fill="auto"/>
            <w:noWrap/>
            <w:vAlign w:val="center"/>
            <w:hideMark/>
          </w:tcPr>
          <w:p w14:paraId="42C5F101"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900319306</w:t>
            </w:r>
          </w:p>
        </w:tc>
        <w:tc>
          <w:tcPr>
            <w:tcW w:w="4354" w:type="dxa"/>
            <w:tcBorders>
              <w:top w:val="nil"/>
              <w:left w:val="nil"/>
              <w:bottom w:val="single" w:sz="4" w:space="0" w:color="auto"/>
              <w:right w:val="single" w:sz="4" w:space="0" w:color="auto"/>
            </w:tcBorders>
            <w:shd w:val="clear" w:color="auto" w:fill="auto"/>
            <w:vAlign w:val="center"/>
            <w:hideMark/>
          </w:tcPr>
          <w:p w14:paraId="3EBB9789" w14:textId="77777777" w:rsidR="00436FE0" w:rsidRPr="00436FE0" w:rsidRDefault="00436FE0" w:rsidP="00436FE0">
            <w:pPr>
              <w:jc w:val="lef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PEGASUS BLENDING INTERNATIONAL S.A.S. EMPRESA DE SERVICIOS PUBLICOS E.S.P</w:t>
            </w:r>
          </w:p>
        </w:tc>
        <w:tc>
          <w:tcPr>
            <w:tcW w:w="1480" w:type="dxa"/>
            <w:tcBorders>
              <w:top w:val="nil"/>
              <w:left w:val="nil"/>
              <w:bottom w:val="single" w:sz="4" w:space="0" w:color="auto"/>
              <w:right w:val="single" w:sz="4" w:space="0" w:color="auto"/>
            </w:tcBorders>
            <w:shd w:val="clear" w:color="auto" w:fill="auto"/>
            <w:noWrap/>
            <w:vAlign w:val="center"/>
            <w:hideMark/>
          </w:tcPr>
          <w:p w14:paraId="3DB127B4" w14:textId="09CD9A4B"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78</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416</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664 </w:t>
            </w:r>
          </w:p>
        </w:tc>
        <w:tc>
          <w:tcPr>
            <w:tcW w:w="1620" w:type="dxa"/>
            <w:tcBorders>
              <w:top w:val="nil"/>
              <w:left w:val="nil"/>
              <w:bottom w:val="single" w:sz="4" w:space="0" w:color="auto"/>
              <w:right w:val="single" w:sz="4" w:space="0" w:color="auto"/>
            </w:tcBorders>
            <w:shd w:val="clear" w:color="auto" w:fill="auto"/>
            <w:noWrap/>
            <w:vAlign w:val="center"/>
            <w:hideMark/>
          </w:tcPr>
          <w:p w14:paraId="504D026D" w14:textId="62B4AF39"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784</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167 </w:t>
            </w:r>
          </w:p>
        </w:tc>
      </w:tr>
      <w:tr w:rsidR="00436FE0" w:rsidRPr="00436FE0" w14:paraId="2EA310F1" w14:textId="77777777" w:rsidTr="00436FE0">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2E65E214"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84</w:t>
            </w:r>
          </w:p>
        </w:tc>
        <w:tc>
          <w:tcPr>
            <w:tcW w:w="879" w:type="dxa"/>
            <w:tcBorders>
              <w:top w:val="nil"/>
              <w:left w:val="nil"/>
              <w:bottom w:val="single" w:sz="4" w:space="0" w:color="auto"/>
              <w:right w:val="single" w:sz="4" w:space="0" w:color="auto"/>
            </w:tcBorders>
            <w:shd w:val="clear" w:color="auto" w:fill="auto"/>
            <w:noWrap/>
            <w:vAlign w:val="center"/>
            <w:hideMark/>
          </w:tcPr>
          <w:p w14:paraId="159ED61C"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900495129</w:t>
            </w:r>
          </w:p>
        </w:tc>
        <w:tc>
          <w:tcPr>
            <w:tcW w:w="4354" w:type="dxa"/>
            <w:tcBorders>
              <w:top w:val="nil"/>
              <w:left w:val="nil"/>
              <w:bottom w:val="single" w:sz="4" w:space="0" w:color="auto"/>
              <w:right w:val="single" w:sz="4" w:space="0" w:color="auto"/>
            </w:tcBorders>
            <w:shd w:val="clear" w:color="auto" w:fill="auto"/>
            <w:vAlign w:val="center"/>
            <w:hideMark/>
          </w:tcPr>
          <w:p w14:paraId="0988B688" w14:textId="77777777" w:rsidR="00436FE0" w:rsidRPr="00436FE0" w:rsidRDefault="00436FE0" w:rsidP="00436FE0">
            <w:pPr>
              <w:jc w:val="lef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PETROLEOS SUD AMERICANOS SUCURSAL COLOMBIA</w:t>
            </w:r>
          </w:p>
        </w:tc>
        <w:tc>
          <w:tcPr>
            <w:tcW w:w="1480" w:type="dxa"/>
            <w:tcBorders>
              <w:top w:val="nil"/>
              <w:left w:val="nil"/>
              <w:bottom w:val="single" w:sz="4" w:space="0" w:color="auto"/>
              <w:right w:val="single" w:sz="4" w:space="0" w:color="auto"/>
            </w:tcBorders>
            <w:shd w:val="clear" w:color="auto" w:fill="auto"/>
            <w:noWrap/>
            <w:vAlign w:val="center"/>
            <w:hideMark/>
          </w:tcPr>
          <w:p w14:paraId="5CCF4863" w14:textId="2D07D3BD"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5</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099</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345</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450 </w:t>
            </w:r>
          </w:p>
        </w:tc>
        <w:tc>
          <w:tcPr>
            <w:tcW w:w="1620" w:type="dxa"/>
            <w:tcBorders>
              <w:top w:val="nil"/>
              <w:left w:val="nil"/>
              <w:bottom w:val="single" w:sz="4" w:space="0" w:color="auto"/>
              <w:right w:val="single" w:sz="4" w:space="0" w:color="auto"/>
            </w:tcBorders>
            <w:shd w:val="clear" w:color="auto" w:fill="auto"/>
            <w:noWrap/>
            <w:vAlign w:val="center"/>
            <w:hideMark/>
          </w:tcPr>
          <w:p w14:paraId="1718D4A9" w14:textId="583FCB2B"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50</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993</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455 </w:t>
            </w:r>
          </w:p>
        </w:tc>
      </w:tr>
      <w:tr w:rsidR="00436FE0" w:rsidRPr="00436FE0" w14:paraId="7E001488" w14:textId="77777777" w:rsidTr="00436FE0">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40CDB435"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85</w:t>
            </w:r>
          </w:p>
        </w:tc>
        <w:tc>
          <w:tcPr>
            <w:tcW w:w="879" w:type="dxa"/>
            <w:tcBorders>
              <w:top w:val="nil"/>
              <w:left w:val="nil"/>
              <w:bottom w:val="single" w:sz="4" w:space="0" w:color="auto"/>
              <w:right w:val="single" w:sz="4" w:space="0" w:color="auto"/>
            </w:tcBorders>
            <w:shd w:val="clear" w:color="auto" w:fill="auto"/>
            <w:noWrap/>
            <w:vAlign w:val="center"/>
            <w:hideMark/>
          </w:tcPr>
          <w:p w14:paraId="2E873A1C"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900330027</w:t>
            </w:r>
          </w:p>
        </w:tc>
        <w:tc>
          <w:tcPr>
            <w:tcW w:w="4354" w:type="dxa"/>
            <w:tcBorders>
              <w:top w:val="nil"/>
              <w:left w:val="nil"/>
              <w:bottom w:val="single" w:sz="4" w:space="0" w:color="auto"/>
              <w:right w:val="single" w:sz="4" w:space="0" w:color="auto"/>
            </w:tcBorders>
            <w:shd w:val="clear" w:color="auto" w:fill="auto"/>
            <w:vAlign w:val="center"/>
            <w:hideMark/>
          </w:tcPr>
          <w:p w14:paraId="14CD0A62" w14:textId="77777777" w:rsidR="00436FE0" w:rsidRPr="00436FE0" w:rsidRDefault="00436FE0" w:rsidP="00436FE0">
            <w:pPr>
              <w:jc w:val="lef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PETROMILGAS S.A. ESP</w:t>
            </w:r>
          </w:p>
        </w:tc>
        <w:tc>
          <w:tcPr>
            <w:tcW w:w="1480" w:type="dxa"/>
            <w:tcBorders>
              <w:top w:val="nil"/>
              <w:left w:val="nil"/>
              <w:bottom w:val="single" w:sz="4" w:space="0" w:color="auto"/>
              <w:right w:val="single" w:sz="4" w:space="0" w:color="auto"/>
            </w:tcBorders>
            <w:shd w:val="clear" w:color="auto" w:fill="auto"/>
            <w:noWrap/>
            <w:vAlign w:val="center"/>
            <w:hideMark/>
          </w:tcPr>
          <w:p w14:paraId="19140CA6" w14:textId="21393DC6"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4</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556</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858</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791 </w:t>
            </w:r>
          </w:p>
        </w:tc>
        <w:tc>
          <w:tcPr>
            <w:tcW w:w="1620" w:type="dxa"/>
            <w:tcBorders>
              <w:top w:val="nil"/>
              <w:left w:val="nil"/>
              <w:bottom w:val="single" w:sz="4" w:space="0" w:color="auto"/>
              <w:right w:val="single" w:sz="4" w:space="0" w:color="auto"/>
            </w:tcBorders>
            <w:shd w:val="clear" w:color="auto" w:fill="auto"/>
            <w:noWrap/>
            <w:vAlign w:val="center"/>
            <w:hideMark/>
          </w:tcPr>
          <w:p w14:paraId="3135F4E0" w14:textId="7796EF74"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45</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568</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588 </w:t>
            </w:r>
          </w:p>
        </w:tc>
      </w:tr>
      <w:tr w:rsidR="00436FE0" w:rsidRPr="00436FE0" w14:paraId="6B26571A" w14:textId="77777777" w:rsidTr="00436FE0">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64209978"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86</w:t>
            </w:r>
          </w:p>
        </w:tc>
        <w:tc>
          <w:tcPr>
            <w:tcW w:w="879" w:type="dxa"/>
            <w:tcBorders>
              <w:top w:val="nil"/>
              <w:left w:val="nil"/>
              <w:bottom w:val="single" w:sz="4" w:space="0" w:color="auto"/>
              <w:right w:val="single" w:sz="4" w:space="0" w:color="auto"/>
            </w:tcBorders>
            <w:shd w:val="clear" w:color="auto" w:fill="auto"/>
            <w:noWrap/>
            <w:vAlign w:val="center"/>
            <w:hideMark/>
          </w:tcPr>
          <w:p w14:paraId="51AC785E"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811036688</w:t>
            </w:r>
          </w:p>
        </w:tc>
        <w:tc>
          <w:tcPr>
            <w:tcW w:w="4354" w:type="dxa"/>
            <w:tcBorders>
              <w:top w:val="nil"/>
              <w:left w:val="nil"/>
              <w:bottom w:val="single" w:sz="4" w:space="0" w:color="auto"/>
              <w:right w:val="single" w:sz="4" w:space="0" w:color="auto"/>
            </w:tcBorders>
            <w:shd w:val="clear" w:color="auto" w:fill="auto"/>
            <w:vAlign w:val="center"/>
            <w:hideMark/>
          </w:tcPr>
          <w:p w14:paraId="60929DF1" w14:textId="77777777" w:rsidR="00436FE0" w:rsidRPr="00436FE0" w:rsidRDefault="00436FE0" w:rsidP="00436FE0">
            <w:pPr>
              <w:jc w:val="lef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PIPEGAS S.A.S. E.S.P</w:t>
            </w:r>
          </w:p>
        </w:tc>
        <w:tc>
          <w:tcPr>
            <w:tcW w:w="1480" w:type="dxa"/>
            <w:tcBorders>
              <w:top w:val="nil"/>
              <w:left w:val="nil"/>
              <w:bottom w:val="single" w:sz="4" w:space="0" w:color="auto"/>
              <w:right w:val="single" w:sz="4" w:space="0" w:color="auto"/>
            </w:tcBorders>
            <w:shd w:val="clear" w:color="auto" w:fill="auto"/>
            <w:noWrap/>
            <w:vAlign w:val="center"/>
            <w:hideMark/>
          </w:tcPr>
          <w:p w14:paraId="73C200B0" w14:textId="2A02668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559</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888</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232 </w:t>
            </w:r>
          </w:p>
        </w:tc>
        <w:tc>
          <w:tcPr>
            <w:tcW w:w="1620" w:type="dxa"/>
            <w:tcBorders>
              <w:top w:val="nil"/>
              <w:left w:val="nil"/>
              <w:bottom w:val="single" w:sz="4" w:space="0" w:color="auto"/>
              <w:right w:val="single" w:sz="4" w:space="0" w:color="auto"/>
            </w:tcBorders>
            <w:shd w:val="clear" w:color="auto" w:fill="auto"/>
            <w:noWrap/>
            <w:vAlign w:val="center"/>
            <w:hideMark/>
          </w:tcPr>
          <w:p w14:paraId="74A14D7B" w14:textId="20E0FD26"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5</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598</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882 </w:t>
            </w:r>
          </w:p>
        </w:tc>
      </w:tr>
      <w:tr w:rsidR="00436FE0" w:rsidRPr="00436FE0" w14:paraId="50C99517" w14:textId="77777777" w:rsidTr="00436FE0">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38E85E2E"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87</w:t>
            </w:r>
          </w:p>
        </w:tc>
        <w:tc>
          <w:tcPr>
            <w:tcW w:w="879" w:type="dxa"/>
            <w:tcBorders>
              <w:top w:val="nil"/>
              <w:left w:val="nil"/>
              <w:bottom w:val="single" w:sz="4" w:space="0" w:color="auto"/>
              <w:right w:val="single" w:sz="4" w:space="0" w:color="auto"/>
            </w:tcBorders>
            <w:shd w:val="clear" w:color="auto" w:fill="auto"/>
            <w:noWrap/>
            <w:vAlign w:val="center"/>
            <w:hideMark/>
          </w:tcPr>
          <w:p w14:paraId="4571ED8B"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804014818</w:t>
            </w:r>
          </w:p>
        </w:tc>
        <w:tc>
          <w:tcPr>
            <w:tcW w:w="4354" w:type="dxa"/>
            <w:tcBorders>
              <w:top w:val="nil"/>
              <w:left w:val="nil"/>
              <w:bottom w:val="single" w:sz="4" w:space="0" w:color="auto"/>
              <w:right w:val="single" w:sz="4" w:space="0" w:color="auto"/>
            </w:tcBorders>
            <w:shd w:val="clear" w:color="auto" w:fill="auto"/>
            <w:vAlign w:val="center"/>
            <w:hideMark/>
          </w:tcPr>
          <w:p w14:paraId="3EB2B760" w14:textId="77777777" w:rsidR="00436FE0" w:rsidRPr="00436FE0" w:rsidRDefault="00436FE0" w:rsidP="00436FE0">
            <w:pPr>
              <w:jc w:val="lef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PROMESA S.A. ESP</w:t>
            </w:r>
          </w:p>
        </w:tc>
        <w:tc>
          <w:tcPr>
            <w:tcW w:w="1480" w:type="dxa"/>
            <w:tcBorders>
              <w:top w:val="nil"/>
              <w:left w:val="nil"/>
              <w:bottom w:val="single" w:sz="4" w:space="0" w:color="auto"/>
              <w:right w:val="single" w:sz="4" w:space="0" w:color="auto"/>
            </w:tcBorders>
            <w:shd w:val="clear" w:color="auto" w:fill="auto"/>
            <w:noWrap/>
            <w:vAlign w:val="center"/>
            <w:hideMark/>
          </w:tcPr>
          <w:p w14:paraId="6931BB75" w14:textId="099F692B"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320</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127</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124 </w:t>
            </w:r>
          </w:p>
        </w:tc>
        <w:tc>
          <w:tcPr>
            <w:tcW w:w="1620" w:type="dxa"/>
            <w:tcBorders>
              <w:top w:val="nil"/>
              <w:left w:val="nil"/>
              <w:bottom w:val="single" w:sz="4" w:space="0" w:color="auto"/>
              <w:right w:val="single" w:sz="4" w:space="0" w:color="auto"/>
            </w:tcBorders>
            <w:shd w:val="clear" w:color="auto" w:fill="auto"/>
            <w:noWrap/>
            <w:vAlign w:val="center"/>
            <w:hideMark/>
          </w:tcPr>
          <w:p w14:paraId="33F172B0" w14:textId="56DA88B4"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3</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201</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271 </w:t>
            </w:r>
          </w:p>
        </w:tc>
      </w:tr>
      <w:tr w:rsidR="00436FE0" w:rsidRPr="00436FE0" w14:paraId="53159868" w14:textId="77777777" w:rsidTr="00436FE0">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60697450"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88</w:t>
            </w:r>
          </w:p>
        </w:tc>
        <w:tc>
          <w:tcPr>
            <w:tcW w:w="879" w:type="dxa"/>
            <w:tcBorders>
              <w:top w:val="nil"/>
              <w:left w:val="nil"/>
              <w:bottom w:val="single" w:sz="4" w:space="0" w:color="auto"/>
              <w:right w:val="single" w:sz="4" w:space="0" w:color="auto"/>
            </w:tcBorders>
            <w:shd w:val="clear" w:color="auto" w:fill="auto"/>
            <w:noWrap/>
            <w:vAlign w:val="center"/>
            <w:hideMark/>
          </w:tcPr>
          <w:p w14:paraId="489FFC8D"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890105526</w:t>
            </w:r>
          </w:p>
        </w:tc>
        <w:tc>
          <w:tcPr>
            <w:tcW w:w="4354" w:type="dxa"/>
            <w:tcBorders>
              <w:top w:val="nil"/>
              <w:left w:val="nil"/>
              <w:bottom w:val="single" w:sz="4" w:space="0" w:color="auto"/>
              <w:right w:val="single" w:sz="4" w:space="0" w:color="auto"/>
            </w:tcBorders>
            <w:shd w:val="clear" w:color="auto" w:fill="auto"/>
            <w:vAlign w:val="center"/>
            <w:hideMark/>
          </w:tcPr>
          <w:p w14:paraId="3CA87EBF" w14:textId="77777777" w:rsidR="00436FE0" w:rsidRPr="00436FE0" w:rsidRDefault="00436FE0" w:rsidP="00436FE0">
            <w:pPr>
              <w:jc w:val="lef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PROMIGAS S.A. E.S.P.</w:t>
            </w:r>
          </w:p>
        </w:tc>
        <w:tc>
          <w:tcPr>
            <w:tcW w:w="1480" w:type="dxa"/>
            <w:tcBorders>
              <w:top w:val="nil"/>
              <w:left w:val="nil"/>
              <w:bottom w:val="single" w:sz="4" w:space="0" w:color="auto"/>
              <w:right w:val="single" w:sz="4" w:space="0" w:color="auto"/>
            </w:tcBorders>
            <w:shd w:val="clear" w:color="auto" w:fill="auto"/>
            <w:noWrap/>
            <w:vAlign w:val="center"/>
            <w:hideMark/>
          </w:tcPr>
          <w:p w14:paraId="271330D7" w14:textId="1CB3A382"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85</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636</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134</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976 </w:t>
            </w:r>
          </w:p>
        </w:tc>
        <w:tc>
          <w:tcPr>
            <w:tcW w:w="1620" w:type="dxa"/>
            <w:tcBorders>
              <w:top w:val="nil"/>
              <w:left w:val="nil"/>
              <w:bottom w:val="single" w:sz="4" w:space="0" w:color="auto"/>
              <w:right w:val="single" w:sz="4" w:space="0" w:color="auto"/>
            </w:tcBorders>
            <w:shd w:val="clear" w:color="auto" w:fill="auto"/>
            <w:noWrap/>
            <w:vAlign w:val="center"/>
            <w:hideMark/>
          </w:tcPr>
          <w:p w14:paraId="26457E93" w14:textId="1D6F08C8"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856</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361</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350 </w:t>
            </w:r>
          </w:p>
        </w:tc>
      </w:tr>
      <w:tr w:rsidR="00436FE0" w:rsidRPr="00436FE0" w14:paraId="7D486EEB" w14:textId="77777777" w:rsidTr="00436FE0">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7E84A0CC"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lastRenderedPageBreak/>
              <w:t>89</w:t>
            </w:r>
          </w:p>
        </w:tc>
        <w:tc>
          <w:tcPr>
            <w:tcW w:w="879" w:type="dxa"/>
            <w:tcBorders>
              <w:top w:val="nil"/>
              <w:left w:val="nil"/>
              <w:bottom w:val="single" w:sz="4" w:space="0" w:color="auto"/>
              <w:right w:val="single" w:sz="4" w:space="0" w:color="auto"/>
            </w:tcBorders>
            <w:shd w:val="clear" w:color="auto" w:fill="auto"/>
            <w:noWrap/>
            <w:vAlign w:val="center"/>
            <w:hideMark/>
          </w:tcPr>
          <w:p w14:paraId="4119BC34"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800226766</w:t>
            </w:r>
          </w:p>
        </w:tc>
        <w:tc>
          <w:tcPr>
            <w:tcW w:w="4354" w:type="dxa"/>
            <w:tcBorders>
              <w:top w:val="nil"/>
              <w:left w:val="nil"/>
              <w:bottom w:val="single" w:sz="4" w:space="0" w:color="auto"/>
              <w:right w:val="single" w:sz="4" w:space="0" w:color="auto"/>
            </w:tcBorders>
            <w:shd w:val="clear" w:color="auto" w:fill="auto"/>
            <w:vAlign w:val="center"/>
            <w:hideMark/>
          </w:tcPr>
          <w:p w14:paraId="1355E7BE" w14:textId="77777777" w:rsidR="00436FE0" w:rsidRPr="00436FE0" w:rsidRDefault="00436FE0" w:rsidP="00436FE0">
            <w:pPr>
              <w:jc w:val="lef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PROMIORIENTE S.A. E.S.P.</w:t>
            </w:r>
          </w:p>
        </w:tc>
        <w:tc>
          <w:tcPr>
            <w:tcW w:w="1480" w:type="dxa"/>
            <w:tcBorders>
              <w:top w:val="nil"/>
              <w:left w:val="nil"/>
              <w:bottom w:val="single" w:sz="4" w:space="0" w:color="auto"/>
              <w:right w:val="single" w:sz="4" w:space="0" w:color="auto"/>
            </w:tcBorders>
            <w:shd w:val="clear" w:color="auto" w:fill="auto"/>
            <w:noWrap/>
            <w:vAlign w:val="center"/>
            <w:hideMark/>
          </w:tcPr>
          <w:p w14:paraId="61A8171F" w14:textId="54C28FAA"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6</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284</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627</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932 </w:t>
            </w:r>
          </w:p>
        </w:tc>
        <w:tc>
          <w:tcPr>
            <w:tcW w:w="1620" w:type="dxa"/>
            <w:tcBorders>
              <w:top w:val="nil"/>
              <w:left w:val="nil"/>
              <w:bottom w:val="single" w:sz="4" w:space="0" w:color="auto"/>
              <w:right w:val="single" w:sz="4" w:space="0" w:color="auto"/>
            </w:tcBorders>
            <w:shd w:val="clear" w:color="auto" w:fill="auto"/>
            <w:noWrap/>
            <w:vAlign w:val="center"/>
            <w:hideMark/>
          </w:tcPr>
          <w:p w14:paraId="088BFBD2" w14:textId="3B4B7C1C"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62</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846</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279 </w:t>
            </w:r>
          </w:p>
        </w:tc>
      </w:tr>
      <w:tr w:rsidR="00436FE0" w:rsidRPr="00436FE0" w14:paraId="64E5E64D" w14:textId="77777777" w:rsidTr="00436FE0">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5ED42016"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90</w:t>
            </w:r>
          </w:p>
        </w:tc>
        <w:tc>
          <w:tcPr>
            <w:tcW w:w="879" w:type="dxa"/>
            <w:tcBorders>
              <w:top w:val="nil"/>
              <w:left w:val="nil"/>
              <w:bottom w:val="single" w:sz="4" w:space="0" w:color="auto"/>
              <w:right w:val="single" w:sz="4" w:space="0" w:color="auto"/>
            </w:tcBorders>
            <w:shd w:val="clear" w:color="auto" w:fill="auto"/>
            <w:noWrap/>
            <w:vAlign w:val="center"/>
            <w:hideMark/>
          </w:tcPr>
          <w:p w14:paraId="0ADFC96E"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800170118</w:t>
            </w:r>
          </w:p>
        </w:tc>
        <w:tc>
          <w:tcPr>
            <w:tcW w:w="4354" w:type="dxa"/>
            <w:tcBorders>
              <w:top w:val="nil"/>
              <w:left w:val="nil"/>
              <w:bottom w:val="single" w:sz="4" w:space="0" w:color="auto"/>
              <w:right w:val="single" w:sz="4" w:space="0" w:color="auto"/>
            </w:tcBorders>
            <w:shd w:val="clear" w:color="auto" w:fill="auto"/>
            <w:vAlign w:val="center"/>
            <w:hideMark/>
          </w:tcPr>
          <w:p w14:paraId="463F47D8" w14:textId="77777777" w:rsidR="00436FE0" w:rsidRPr="00436FE0" w:rsidRDefault="00436FE0" w:rsidP="00436FE0">
            <w:pPr>
              <w:jc w:val="lef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PROMOTORA DE GASES DEL SUR S.A. E.S.P.</w:t>
            </w:r>
          </w:p>
        </w:tc>
        <w:tc>
          <w:tcPr>
            <w:tcW w:w="1480" w:type="dxa"/>
            <w:tcBorders>
              <w:top w:val="nil"/>
              <w:left w:val="nil"/>
              <w:bottom w:val="single" w:sz="4" w:space="0" w:color="auto"/>
              <w:right w:val="single" w:sz="4" w:space="0" w:color="auto"/>
            </w:tcBorders>
            <w:shd w:val="clear" w:color="auto" w:fill="auto"/>
            <w:noWrap/>
            <w:vAlign w:val="center"/>
            <w:hideMark/>
          </w:tcPr>
          <w:p w14:paraId="04B3FCDE" w14:textId="25ED4C88"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2</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241</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323</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778 </w:t>
            </w:r>
          </w:p>
        </w:tc>
        <w:tc>
          <w:tcPr>
            <w:tcW w:w="1620" w:type="dxa"/>
            <w:tcBorders>
              <w:top w:val="nil"/>
              <w:left w:val="nil"/>
              <w:bottom w:val="single" w:sz="4" w:space="0" w:color="auto"/>
              <w:right w:val="single" w:sz="4" w:space="0" w:color="auto"/>
            </w:tcBorders>
            <w:shd w:val="clear" w:color="auto" w:fill="auto"/>
            <w:noWrap/>
            <w:vAlign w:val="center"/>
            <w:hideMark/>
          </w:tcPr>
          <w:p w14:paraId="07F88A7F" w14:textId="2FBF725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22</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413</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238 </w:t>
            </w:r>
          </w:p>
        </w:tc>
      </w:tr>
      <w:tr w:rsidR="00436FE0" w:rsidRPr="00436FE0" w14:paraId="4E4D4E7E" w14:textId="77777777" w:rsidTr="00436FE0">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62C112B4"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91</w:t>
            </w:r>
          </w:p>
        </w:tc>
        <w:tc>
          <w:tcPr>
            <w:tcW w:w="879" w:type="dxa"/>
            <w:tcBorders>
              <w:top w:val="nil"/>
              <w:left w:val="nil"/>
              <w:bottom w:val="single" w:sz="4" w:space="0" w:color="auto"/>
              <w:right w:val="single" w:sz="4" w:space="0" w:color="auto"/>
            </w:tcBorders>
            <w:shd w:val="clear" w:color="auto" w:fill="auto"/>
            <w:noWrap/>
            <w:vAlign w:val="center"/>
            <w:hideMark/>
          </w:tcPr>
          <w:p w14:paraId="23F77176"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804013578</w:t>
            </w:r>
          </w:p>
        </w:tc>
        <w:tc>
          <w:tcPr>
            <w:tcW w:w="4354" w:type="dxa"/>
            <w:tcBorders>
              <w:top w:val="nil"/>
              <w:left w:val="nil"/>
              <w:bottom w:val="single" w:sz="4" w:space="0" w:color="auto"/>
              <w:right w:val="single" w:sz="4" w:space="0" w:color="auto"/>
            </w:tcBorders>
            <w:shd w:val="clear" w:color="auto" w:fill="auto"/>
            <w:vAlign w:val="center"/>
            <w:hideMark/>
          </w:tcPr>
          <w:p w14:paraId="66C88F2F" w14:textId="77777777" w:rsidR="00436FE0" w:rsidRPr="00436FE0" w:rsidRDefault="00436FE0" w:rsidP="00436FE0">
            <w:pPr>
              <w:jc w:val="lef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PROMOTORA DE SERVICIOS PÚBLICOS S.A. E.S.P.</w:t>
            </w:r>
          </w:p>
        </w:tc>
        <w:tc>
          <w:tcPr>
            <w:tcW w:w="1480" w:type="dxa"/>
            <w:tcBorders>
              <w:top w:val="nil"/>
              <w:left w:val="nil"/>
              <w:bottom w:val="single" w:sz="4" w:space="0" w:color="auto"/>
              <w:right w:val="single" w:sz="4" w:space="0" w:color="auto"/>
            </w:tcBorders>
            <w:shd w:val="clear" w:color="auto" w:fill="auto"/>
            <w:noWrap/>
            <w:vAlign w:val="center"/>
            <w:hideMark/>
          </w:tcPr>
          <w:p w14:paraId="3729FDAE" w14:textId="3EF02C1F"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3</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097</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706</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016 </w:t>
            </w:r>
          </w:p>
        </w:tc>
        <w:tc>
          <w:tcPr>
            <w:tcW w:w="1620" w:type="dxa"/>
            <w:tcBorders>
              <w:top w:val="nil"/>
              <w:left w:val="nil"/>
              <w:bottom w:val="single" w:sz="4" w:space="0" w:color="auto"/>
              <w:right w:val="single" w:sz="4" w:space="0" w:color="auto"/>
            </w:tcBorders>
            <w:shd w:val="clear" w:color="auto" w:fill="auto"/>
            <w:noWrap/>
            <w:vAlign w:val="center"/>
            <w:hideMark/>
          </w:tcPr>
          <w:p w14:paraId="60F5BC7F" w14:textId="61AA49B9"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30</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977</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060 </w:t>
            </w:r>
          </w:p>
        </w:tc>
      </w:tr>
      <w:tr w:rsidR="00436FE0" w:rsidRPr="00436FE0" w14:paraId="27543C7A" w14:textId="77777777" w:rsidTr="00436FE0">
        <w:trPr>
          <w:trHeight w:val="46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06C9295E"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92</w:t>
            </w:r>
          </w:p>
        </w:tc>
        <w:tc>
          <w:tcPr>
            <w:tcW w:w="879" w:type="dxa"/>
            <w:tcBorders>
              <w:top w:val="nil"/>
              <w:left w:val="nil"/>
              <w:bottom w:val="single" w:sz="4" w:space="0" w:color="auto"/>
              <w:right w:val="single" w:sz="4" w:space="0" w:color="auto"/>
            </w:tcBorders>
            <w:shd w:val="clear" w:color="auto" w:fill="auto"/>
            <w:noWrap/>
            <w:vAlign w:val="center"/>
            <w:hideMark/>
          </w:tcPr>
          <w:p w14:paraId="6E44BCB5"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804002825</w:t>
            </w:r>
          </w:p>
        </w:tc>
        <w:tc>
          <w:tcPr>
            <w:tcW w:w="4354" w:type="dxa"/>
            <w:tcBorders>
              <w:top w:val="nil"/>
              <w:left w:val="nil"/>
              <w:bottom w:val="single" w:sz="4" w:space="0" w:color="auto"/>
              <w:right w:val="single" w:sz="4" w:space="0" w:color="auto"/>
            </w:tcBorders>
            <w:shd w:val="clear" w:color="auto" w:fill="auto"/>
            <w:vAlign w:val="center"/>
            <w:hideMark/>
          </w:tcPr>
          <w:p w14:paraId="5E08697B" w14:textId="77777777" w:rsidR="00436FE0" w:rsidRPr="00436FE0" w:rsidRDefault="00436FE0" w:rsidP="00436FE0">
            <w:pPr>
              <w:jc w:val="lef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PROYECTOS DE INGENIERIA Y COMERCIALIZACION DE GAS S.A. ESP.</w:t>
            </w:r>
          </w:p>
        </w:tc>
        <w:tc>
          <w:tcPr>
            <w:tcW w:w="1480" w:type="dxa"/>
            <w:tcBorders>
              <w:top w:val="nil"/>
              <w:left w:val="nil"/>
              <w:bottom w:val="single" w:sz="4" w:space="0" w:color="auto"/>
              <w:right w:val="single" w:sz="4" w:space="0" w:color="auto"/>
            </w:tcBorders>
            <w:shd w:val="clear" w:color="auto" w:fill="auto"/>
            <w:noWrap/>
            <w:vAlign w:val="center"/>
            <w:hideMark/>
          </w:tcPr>
          <w:p w14:paraId="03C38C19" w14:textId="3B70234D"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509</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208</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624 </w:t>
            </w:r>
          </w:p>
        </w:tc>
        <w:tc>
          <w:tcPr>
            <w:tcW w:w="1620" w:type="dxa"/>
            <w:tcBorders>
              <w:top w:val="nil"/>
              <w:left w:val="nil"/>
              <w:bottom w:val="single" w:sz="4" w:space="0" w:color="auto"/>
              <w:right w:val="single" w:sz="4" w:space="0" w:color="auto"/>
            </w:tcBorders>
            <w:shd w:val="clear" w:color="auto" w:fill="auto"/>
            <w:noWrap/>
            <w:vAlign w:val="center"/>
            <w:hideMark/>
          </w:tcPr>
          <w:p w14:paraId="7FE24A95" w14:textId="4FCB9786"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5</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092</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086 </w:t>
            </w:r>
          </w:p>
        </w:tc>
      </w:tr>
      <w:tr w:rsidR="00436FE0" w:rsidRPr="00436FE0" w14:paraId="1A66361F" w14:textId="77777777" w:rsidTr="00436FE0">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65A0E205"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93</w:t>
            </w:r>
          </w:p>
        </w:tc>
        <w:tc>
          <w:tcPr>
            <w:tcW w:w="879" w:type="dxa"/>
            <w:tcBorders>
              <w:top w:val="nil"/>
              <w:left w:val="nil"/>
              <w:bottom w:val="single" w:sz="4" w:space="0" w:color="auto"/>
              <w:right w:val="single" w:sz="4" w:space="0" w:color="auto"/>
            </w:tcBorders>
            <w:shd w:val="clear" w:color="auto" w:fill="auto"/>
            <w:noWrap/>
            <w:vAlign w:val="center"/>
            <w:hideMark/>
          </w:tcPr>
          <w:p w14:paraId="680BC184"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900652188</w:t>
            </w:r>
          </w:p>
        </w:tc>
        <w:tc>
          <w:tcPr>
            <w:tcW w:w="4354" w:type="dxa"/>
            <w:tcBorders>
              <w:top w:val="nil"/>
              <w:left w:val="nil"/>
              <w:bottom w:val="single" w:sz="4" w:space="0" w:color="auto"/>
              <w:right w:val="single" w:sz="4" w:space="0" w:color="auto"/>
            </w:tcBorders>
            <w:shd w:val="clear" w:color="auto" w:fill="auto"/>
            <w:vAlign w:val="center"/>
            <w:hideMark/>
          </w:tcPr>
          <w:p w14:paraId="260BCDC8" w14:textId="77777777" w:rsidR="00436FE0" w:rsidRPr="00436FE0" w:rsidRDefault="00436FE0" w:rsidP="00436FE0">
            <w:pPr>
              <w:jc w:val="lef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REDEGAS DOMICILIARIO S. A.  ESP</w:t>
            </w:r>
          </w:p>
        </w:tc>
        <w:tc>
          <w:tcPr>
            <w:tcW w:w="1480" w:type="dxa"/>
            <w:tcBorders>
              <w:top w:val="nil"/>
              <w:left w:val="nil"/>
              <w:bottom w:val="single" w:sz="4" w:space="0" w:color="auto"/>
              <w:right w:val="single" w:sz="4" w:space="0" w:color="auto"/>
            </w:tcBorders>
            <w:shd w:val="clear" w:color="auto" w:fill="auto"/>
            <w:noWrap/>
            <w:vAlign w:val="center"/>
            <w:hideMark/>
          </w:tcPr>
          <w:p w14:paraId="2DE2298E" w14:textId="52BBCA63"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430</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140</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330 </w:t>
            </w:r>
          </w:p>
        </w:tc>
        <w:tc>
          <w:tcPr>
            <w:tcW w:w="1620" w:type="dxa"/>
            <w:tcBorders>
              <w:top w:val="nil"/>
              <w:left w:val="nil"/>
              <w:bottom w:val="single" w:sz="4" w:space="0" w:color="auto"/>
              <w:right w:val="single" w:sz="4" w:space="0" w:color="auto"/>
            </w:tcBorders>
            <w:shd w:val="clear" w:color="auto" w:fill="auto"/>
            <w:noWrap/>
            <w:vAlign w:val="center"/>
            <w:hideMark/>
          </w:tcPr>
          <w:p w14:paraId="5860F364" w14:textId="35CC98EB"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4</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301</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403 </w:t>
            </w:r>
          </w:p>
        </w:tc>
      </w:tr>
      <w:tr w:rsidR="00436FE0" w:rsidRPr="00436FE0" w14:paraId="2B1D0EA4" w14:textId="77777777" w:rsidTr="00436FE0">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5E37013A"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94</w:t>
            </w:r>
          </w:p>
        </w:tc>
        <w:tc>
          <w:tcPr>
            <w:tcW w:w="879" w:type="dxa"/>
            <w:tcBorders>
              <w:top w:val="nil"/>
              <w:left w:val="nil"/>
              <w:bottom w:val="single" w:sz="4" w:space="0" w:color="auto"/>
              <w:right w:val="single" w:sz="4" w:space="0" w:color="auto"/>
            </w:tcBorders>
            <w:shd w:val="clear" w:color="auto" w:fill="auto"/>
            <w:noWrap/>
            <w:vAlign w:val="center"/>
            <w:hideMark/>
          </w:tcPr>
          <w:p w14:paraId="7F36F039"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901042814</w:t>
            </w:r>
          </w:p>
        </w:tc>
        <w:tc>
          <w:tcPr>
            <w:tcW w:w="4354" w:type="dxa"/>
            <w:tcBorders>
              <w:top w:val="nil"/>
              <w:left w:val="nil"/>
              <w:bottom w:val="single" w:sz="4" w:space="0" w:color="auto"/>
              <w:right w:val="single" w:sz="4" w:space="0" w:color="auto"/>
            </w:tcBorders>
            <w:shd w:val="clear" w:color="auto" w:fill="auto"/>
            <w:vAlign w:val="center"/>
            <w:hideMark/>
          </w:tcPr>
          <w:p w14:paraId="79AAB8F5" w14:textId="77777777" w:rsidR="00436FE0" w:rsidRPr="00436FE0" w:rsidRDefault="00436FE0" w:rsidP="00436FE0">
            <w:pPr>
              <w:jc w:val="lef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REDNOVA SAS  ESP</w:t>
            </w:r>
          </w:p>
        </w:tc>
        <w:tc>
          <w:tcPr>
            <w:tcW w:w="1480" w:type="dxa"/>
            <w:tcBorders>
              <w:top w:val="nil"/>
              <w:left w:val="nil"/>
              <w:bottom w:val="single" w:sz="4" w:space="0" w:color="auto"/>
              <w:right w:val="single" w:sz="4" w:space="0" w:color="auto"/>
            </w:tcBorders>
            <w:shd w:val="clear" w:color="auto" w:fill="auto"/>
            <w:noWrap/>
            <w:vAlign w:val="center"/>
            <w:hideMark/>
          </w:tcPr>
          <w:p w14:paraId="258691C1" w14:textId="53D34F5C"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1</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857</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040</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212 </w:t>
            </w:r>
          </w:p>
        </w:tc>
        <w:tc>
          <w:tcPr>
            <w:tcW w:w="1620" w:type="dxa"/>
            <w:tcBorders>
              <w:top w:val="nil"/>
              <w:left w:val="nil"/>
              <w:bottom w:val="single" w:sz="4" w:space="0" w:color="auto"/>
              <w:right w:val="single" w:sz="4" w:space="0" w:color="auto"/>
            </w:tcBorders>
            <w:shd w:val="clear" w:color="auto" w:fill="auto"/>
            <w:noWrap/>
            <w:vAlign w:val="center"/>
            <w:hideMark/>
          </w:tcPr>
          <w:p w14:paraId="3692719B" w14:textId="1D4548E2"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18</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570</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402 </w:t>
            </w:r>
          </w:p>
        </w:tc>
      </w:tr>
      <w:tr w:rsidR="00436FE0" w:rsidRPr="00436FE0" w14:paraId="4C52BEE1" w14:textId="77777777" w:rsidTr="00436FE0">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14C7806C"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95</w:t>
            </w:r>
          </w:p>
        </w:tc>
        <w:tc>
          <w:tcPr>
            <w:tcW w:w="879" w:type="dxa"/>
            <w:tcBorders>
              <w:top w:val="nil"/>
              <w:left w:val="nil"/>
              <w:bottom w:val="single" w:sz="4" w:space="0" w:color="auto"/>
              <w:right w:val="single" w:sz="4" w:space="0" w:color="auto"/>
            </w:tcBorders>
            <w:shd w:val="clear" w:color="auto" w:fill="auto"/>
            <w:noWrap/>
            <w:vAlign w:val="center"/>
            <w:hideMark/>
          </w:tcPr>
          <w:p w14:paraId="449676B7"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813009626</w:t>
            </w:r>
          </w:p>
        </w:tc>
        <w:tc>
          <w:tcPr>
            <w:tcW w:w="4354" w:type="dxa"/>
            <w:tcBorders>
              <w:top w:val="nil"/>
              <w:left w:val="nil"/>
              <w:bottom w:val="single" w:sz="4" w:space="0" w:color="auto"/>
              <w:right w:val="single" w:sz="4" w:space="0" w:color="auto"/>
            </w:tcBorders>
            <w:shd w:val="clear" w:color="auto" w:fill="auto"/>
            <w:vAlign w:val="center"/>
            <w:hideMark/>
          </w:tcPr>
          <w:p w14:paraId="5B552F42" w14:textId="77777777" w:rsidR="00436FE0" w:rsidRPr="00436FE0" w:rsidRDefault="00436FE0" w:rsidP="00436FE0">
            <w:pPr>
              <w:jc w:val="lef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SERVICIOS PUBLICOS Y GAS S.A E.S.P.</w:t>
            </w:r>
          </w:p>
        </w:tc>
        <w:tc>
          <w:tcPr>
            <w:tcW w:w="1480" w:type="dxa"/>
            <w:tcBorders>
              <w:top w:val="nil"/>
              <w:left w:val="nil"/>
              <w:bottom w:val="single" w:sz="4" w:space="0" w:color="auto"/>
              <w:right w:val="single" w:sz="4" w:space="0" w:color="auto"/>
            </w:tcBorders>
            <w:shd w:val="clear" w:color="auto" w:fill="auto"/>
            <w:noWrap/>
            <w:vAlign w:val="center"/>
            <w:hideMark/>
          </w:tcPr>
          <w:p w14:paraId="6E02DC94" w14:textId="5FA0D16D"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145</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519</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727 </w:t>
            </w:r>
          </w:p>
        </w:tc>
        <w:tc>
          <w:tcPr>
            <w:tcW w:w="1620" w:type="dxa"/>
            <w:tcBorders>
              <w:top w:val="nil"/>
              <w:left w:val="nil"/>
              <w:bottom w:val="single" w:sz="4" w:space="0" w:color="auto"/>
              <w:right w:val="single" w:sz="4" w:space="0" w:color="auto"/>
            </w:tcBorders>
            <w:shd w:val="clear" w:color="auto" w:fill="auto"/>
            <w:noWrap/>
            <w:vAlign w:val="center"/>
            <w:hideMark/>
          </w:tcPr>
          <w:p w14:paraId="7ED4FF4A" w14:textId="554AC01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1</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455</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197 </w:t>
            </w:r>
          </w:p>
        </w:tc>
      </w:tr>
      <w:tr w:rsidR="00436FE0" w:rsidRPr="00436FE0" w14:paraId="1A1D6130" w14:textId="77777777" w:rsidTr="00436FE0">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1D71A777"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96</w:t>
            </w:r>
          </w:p>
        </w:tc>
        <w:tc>
          <w:tcPr>
            <w:tcW w:w="879" w:type="dxa"/>
            <w:tcBorders>
              <w:top w:val="nil"/>
              <w:left w:val="nil"/>
              <w:bottom w:val="single" w:sz="4" w:space="0" w:color="auto"/>
              <w:right w:val="single" w:sz="4" w:space="0" w:color="auto"/>
            </w:tcBorders>
            <w:shd w:val="clear" w:color="auto" w:fill="auto"/>
            <w:noWrap/>
            <w:vAlign w:val="center"/>
            <w:hideMark/>
          </w:tcPr>
          <w:p w14:paraId="2C323F06"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900108018</w:t>
            </w:r>
          </w:p>
        </w:tc>
        <w:tc>
          <w:tcPr>
            <w:tcW w:w="4354" w:type="dxa"/>
            <w:tcBorders>
              <w:top w:val="nil"/>
              <w:left w:val="nil"/>
              <w:bottom w:val="single" w:sz="4" w:space="0" w:color="auto"/>
              <w:right w:val="single" w:sz="4" w:space="0" w:color="auto"/>
            </w:tcBorders>
            <w:shd w:val="clear" w:color="auto" w:fill="auto"/>
            <w:vAlign w:val="center"/>
            <w:hideMark/>
          </w:tcPr>
          <w:p w14:paraId="1EA884E6" w14:textId="77777777" w:rsidR="00436FE0" w:rsidRPr="00436FE0" w:rsidRDefault="00436FE0" w:rsidP="00436FE0">
            <w:pPr>
              <w:jc w:val="lef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SHONA ENERGY COLOMBIA LIMITED</w:t>
            </w:r>
          </w:p>
        </w:tc>
        <w:tc>
          <w:tcPr>
            <w:tcW w:w="1480" w:type="dxa"/>
            <w:tcBorders>
              <w:top w:val="nil"/>
              <w:left w:val="nil"/>
              <w:bottom w:val="single" w:sz="4" w:space="0" w:color="auto"/>
              <w:right w:val="single" w:sz="4" w:space="0" w:color="auto"/>
            </w:tcBorders>
            <w:shd w:val="clear" w:color="auto" w:fill="auto"/>
            <w:noWrap/>
            <w:vAlign w:val="center"/>
            <w:hideMark/>
          </w:tcPr>
          <w:p w14:paraId="41FF3C7A" w14:textId="2D2393BC"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17</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268</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421</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751 </w:t>
            </w:r>
          </w:p>
        </w:tc>
        <w:tc>
          <w:tcPr>
            <w:tcW w:w="1620" w:type="dxa"/>
            <w:tcBorders>
              <w:top w:val="nil"/>
              <w:left w:val="nil"/>
              <w:bottom w:val="single" w:sz="4" w:space="0" w:color="auto"/>
              <w:right w:val="single" w:sz="4" w:space="0" w:color="auto"/>
            </w:tcBorders>
            <w:shd w:val="clear" w:color="auto" w:fill="auto"/>
            <w:noWrap/>
            <w:vAlign w:val="center"/>
            <w:hideMark/>
          </w:tcPr>
          <w:p w14:paraId="77BFF4C0" w14:textId="77C1AADE"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172</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684</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218 </w:t>
            </w:r>
          </w:p>
        </w:tc>
      </w:tr>
      <w:tr w:rsidR="00436FE0" w:rsidRPr="00436FE0" w14:paraId="5FBF3EFB" w14:textId="77777777" w:rsidTr="00436FE0">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74263697"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97</w:t>
            </w:r>
          </w:p>
        </w:tc>
        <w:tc>
          <w:tcPr>
            <w:tcW w:w="879" w:type="dxa"/>
            <w:tcBorders>
              <w:top w:val="nil"/>
              <w:left w:val="nil"/>
              <w:bottom w:val="single" w:sz="4" w:space="0" w:color="auto"/>
              <w:right w:val="single" w:sz="4" w:space="0" w:color="auto"/>
            </w:tcBorders>
            <w:shd w:val="clear" w:color="auto" w:fill="auto"/>
            <w:noWrap/>
            <w:vAlign w:val="center"/>
            <w:hideMark/>
          </w:tcPr>
          <w:p w14:paraId="79093BFC"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901008978</w:t>
            </w:r>
          </w:p>
        </w:tc>
        <w:tc>
          <w:tcPr>
            <w:tcW w:w="4354" w:type="dxa"/>
            <w:tcBorders>
              <w:top w:val="nil"/>
              <w:left w:val="nil"/>
              <w:bottom w:val="single" w:sz="4" w:space="0" w:color="auto"/>
              <w:right w:val="single" w:sz="4" w:space="0" w:color="auto"/>
            </w:tcBorders>
            <w:shd w:val="clear" w:color="auto" w:fill="auto"/>
            <w:vAlign w:val="center"/>
            <w:hideMark/>
          </w:tcPr>
          <w:p w14:paraId="724F1992" w14:textId="77777777" w:rsidR="00436FE0" w:rsidRPr="00436FE0" w:rsidRDefault="00436FE0" w:rsidP="00436FE0">
            <w:pPr>
              <w:jc w:val="lef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SIMER COLOMBIA SAS ESP</w:t>
            </w:r>
          </w:p>
        </w:tc>
        <w:tc>
          <w:tcPr>
            <w:tcW w:w="1480" w:type="dxa"/>
            <w:tcBorders>
              <w:top w:val="nil"/>
              <w:left w:val="nil"/>
              <w:bottom w:val="single" w:sz="4" w:space="0" w:color="auto"/>
              <w:right w:val="single" w:sz="4" w:space="0" w:color="auto"/>
            </w:tcBorders>
            <w:shd w:val="clear" w:color="auto" w:fill="auto"/>
            <w:noWrap/>
            <w:vAlign w:val="center"/>
            <w:hideMark/>
          </w:tcPr>
          <w:p w14:paraId="5F94ECF3" w14:textId="6CE2F3DE"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751</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207</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575 </w:t>
            </w:r>
          </w:p>
        </w:tc>
        <w:tc>
          <w:tcPr>
            <w:tcW w:w="1620" w:type="dxa"/>
            <w:tcBorders>
              <w:top w:val="nil"/>
              <w:left w:val="nil"/>
              <w:bottom w:val="single" w:sz="4" w:space="0" w:color="auto"/>
              <w:right w:val="single" w:sz="4" w:space="0" w:color="auto"/>
            </w:tcBorders>
            <w:shd w:val="clear" w:color="auto" w:fill="auto"/>
            <w:noWrap/>
            <w:vAlign w:val="center"/>
            <w:hideMark/>
          </w:tcPr>
          <w:p w14:paraId="6F530A4E" w14:textId="269FABD9"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7</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512</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076 </w:t>
            </w:r>
          </w:p>
        </w:tc>
      </w:tr>
      <w:tr w:rsidR="00436FE0" w:rsidRPr="00436FE0" w14:paraId="66E8D538" w14:textId="77777777" w:rsidTr="00436FE0">
        <w:trPr>
          <w:trHeight w:val="46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46E00BB5"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98</w:t>
            </w:r>
          </w:p>
        </w:tc>
        <w:tc>
          <w:tcPr>
            <w:tcW w:w="879" w:type="dxa"/>
            <w:tcBorders>
              <w:top w:val="nil"/>
              <w:left w:val="nil"/>
              <w:bottom w:val="single" w:sz="4" w:space="0" w:color="auto"/>
              <w:right w:val="single" w:sz="4" w:space="0" w:color="auto"/>
            </w:tcBorders>
            <w:shd w:val="clear" w:color="auto" w:fill="auto"/>
            <w:noWrap/>
            <w:vAlign w:val="center"/>
            <w:hideMark/>
          </w:tcPr>
          <w:p w14:paraId="1C2E0782"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830140206</w:t>
            </w:r>
          </w:p>
        </w:tc>
        <w:tc>
          <w:tcPr>
            <w:tcW w:w="4354" w:type="dxa"/>
            <w:tcBorders>
              <w:top w:val="nil"/>
              <w:left w:val="nil"/>
              <w:bottom w:val="single" w:sz="4" w:space="0" w:color="auto"/>
              <w:right w:val="single" w:sz="4" w:space="0" w:color="auto"/>
            </w:tcBorders>
            <w:shd w:val="clear" w:color="auto" w:fill="auto"/>
            <w:vAlign w:val="center"/>
            <w:hideMark/>
          </w:tcPr>
          <w:p w14:paraId="2CE2B728" w14:textId="77777777" w:rsidR="00436FE0" w:rsidRPr="00436FE0" w:rsidRDefault="00436FE0" w:rsidP="00436FE0">
            <w:pPr>
              <w:jc w:val="lef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SOCIEDAD DE UNIDAD EMPRESARIAL DE SERVICIOS PUBLICOS SA ESP</w:t>
            </w:r>
          </w:p>
        </w:tc>
        <w:tc>
          <w:tcPr>
            <w:tcW w:w="1480" w:type="dxa"/>
            <w:tcBorders>
              <w:top w:val="nil"/>
              <w:left w:val="nil"/>
              <w:bottom w:val="single" w:sz="4" w:space="0" w:color="auto"/>
              <w:right w:val="single" w:sz="4" w:space="0" w:color="auto"/>
            </w:tcBorders>
            <w:shd w:val="clear" w:color="auto" w:fill="auto"/>
            <w:noWrap/>
            <w:vAlign w:val="center"/>
            <w:hideMark/>
          </w:tcPr>
          <w:p w14:paraId="10994476" w14:textId="074D9566"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1</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361</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313</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888 </w:t>
            </w:r>
          </w:p>
        </w:tc>
        <w:tc>
          <w:tcPr>
            <w:tcW w:w="1620" w:type="dxa"/>
            <w:tcBorders>
              <w:top w:val="nil"/>
              <w:left w:val="nil"/>
              <w:bottom w:val="single" w:sz="4" w:space="0" w:color="auto"/>
              <w:right w:val="single" w:sz="4" w:space="0" w:color="auto"/>
            </w:tcBorders>
            <w:shd w:val="clear" w:color="auto" w:fill="auto"/>
            <w:noWrap/>
            <w:vAlign w:val="center"/>
            <w:hideMark/>
          </w:tcPr>
          <w:p w14:paraId="62E42EEB" w14:textId="0F11278E"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13</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613</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139 </w:t>
            </w:r>
          </w:p>
        </w:tc>
      </w:tr>
      <w:tr w:rsidR="00436FE0" w:rsidRPr="00436FE0" w14:paraId="49A0B967" w14:textId="77777777" w:rsidTr="00436FE0">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0D48BC1C"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99</w:t>
            </w:r>
          </w:p>
        </w:tc>
        <w:tc>
          <w:tcPr>
            <w:tcW w:w="879" w:type="dxa"/>
            <w:tcBorders>
              <w:top w:val="nil"/>
              <w:left w:val="nil"/>
              <w:bottom w:val="single" w:sz="4" w:space="0" w:color="auto"/>
              <w:right w:val="single" w:sz="4" w:space="0" w:color="auto"/>
            </w:tcBorders>
            <w:shd w:val="clear" w:color="auto" w:fill="auto"/>
            <w:noWrap/>
            <w:vAlign w:val="center"/>
            <w:hideMark/>
          </w:tcPr>
          <w:p w14:paraId="3A652DD4"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800033858</w:t>
            </w:r>
          </w:p>
        </w:tc>
        <w:tc>
          <w:tcPr>
            <w:tcW w:w="4354" w:type="dxa"/>
            <w:tcBorders>
              <w:top w:val="nil"/>
              <w:left w:val="nil"/>
              <w:bottom w:val="single" w:sz="4" w:space="0" w:color="auto"/>
              <w:right w:val="single" w:sz="4" w:space="0" w:color="auto"/>
            </w:tcBorders>
            <w:shd w:val="clear" w:color="auto" w:fill="auto"/>
            <w:vAlign w:val="center"/>
            <w:hideMark/>
          </w:tcPr>
          <w:p w14:paraId="569BE592" w14:textId="77777777" w:rsidR="00436FE0" w:rsidRPr="00436FE0" w:rsidRDefault="00436FE0" w:rsidP="00436FE0">
            <w:pPr>
              <w:jc w:val="lef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SOCIEDAD PORTUARIA EL CAYAO S.A E.S.P</w:t>
            </w:r>
          </w:p>
        </w:tc>
        <w:tc>
          <w:tcPr>
            <w:tcW w:w="1480" w:type="dxa"/>
            <w:tcBorders>
              <w:top w:val="nil"/>
              <w:left w:val="nil"/>
              <w:bottom w:val="single" w:sz="4" w:space="0" w:color="auto"/>
              <w:right w:val="single" w:sz="4" w:space="0" w:color="auto"/>
            </w:tcBorders>
            <w:shd w:val="clear" w:color="auto" w:fill="auto"/>
            <w:noWrap/>
            <w:vAlign w:val="center"/>
            <w:hideMark/>
          </w:tcPr>
          <w:p w14:paraId="35C2FDC9" w14:textId="5932261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10</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258</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749</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388 </w:t>
            </w:r>
          </w:p>
        </w:tc>
        <w:tc>
          <w:tcPr>
            <w:tcW w:w="1620" w:type="dxa"/>
            <w:tcBorders>
              <w:top w:val="nil"/>
              <w:left w:val="nil"/>
              <w:bottom w:val="single" w:sz="4" w:space="0" w:color="auto"/>
              <w:right w:val="single" w:sz="4" w:space="0" w:color="auto"/>
            </w:tcBorders>
            <w:shd w:val="clear" w:color="auto" w:fill="auto"/>
            <w:noWrap/>
            <w:vAlign w:val="center"/>
            <w:hideMark/>
          </w:tcPr>
          <w:p w14:paraId="148EE981" w14:textId="1464A735"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102</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587</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494 </w:t>
            </w:r>
          </w:p>
        </w:tc>
      </w:tr>
      <w:tr w:rsidR="00436FE0" w:rsidRPr="00436FE0" w14:paraId="339A7E9C" w14:textId="77777777" w:rsidTr="00436FE0">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35F57F75"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100</w:t>
            </w:r>
          </w:p>
        </w:tc>
        <w:tc>
          <w:tcPr>
            <w:tcW w:w="879" w:type="dxa"/>
            <w:tcBorders>
              <w:top w:val="nil"/>
              <w:left w:val="nil"/>
              <w:bottom w:val="single" w:sz="4" w:space="0" w:color="auto"/>
              <w:right w:val="single" w:sz="4" w:space="0" w:color="auto"/>
            </w:tcBorders>
            <w:shd w:val="clear" w:color="auto" w:fill="auto"/>
            <w:noWrap/>
            <w:vAlign w:val="center"/>
            <w:hideMark/>
          </w:tcPr>
          <w:p w14:paraId="26277995"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900403943</w:t>
            </w:r>
          </w:p>
        </w:tc>
        <w:tc>
          <w:tcPr>
            <w:tcW w:w="4354" w:type="dxa"/>
            <w:tcBorders>
              <w:top w:val="nil"/>
              <w:left w:val="nil"/>
              <w:bottom w:val="single" w:sz="4" w:space="0" w:color="auto"/>
              <w:right w:val="single" w:sz="4" w:space="0" w:color="auto"/>
            </w:tcBorders>
            <w:shd w:val="clear" w:color="auto" w:fill="auto"/>
            <w:vAlign w:val="center"/>
            <w:hideMark/>
          </w:tcPr>
          <w:p w14:paraId="537006F2" w14:textId="77777777" w:rsidR="00436FE0" w:rsidRPr="00D26825" w:rsidRDefault="00436FE0" w:rsidP="00436FE0">
            <w:pPr>
              <w:jc w:val="left"/>
              <w:rPr>
                <w:rFonts w:ascii="Arial Narrow" w:hAnsi="Arial Narrow" w:cs="Calibri"/>
                <w:color w:val="000000"/>
                <w:spacing w:val="0"/>
                <w:sz w:val="18"/>
                <w:szCs w:val="18"/>
                <w:lang w:val="en-US" w:eastAsia="es-CO"/>
              </w:rPr>
            </w:pPr>
            <w:r w:rsidRPr="00D26825">
              <w:rPr>
                <w:rFonts w:ascii="Arial Narrow" w:hAnsi="Arial Narrow" w:cs="Calibri"/>
                <w:color w:val="000000"/>
                <w:spacing w:val="0"/>
                <w:sz w:val="18"/>
                <w:szCs w:val="18"/>
                <w:lang w:val="en-US" w:eastAsia="es-CO"/>
              </w:rPr>
              <w:t>SOUTH32 ENERGY S.A.S. E.S.P.</w:t>
            </w:r>
          </w:p>
        </w:tc>
        <w:tc>
          <w:tcPr>
            <w:tcW w:w="1480" w:type="dxa"/>
            <w:tcBorders>
              <w:top w:val="nil"/>
              <w:left w:val="nil"/>
              <w:bottom w:val="single" w:sz="4" w:space="0" w:color="auto"/>
              <w:right w:val="single" w:sz="4" w:space="0" w:color="auto"/>
            </w:tcBorders>
            <w:shd w:val="clear" w:color="auto" w:fill="auto"/>
            <w:noWrap/>
            <w:vAlign w:val="center"/>
            <w:hideMark/>
          </w:tcPr>
          <w:p w14:paraId="0BC74623" w14:textId="0B18CA09" w:rsidR="00436FE0" w:rsidRPr="00436FE0" w:rsidRDefault="00436FE0" w:rsidP="00436FE0">
            <w:pPr>
              <w:jc w:val="right"/>
              <w:rPr>
                <w:rFonts w:ascii="Arial Narrow" w:hAnsi="Arial Narrow" w:cs="Calibri"/>
                <w:color w:val="000000"/>
                <w:spacing w:val="0"/>
                <w:sz w:val="18"/>
                <w:szCs w:val="18"/>
                <w:lang w:eastAsia="es-CO"/>
              </w:rPr>
            </w:pPr>
            <w:r w:rsidRPr="00D26825">
              <w:rPr>
                <w:rFonts w:ascii="Arial Narrow" w:hAnsi="Arial Narrow" w:cs="Calibri"/>
                <w:color w:val="000000"/>
                <w:spacing w:val="0"/>
                <w:sz w:val="18"/>
                <w:szCs w:val="18"/>
                <w:lang w:val="en-US" w:eastAsia="es-CO"/>
              </w:rPr>
              <w:t xml:space="preserve">            </w:t>
            </w:r>
            <w:r w:rsidRPr="00436FE0">
              <w:rPr>
                <w:rFonts w:ascii="Arial Narrow" w:hAnsi="Arial Narrow" w:cs="Calibri"/>
                <w:color w:val="000000"/>
                <w:spacing w:val="0"/>
                <w:sz w:val="18"/>
                <w:szCs w:val="18"/>
                <w:lang w:eastAsia="es-CO"/>
              </w:rPr>
              <w:t>341</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429</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000 </w:t>
            </w:r>
          </w:p>
        </w:tc>
        <w:tc>
          <w:tcPr>
            <w:tcW w:w="1620" w:type="dxa"/>
            <w:tcBorders>
              <w:top w:val="nil"/>
              <w:left w:val="nil"/>
              <w:bottom w:val="single" w:sz="4" w:space="0" w:color="auto"/>
              <w:right w:val="single" w:sz="4" w:space="0" w:color="auto"/>
            </w:tcBorders>
            <w:shd w:val="clear" w:color="auto" w:fill="auto"/>
            <w:noWrap/>
            <w:vAlign w:val="center"/>
            <w:hideMark/>
          </w:tcPr>
          <w:p w14:paraId="76DA667B" w14:textId="3F6D3F65"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3</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414</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290 </w:t>
            </w:r>
          </w:p>
        </w:tc>
      </w:tr>
      <w:tr w:rsidR="00436FE0" w:rsidRPr="00436FE0" w14:paraId="0F40DDAC" w14:textId="77777777" w:rsidTr="00436FE0">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48F7FF50"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101</w:t>
            </w:r>
          </w:p>
        </w:tc>
        <w:tc>
          <w:tcPr>
            <w:tcW w:w="879" w:type="dxa"/>
            <w:tcBorders>
              <w:top w:val="nil"/>
              <w:left w:val="nil"/>
              <w:bottom w:val="single" w:sz="4" w:space="0" w:color="auto"/>
              <w:right w:val="single" w:sz="4" w:space="0" w:color="auto"/>
            </w:tcBorders>
            <w:shd w:val="clear" w:color="auto" w:fill="auto"/>
            <w:noWrap/>
            <w:vAlign w:val="center"/>
            <w:hideMark/>
          </w:tcPr>
          <w:p w14:paraId="6D0A7554"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830510717</w:t>
            </w:r>
          </w:p>
        </w:tc>
        <w:tc>
          <w:tcPr>
            <w:tcW w:w="4354" w:type="dxa"/>
            <w:tcBorders>
              <w:top w:val="nil"/>
              <w:left w:val="nil"/>
              <w:bottom w:val="single" w:sz="4" w:space="0" w:color="auto"/>
              <w:right w:val="single" w:sz="4" w:space="0" w:color="auto"/>
            </w:tcBorders>
            <w:shd w:val="clear" w:color="auto" w:fill="auto"/>
            <w:vAlign w:val="center"/>
            <w:hideMark/>
          </w:tcPr>
          <w:p w14:paraId="45440C7B" w14:textId="77777777" w:rsidR="00436FE0" w:rsidRPr="00436FE0" w:rsidRDefault="00436FE0" w:rsidP="00436FE0">
            <w:pPr>
              <w:jc w:val="lef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SURCOLOMBIANA DE GAS S.A E.S.P</w:t>
            </w:r>
          </w:p>
        </w:tc>
        <w:tc>
          <w:tcPr>
            <w:tcW w:w="1480" w:type="dxa"/>
            <w:tcBorders>
              <w:top w:val="nil"/>
              <w:left w:val="nil"/>
              <w:bottom w:val="single" w:sz="4" w:space="0" w:color="auto"/>
              <w:right w:val="single" w:sz="4" w:space="0" w:color="auto"/>
            </w:tcBorders>
            <w:shd w:val="clear" w:color="auto" w:fill="auto"/>
            <w:noWrap/>
            <w:vAlign w:val="center"/>
            <w:hideMark/>
          </w:tcPr>
          <w:p w14:paraId="5E9F92FD" w14:textId="6B27FFCE"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2</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335</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373</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495 </w:t>
            </w:r>
          </w:p>
        </w:tc>
        <w:tc>
          <w:tcPr>
            <w:tcW w:w="1620" w:type="dxa"/>
            <w:tcBorders>
              <w:top w:val="nil"/>
              <w:left w:val="nil"/>
              <w:bottom w:val="single" w:sz="4" w:space="0" w:color="auto"/>
              <w:right w:val="single" w:sz="4" w:space="0" w:color="auto"/>
            </w:tcBorders>
            <w:shd w:val="clear" w:color="auto" w:fill="auto"/>
            <w:noWrap/>
            <w:vAlign w:val="center"/>
            <w:hideMark/>
          </w:tcPr>
          <w:p w14:paraId="2AD6D89E" w14:textId="3E30C730"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23</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353</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735 </w:t>
            </w:r>
          </w:p>
        </w:tc>
      </w:tr>
      <w:tr w:rsidR="00436FE0" w:rsidRPr="00436FE0" w14:paraId="4AEE4001" w14:textId="77777777" w:rsidTr="00436FE0">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4684D2C5"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102</w:t>
            </w:r>
          </w:p>
        </w:tc>
        <w:tc>
          <w:tcPr>
            <w:tcW w:w="879" w:type="dxa"/>
            <w:tcBorders>
              <w:top w:val="nil"/>
              <w:left w:val="nil"/>
              <w:bottom w:val="single" w:sz="4" w:space="0" w:color="auto"/>
              <w:right w:val="single" w:sz="4" w:space="0" w:color="auto"/>
            </w:tcBorders>
            <w:shd w:val="clear" w:color="auto" w:fill="auto"/>
            <w:noWrap/>
            <w:vAlign w:val="center"/>
            <w:hideMark/>
          </w:tcPr>
          <w:p w14:paraId="7096ADC0"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900466858</w:t>
            </w:r>
          </w:p>
        </w:tc>
        <w:tc>
          <w:tcPr>
            <w:tcW w:w="4354" w:type="dxa"/>
            <w:tcBorders>
              <w:top w:val="nil"/>
              <w:left w:val="nil"/>
              <w:bottom w:val="single" w:sz="4" w:space="0" w:color="auto"/>
              <w:right w:val="single" w:sz="4" w:space="0" w:color="auto"/>
            </w:tcBorders>
            <w:shd w:val="clear" w:color="auto" w:fill="auto"/>
            <w:vAlign w:val="center"/>
            <w:hideMark/>
          </w:tcPr>
          <w:p w14:paraId="5F9484F3" w14:textId="77777777" w:rsidR="00436FE0" w:rsidRPr="00436FE0" w:rsidRDefault="00436FE0" w:rsidP="00436FE0">
            <w:pPr>
              <w:jc w:val="lef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SURENERGY SAS ESP</w:t>
            </w:r>
          </w:p>
        </w:tc>
        <w:tc>
          <w:tcPr>
            <w:tcW w:w="1480" w:type="dxa"/>
            <w:tcBorders>
              <w:top w:val="nil"/>
              <w:left w:val="nil"/>
              <w:bottom w:val="single" w:sz="4" w:space="0" w:color="auto"/>
              <w:right w:val="single" w:sz="4" w:space="0" w:color="auto"/>
            </w:tcBorders>
            <w:shd w:val="clear" w:color="auto" w:fill="auto"/>
            <w:noWrap/>
            <w:vAlign w:val="center"/>
            <w:hideMark/>
          </w:tcPr>
          <w:p w14:paraId="5FBD5530" w14:textId="61AFEA85"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1</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772</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003</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825 </w:t>
            </w:r>
          </w:p>
        </w:tc>
        <w:tc>
          <w:tcPr>
            <w:tcW w:w="1620" w:type="dxa"/>
            <w:tcBorders>
              <w:top w:val="nil"/>
              <w:left w:val="nil"/>
              <w:bottom w:val="single" w:sz="4" w:space="0" w:color="auto"/>
              <w:right w:val="single" w:sz="4" w:space="0" w:color="auto"/>
            </w:tcBorders>
            <w:shd w:val="clear" w:color="auto" w:fill="auto"/>
            <w:noWrap/>
            <w:vAlign w:val="center"/>
            <w:hideMark/>
          </w:tcPr>
          <w:p w14:paraId="7D79F663" w14:textId="06F75495"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17</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720</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038 </w:t>
            </w:r>
          </w:p>
        </w:tc>
      </w:tr>
      <w:tr w:rsidR="00436FE0" w:rsidRPr="00436FE0" w14:paraId="2504EBC2" w14:textId="77777777" w:rsidTr="00436FE0">
        <w:trPr>
          <w:trHeight w:val="46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311A52F0"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103</w:t>
            </w:r>
          </w:p>
        </w:tc>
        <w:tc>
          <w:tcPr>
            <w:tcW w:w="879" w:type="dxa"/>
            <w:tcBorders>
              <w:top w:val="nil"/>
              <w:left w:val="nil"/>
              <w:bottom w:val="single" w:sz="4" w:space="0" w:color="auto"/>
              <w:right w:val="single" w:sz="4" w:space="0" w:color="auto"/>
            </w:tcBorders>
            <w:shd w:val="clear" w:color="auto" w:fill="auto"/>
            <w:noWrap/>
            <w:vAlign w:val="center"/>
            <w:hideMark/>
          </w:tcPr>
          <w:p w14:paraId="59EC7C3B"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890400869</w:t>
            </w:r>
          </w:p>
        </w:tc>
        <w:tc>
          <w:tcPr>
            <w:tcW w:w="4354" w:type="dxa"/>
            <w:tcBorders>
              <w:top w:val="nil"/>
              <w:left w:val="nil"/>
              <w:bottom w:val="single" w:sz="4" w:space="0" w:color="auto"/>
              <w:right w:val="single" w:sz="4" w:space="0" w:color="auto"/>
            </w:tcBorders>
            <w:shd w:val="clear" w:color="auto" w:fill="auto"/>
            <w:vAlign w:val="center"/>
            <w:hideMark/>
          </w:tcPr>
          <w:p w14:paraId="6066C25E" w14:textId="77777777" w:rsidR="00436FE0" w:rsidRPr="00436FE0" w:rsidRDefault="00436FE0" w:rsidP="00436FE0">
            <w:pPr>
              <w:jc w:val="lef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SURTIDORA DE GAS DEL CARIBE S.A. EMPRESA DE SERVICIOS PUBLICOS </w:t>
            </w:r>
          </w:p>
        </w:tc>
        <w:tc>
          <w:tcPr>
            <w:tcW w:w="1480" w:type="dxa"/>
            <w:tcBorders>
              <w:top w:val="nil"/>
              <w:left w:val="nil"/>
              <w:bottom w:val="single" w:sz="4" w:space="0" w:color="auto"/>
              <w:right w:val="single" w:sz="4" w:space="0" w:color="auto"/>
            </w:tcBorders>
            <w:shd w:val="clear" w:color="auto" w:fill="auto"/>
            <w:noWrap/>
            <w:vAlign w:val="center"/>
            <w:hideMark/>
          </w:tcPr>
          <w:p w14:paraId="613B6F4E" w14:textId="5073B3BD"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30</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250</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851</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687 </w:t>
            </w:r>
          </w:p>
        </w:tc>
        <w:tc>
          <w:tcPr>
            <w:tcW w:w="1620" w:type="dxa"/>
            <w:tcBorders>
              <w:top w:val="nil"/>
              <w:left w:val="nil"/>
              <w:bottom w:val="single" w:sz="4" w:space="0" w:color="auto"/>
              <w:right w:val="single" w:sz="4" w:space="0" w:color="auto"/>
            </w:tcBorders>
            <w:shd w:val="clear" w:color="auto" w:fill="auto"/>
            <w:noWrap/>
            <w:vAlign w:val="center"/>
            <w:hideMark/>
          </w:tcPr>
          <w:p w14:paraId="4029F766" w14:textId="7D399EA5"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302</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508</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517 </w:t>
            </w:r>
          </w:p>
        </w:tc>
      </w:tr>
      <w:tr w:rsidR="00436FE0" w:rsidRPr="00436FE0" w14:paraId="738EA02E" w14:textId="77777777" w:rsidTr="00436FE0">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48D533F0"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104</w:t>
            </w:r>
          </w:p>
        </w:tc>
        <w:tc>
          <w:tcPr>
            <w:tcW w:w="879" w:type="dxa"/>
            <w:tcBorders>
              <w:top w:val="nil"/>
              <w:left w:val="nil"/>
              <w:bottom w:val="single" w:sz="4" w:space="0" w:color="auto"/>
              <w:right w:val="single" w:sz="4" w:space="0" w:color="auto"/>
            </w:tcBorders>
            <w:shd w:val="clear" w:color="auto" w:fill="auto"/>
            <w:noWrap/>
            <w:vAlign w:val="center"/>
            <w:hideMark/>
          </w:tcPr>
          <w:p w14:paraId="36365C73"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900637368</w:t>
            </w:r>
          </w:p>
        </w:tc>
        <w:tc>
          <w:tcPr>
            <w:tcW w:w="4354" w:type="dxa"/>
            <w:tcBorders>
              <w:top w:val="nil"/>
              <w:left w:val="nil"/>
              <w:bottom w:val="single" w:sz="4" w:space="0" w:color="auto"/>
              <w:right w:val="single" w:sz="4" w:space="0" w:color="auto"/>
            </w:tcBorders>
            <w:shd w:val="clear" w:color="auto" w:fill="auto"/>
            <w:vAlign w:val="center"/>
            <w:hideMark/>
          </w:tcPr>
          <w:p w14:paraId="5E856E95" w14:textId="77777777" w:rsidR="00436FE0" w:rsidRPr="00436FE0" w:rsidRDefault="00436FE0" w:rsidP="00436FE0">
            <w:pPr>
              <w:jc w:val="lef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TERMO MECHERO MORRO SAS ESP</w:t>
            </w:r>
          </w:p>
        </w:tc>
        <w:tc>
          <w:tcPr>
            <w:tcW w:w="1480" w:type="dxa"/>
            <w:tcBorders>
              <w:top w:val="nil"/>
              <w:left w:val="nil"/>
              <w:bottom w:val="single" w:sz="4" w:space="0" w:color="auto"/>
              <w:right w:val="single" w:sz="4" w:space="0" w:color="auto"/>
            </w:tcBorders>
            <w:shd w:val="clear" w:color="auto" w:fill="auto"/>
            <w:noWrap/>
            <w:vAlign w:val="center"/>
            <w:hideMark/>
          </w:tcPr>
          <w:p w14:paraId="3FF03CEB" w14:textId="4D1B3639"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419</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227 </w:t>
            </w:r>
          </w:p>
        </w:tc>
        <w:tc>
          <w:tcPr>
            <w:tcW w:w="1620" w:type="dxa"/>
            <w:tcBorders>
              <w:top w:val="nil"/>
              <w:left w:val="nil"/>
              <w:bottom w:val="single" w:sz="4" w:space="0" w:color="auto"/>
              <w:right w:val="single" w:sz="4" w:space="0" w:color="auto"/>
            </w:tcBorders>
            <w:shd w:val="clear" w:color="auto" w:fill="auto"/>
            <w:noWrap/>
            <w:vAlign w:val="center"/>
            <w:hideMark/>
          </w:tcPr>
          <w:p w14:paraId="7E5DE7B2" w14:textId="0A7620F9"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4</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192 </w:t>
            </w:r>
          </w:p>
        </w:tc>
      </w:tr>
      <w:tr w:rsidR="00436FE0" w:rsidRPr="00436FE0" w14:paraId="13E6EB41" w14:textId="77777777" w:rsidTr="00436FE0">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41A4031D"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105</w:t>
            </w:r>
          </w:p>
        </w:tc>
        <w:tc>
          <w:tcPr>
            <w:tcW w:w="879" w:type="dxa"/>
            <w:tcBorders>
              <w:top w:val="nil"/>
              <w:left w:val="nil"/>
              <w:bottom w:val="single" w:sz="4" w:space="0" w:color="auto"/>
              <w:right w:val="single" w:sz="4" w:space="0" w:color="auto"/>
            </w:tcBorders>
            <w:shd w:val="clear" w:color="auto" w:fill="auto"/>
            <w:noWrap/>
            <w:vAlign w:val="center"/>
            <w:hideMark/>
          </w:tcPr>
          <w:p w14:paraId="4C1859DC"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800245746</w:t>
            </w:r>
          </w:p>
        </w:tc>
        <w:tc>
          <w:tcPr>
            <w:tcW w:w="4354" w:type="dxa"/>
            <w:tcBorders>
              <w:top w:val="nil"/>
              <w:left w:val="nil"/>
              <w:bottom w:val="single" w:sz="4" w:space="0" w:color="auto"/>
              <w:right w:val="single" w:sz="4" w:space="0" w:color="auto"/>
            </w:tcBorders>
            <w:shd w:val="clear" w:color="auto" w:fill="auto"/>
            <w:vAlign w:val="center"/>
            <w:hideMark/>
          </w:tcPr>
          <w:p w14:paraId="5D3C1D18" w14:textId="77777777" w:rsidR="00436FE0" w:rsidRPr="00436FE0" w:rsidRDefault="00436FE0" w:rsidP="00436FE0">
            <w:pPr>
              <w:jc w:val="lef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TERMOBARRANQUILLA S.A. E.S.P.</w:t>
            </w:r>
          </w:p>
        </w:tc>
        <w:tc>
          <w:tcPr>
            <w:tcW w:w="1480" w:type="dxa"/>
            <w:tcBorders>
              <w:top w:val="nil"/>
              <w:left w:val="nil"/>
              <w:bottom w:val="single" w:sz="4" w:space="0" w:color="auto"/>
              <w:right w:val="single" w:sz="4" w:space="0" w:color="auto"/>
            </w:tcBorders>
            <w:shd w:val="clear" w:color="auto" w:fill="auto"/>
            <w:noWrap/>
            <w:vAlign w:val="center"/>
            <w:hideMark/>
          </w:tcPr>
          <w:p w14:paraId="66350931" w14:textId="63E13D76"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77</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131</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668 </w:t>
            </w:r>
          </w:p>
        </w:tc>
        <w:tc>
          <w:tcPr>
            <w:tcW w:w="1620" w:type="dxa"/>
            <w:tcBorders>
              <w:top w:val="nil"/>
              <w:left w:val="nil"/>
              <w:bottom w:val="single" w:sz="4" w:space="0" w:color="auto"/>
              <w:right w:val="single" w:sz="4" w:space="0" w:color="auto"/>
            </w:tcBorders>
            <w:shd w:val="clear" w:color="auto" w:fill="auto"/>
            <w:noWrap/>
            <w:vAlign w:val="center"/>
            <w:hideMark/>
          </w:tcPr>
          <w:p w14:paraId="1BAE9716" w14:textId="3759B28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771</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317 </w:t>
            </w:r>
          </w:p>
        </w:tc>
      </w:tr>
      <w:tr w:rsidR="00436FE0" w:rsidRPr="00436FE0" w14:paraId="01600091" w14:textId="77777777" w:rsidTr="00436FE0">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1CDBE24D"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106</w:t>
            </w:r>
          </w:p>
        </w:tc>
        <w:tc>
          <w:tcPr>
            <w:tcW w:w="879" w:type="dxa"/>
            <w:tcBorders>
              <w:top w:val="nil"/>
              <w:left w:val="nil"/>
              <w:bottom w:val="single" w:sz="4" w:space="0" w:color="auto"/>
              <w:right w:val="single" w:sz="4" w:space="0" w:color="auto"/>
            </w:tcBorders>
            <w:shd w:val="clear" w:color="auto" w:fill="auto"/>
            <w:noWrap/>
            <w:vAlign w:val="center"/>
            <w:hideMark/>
          </w:tcPr>
          <w:p w14:paraId="3A85549A"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900433032</w:t>
            </w:r>
          </w:p>
        </w:tc>
        <w:tc>
          <w:tcPr>
            <w:tcW w:w="4354" w:type="dxa"/>
            <w:tcBorders>
              <w:top w:val="nil"/>
              <w:left w:val="nil"/>
              <w:bottom w:val="single" w:sz="4" w:space="0" w:color="auto"/>
              <w:right w:val="single" w:sz="4" w:space="0" w:color="auto"/>
            </w:tcBorders>
            <w:shd w:val="clear" w:color="auto" w:fill="auto"/>
            <w:vAlign w:val="center"/>
            <w:hideMark/>
          </w:tcPr>
          <w:p w14:paraId="280B6D5E" w14:textId="77777777" w:rsidR="00436FE0" w:rsidRPr="00436FE0" w:rsidRDefault="00436FE0" w:rsidP="00436FE0">
            <w:pPr>
              <w:jc w:val="lef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TERPEL ENERGIA S.A.S E.S.P</w:t>
            </w:r>
          </w:p>
        </w:tc>
        <w:tc>
          <w:tcPr>
            <w:tcW w:w="1480" w:type="dxa"/>
            <w:tcBorders>
              <w:top w:val="nil"/>
              <w:left w:val="nil"/>
              <w:bottom w:val="single" w:sz="4" w:space="0" w:color="auto"/>
              <w:right w:val="single" w:sz="4" w:space="0" w:color="auto"/>
            </w:tcBorders>
            <w:shd w:val="clear" w:color="auto" w:fill="auto"/>
            <w:noWrap/>
            <w:vAlign w:val="center"/>
            <w:hideMark/>
          </w:tcPr>
          <w:p w14:paraId="596F6552" w14:textId="3D5A70F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465</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846</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000 </w:t>
            </w:r>
          </w:p>
        </w:tc>
        <w:tc>
          <w:tcPr>
            <w:tcW w:w="1620" w:type="dxa"/>
            <w:tcBorders>
              <w:top w:val="nil"/>
              <w:left w:val="nil"/>
              <w:bottom w:val="single" w:sz="4" w:space="0" w:color="auto"/>
              <w:right w:val="single" w:sz="4" w:space="0" w:color="auto"/>
            </w:tcBorders>
            <w:shd w:val="clear" w:color="auto" w:fill="auto"/>
            <w:noWrap/>
            <w:vAlign w:val="center"/>
            <w:hideMark/>
          </w:tcPr>
          <w:p w14:paraId="218EE125" w14:textId="21000DCB"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4</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658</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460 </w:t>
            </w:r>
          </w:p>
        </w:tc>
      </w:tr>
      <w:tr w:rsidR="00436FE0" w:rsidRPr="00436FE0" w14:paraId="379B0ADF" w14:textId="77777777" w:rsidTr="00436FE0">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5B027006"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107</w:t>
            </w:r>
          </w:p>
        </w:tc>
        <w:tc>
          <w:tcPr>
            <w:tcW w:w="879" w:type="dxa"/>
            <w:tcBorders>
              <w:top w:val="nil"/>
              <w:left w:val="nil"/>
              <w:bottom w:val="single" w:sz="4" w:space="0" w:color="auto"/>
              <w:right w:val="single" w:sz="4" w:space="0" w:color="auto"/>
            </w:tcBorders>
            <w:shd w:val="clear" w:color="auto" w:fill="auto"/>
            <w:noWrap/>
            <w:vAlign w:val="center"/>
            <w:hideMark/>
          </w:tcPr>
          <w:p w14:paraId="07907C9D"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805010599</w:t>
            </w:r>
          </w:p>
        </w:tc>
        <w:tc>
          <w:tcPr>
            <w:tcW w:w="4354" w:type="dxa"/>
            <w:tcBorders>
              <w:top w:val="nil"/>
              <w:left w:val="nil"/>
              <w:bottom w:val="single" w:sz="4" w:space="0" w:color="auto"/>
              <w:right w:val="single" w:sz="4" w:space="0" w:color="auto"/>
            </w:tcBorders>
            <w:shd w:val="clear" w:color="auto" w:fill="auto"/>
            <w:vAlign w:val="center"/>
            <w:hideMark/>
          </w:tcPr>
          <w:p w14:paraId="4D09373A" w14:textId="77777777" w:rsidR="00436FE0" w:rsidRPr="00436FE0" w:rsidRDefault="00436FE0" w:rsidP="00436FE0">
            <w:pPr>
              <w:jc w:val="lef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TRANSOCCIDENTE S.A . E.S.P.</w:t>
            </w:r>
          </w:p>
        </w:tc>
        <w:tc>
          <w:tcPr>
            <w:tcW w:w="1480" w:type="dxa"/>
            <w:tcBorders>
              <w:top w:val="nil"/>
              <w:left w:val="nil"/>
              <w:bottom w:val="single" w:sz="4" w:space="0" w:color="auto"/>
              <w:right w:val="single" w:sz="4" w:space="0" w:color="auto"/>
            </w:tcBorders>
            <w:shd w:val="clear" w:color="auto" w:fill="auto"/>
            <w:noWrap/>
            <w:vAlign w:val="center"/>
            <w:hideMark/>
          </w:tcPr>
          <w:p w14:paraId="75987BA4" w14:textId="07B34DCB"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1</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295</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020</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414 </w:t>
            </w:r>
          </w:p>
        </w:tc>
        <w:tc>
          <w:tcPr>
            <w:tcW w:w="1620" w:type="dxa"/>
            <w:tcBorders>
              <w:top w:val="nil"/>
              <w:left w:val="nil"/>
              <w:bottom w:val="single" w:sz="4" w:space="0" w:color="auto"/>
              <w:right w:val="single" w:sz="4" w:space="0" w:color="auto"/>
            </w:tcBorders>
            <w:shd w:val="clear" w:color="auto" w:fill="auto"/>
            <w:noWrap/>
            <w:vAlign w:val="center"/>
            <w:hideMark/>
          </w:tcPr>
          <w:p w14:paraId="75CC3F08" w14:textId="5D9922C2"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12</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950</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204 </w:t>
            </w:r>
          </w:p>
        </w:tc>
      </w:tr>
      <w:tr w:rsidR="00436FE0" w:rsidRPr="00436FE0" w14:paraId="00FF06C3" w14:textId="77777777" w:rsidTr="00436FE0">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51FCD551"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108</w:t>
            </w:r>
          </w:p>
        </w:tc>
        <w:tc>
          <w:tcPr>
            <w:tcW w:w="879" w:type="dxa"/>
            <w:tcBorders>
              <w:top w:val="nil"/>
              <w:left w:val="nil"/>
              <w:bottom w:val="single" w:sz="4" w:space="0" w:color="auto"/>
              <w:right w:val="single" w:sz="4" w:space="0" w:color="auto"/>
            </w:tcBorders>
            <w:shd w:val="clear" w:color="auto" w:fill="auto"/>
            <w:noWrap/>
            <w:vAlign w:val="center"/>
            <w:hideMark/>
          </w:tcPr>
          <w:p w14:paraId="6B906921"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900134459</w:t>
            </w:r>
          </w:p>
        </w:tc>
        <w:tc>
          <w:tcPr>
            <w:tcW w:w="4354" w:type="dxa"/>
            <w:tcBorders>
              <w:top w:val="nil"/>
              <w:left w:val="nil"/>
              <w:bottom w:val="single" w:sz="4" w:space="0" w:color="auto"/>
              <w:right w:val="single" w:sz="4" w:space="0" w:color="auto"/>
            </w:tcBorders>
            <w:shd w:val="clear" w:color="auto" w:fill="auto"/>
            <w:vAlign w:val="center"/>
            <w:hideMark/>
          </w:tcPr>
          <w:p w14:paraId="1E1DF5A0" w14:textId="77777777" w:rsidR="00436FE0" w:rsidRPr="00436FE0" w:rsidRDefault="00436FE0" w:rsidP="00436FE0">
            <w:pPr>
              <w:jc w:val="lef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TRANSPORTADORA DE GAS INTERNACIONAL S.A. E.S.P.</w:t>
            </w:r>
          </w:p>
        </w:tc>
        <w:tc>
          <w:tcPr>
            <w:tcW w:w="1480" w:type="dxa"/>
            <w:tcBorders>
              <w:top w:val="nil"/>
              <w:left w:val="nil"/>
              <w:bottom w:val="single" w:sz="4" w:space="0" w:color="auto"/>
              <w:right w:val="single" w:sz="4" w:space="0" w:color="auto"/>
            </w:tcBorders>
            <w:shd w:val="clear" w:color="auto" w:fill="auto"/>
            <w:noWrap/>
            <w:vAlign w:val="center"/>
            <w:hideMark/>
          </w:tcPr>
          <w:p w14:paraId="7E64BE7B" w14:textId="24A4C3BB"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84</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121</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420</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804 </w:t>
            </w:r>
          </w:p>
        </w:tc>
        <w:tc>
          <w:tcPr>
            <w:tcW w:w="1620" w:type="dxa"/>
            <w:tcBorders>
              <w:top w:val="nil"/>
              <w:left w:val="nil"/>
              <w:bottom w:val="single" w:sz="4" w:space="0" w:color="auto"/>
              <w:right w:val="single" w:sz="4" w:space="0" w:color="auto"/>
            </w:tcBorders>
            <w:shd w:val="clear" w:color="auto" w:fill="auto"/>
            <w:noWrap/>
            <w:vAlign w:val="center"/>
            <w:hideMark/>
          </w:tcPr>
          <w:p w14:paraId="79EC8032" w14:textId="2D2026C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841</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214</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208 </w:t>
            </w:r>
          </w:p>
        </w:tc>
      </w:tr>
      <w:tr w:rsidR="00436FE0" w:rsidRPr="00436FE0" w14:paraId="1C528E1F" w14:textId="77777777" w:rsidTr="00436FE0">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52B31F69"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109</w:t>
            </w:r>
          </w:p>
        </w:tc>
        <w:tc>
          <w:tcPr>
            <w:tcW w:w="879" w:type="dxa"/>
            <w:tcBorders>
              <w:top w:val="nil"/>
              <w:left w:val="nil"/>
              <w:bottom w:val="single" w:sz="4" w:space="0" w:color="auto"/>
              <w:right w:val="single" w:sz="4" w:space="0" w:color="auto"/>
            </w:tcBorders>
            <w:shd w:val="clear" w:color="auto" w:fill="auto"/>
            <w:noWrap/>
            <w:vAlign w:val="center"/>
            <w:hideMark/>
          </w:tcPr>
          <w:p w14:paraId="3CC8DE4E"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800215347</w:t>
            </w:r>
          </w:p>
        </w:tc>
        <w:tc>
          <w:tcPr>
            <w:tcW w:w="4354" w:type="dxa"/>
            <w:tcBorders>
              <w:top w:val="nil"/>
              <w:left w:val="nil"/>
              <w:bottom w:val="single" w:sz="4" w:space="0" w:color="auto"/>
              <w:right w:val="single" w:sz="4" w:space="0" w:color="auto"/>
            </w:tcBorders>
            <w:shd w:val="clear" w:color="auto" w:fill="auto"/>
            <w:vAlign w:val="center"/>
            <w:hideMark/>
          </w:tcPr>
          <w:p w14:paraId="01052F81" w14:textId="77777777" w:rsidR="00436FE0" w:rsidRPr="00436FE0" w:rsidRDefault="00436FE0" w:rsidP="00436FE0">
            <w:pPr>
              <w:jc w:val="lef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TRANSPORTADORA DE METANO E.S.P. S.A.</w:t>
            </w:r>
          </w:p>
        </w:tc>
        <w:tc>
          <w:tcPr>
            <w:tcW w:w="1480" w:type="dxa"/>
            <w:tcBorders>
              <w:top w:val="nil"/>
              <w:left w:val="nil"/>
              <w:bottom w:val="single" w:sz="4" w:space="0" w:color="auto"/>
              <w:right w:val="single" w:sz="4" w:space="0" w:color="auto"/>
            </w:tcBorders>
            <w:shd w:val="clear" w:color="auto" w:fill="auto"/>
            <w:noWrap/>
            <w:vAlign w:val="center"/>
            <w:hideMark/>
          </w:tcPr>
          <w:p w14:paraId="3EFC212F" w14:textId="534AC7D1"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5</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823</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723</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848 </w:t>
            </w:r>
          </w:p>
        </w:tc>
        <w:tc>
          <w:tcPr>
            <w:tcW w:w="1620" w:type="dxa"/>
            <w:tcBorders>
              <w:top w:val="nil"/>
              <w:left w:val="nil"/>
              <w:bottom w:val="single" w:sz="4" w:space="0" w:color="auto"/>
              <w:right w:val="single" w:sz="4" w:space="0" w:color="auto"/>
            </w:tcBorders>
            <w:shd w:val="clear" w:color="auto" w:fill="auto"/>
            <w:noWrap/>
            <w:vAlign w:val="center"/>
            <w:hideMark/>
          </w:tcPr>
          <w:p w14:paraId="6991E030" w14:textId="446AB7B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58</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237</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238 </w:t>
            </w:r>
          </w:p>
        </w:tc>
      </w:tr>
      <w:tr w:rsidR="00436FE0" w:rsidRPr="00436FE0" w14:paraId="479D3A00" w14:textId="77777777" w:rsidTr="00436FE0">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2622F855"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110</w:t>
            </w:r>
          </w:p>
        </w:tc>
        <w:tc>
          <w:tcPr>
            <w:tcW w:w="879" w:type="dxa"/>
            <w:tcBorders>
              <w:top w:val="nil"/>
              <w:left w:val="nil"/>
              <w:bottom w:val="single" w:sz="4" w:space="0" w:color="auto"/>
              <w:right w:val="single" w:sz="4" w:space="0" w:color="auto"/>
            </w:tcBorders>
            <w:shd w:val="clear" w:color="auto" w:fill="auto"/>
            <w:noWrap/>
            <w:vAlign w:val="center"/>
            <w:hideMark/>
          </w:tcPr>
          <w:p w14:paraId="269D89C8"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900028111</w:t>
            </w:r>
          </w:p>
        </w:tc>
        <w:tc>
          <w:tcPr>
            <w:tcW w:w="4354" w:type="dxa"/>
            <w:tcBorders>
              <w:top w:val="nil"/>
              <w:left w:val="nil"/>
              <w:bottom w:val="single" w:sz="4" w:space="0" w:color="auto"/>
              <w:right w:val="single" w:sz="4" w:space="0" w:color="auto"/>
            </w:tcBorders>
            <w:shd w:val="clear" w:color="auto" w:fill="auto"/>
            <w:vAlign w:val="center"/>
            <w:hideMark/>
          </w:tcPr>
          <w:p w14:paraId="04BB7A47" w14:textId="77777777" w:rsidR="00436FE0" w:rsidRPr="00436FE0" w:rsidRDefault="00436FE0" w:rsidP="00436FE0">
            <w:pPr>
              <w:jc w:val="lef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TURGAS S.A. E.S.P.</w:t>
            </w:r>
          </w:p>
        </w:tc>
        <w:tc>
          <w:tcPr>
            <w:tcW w:w="1480" w:type="dxa"/>
            <w:tcBorders>
              <w:top w:val="nil"/>
              <w:left w:val="nil"/>
              <w:bottom w:val="single" w:sz="4" w:space="0" w:color="auto"/>
              <w:right w:val="single" w:sz="4" w:space="0" w:color="auto"/>
            </w:tcBorders>
            <w:shd w:val="clear" w:color="auto" w:fill="auto"/>
            <w:noWrap/>
            <w:vAlign w:val="center"/>
            <w:hideMark/>
          </w:tcPr>
          <w:p w14:paraId="274EA73F" w14:textId="1EB3FEFD"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1</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904</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252</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392 </w:t>
            </w:r>
          </w:p>
        </w:tc>
        <w:tc>
          <w:tcPr>
            <w:tcW w:w="1620" w:type="dxa"/>
            <w:tcBorders>
              <w:top w:val="nil"/>
              <w:left w:val="nil"/>
              <w:bottom w:val="single" w:sz="4" w:space="0" w:color="auto"/>
              <w:right w:val="single" w:sz="4" w:space="0" w:color="auto"/>
            </w:tcBorders>
            <w:shd w:val="clear" w:color="auto" w:fill="auto"/>
            <w:noWrap/>
            <w:vAlign w:val="center"/>
            <w:hideMark/>
          </w:tcPr>
          <w:p w14:paraId="0F72F13C" w14:textId="6D1F59F3"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19</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042</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524 </w:t>
            </w:r>
          </w:p>
        </w:tc>
      </w:tr>
      <w:tr w:rsidR="00436FE0" w:rsidRPr="00436FE0" w14:paraId="15CF7E0B" w14:textId="77777777" w:rsidTr="00436FE0">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75C6FC78"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111</w:t>
            </w:r>
          </w:p>
        </w:tc>
        <w:tc>
          <w:tcPr>
            <w:tcW w:w="879" w:type="dxa"/>
            <w:tcBorders>
              <w:top w:val="nil"/>
              <w:left w:val="nil"/>
              <w:bottom w:val="single" w:sz="4" w:space="0" w:color="auto"/>
              <w:right w:val="single" w:sz="4" w:space="0" w:color="auto"/>
            </w:tcBorders>
            <w:shd w:val="clear" w:color="auto" w:fill="auto"/>
            <w:noWrap/>
            <w:vAlign w:val="center"/>
            <w:hideMark/>
          </w:tcPr>
          <w:p w14:paraId="6DD08C11"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830058558</w:t>
            </w:r>
          </w:p>
        </w:tc>
        <w:tc>
          <w:tcPr>
            <w:tcW w:w="4354" w:type="dxa"/>
            <w:tcBorders>
              <w:top w:val="nil"/>
              <w:left w:val="nil"/>
              <w:bottom w:val="single" w:sz="4" w:space="0" w:color="auto"/>
              <w:right w:val="single" w:sz="4" w:space="0" w:color="auto"/>
            </w:tcBorders>
            <w:shd w:val="clear" w:color="auto" w:fill="auto"/>
            <w:vAlign w:val="center"/>
            <w:hideMark/>
          </w:tcPr>
          <w:p w14:paraId="749A4768" w14:textId="77777777" w:rsidR="00436FE0" w:rsidRPr="00436FE0" w:rsidRDefault="00436FE0" w:rsidP="00436FE0">
            <w:pPr>
              <w:jc w:val="lef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TY GAS S.A. E.S.P.</w:t>
            </w:r>
          </w:p>
        </w:tc>
        <w:tc>
          <w:tcPr>
            <w:tcW w:w="1480" w:type="dxa"/>
            <w:tcBorders>
              <w:top w:val="nil"/>
              <w:left w:val="nil"/>
              <w:bottom w:val="single" w:sz="4" w:space="0" w:color="auto"/>
              <w:right w:val="single" w:sz="4" w:space="0" w:color="auto"/>
            </w:tcBorders>
            <w:shd w:val="clear" w:color="auto" w:fill="auto"/>
            <w:noWrap/>
            <w:vAlign w:val="center"/>
            <w:hideMark/>
          </w:tcPr>
          <w:p w14:paraId="5DB25BE3" w14:textId="0458BEF4"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168</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109</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842 </w:t>
            </w:r>
          </w:p>
        </w:tc>
        <w:tc>
          <w:tcPr>
            <w:tcW w:w="1620" w:type="dxa"/>
            <w:tcBorders>
              <w:top w:val="nil"/>
              <w:left w:val="nil"/>
              <w:bottom w:val="single" w:sz="4" w:space="0" w:color="auto"/>
              <w:right w:val="single" w:sz="4" w:space="0" w:color="auto"/>
            </w:tcBorders>
            <w:shd w:val="clear" w:color="auto" w:fill="auto"/>
            <w:noWrap/>
            <w:vAlign w:val="center"/>
            <w:hideMark/>
          </w:tcPr>
          <w:p w14:paraId="1E7BFE17" w14:textId="22771A44"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1</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681</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098 </w:t>
            </w:r>
          </w:p>
        </w:tc>
      </w:tr>
      <w:tr w:rsidR="00436FE0" w:rsidRPr="00436FE0" w14:paraId="6B0D0594" w14:textId="77777777" w:rsidTr="00436FE0">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54231CA0"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112</w:t>
            </w:r>
          </w:p>
        </w:tc>
        <w:tc>
          <w:tcPr>
            <w:tcW w:w="879" w:type="dxa"/>
            <w:tcBorders>
              <w:top w:val="nil"/>
              <w:left w:val="nil"/>
              <w:bottom w:val="single" w:sz="4" w:space="0" w:color="auto"/>
              <w:right w:val="single" w:sz="4" w:space="0" w:color="auto"/>
            </w:tcBorders>
            <w:shd w:val="clear" w:color="auto" w:fill="auto"/>
            <w:noWrap/>
            <w:vAlign w:val="center"/>
            <w:hideMark/>
          </w:tcPr>
          <w:p w14:paraId="620DFB8B"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900635947</w:t>
            </w:r>
          </w:p>
        </w:tc>
        <w:tc>
          <w:tcPr>
            <w:tcW w:w="4354" w:type="dxa"/>
            <w:tcBorders>
              <w:top w:val="nil"/>
              <w:left w:val="nil"/>
              <w:bottom w:val="single" w:sz="4" w:space="0" w:color="auto"/>
              <w:right w:val="single" w:sz="4" w:space="0" w:color="auto"/>
            </w:tcBorders>
            <w:shd w:val="clear" w:color="auto" w:fill="auto"/>
            <w:vAlign w:val="center"/>
            <w:hideMark/>
          </w:tcPr>
          <w:p w14:paraId="4D77E008" w14:textId="77777777" w:rsidR="00436FE0" w:rsidRPr="00436FE0" w:rsidRDefault="00436FE0" w:rsidP="00436FE0">
            <w:pPr>
              <w:jc w:val="lef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UNIFUND SAS EMPRESA DE SERVICIOS PUBLICOS</w:t>
            </w:r>
          </w:p>
        </w:tc>
        <w:tc>
          <w:tcPr>
            <w:tcW w:w="1480" w:type="dxa"/>
            <w:tcBorders>
              <w:top w:val="nil"/>
              <w:left w:val="nil"/>
              <w:bottom w:val="single" w:sz="4" w:space="0" w:color="auto"/>
              <w:right w:val="single" w:sz="4" w:space="0" w:color="auto"/>
            </w:tcBorders>
            <w:shd w:val="clear" w:color="auto" w:fill="auto"/>
            <w:noWrap/>
            <w:vAlign w:val="center"/>
            <w:hideMark/>
          </w:tcPr>
          <w:p w14:paraId="0ADA7943" w14:textId="5451C291"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6</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607</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576</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852 </w:t>
            </w:r>
          </w:p>
        </w:tc>
        <w:tc>
          <w:tcPr>
            <w:tcW w:w="1620" w:type="dxa"/>
            <w:tcBorders>
              <w:top w:val="nil"/>
              <w:left w:val="nil"/>
              <w:bottom w:val="single" w:sz="4" w:space="0" w:color="auto"/>
              <w:right w:val="single" w:sz="4" w:space="0" w:color="auto"/>
            </w:tcBorders>
            <w:shd w:val="clear" w:color="auto" w:fill="auto"/>
            <w:noWrap/>
            <w:vAlign w:val="center"/>
            <w:hideMark/>
          </w:tcPr>
          <w:p w14:paraId="7A6AB775" w14:textId="54B41194"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66</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075</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769 </w:t>
            </w:r>
          </w:p>
        </w:tc>
      </w:tr>
      <w:tr w:rsidR="00436FE0" w:rsidRPr="00436FE0" w14:paraId="6B1E2018" w14:textId="77777777" w:rsidTr="00436FE0">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6D9BE531"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113</w:t>
            </w:r>
          </w:p>
        </w:tc>
        <w:tc>
          <w:tcPr>
            <w:tcW w:w="879" w:type="dxa"/>
            <w:tcBorders>
              <w:top w:val="nil"/>
              <w:left w:val="nil"/>
              <w:bottom w:val="single" w:sz="4" w:space="0" w:color="auto"/>
              <w:right w:val="single" w:sz="4" w:space="0" w:color="auto"/>
            </w:tcBorders>
            <w:shd w:val="clear" w:color="auto" w:fill="auto"/>
            <w:noWrap/>
            <w:vAlign w:val="center"/>
            <w:hideMark/>
          </w:tcPr>
          <w:p w14:paraId="10B46E55"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900039770</w:t>
            </w:r>
          </w:p>
        </w:tc>
        <w:tc>
          <w:tcPr>
            <w:tcW w:w="4354" w:type="dxa"/>
            <w:tcBorders>
              <w:top w:val="nil"/>
              <w:left w:val="nil"/>
              <w:bottom w:val="single" w:sz="4" w:space="0" w:color="auto"/>
              <w:right w:val="single" w:sz="4" w:space="0" w:color="auto"/>
            </w:tcBorders>
            <w:shd w:val="clear" w:color="auto" w:fill="auto"/>
            <w:vAlign w:val="center"/>
            <w:hideMark/>
          </w:tcPr>
          <w:p w14:paraId="74F96B26" w14:textId="77777777" w:rsidR="00436FE0" w:rsidRPr="00436FE0" w:rsidRDefault="00436FE0" w:rsidP="00436FE0">
            <w:pPr>
              <w:jc w:val="lef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VERAGAS SAS ESP</w:t>
            </w:r>
          </w:p>
        </w:tc>
        <w:tc>
          <w:tcPr>
            <w:tcW w:w="1480" w:type="dxa"/>
            <w:tcBorders>
              <w:top w:val="nil"/>
              <w:left w:val="nil"/>
              <w:bottom w:val="single" w:sz="4" w:space="0" w:color="auto"/>
              <w:right w:val="single" w:sz="4" w:space="0" w:color="auto"/>
            </w:tcBorders>
            <w:shd w:val="clear" w:color="auto" w:fill="auto"/>
            <w:noWrap/>
            <w:vAlign w:val="center"/>
            <w:hideMark/>
          </w:tcPr>
          <w:p w14:paraId="1F907A75" w14:textId="21E35C4A"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282</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705</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617 </w:t>
            </w:r>
          </w:p>
        </w:tc>
        <w:tc>
          <w:tcPr>
            <w:tcW w:w="1620" w:type="dxa"/>
            <w:tcBorders>
              <w:top w:val="nil"/>
              <w:left w:val="nil"/>
              <w:bottom w:val="single" w:sz="4" w:space="0" w:color="auto"/>
              <w:right w:val="single" w:sz="4" w:space="0" w:color="auto"/>
            </w:tcBorders>
            <w:shd w:val="clear" w:color="auto" w:fill="auto"/>
            <w:noWrap/>
            <w:vAlign w:val="center"/>
            <w:hideMark/>
          </w:tcPr>
          <w:p w14:paraId="04B6927B" w14:textId="4C69745B"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2</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827</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056 </w:t>
            </w:r>
          </w:p>
        </w:tc>
      </w:tr>
      <w:tr w:rsidR="00436FE0" w:rsidRPr="00436FE0" w14:paraId="64D3F707" w14:textId="77777777" w:rsidTr="00436FE0">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7DC22762"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114</w:t>
            </w:r>
          </w:p>
        </w:tc>
        <w:tc>
          <w:tcPr>
            <w:tcW w:w="879" w:type="dxa"/>
            <w:tcBorders>
              <w:top w:val="nil"/>
              <w:left w:val="nil"/>
              <w:bottom w:val="single" w:sz="4" w:space="0" w:color="auto"/>
              <w:right w:val="single" w:sz="4" w:space="0" w:color="auto"/>
            </w:tcBorders>
            <w:shd w:val="clear" w:color="auto" w:fill="auto"/>
            <w:noWrap/>
            <w:vAlign w:val="center"/>
            <w:hideMark/>
          </w:tcPr>
          <w:p w14:paraId="1C6DE5BF"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900666756</w:t>
            </w:r>
          </w:p>
        </w:tc>
        <w:tc>
          <w:tcPr>
            <w:tcW w:w="4354" w:type="dxa"/>
            <w:tcBorders>
              <w:top w:val="nil"/>
              <w:left w:val="nil"/>
              <w:bottom w:val="single" w:sz="4" w:space="0" w:color="auto"/>
              <w:right w:val="single" w:sz="4" w:space="0" w:color="auto"/>
            </w:tcBorders>
            <w:shd w:val="clear" w:color="auto" w:fill="auto"/>
            <w:vAlign w:val="center"/>
            <w:hideMark/>
          </w:tcPr>
          <w:p w14:paraId="3F138FB4" w14:textId="77777777" w:rsidR="00436FE0" w:rsidRPr="00436FE0" w:rsidRDefault="00436FE0" w:rsidP="00436FE0">
            <w:pPr>
              <w:jc w:val="lef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VIDA GAS POR NATURALEZA S.A. E.S.P.</w:t>
            </w:r>
          </w:p>
        </w:tc>
        <w:tc>
          <w:tcPr>
            <w:tcW w:w="1480" w:type="dxa"/>
            <w:tcBorders>
              <w:top w:val="nil"/>
              <w:left w:val="nil"/>
              <w:bottom w:val="single" w:sz="4" w:space="0" w:color="auto"/>
              <w:right w:val="single" w:sz="4" w:space="0" w:color="auto"/>
            </w:tcBorders>
            <w:shd w:val="clear" w:color="auto" w:fill="auto"/>
            <w:noWrap/>
            <w:vAlign w:val="center"/>
            <w:hideMark/>
          </w:tcPr>
          <w:p w14:paraId="6C7CB285" w14:textId="3051796C"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133</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367</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724 </w:t>
            </w:r>
          </w:p>
        </w:tc>
        <w:tc>
          <w:tcPr>
            <w:tcW w:w="1620" w:type="dxa"/>
            <w:tcBorders>
              <w:top w:val="nil"/>
              <w:left w:val="nil"/>
              <w:bottom w:val="single" w:sz="4" w:space="0" w:color="auto"/>
              <w:right w:val="single" w:sz="4" w:space="0" w:color="auto"/>
            </w:tcBorders>
            <w:shd w:val="clear" w:color="auto" w:fill="auto"/>
            <w:noWrap/>
            <w:vAlign w:val="center"/>
            <w:hideMark/>
          </w:tcPr>
          <w:p w14:paraId="06D9991F" w14:textId="61AA6CBC"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1</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333</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677 </w:t>
            </w:r>
          </w:p>
        </w:tc>
      </w:tr>
      <w:tr w:rsidR="00436FE0" w:rsidRPr="00436FE0" w14:paraId="72ECE2DA" w14:textId="77777777" w:rsidTr="00436FE0">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32B8AD4C"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115</w:t>
            </w:r>
          </w:p>
        </w:tc>
        <w:tc>
          <w:tcPr>
            <w:tcW w:w="879" w:type="dxa"/>
            <w:tcBorders>
              <w:top w:val="nil"/>
              <w:left w:val="nil"/>
              <w:bottom w:val="single" w:sz="4" w:space="0" w:color="auto"/>
              <w:right w:val="single" w:sz="4" w:space="0" w:color="auto"/>
            </w:tcBorders>
            <w:shd w:val="clear" w:color="auto" w:fill="auto"/>
            <w:noWrap/>
            <w:vAlign w:val="center"/>
            <w:hideMark/>
          </w:tcPr>
          <w:p w14:paraId="71DD09B5"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900305404</w:t>
            </w:r>
          </w:p>
        </w:tc>
        <w:tc>
          <w:tcPr>
            <w:tcW w:w="4354" w:type="dxa"/>
            <w:tcBorders>
              <w:top w:val="nil"/>
              <w:left w:val="nil"/>
              <w:bottom w:val="single" w:sz="4" w:space="0" w:color="auto"/>
              <w:right w:val="single" w:sz="4" w:space="0" w:color="auto"/>
            </w:tcBorders>
            <w:shd w:val="clear" w:color="auto" w:fill="auto"/>
            <w:vAlign w:val="center"/>
            <w:hideMark/>
          </w:tcPr>
          <w:p w14:paraId="47CA616F" w14:textId="77777777" w:rsidR="00436FE0" w:rsidRPr="00436FE0" w:rsidRDefault="00436FE0" w:rsidP="00436FE0">
            <w:pPr>
              <w:jc w:val="lef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VP INGENERGIA S.A. E.S.P.</w:t>
            </w:r>
          </w:p>
        </w:tc>
        <w:tc>
          <w:tcPr>
            <w:tcW w:w="1480" w:type="dxa"/>
            <w:tcBorders>
              <w:top w:val="nil"/>
              <w:left w:val="nil"/>
              <w:bottom w:val="single" w:sz="4" w:space="0" w:color="auto"/>
              <w:right w:val="single" w:sz="4" w:space="0" w:color="auto"/>
            </w:tcBorders>
            <w:shd w:val="clear" w:color="auto" w:fill="auto"/>
            <w:noWrap/>
            <w:vAlign w:val="center"/>
            <w:hideMark/>
          </w:tcPr>
          <w:p w14:paraId="3A08C2C1" w14:textId="5886FA31"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1</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470</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213</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066 </w:t>
            </w:r>
          </w:p>
        </w:tc>
        <w:tc>
          <w:tcPr>
            <w:tcW w:w="1620" w:type="dxa"/>
            <w:tcBorders>
              <w:top w:val="nil"/>
              <w:left w:val="nil"/>
              <w:bottom w:val="single" w:sz="4" w:space="0" w:color="auto"/>
              <w:right w:val="single" w:sz="4" w:space="0" w:color="auto"/>
            </w:tcBorders>
            <w:shd w:val="clear" w:color="auto" w:fill="auto"/>
            <w:noWrap/>
            <w:vAlign w:val="center"/>
            <w:hideMark/>
          </w:tcPr>
          <w:p w14:paraId="7D24415F" w14:textId="2EF15F3E"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14</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702</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131 </w:t>
            </w:r>
          </w:p>
        </w:tc>
      </w:tr>
      <w:tr w:rsidR="00436FE0" w:rsidRPr="00436FE0" w14:paraId="3CD6A83D" w14:textId="77777777" w:rsidTr="00436FE0">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04C7C374"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116</w:t>
            </w:r>
          </w:p>
        </w:tc>
        <w:tc>
          <w:tcPr>
            <w:tcW w:w="879" w:type="dxa"/>
            <w:tcBorders>
              <w:top w:val="nil"/>
              <w:left w:val="nil"/>
              <w:bottom w:val="single" w:sz="4" w:space="0" w:color="auto"/>
              <w:right w:val="single" w:sz="4" w:space="0" w:color="auto"/>
            </w:tcBorders>
            <w:shd w:val="clear" w:color="auto" w:fill="auto"/>
            <w:noWrap/>
            <w:vAlign w:val="center"/>
            <w:hideMark/>
          </w:tcPr>
          <w:p w14:paraId="7EA1EF29"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830013746</w:t>
            </w:r>
          </w:p>
        </w:tc>
        <w:tc>
          <w:tcPr>
            <w:tcW w:w="4354" w:type="dxa"/>
            <w:tcBorders>
              <w:top w:val="nil"/>
              <w:left w:val="nil"/>
              <w:bottom w:val="single" w:sz="4" w:space="0" w:color="auto"/>
              <w:right w:val="single" w:sz="4" w:space="0" w:color="auto"/>
            </w:tcBorders>
            <w:shd w:val="clear" w:color="auto" w:fill="auto"/>
            <w:vAlign w:val="center"/>
            <w:hideMark/>
          </w:tcPr>
          <w:p w14:paraId="2560F6AD" w14:textId="77777777" w:rsidR="00436FE0" w:rsidRPr="00D26825" w:rsidRDefault="00436FE0" w:rsidP="00436FE0">
            <w:pPr>
              <w:jc w:val="left"/>
              <w:rPr>
                <w:rFonts w:ascii="Arial Narrow" w:hAnsi="Arial Narrow" w:cs="Calibri"/>
                <w:color w:val="000000"/>
                <w:spacing w:val="0"/>
                <w:sz w:val="18"/>
                <w:szCs w:val="18"/>
                <w:lang w:val="en-US" w:eastAsia="es-CO"/>
              </w:rPr>
            </w:pPr>
            <w:r w:rsidRPr="00D26825">
              <w:rPr>
                <w:rFonts w:ascii="Arial Narrow" w:hAnsi="Arial Narrow" w:cs="Calibri"/>
                <w:color w:val="000000"/>
                <w:spacing w:val="0"/>
                <w:sz w:val="18"/>
                <w:szCs w:val="18"/>
                <w:lang w:val="en-US" w:eastAsia="es-CO"/>
              </w:rPr>
              <w:t>WELL LOGGING S.A.S</w:t>
            </w:r>
          </w:p>
        </w:tc>
        <w:tc>
          <w:tcPr>
            <w:tcW w:w="1480" w:type="dxa"/>
            <w:tcBorders>
              <w:top w:val="nil"/>
              <w:left w:val="nil"/>
              <w:bottom w:val="single" w:sz="4" w:space="0" w:color="auto"/>
              <w:right w:val="single" w:sz="4" w:space="0" w:color="auto"/>
            </w:tcBorders>
            <w:shd w:val="clear" w:color="auto" w:fill="auto"/>
            <w:noWrap/>
            <w:vAlign w:val="center"/>
            <w:hideMark/>
          </w:tcPr>
          <w:p w14:paraId="13E40B37" w14:textId="3006EC62" w:rsidR="00436FE0" w:rsidRPr="00436FE0" w:rsidRDefault="00436FE0" w:rsidP="00436FE0">
            <w:pPr>
              <w:jc w:val="right"/>
              <w:rPr>
                <w:rFonts w:ascii="Arial Narrow" w:hAnsi="Arial Narrow" w:cs="Calibri"/>
                <w:color w:val="000000"/>
                <w:spacing w:val="0"/>
                <w:sz w:val="18"/>
                <w:szCs w:val="18"/>
                <w:lang w:eastAsia="es-CO"/>
              </w:rPr>
            </w:pPr>
            <w:r w:rsidRPr="00D26825">
              <w:rPr>
                <w:rFonts w:ascii="Arial Narrow" w:hAnsi="Arial Narrow" w:cs="Calibri"/>
                <w:color w:val="000000"/>
                <w:spacing w:val="0"/>
                <w:sz w:val="18"/>
                <w:szCs w:val="18"/>
                <w:lang w:val="en-US" w:eastAsia="es-CO"/>
              </w:rPr>
              <w:t xml:space="preserve">         </w:t>
            </w:r>
            <w:r w:rsidRPr="00436FE0">
              <w:rPr>
                <w:rFonts w:ascii="Arial Narrow" w:hAnsi="Arial Narrow" w:cs="Calibri"/>
                <w:color w:val="000000"/>
                <w:spacing w:val="0"/>
                <w:sz w:val="18"/>
                <w:szCs w:val="18"/>
                <w:lang w:eastAsia="es-CO"/>
              </w:rPr>
              <w:t>1</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972</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529</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228 </w:t>
            </w:r>
          </w:p>
        </w:tc>
        <w:tc>
          <w:tcPr>
            <w:tcW w:w="1620" w:type="dxa"/>
            <w:tcBorders>
              <w:top w:val="nil"/>
              <w:left w:val="nil"/>
              <w:bottom w:val="single" w:sz="4" w:space="0" w:color="auto"/>
              <w:right w:val="single" w:sz="4" w:space="0" w:color="auto"/>
            </w:tcBorders>
            <w:shd w:val="clear" w:color="auto" w:fill="auto"/>
            <w:noWrap/>
            <w:vAlign w:val="center"/>
            <w:hideMark/>
          </w:tcPr>
          <w:p w14:paraId="2E8EF195" w14:textId="2A30C345"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19</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725</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292 </w:t>
            </w:r>
          </w:p>
        </w:tc>
      </w:tr>
      <w:tr w:rsidR="00436FE0" w:rsidRPr="00436FE0" w14:paraId="254923DA" w14:textId="77777777" w:rsidTr="00436FE0">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1200EE1A"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117</w:t>
            </w:r>
          </w:p>
        </w:tc>
        <w:tc>
          <w:tcPr>
            <w:tcW w:w="879" w:type="dxa"/>
            <w:tcBorders>
              <w:top w:val="nil"/>
              <w:left w:val="nil"/>
              <w:bottom w:val="single" w:sz="4" w:space="0" w:color="auto"/>
              <w:right w:val="single" w:sz="4" w:space="0" w:color="auto"/>
            </w:tcBorders>
            <w:shd w:val="clear" w:color="auto" w:fill="auto"/>
            <w:noWrap/>
            <w:vAlign w:val="center"/>
            <w:hideMark/>
          </w:tcPr>
          <w:p w14:paraId="48BB08ED" w14:textId="77777777"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900522263</w:t>
            </w:r>
          </w:p>
        </w:tc>
        <w:tc>
          <w:tcPr>
            <w:tcW w:w="4354" w:type="dxa"/>
            <w:tcBorders>
              <w:top w:val="nil"/>
              <w:left w:val="nil"/>
              <w:bottom w:val="single" w:sz="4" w:space="0" w:color="auto"/>
              <w:right w:val="single" w:sz="4" w:space="0" w:color="auto"/>
            </w:tcBorders>
            <w:shd w:val="clear" w:color="auto" w:fill="auto"/>
            <w:vAlign w:val="center"/>
            <w:hideMark/>
          </w:tcPr>
          <w:p w14:paraId="4A524FC1" w14:textId="77777777" w:rsidR="00436FE0" w:rsidRPr="00436FE0" w:rsidRDefault="00436FE0" w:rsidP="00436FE0">
            <w:pPr>
              <w:jc w:val="lef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YAVEGAS S.A. E.S.P.</w:t>
            </w:r>
          </w:p>
        </w:tc>
        <w:tc>
          <w:tcPr>
            <w:tcW w:w="1480" w:type="dxa"/>
            <w:tcBorders>
              <w:top w:val="nil"/>
              <w:left w:val="nil"/>
              <w:bottom w:val="single" w:sz="4" w:space="0" w:color="auto"/>
              <w:right w:val="single" w:sz="4" w:space="0" w:color="auto"/>
            </w:tcBorders>
            <w:shd w:val="clear" w:color="auto" w:fill="auto"/>
            <w:noWrap/>
            <w:vAlign w:val="center"/>
            <w:hideMark/>
          </w:tcPr>
          <w:p w14:paraId="52CA68EB" w14:textId="51834EEE"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539</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611</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757 </w:t>
            </w:r>
          </w:p>
        </w:tc>
        <w:tc>
          <w:tcPr>
            <w:tcW w:w="1620" w:type="dxa"/>
            <w:tcBorders>
              <w:top w:val="nil"/>
              <w:left w:val="nil"/>
              <w:bottom w:val="single" w:sz="4" w:space="0" w:color="auto"/>
              <w:right w:val="single" w:sz="4" w:space="0" w:color="auto"/>
            </w:tcBorders>
            <w:shd w:val="clear" w:color="auto" w:fill="auto"/>
            <w:noWrap/>
            <w:vAlign w:val="center"/>
            <w:hideMark/>
          </w:tcPr>
          <w:p w14:paraId="3A27D5FD" w14:textId="03A2B680" w:rsidR="00436FE0" w:rsidRPr="00436FE0" w:rsidRDefault="00436FE0" w:rsidP="00436FE0">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5</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396</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118 </w:t>
            </w:r>
          </w:p>
        </w:tc>
      </w:tr>
      <w:tr w:rsidR="00D043E0" w:rsidRPr="00436FE0" w14:paraId="618D0E79" w14:textId="77777777" w:rsidTr="007825FE">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4B472374" w14:textId="77777777" w:rsidR="00D043E0" w:rsidRPr="00436FE0" w:rsidRDefault="00D043E0" w:rsidP="007825FE">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118</w:t>
            </w:r>
          </w:p>
        </w:tc>
        <w:tc>
          <w:tcPr>
            <w:tcW w:w="879" w:type="dxa"/>
            <w:tcBorders>
              <w:top w:val="nil"/>
              <w:left w:val="nil"/>
              <w:bottom w:val="single" w:sz="4" w:space="0" w:color="auto"/>
              <w:right w:val="single" w:sz="4" w:space="0" w:color="auto"/>
            </w:tcBorders>
            <w:shd w:val="clear" w:color="auto" w:fill="auto"/>
            <w:noWrap/>
            <w:vAlign w:val="center"/>
            <w:hideMark/>
          </w:tcPr>
          <w:p w14:paraId="0327F0A9" w14:textId="77777777" w:rsidR="00D043E0" w:rsidRPr="00436FE0" w:rsidRDefault="00D043E0" w:rsidP="007825FE">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830113630</w:t>
            </w:r>
          </w:p>
        </w:tc>
        <w:tc>
          <w:tcPr>
            <w:tcW w:w="4354" w:type="dxa"/>
            <w:tcBorders>
              <w:top w:val="nil"/>
              <w:left w:val="nil"/>
              <w:bottom w:val="single" w:sz="4" w:space="0" w:color="auto"/>
              <w:right w:val="single" w:sz="4" w:space="0" w:color="auto"/>
            </w:tcBorders>
            <w:shd w:val="clear" w:color="auto" w:fill="auto"/>
            <w:vAlign w:val="center"/>
            <w:hideMark/>
          </w:tcPr>
          <w:p w14:paraId="2E483CDE" w14:textId="77777777" w:rsidR="00D043E0" w:rsidRPr="00436FE0" w:rsidRDefault="00D043E0" w:rsidP="007825FE">
            <w:pPr>
              <w:jc w:val="lef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ZONA FRANCA CELSIA S.A. E.S.P.</w:t>
            </w:r>
          </w:p>
        </w:tc>
        <w:tc>
          <w:tcPr>
            <w:tcW w:w="1480" w:type="dxa"/>
            <w:tcBorders>
              <w:top w:val="nil"/>
              <w:left w:val="nil"/>
              <w:bottom w:val="single" w:sz="4" w:space="0" w:color="auto"/>
              <w:right w:val="single" w:sz="4" w:space="0" w:color="auto"/>
            </w:tcBorders>
            <w:shd w:val="clear" w:color="auto" w:fill="auto"/>
            <w:noWrap/>
            <w:vAlign w:val="center"/>
            <w:hideMark/>
          </w:tcPr>
          <w:p w14:paraId="2453D058" w14:textId="5373D21A" w:rsidR="00D043E0" w:rsidRPr="00436FE0" w:rsidRDefault="00D043E0" w:rsidP="007825FE">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540</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482</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000 </w:t>
            </w:r>
          </w:p>
        </w:tc>
        <w:tc>
          <w:tcPr>
            <w:tcW w:w="1620" w:type="dxa"/>
            <w:tcBorders>
              <w:top w:val="nil"/>
              <w:left w:val="nil"/>
              <w:bottom w:val="single" w:sz="4" w:space="0" w:color="auto"/>
              <w:right w:val="single" w:sz="4" w:space="0" w:color="auto"/>
            </w:tcBorders>
            <w:shd w:val="clear" w:color="auto" w:fill="auto"/>
            <w:noWrap/>
            <w:vAlign w:val="center"/>
            <w:hideMark/>
          </w:tcPr>
          <w:p w14:paraId="3E6C7338" w14:textId="0F8F4245" w:rsidR="00D043E0" w:rsidRPr="00436FE0" w:rsidRDefault="00D043E0" w:rsidP="007825FE">
            <w:pPr>
              <w:jc w:val="right"/>
              <w:rPr>
                <w:rFonts w:ascii="Arial Narrow" w:hAnsi="Arial Narrow" w:cs="Calibri"/>
                <w:color w:val="000000"/>
                <w:spacing w:val="0"/>
                <w:sz w:val="18"/>
                <w:szCs w:val="18"/>
                <w:lang w:eastAsia="es-CO"/>
              </w:rPr>
            </w:pPr>
            <w:r w:rsidRPr="00436FE0">
              <w:rPr>
                <w:rFonts w:ascii="Arial Narrow" w:hAnsi="Arial Narrow" w:cs="Calibri"/>
                <w:color w:val="000000"/>
                <w:spacing w:val="0"/>
                <w:sz w:val="18"/>
                <w:szCs w:val="18"/>
                <w:lang w:eastAsia="es-CO"/>
              </w:rPr>
              <w:t xml:space="preserve">                    5</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404</w:t>
            </w:r>
            <w:r w:rsidR="007F7A3E">
              <w:rPr>
                <w:rFonts w:ascii="Arial Narrow" w:hAnsi="Arial Narrow" w:cs="Calibri"/>
                <w:color w:val="000000"/>
                <w:spacing w:val="0"/>
                <w:sz w:val="18"/>
                <w:szCs w:val="18"/>
                <w:lang w:eastAsia="es-CO"/>
              </w:rPr>
              <w:t>.</w:t>
            </w:r>
            <w:r w:rsidRPr="00436FE0">
              <w:rPr>
                <w:rFonts w:ascii="Arial Narrow" w:hAnsi="Arial Narrow" w:cs="Calibri"/>
                <w:color w:val="000000"/>
                <w:spacing w:val="0"/>
                <w:sz w:val="18"/>
                <w:szCs w:val="18"/>
                <w:lang w:eastAsia="es-CO"/>
              </w:rPr>
              <w:t xml:space="preserve">820 </w:t>
            </w:r>
          </w:p>
        </w:tc>
      </w:tr>
      <w:tr w:rsidR="00D043E0" w:rsidRPr="00D043E0" w14:paraId="4F0B9993" w14:textId="77777777" w:rsidTr="00656F34">
        <w:trPr>
          <w:trHeight w:val="290"/>
        </w:trPr>
        <w:tc>
          <w:tcPr>
            <w:tcW w:w="7100" w:type="dxa"/>
            <w:gridSpan w:val="4"/>
            <w:tcBorders>
              <w:top w:val="nil"/>
              <w:left w:val="single" w:sz="4" w:space="0" w:color="auto"/>
              <w:bottom w:val="single" w:sz="4" w:space="0" w:color="auto"/>
              <w:right w:val="single" w:sz="4" w:space="0" w:color="auto"/>
            </w:tcBorders>
            <w:shd w:val="clear" w:color="auto" w:fill="E7E6E6" w:themeFill="background2"/>
            <w:noWrap/>
            <w:vAlign w:val="center"/>
          </w:tcPr>
          <w:p w14:paraId="274A8E06" w14:textId="3C9F115A" w:rsidR="00D043E0" w:rsidRPr="00436FE0" w:rsidRDefault="00D043E0" w:rsidP="00436FE0">
            <w:pPr>
              <w:jc w:val="right"/>
              <w:rPr>
                <w:rFonts w:ascii="Arial Narrow" w:hAnsi="Arial Narrow" w:cs="Calibri"/>
                <w:b/>
                <w:bCs/>
                <w:color w:val="000000"/>
                <w:spacing w:val="0"/>
                <w:sz w:val="18"/>
                <w:szCs w:val="18"/>
                <w:lang w:eastAsia="es-CO"/>
              </w:rPr>
            </w:pPr>
            <w:r w:rsidRPr="00D043E0">
              <w:rPr>
                <w:rFonts w:ascii="Arial Narrow" w:hAnsi="Arial Narrow" w:cs="Calibri"/>
                <w:b/>
                <w:bCs/>
                <w:color w:val="000000"/>
                <w:spacing w:val="0"/>
                <w:sz w:val="18"/>
                <w:szCs w:val="18"/>
                <w:lang w:eastAsia="es-CO"/>
              </w:rPr>
              <w:t>TOTAL</w:t>
            </w:r>
            <w:r w:rsidR="00E96967">
              <w:rPr>
                <w:rFonts w:ascii="Arial Narrow" w:hAnsi="Arial Narrow" w:cs="Calibri"/>
                <w:b/>
                <w:bCs/>
                <w:color w:val="000000"/>
                <w:spacing w:val="0"/>
                <w:sz w:val="18"/>
                <w:szCs w:val="18"/>
                <w:lang w:eastAsia="es-CO"/>
              </w:rPr>
              <w:t xml:space="preserve"> GAS NATURAL</w:t>
            </w:r>
          </w:p>
        </w:tc>
        <w:tc>
          <w:tcPr>
            <w:tcW w:w="1620" w:type="dxa"/>
            <w:tcBorders>
              <w:top w:val="nil"/>
              <w:left w:val="nil"/>
              <w:bottom w:val="single" w:sz="4" w:space="0" w:color="auto"/>
              <w:right w:val="single" w:sz="4" w:space="0" w:color="auto"/>
            </w:tcBorders>
            <w:shd w:val="clear" w:color="auto" w:fill="E7E6E6" w:themeFill="background2"/>
            <w:noWrap/>
            <w:vAlign w:val="center"/>
            <w:hideMark/>
          </w:tcPr>
          <w:p w14:paraId="7237502C" w14:textId="622BE986" w:rsidR="00D043E0" w:rsidRPr="00436FE0" w:rsidRDefault="00D043E0" w:rsidP="00D043E0">
            <w:pPr>
              <w:jc w:val="right"/>
              <w:rPr>
                <w:rFonts w:ascii="Arial Narrow" w:hAnsi="Arial Narrow" w:cs="Calibri"/>
                <w:b/>
                <w:bCs/>
                <w:color w:val="000000"/>
                <w:spacing w:val="0"/>
                <w:sz w:val="18"/>
                <w:szCs w:val="18"/>
                <w:lang w:eastAsia="es-CO"/>
              </w:rPr>
            </w:pPr>
            <w:r w:rsidRPr="00D043E0">
              <w:rPr>
                <w:rFonts w:ascii="Arial Narrow" w:hAnsi="Arial Narrow" w:cs="Calibri"/>
                <w:b/>
                <w:bCs/>
                <w:color w:val="000000"/>
                <w:sz w:val="18"/>
                <w:szCs w:val="18"/>
              </w:rPr>
              <w:t xml:space="preserve">           10</w:t>
            </w:r>
            <w:r w:rsidR="007F7A3E">
              <w:rPr>
                <w:rFonts w:ascii="Arial Narrow" w:hAnsi="Arial Narrow" w:cs="Calibri"/>
                <w:b/>
                <w:bCs/>
                <w:color w:val="000000"/>
                <w:sz w:val="18"/>
                <w:szCs w:val="18"/>
              </w:rPr>
              <w:t>.</w:t>
            </w:r>
            <w:r w:rsidRPr="00D043E0">
              <w:rPr>
                <w:rFonts w:ascii="Arial Narrow" w:hAnsi="Arial Narrow" w:cs="Calibri"/>
                <w:b/>
                <w:bCs/>
                <w:color w:val="000000"/>
                <w:sz w:val="18"/>
                <w:szCs w:val="18"/>
              </w:rPr>
              <w:t>221</w:t>
            </w:r>
            <w:r w:rsidR="007F7A3E">
              <w:rPr>
                <w:rFonts w:ascii="Arial Narrow" w:hAnsi="Arial Narrow" w:cs="Calibri"/>
                <w:b/>
                <w:bCs/>
                <w:color w:val="000000"/>
                <w:sz w:val="18"/>
                <w:szCs w:val="18"/>
              </w:rPr>
              <w:t>.</w:t>
            </w:r>
            <w:r w:rsidRPr="00D043E0">
              <w:rPr>
                <w:rFonts w:ascii="Arial Narrow" w:hAnsi="Arial Narrow" w:cs="Calibri"/>
                <w:b/>
                <w:bCs/>
                <w:color w:val="000000"/>
                <w:sz w:val="18"/>
                <w:szCs w:val="18"/>
              </w:rPr>
              <w:t>495</w:t>
            </w:r>
            <w:r w:rsidR="00312247">
              <w:rPr>
                <w:rFonts w:ascii="Arial Narrow" w:hAnsi="Arial Narrow" w:cs="Calibri"/>
                <w:b/>
                <w:bCs/>
                <w:color w:val="000000"/>
                <w:sz w:val="18"/>
                <w:szCs w:val="18"/>
              </w:rPr>
              <w:t>.</w:t>
            </w:r>
            <w:r w:rsidRPr="00D043E0">
              <w:rPr>
                <w:rFonts w:ascii="Arial Narrow" w:hAnsi="Arial Narrow" w:cs="Calibri"/>
                <w:b/>
                <w:bCs/>
                <w:color w:val="000000"/>
                <w:sz w:val="18"/>
                <w:szCs w:val="18"/>
              </w:rPr>
              <w:t xml:space="preserve">603 </w:t>
            </w:r>
          </w:p>
        </w:tc>
      </w:tr>
    </w:tbl>
    <w:p w14:paraId="5AA95BEE" w14:textId="7C4E1F9C" w:rsidR="0064218F" w:rsidRDefault="0064218F" w:rsidP="00A11E06">
      <w:pPr>
        <w:pStyle w:val="Textoindependiente"/>
        <w:spacing w:after="0" w:line="240" w:lineRule="auto"/>
        <w:rPr>
          <w:rFonts w:cs="Arial"/>
          <w:b/>
          <w:color w:val="FF0000"/>
          <w:sz w:val="22"/>
          <w:szCs w:val="22"/>
        </w:rPr>
      </w:pPr>
    </w:p>
    <w:p w14:paraId="5C1F8C92" w14:textId="6ABCFFEA" w:rsidR="00AB0B17" w:rsidRDefault="00AB0B17" w:rsidP="00A11E06">
      <w:pPr>
        <w:pStyle w:val="Textoindependiente"/>
        <w:spacing w:after="0" w:line="240" w:lineRule="auto"/>
        <w:rPr>
          <w:rFonts w:cs="Arial"/>
          <w:b/>
          <w:color w:val="FF0000"/>
          <w:sz w:val="22"/>
          <w:szCs w:val="22"/>
        </w:rPr>
      </w:pPr>
    </w:p>
    <w:p w14:paraId="6FB294D0" w14:textId="77777777" w:rsidR="00AB0B17" w:rsidRDefault="00AB0B17" w:rsidP="00A11E06">
      <w:pPr>
        <w:pStyle w:val="Textoindependiente"/>
        <w:spacing w:after="0" w:line="240" w:lineRule="auto"/>
        <w:rPr>
          <w:rFonts w:cs="Arial"/>
          <w:b/>
          <w:color w:val="FF0000"/>
          <w:sz w:val="22"/>
          <w:szCs w:val="22"/>
        </w:rPr>
      </w:pPr>
    </w:p>
    <w:p w14:paraId="654C4A5C" w14:textId="14BAD96E" w:rsidR="006B5A5E" w:rsidRPr="00767202" w:rsidRDefault="00DE22BA" w:rsidP="00767202">
      <w:pPr>
        <w:pStyle w:val="Subttulo"/>
        <w:numPr>
          <w:ilvl w:val="1"/>
          <w:numId w:val="37"/>
        </w:numPr>
        <w:spacing w:after="0"/>
        <w:ind w:left="357" w:hanging="357"/>
        <w:jc w:val="left"/>
        <w:rPr>
          <w:b/>
          <w:bCs/>
          <w:sz w:val="22"/>
          <w:szCs w:val="22"/>
        </w:rPr>
      </w:pPr>
      <w:bookmarkStart w:id="63" w:name="_Toc88126866"/>
      <w:r w:rsidRPr="00767202">
        <w:rPr>
          <w:b/>
          <w:bCs/>
          <w:sz w:val="22"/>
          <w:szCs w:val="22"/>
        </w:rPr>
        <w:lastRenderedPageBreak/>
        <w:t>SERVICIO DE GLP</w:t>
      </w:r>
      <w:r w:rsidR="00311A89" w:rsidRPr="00767202">
        <w:rPr>
          <w:b/>
          <w:bCs/>
          <w:sz w:val="22"/>
          <w:szCs w:val="22"/>
        </w:rPr>
        <w:t>.</w:t>
      </w:r>
      <w:bookmarkEnd w:id="63"/>
      <w:r w:rsidRPr="00767202">
        <w:rPr>
          <w:b/>
          <w:bCs/>
          <w:sz w:val="22"/>
          <w:szCs w:val="22"/>
        </w:rPr>
        <w:t xml:space="preserve"> </w:t>
      </w:r>
    </w:p>
    <w:p w14:paraId="7983ECC0" w14:textId="77777777" w:rsidR="006B5A5E" w:rsidRDefault="006B5A5E" w:rsidP="006B5A5E">
      <w:pPr>
        <w:rPr>
          <w:rFonts w:cs="Arial"/>
          <w:b/>
          <w:sz w:val="22"/>
          <w:szCs w:val="22"/>
        </w:rPr>
      </w:pPr>
    </w:p>
    <w:p w14:paraId="4BFEDC91" w14:textId="7DD82964" w:rsidR="009A18E6" w:rsidRPr="0085721C" w:rsidRDefault="00DE22BA" w:rsidP="00E62DB0">
      <w:pPr>
        <w:rPr>
          <w:rFonts w:asciiTheme="majorHAnsi" w:hAnsiTheme="majorHAnsi" w:cstheme="majorHAnsi"/>
          <w:color w:val="FF0000"/>
          <w:sz w:val="18"/>
          <w:szCs w:val="18"/>
        </w:rPr>
      </w:pPr>
      <w:r w:rsidRPr="00C44935">
        <w:rPr>
          <w:rFonts w:cs="Arial"/>
          <w:sz w:val="22"/>
          <w:szCs w:val="22"/>
        </w:rPr>
        <w:t xml:space="preserve">A continuación, se relacionan las empresas reguladas que prestan el servicio de </w:t>
      </w:r>
      <w:r w:rsidR="008E2C67">
        <w:rPr>
          <w:rFonts w:cs="Arial"/>
          <w:sz w:val="22"/>
          <w:szCs w:val="22"/>
        </w:rPr>
        <w:t>g</w:t>
      </w:r>
      <w:r w:rsidRPr="00C44935">
        <w:rPr>
          <w:rFonts w:cs="Arial"/>
          <w:sz w:val="22"/>
          <w:szCs w:val="22"/>
        </w:rPr>
        <w:t xml:space="preserve">as </w:t>
      </w:r>
      <w:r w:rsidR="008E2C67">
        <w:rPr>
          <w:rFonts w:cs="Arial"/>
          <w:sz w:val="22"/>
          <w:szCs w:val="22"/>
        </w:rPr>
        <w:t>l</w:t>
      </w:r>
      <w:r w:rsidRPr="00C44935">
        <w:rPr>
          <w:rFonts w:cs="Arial"/>
          <w:sz w:val="22"/>
          <w:szCs w:val="22"/>
        </w:rPr>
        <w:t xml:space="preserve">icuado de </w:t>
      </w:r>
      <w:r w:rsidR="008E2C67">
        <w:rPr>
          <w:rFonts w:cs="Arial"/>
          <w:sz w:val="22"/>
          <w:szCs w:val="22"/>
        </w:rPr>
        <w:t>p</w:t>
      </w:r>
      <w:r w:rsidRPr="00C44935">
        <w:rPr>
          <w:rFonts w:cs="Arial"/>
          <w:sz w:val="22"/>
          <w:szCs w:val="22"/>
        </w:rPr>
        <w:t>etróleo:</w:t>
      </w:r>
      <w:r w:rsidR="006B7AA6" w:rsidRPr="0085721C">
        <w:rPr>
          <w:color w:val="FF0000"/>
        </w:rPr>
        <w:fldChar w:fldCharType="begin"/>
      </w:r>
      <w:r w:rsidR="006B7AA6" w:rsidRPr="0085721C">
        <w:rPr>
          <w:color w:val="FF0000"/>
        </w:rPr>
        <w:instrText xml:space="preserve"> LINK </w:instrText>
      </w:r>
      <w:r w:rsidR="00CE0C81" w:rsidRPr="0085721C">
        <w:rPr>
          <w:color w:val="FF0000"/>
        </w:rPr>
        <w:instrText xml:space="preserve">Excel.Sheet.12 "C:\\Users\\jsalazarb\\AppData\\Local\\Temp\\notesE99A2E\\4 Empresas que se les aplico paragrafo.xlsx" Hoja3!F1C3:F83C8 </w:instrText>
      </w:r>
      <w:r w:rsidR="006B7AA6" w:rsidRPr="0085721C">
        <w:rPr>
          <w:color w:val="FF0000"/>
        </w:rPr>
        <w:instrText xml:space="preserve">\a \f 4 \h  \* MERGEFORMAT </w:instrText>
      </w:r>
      <w:r w:rsidR="006B7AA6" w:rsidRPr="0085721C">
        <w:rPr>
          <w:color w:val="FF0000"/>
        </w:rPr>
        <w:fldChar w:fldCharType="separate"/>
      </w:r>
    </w:p>
    <w:p w14:paraId="0B607E32" w14:textId="787ABA24" w:rsidR="00820FF0" w:rsidRDefault="006B7AA6" w:rsidP="00656F34">
      <w:pPr>
        <w:rPr>
          <w:rFonts w:asciiTheme="majorHAnsi" w:hAnsiTheme="majorHAnsi" w:cstheme="majorHAnsi"/>
          <w:color w:val="FF0000"/>
          <w:sz w:val="18"/>
          <w:szCs w:val="18"/>
        </w:rPr>
      </w:pPr>
      <w:r w:rsidRPr="0085721C">
        <w:rPr>
          <w:rFonts w:asciiTheme="majorHAnsi" w:hAnsiTheme="majorHAnsi" w:cstheme="majorHAnsi"/>
          <w:color w:val="FF0000"/>
          <w:sz w:val="18"/>
          <w:szCs w:val="18"/>
        </w:rPr>
        <w:fldChar w:fldCharType="end"/>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9"/>
        <w:gridCol w:w="879"/>
        <w:gridCol w:w="4782"/>
        <w:gridCol w:w="1380"/>
        <w:gridCol w:w="1360"/>
      </w:tblGrid>
      <w:tr w:rsidR="00656F34" w:rsidRPr="00656F34" w14:paraId="2364398A" w14:textId="77777777" w:rsidTr="00656F34">
        <w:trPr>
          <w:trHeight w:val="290"/>
          <w:tblHeader/>
        </w:trPr>
        <w:tc>
          <w:tcPr>
            <w:tcW w:w="319" w:type="dxa"/>
            <w:shd w:val="clear" w:color="000000" w:fill="F2F2F2"/>
            <w:noWrap/>
            <w:vAlign w:val="center"/>
            <w:hideMark/>
          </w:tcPr>
          <w:p w14:paraId="1EEA20F5" w14:textId="77777777" w:rsidR="00656F34" w:rsidRPr="00656F34" w:rsidRDefault="00656F34" w:rsidP="00656F34">
            <w:pPr>
              <w:jc w:val="center"/>
              <w:rPr>
                <w:rFonts w:ascii="Arial Narrow" w:hAnsi="Arial Narrow" w:cs="Calibri"/>
                <w:b/>
                <w:bCs/>
                <w:spacing w:val="0"/>
                <w:sz w:val="18"/>
                <w:szCs w:val="18"/>
                <w:lang w:eastAsia="es-CO"/>
              </w:rPr>
            </w:pPr>
            <w:r w:rsidRPr="00656F34">
              <w:rPr>
                <w:rFonts w:ascii="Arial Narrow" w:hAnsi="Arial Narrow" w:cs="Calibri"/>
                <w:b/>
                <w:bCs/>
                <w:spacing w:val="0"/>
                <w:sz w:val="18"/>
                <w:szCs w:val="18"/>
                <w:lang w:eastAsia="es-CO"/>
              </w:rPr>
              <w:t>N°</w:t>
            </w:r>
          </w:p>
        </w:tc>
        <w:tc>
          <w:tcPr>
            <w:tcW w:w="879" w:type="dxa"/>
            <w:shd w:val="clear" w:color="000000" w:fill="F2F2F2"/>
            <w:noWrap/>
            <w:vAlign w:val="center"/>
            <w:hideMark/>
          </w:tcPr>
          <w:p w14:paraId="16FF07B6" w14:textId="77777777" w:rsidR="00656F34" w:rsidRPr="00656F34" w:rsidRDefault="00656F34" w:rsidP="00656F34">
            <w:pPr>
              <w:jc w:val="center"/>
              <w:rPr>
                <w:rFonts w:ascii="Arial Narrow" w:hAnsi="Arial Narrow" w:cs="Calibri"/>
                <w:b/>
                <w:bCs/>
                <w:spacing w:val="0"/>
                <w:sz w:val="18"/>
                <w:szCs w:val="18"/>
                <w:lang w:eastAsia="es-CO"/>
              </w:rPr>
            </w:pPr>
            <w:r w:rsidRPr="00656F34">
              <w:rPr>
                <w:rFonts w:ascii="Arial Narrow" w:hAnsi="Arial Narrow" w:cs="Calibri"/>
                <w:b/>
                <w:bCs/>
                <w:spacing w:val="0"/>
                <w:sz w:val="18"/>
                <w:szCs w:val="18"/>
                <w:lang w:eastAsia="es-CO"/>
              </w:rPr>
              <w:t>NIT</w:t>
            </w:r>
          </w:p>
        </w:tc>
        <w:tc>
          <w:tcPr>
            <w:tcW w:w="4782" w:type="dxa"/>
            <w:shd w:val="clear" w:color="000000" w:fill="F2F2F2"/>
            <w:vAlign w:val="center"/>
            <w:hideMark/>
          </w:tcPr>
          <w:p w14:paraId="50D78724" w14:textId="77777777" w:rsidR="00656F34" w:rsidRPr="00656F34" w:rsidRDefault="00656F34" w:rsidP="00656F34">
            <w:pPr>
              <w:jc w:val="center"/>
              <w:rPr>
                <w:rFonts w:ascii="Arial Narrow" w:hAnsi="Arial Narrow" w:cs="Calibri"/>
                <w:b/>
                <w:bCs/>
                <w:spacing w:val="0"/>
                <w:sz w:val="18"/>
                <w:szCs w:val="18"/>
                <w:lang w:eastAsia="es-CO"/>
              </w:rPr>
            </w:pPr>
            <w:r w:rsidRPr="00656F34">
              <w:rPr>
                <w:rFonts w:ascii="Arial Narrow" w:hAnsi="Arial Narrow" w:cs="Calibri"/>
                <w:b/>
                <w:bCs/>
                <w:spacing w:val="0"/>
                <w:sz w:val="18"/>
                <w:szCs w:val="18"/>
                <w:lang w:eastAsia="es-CO"/>
              </w:rPr>
              <w:t>RAZÓN SOCIAL DEL REGULADO</w:t>
            </w:r>
          </w:p>
        </w:tc>
        <w:tc>
          <w:tcPr>
            <w:tcW w:w="1380" w:type="dxa"/>
            <w:shd w:val="clear" w:color="000000" w:fill="F2F2F2"/>
            <w:noWrap/>
            <w:vAlign w:val="center"/>
            <w:hideMark/>
          </w:tcPr>
          <w:p w14:paraId="7768487E" w14:textId="77777777" w:rsidR="00656F34" w:rsidRPr="00656F34" w:rsidRDefault="00656F34" w:rsidP="00656F34">
            <w:pPr>
              <w:jc w:val="center"/>
              <w:rPr>
                <w:rFonts w:ascii="Arial Narrow" w:hAnsi="Arial Narrow" w:cs="Calibri"/>
                <w:b/>
                <w:bCs/>
                <w:spacing w:val="0"/>
                <w:sz w:val="18"/>
                <w:szCs w:val="18"/>
                <w:lang w:eastAsia="es-CO"/>
              </w:rPr>
            </w:pPr>
            <w:r w:rsidRPr="00656F34">
              <w:rPr>
                <w:rFonts w:ascii="Arial Narrow" w:hAnsi="Arial Narrow" w:cs="Calibri"/>
                <w:b/>
                <w:bCs/>
                <w:spacing w:val="0"/>
                <w:sz w:val="18"/>
                <w:szCs w:val="18"/>
                <w:lang w:eastAsia="es-CO"/>
              </w:rPr>
              <w:t>Base Gravable</w:t>
            </w:r>
          </w:p>
        </w:tc>
        <w:tc>
          <w:tcPr>
            <w:tcW w:w="1360" w:type="dxa"/>
            <w:shd w:val="clear" w:color="000000" w:fill="F2F2F2"/>
            <w:noWrap/>
            <w:vAlign w:val="center"/>
            <w:hideMark/>
          </w:tcPr>
          <w:p w14:paraId="76B1F07F" w14:textId="77777777" w:rsidR="00656F34" w:rsidRPr="00656F34" w:rsidRDefault="00656F34" w:rsidP="00656F34">
            <w:pPr>
              <w:jc w:val="center"/>
              <w:rPr>
                <w:rFonts w:ascii="Arial Narrow" w:hAnsi="Arial Narrow" w:cs="Calibri"/>
                <w:b/>
                <w:bCs/>
                <w:spacing w:val="0"/>
                <w:sz w:val="18"/>
                <w:szCs w:val="18"/>
                <w:lang w:eastAsia="es-CO"/>
              </w:rPr>
            </w:pPr>
            <w:r w:rsidRPr="00656F34">
              <w:rPr>
                <w:rFonts w:ascii="Arial Narrow" w:hAnsi="Arial Narrow" w:cs="Calibri"/>
                <w:b/>
                <w:bCs/>
                <w:spacing w:val="0"/>
                <w:sz w:val="18"/>
                <w:szCs w:val="18"/>
                <w:lang w:eastAsia="es-CO"/>
              </w:rPr>
              <w:t>Contribución 2021</w:t>
            </w:r>
          </w:p>
        </w:tc>
      </w:tr>
      <w:tr w:rsidR="00656F34" w:rsidRPr="00656F34" w14:paraId="21487E1F" w14:textId="77777777" w:rsidTr="00656F34">
        <w:trPr>
          <w:trHeight w:val="290"/>
        </w:trPr>
        <w:tc>
          <w:tcPr>
            <w:tcW w:w="319" w:type="dxa"/>
            <w:shd w:val="clear" w:color="auto" w:fill="auto"/>
            <w:noWrap/>
            <w:vAlign w:val="center"/>
            <w:hideMark/>
          </w:tcPr>
          <w:p w14:paraId="57003148" w14:textId="77777777" w:rsidR="00656F34" w:rsidRPr="00656F34" w:rsidRDefault="00656F34" w:rsidP="00656F34">
            <w:pPr>
              <w:jc w:val="center"/>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1</w:t>
            </w:r>
          </w:p>
        </w:tc>
        <w:tc>
          <w:tcPr>
            <w:tcW w:w="879" w:type="dxa"/>
            <w:shd w:val="clear" w:color="auto" w:fill="auto"/>
            <w:noWrap/>
            <w:vAlign w:val="center"/>
            <w:hideMark/>
          </w:tcPr>
          <w:p w14:paraId="3D6F824E" w14:textId="77777777"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800125495</w:t>
            </w:r>
          </w:p>
        </w:tc>
        <w:tc>
          <w:tcPr>
            <w:tcW w:w="4782" w:type="dxa"/>
            <w:shd w:val="clear" w:color="auto" w:fill="auto"/>
            <w:vAlign w:val="center"/>
            <w:hideMark/>
          </w:tcPr>
          <w:p w14:paraId="79E6BA6E" w14:textId="77777777" w:rsidR="00656F34" w:rsidRPr="00656F34" w:rsidRDefault="00656F34" w:rsidP="00656F34">
            <w:pPr>
              <w:jc w:val="lef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ALMACENADORA DE GASES DE APIAY S.A. ESP</w:t>
            </w:r>
          </w:p>
        </w:tc>
        <w:tc>
          <w:tcPr>
            <w:tcW w:w="1380" w:type="dxa"/>
            <w:shd w:val="clear" w:color="auto" w:fill="auto"/>
            <w:noWrap/>
            <w:vAlign w:val="center"/>
            <w:hideMark/>
          </w:tcPr>
          <w:p w14:paraId="238B14D5" w14:textId="4C9C909E"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 xml:space="preserve">          841</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909</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 xml:space="preserve">011 </w:t>
            </w:r>
          </w:p>
        </w:tc>
        <w:tc>
          <w:tcPr>
            <w:tcW w:w="1360" w:type="dxa"/>
            <w:shd w:val="clear" w:color="auto" w:fill="auto"/>
            <w:noWrap/>
            <w:vAlign w:val="center"/>
            <w:hideMark/>
          </w:tcPr>
          <w:p w14:paraId="29AB076C" w14:textId="236DBD1A"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 xml:space="preserve">             8</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419</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 xml:space="preserve">090 </w:t>
            </w:r>
          </w:p>
        </w:tc>
      </w:tr>
      <w:tr w:rsidR="00656F34" w:rsidRPr="00656F34" w14:paraId="175800D9" w14:textId="77777777" w:rsidTr="00656F34">
        <w:trPr>
          <w:trHeight w:val="290"/>
        </w:trPr>
        <w:tc>
          <w:tcPr>
            <w:tcW w:w="319" w:type="dxa"/>
            <w:shd w:val="clear" w:color="auto" w:fill="auto"/>
            <w:noWrap/>
            <w:vAlign w:val="center"/>
            <w:hideMark/>
          </w:tcPr>
          <w:p w14:paraId="751B3477" w14:textId="77777777" w:rsidR="00656F34" w:rsidRPr="00656F34" w:rsidRDefault="00656F34" w:rsidP="00656F34">
            <w:pPr>
              <w:jc w:val="center"/>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2</w:t>
            </w:r>
          </w:p>
        </w:tc>
        <w:tc>
          <w:tcPr>
            <w:tcW w:w="879" w:type="dxa"/>
            <w:shd w:val="clear" w:color="auto" w:fill="auto"/>
            <w:noWrap/>
            <w:vAlign w:val="center"/>
            <w:hideMark/>
          </w:tcPr>
          <w:p w14:paraId="2FB8A4D4" w14:textId="77777777"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800176319</w:t>
            </w:r>
          </w:p>
        </w:tc>
        <w:tc>
          <w:tcPr>
            <w:tcW w:w="4782" w:type="dxa"/>
            <w:shd w:val="clear" w:color="auto" w:fill="auto"/>
            <w:vAlign w:val="center"/>
            <w:hideMark/>
          </w:tcPr>
          <w:p w14:paraId="59982C8F" w14:textId="77777777" w:rsidR="00656F34" w:rsidRPr="00656F34" w:rsidRDefault="00656F34" w:rsidP="00656F34">
            <w:pPr>
              <w:jc w:val="lef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ALMALLANO S.A. ESP</w:t>
            </w:r>
          </w:p>
        </w:tc>
        <w:tc>
          <w:tcPr>
            <w:tcW w:w="1380" w:type="dxa"/>
            <w:shd w:val="clear" w:color="auto" w:fill="auto"/>
            <w:noWrap/>
            <w:vAlign w:val="center"/>
            <w:hideMark/>
          </w:tcPr>
          <w:p w14:paraId="3DF25818" w14:textId="40819CF0"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 xml:space="preserve">       3</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566</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338</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 xml:space="preserve">635 </w:t>
            </w:r>
          </w:p>
        </w:tc>
        <w:tc>
          <w:tcPr>
            <w:tcW w:w="1360" w:type="dxa"/>
            <w:shd w:val="clear" w:color="auto" w:fill="auto"/>
            <w:noWrap/>
            <w:vAlign w:val="center"/>
            <w:hideMark/>
          </w:tcPr>
          <w:p w14:paraId="152A6B03" w14:textId="33D629A4"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 xml:space="preserve">           35</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663</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 xml:space="preserve">386 </w:t>
            </w:r>
          </w:p>
        </w:tc>
      </w:tr>
      <w:tr w:rsidR="00656F34" w:rsidRPr="00656F34" w14:paraId="0C718392" w14:textId="77777777" w:rsidTr="00656F34">
        <w:trPr>
          <w:trHeight w:val="290"/>
        </w:trPr>
        <w:tc>
          <w:tcPr>
            <w:tcW w:w="319" w:type="dxa"/>
            <w:shd w:val="clear" w:color="auto" w:fill="auto"/>
            <w:noWrap/>
            <w:vAlign w:val="center"/>
            <w:hideMark/>
          </w:tcPr>
          <w:p w14:paraId="2625457F" w14:textId="77777777" w:rsidR="00656F34" w:rsidRPr="00656F34" w:rsidRDefault="00656F34" w:rsidP="00656F34">
            <w:pPr>
              <w:jc w:val="center"/>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3</w:t>
            </w:r>
          </w:p>
        </w:tc>
        <w:tc>
          <w:tcPr>
            <w:tcW w:w="879" w:type="dxa"/>
            <w:shd w:val="clear" w:color="auto" w:fill="auto"/>
            <w:noWrap/>
            <w:vAlign w:val="center"/>
            <w:hideMark/>
          </w:tcPr>
          <w:p w14:paraId="7EE7E99B" w14:textId="77777777"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860352913</w:t>
            </w:r>
          </w:p>
        </w:tc>
        <w:tc>
          <w:tcPr>
            <w:tcW w:w="4782" w:type="dxa"/>
            <w:shd w:val="clear" w:color="auto" w:fill="auto"/>
            <w:vAlign w:val="center"/>
            <w:hideMark/>
          </w:tcPr>
          <w:p w14:paraId="21F9E2A9" w14:textId="1FDFE5E4" w:rsidR="00656F34" w:rsidRPr="00656F34" w:rsidRDefault="00656F34" w:rsidP="00656F34">
            <w:pPr>
              <w:jc w:val="lef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ALMANSILLA S.A. E.S.P.</w:t>
            </w:r>
          </w:p>
        </w:tc>
        <w:tc>
          <w:tcPr>
            <w:tcW w:w="1380" w:type="dxa"/>
            <w:shd w:val="clear" w:color="auto" w:fill="auto"/>
            <w:noWrap/>
            <w:vAlign w:val="center"/>
            <w:hideMark/>
          </w:tcPr>
          <w:p w14:paraId="0A7930E9" w14:textId="2D81EBA8"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 xml:space="preserve">            48</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172</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 xml:space="preserve">280 </w:t>
            </w:r>
          </w:p>
        </w:tc>
        <w:tc>
          <w:tcPr>
            <w:tcW w:w="1360" w:type="dxa"/>
            <w:shd w:val="clear" w:color="auto" w:fill="auto"/>
            <w:noWrap/>
            <w:vAlign w:val="center"/>
            <w:hideMark/>
          </w:tcPr>
          <w:p w14:paraId="66560101" w14:textId="12E2418C"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 xml:space="preserve">                481</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 xml:space="preserve">723 </w:t>
            </w:r>
          </w:p>
        </w:tc>
      </w:tr>
      <w:tr w:rsidR="00656F34" w:rsidRPr="00656F34" w14:paraId="0770019D" w14:textId="77777777" w:rsidTr="00656F34">
        <w:trPr>
          <w:trHeight w:val="290"/>
        </w:trPr>
        <w:tc>
          <w:tcPr>
            <w:tcW w:w="319" w:type="dxa"/>
            <w:shd w:val="clear" w:color="auto" w:fill="auto"/>
            <w:noWrap/>
            <w:vAlign w:val="center"/>
            <w:hideMark/>
          </w:tcPr>
          <w:p w14:paraId="79D12358" w14:textId="77777777" w:rsidR="00656F34" w:rsidRPr="00656F34" w:rsidRDefault="00656F34" w:rsidP="00656F34">
            <w:pPr>
              <w:jc w:val="center"/>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4</w:t>
            </w:r>
          </w:p>
        </w:tc>
        <w:tc>
          <w:tcPr>
            <w:tcW w:w="879" w:type="dxa"/>
            <w:shd w:val="clear" w:color="auto" w:fill="auto"/>
            <w:noWrap/>
            <w:vAlign w:val="center"/>
            <w:hideMark/>
          </w:tcPr>
          <w:p w14:paraId="6745E6B8" w14:textId="77777777"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900531210</w:t>
            </w:r>
          </w:p>
        </w:tc>
        <w:tc>
          <w:tcPr>
            <w:tcW w:w="4782" w:type="dxa"/>
            <w:shd w:val="clear" w:color="auto" w:fill="auto"/>
            <w:vAlign w:val="center"/>
            <w:hideMark/>
          </w:tcPr>
          <w:p w14:paraId="7FB11581" w14:textId="77777777" w:rsidR="00656F34" w:rsidRPr="00656F34" w:rsidRDefault="00656F34" w:rsidP="00656F34">
            <w:pPr>
              <w:jc w:val="lef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CENIT TRANSPORTE Y LOGISTICA DE HIDROCARBUROS S.A.S</w:t>
            </w:r>
          </w:p>
        </w:tc>
        <w:tc>
          <w:tcPr>
            <w:tcW w:w="1380" w:type="dxa"/>
            <w:shd w:val="clear" w:color="auto" w:fill="auto"/>
            <w:noWrap/>
            <w:vAlign w:val="center"/>
            <w:hideMark/>
          </w:tcPr>
          <w:p w14:paraId="4792EEF2" w14:textId="1B82BE71"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 xml:space="preserve">       2</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404</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471</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 xml:space="preserve">943 </w:t>
            </w:r>
          </w:p>
        </w:tc>
        <w:tc>
          <w:tcPr>
            <w:tcW w:w="1360" w:type="dxa"/>
            <w:shd w:val="clear" w:color="auto" w:fill="auto"/>
            <w:noWrap/>
            <w:vAlign w:val="center"/>
            <w:hideMark/>
          </w:tcPr>
          <w:p w14:paraId="6AE5A822" w14:textId="2EF66CD6"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 xml:space="preserve">           24</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044</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 xml:space="preserve">719 </w:t>
            </w:r>
          </w:p>
        </w:tc>
      </w:tr>
      <w:tr w:rsidR="00656F34" w:rsidRPr="00656F34" w14:paraId="18EABC8B" w14:textId="77777777" w:rsidTr="00656F34">
        <w:trPr>
          <w:trHeight w:val="290"/>
        </w:trPr>
        <w:tc>
          <w:tcPr>
            <w:tcW w:w="319" w:type="dxa"/>
            <w:shd w:val="clear" w:color="auto" w:fill="auto"/>
            <w:noWrap/>
            <w:vAlign w:val="center"/>
            <w:hideMark/>
          </w:tcPr>
          <w:p w14:paraId="6EFA8ED1" w14:textId="77777777" w:rsidR="00656F34" w:rsidRPr="00656F34" w:rsidRDefault="00656F34" w:rsidP="00656F34">
            <w:pPr>
              <w:jc w:val="center"/>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5</w:t>
            </w:r>
          </w:p>
        </w:tc>
        <w:tc>
          <w:tcPr>
            <w:tcW w:w="879" w:type="dxa"/>
            <w:shd w:val="clear" w:color="auto" w:fill="auto"/>
            <w:noWrap/>
            <w:vAlign w:val="center"/>
            <w:hideMark/>
          </w:tcPr>
          <w:p w14:paraId="1D45DD44" w14:textId="77777777"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900643166</w:t>
            </w:r>
          </w:p>
        </w:tc>
        <w:tc>
          <w:tcPr>
            <w:tcW w:w="4782" w:type="dxa"/>
            <w:shd w:val="clear" w:color="auto" w:fill="auto"/>
            <w:vAlign w:val="center"/>
            <w:hideMark/>
          </w:tcPr>
          <w:p w14:paraId="1C463E91" w14:textId="77777777" w:rsidR="00656F34" w:rsidRPr="00656F34" w:rsidRDefault="00656F34" w:rsidP="00656F34">
            <w:pPr>
              <w:jc w:val="lef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CENTRAL DE HIDROCARBUROS GC SAS ESP</w:t>
            </w:r>
          </w:p>
        </w:tc>
        <w:tc>
          <w:tcPr>
            <w:tcW w:w="1380" w:type="dxa"/>
            <w:shd w:val="clear" w:color="auto" w:fill="auto"/>
            <w:noWrap/>
            <w:vAlign w:val="center"/>
            <w:hideMark/>
          </w:tcPr>
          <w:p w14:paraId="4DDAF161" w14:textId="63E5BE8A"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 xml:space="preserve">          111</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759</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 xml:space="preserve">078 </w:t>
            </w:r>
          </w:p>
        </w:tc>
        <w:tc>
          <w:tcPr>
            <w:tcW w:w="1360" w:type="dxa"/>
            <w:shd w:val="clear" w:color="auto" w:fill="auto"/>
            <w:noWrap/>
            <w:vAlign w:val="center"/>
            <w:hideMark/>
          </w:tcPr>
          <w:p w14:paraId="636AF29F" w14:textId="19CA70BB"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 xml:space="preserve">             1</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117</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 xml:space="preserve">591 </w:t>
            </w:r>
          </w:p>
        </w:tc>
      </w:tr>
      <w:tr w:rsidR="00656F34" w:rsidRPr="00656F34" w14:paraId="511F8AEF" w14:textId="77777777" w:rsidTr="00656F34">
        <w:trPr>
          <w:trHeight w:val="290"/>
        </w:trPr>
        <w:tc>
          <w:tcPr>
            <w:tcW w:w="319" w:type="dxa"/>
            <w:shd w:val="clear" w:color="auto" w:fill="auto"/>
            <w:noWrap/>
            <w:vAlign w:val="center"/>
            <w:hideMark/>
          </w:tcPr>
          <w:p w14:paraId="004FE0DD" w14:textId="77777777" w:rsidR="00656F34" w:rsidRPr="00656F34" w:rsidRDefault="00656F34" w:rsidP="00656F34">
            <w:pPr>
              <w:jc w:val="center"/>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6</w:t>
            </w:r>
          </w:p>
        </w:tc>
        <w:tc>
          <w:tcPr>
            <w:tcW w:w="879" w:type="dxa"/>
            <w:shd w:val="clear" w:color="auto" w:fill="auto"/>
            <w:noWrap/>
            <w:vAlign w:val="center"/>
            <w:hideMark/>
          </w:tcPr>
          <w:p w14:paraId="137232E3" w14:textId="77777777"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900038232</w:t>
            </w:r>
          </w:p>
        </w:tc>
        <w:tc>
          <w:tcPr>
            <w:tcW w:w="4782" w:type="dxa"/>
            <w:shd w:val="clear" w:color="auto" w:fill="auto"/>
            <w:vAlign w:val="center"/>
            <w:hideMark/>
          </w:tcPr>
          <w:p w14:paraId="1F16F593" w14:textId="77777777" w:rsidR="00656F34" w:rsidRPr="00656F34" w:rsidRDefault="00656F34" w:rsidP="00656F34">
            <w:pPr>
              <w:jc w:val="lef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CENTRAL TERMOELECTRICA EL MORRO 2 SAS ESP</w:t>
            </w:r>
          </w:p>
        </w:tc>
        <w:tc>
          <w:tcPr>
            <w:tcW w:w="1380" w:type="dxa"/>
            <w:shd w:val="clear" w:color="auto" w:fill="auto"/>
            <w:noWrap/>
            <w:vAlign w:val="center"/>
            <w:hideMark/>
          </w:tcPr>
          <w:p w14:paraId="4ED7D8B5" w14:textId="2BBD0E99"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 xml:space="preserve">          369</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229</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 xml:space="preserve">771 </w:t>
            </w:r>
          </w:p>
        </w:tc>
        <w:tc>
          <w:tcPr>
            <w:tcW w:w="1360" w:type="dxa"/>
            <w:shd w:val="clear" w:color="auto" w:fill="auto"/>
            <w:noWrap/>
            <w:vAlign w:val="center"/>
            <w:hideMark/>
          </w:tcPr>
          <w:p w14:paraId="49A16EAC" w14:textId="4495B78F"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 xml:space="preserve">             3</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692</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 xml:space="preserve">298 </w:t>
            </w:r>
          </w:p>
        </w:tc>
      </w:tr>
      <w:tr w:rsidR="00656F34" w:rsidRPr="00656F34" w14:paraId="6ADBEEBE" w14:textId="77777777" w:rsidTr="00656F34">
        <w:trPr>
          <w:trHeight w:val="290"/>
        </w:trPr>
        <w:tc>
          <w:tcPr>
            <w:tcW w:w="319" w:type="dxa"/>
            <w:shd w:val="clear" w:color="auto" w:fill="auto"/>
            <w:noWrap/>
            <w:vAlign w:val="center"/>
            <w:hideMark/>
          </w:tcPr>
          <w:p w14:paraId="4221D37B" w14:textId="77777777" w:rsidR="00656F34" w:rsidRPr="00656F34" w:rsidRDefault="00656F34" w:rsidP="00656F34">
            <w:pPr>
              <w:jc w:val="center"/>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7</w:t>
            </w:r>
          </w:p>
        </w:tc>
        <w:tc>
          <w:tcPr>
            <w:tcW w:w="879" w:type="dxa"/>
            <w:shd w:val="clear" w:color="auto" w:fill="auto"/>
            <w:noWrap/>
            <w:vAlign w:val="center"/>
            <w:hideMark/>
          </w:tcPr>
          <w:p w14:paraId="26BAFBAA" w14:textId="77777777"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900396759</w:t>
            </w:r>
          </w:p>
        </w:tc>
        <w:tc>
          <w:tcPr>
            <w:tcW w:w="4782" w:type="dxa"/>
            <w:shd w:val="clear" w:color="auto" w:fill="auto"/>
            <w:vAlign w:val="center"/>
            <w:hideMark/>
          </w:tcPr>
          <w:p w14:paraId="6E556466" w14:textId="77777777" w:rsidR="00656F34" w:rsidRPr="00656F34" w:rsidRDefault="00656F34" w:rsidP="00656F34">
            <w:pPr>
              <w:jc w:val="lef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CHILCO DISTRIBUIDORA DE GAS Y ENERGIA SAS ESP</w:t>
            </w:r>
          </w:p>
        </w:tc>
        <w:tc>
          <w:tcPr>
            <w:tcW w:w="1380" w:type="dxa"/>
            <w:shd w:val="clear" w:color="auto" w:fill="auto"/>
            <w:noWrap/>
            <w:vAlign w:val="center"/>
            <w:hideMark/>
          </w:tcPr>
          <w:p w14:paraId="5CF98D5F" w14:textId="6534BAFD"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 xml:space="preserve">       7</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202</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386</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 xml:space="preserve">392 </w:t>
            </w:r>
          </w:p>
        </w:tc>
        <w:tc>
          <w:tcPr>
            <w:tcW w:w="1360" w:type="dxa"/>
            <w:shd w:val="clear" w:color="auto" w:fill="auto"/>
            <w:noWrap/>
            <w:vAlign w:val="center"/>
            <w:hideMark/>
          </w:tcPr>
          <w:p w14:paraId="6CB15A23" w14:textId="010080B0"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 xml:space="preserve">           72</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023</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 xml:space="preserve">864 </w:t>
            </w:r>
          </w:p>
        </w:tc>
      </w:tr>
      <w:tr w:rsidR="00656F34" w:rsidRPr="00656F34" w14:paraId="3FC3EBAE" w14:textId="77777777" w:rsidTr="00656F34">
        <w:trPr>
          <w:trHeight w:val="290"/>
        </w:trPr>
        <w:tc>
          <w:tcPr>
            <w:tcW w:w="319" w:type="dxa"/>
            <w:shd w:val="clear" w:color="auto" w:fill="auto"/>
            <w:noWrap/>
            <w:vAlign w:val="center"/>
            <w:hideMark/>
          </w:tcPr>
          <w:p w14:paraId="1262DCF2" w14:textId="77777777" w:rsidR="00656F34" w:rsidRPr="00656F34" w:rsidRDefault="00656F34" w:rsidP="00656F34">
            <w:pPr>
              <w:jc w:val="center"/>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8</w:t>
            </w:r>
          </w:p>
        </w:tc>
        <w:tc>
          <w:tcPr>
            <w:tcW w:w="879" w:type="dxa"/>
            <w:shd w:val="clear" w:color="auto" w:fill="auto"/>
            <w:noWrap/>
            <w:vAlign w:val="center"/>
            <w:hideMark/>
          </w:tcPr>
          <w:p w14:paraId="75C2F55F" w14:textId="77777777"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900052841</w:t>
            </w:r>
          </w:p>
        </w:tc>
        <w:tc>
          <w:tcPr>
            <w:tcW w:w="4782" w:type="dxa"/>
            <w:shd w:val="clear" w:color="auto" w:fill="auto"/>
            <w:vAlign w:val="center"/>
            <w:hideMark/>
          </w:tcPr>
          <w:p w14:paraId="534C25F6" w14:textId="77777777" w:rsidR="00656F34" w:rsidRPr="00656F34" w:rsidRDefault="00656F34" w:rsidP="00656F34">
            <w:pPr>
              <w:jc w:val="lef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CITYGAS COLOMBIA S.A. ESP.</w:t>
            </w:r>
          </w:p>
        </w:tc>
        <w:tc>
          <w:tcPr>
            <w:tcW w:w="1380" w:type="dxa"/>
            <w:shd w:val="clear" w:color="auto" w:fill="auto"/>
            <w:noWrap/>
            <w:vAlign w:val="center"/>
            <w:hideMark/>
          </w:tcPr>
          <w:p w14:paraId="2B59304D" w14:textId="5DADC130"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 xml:space="preserve">          697</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672</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 xml:space="preserve">785 </w:t>
            </w:r>
          </w:p>
        </w:tc>
        <w:tc>
          <w:tcPr>
            <w:tcW w:w="1360" w:type="dxa"/>
            <w:shd w:val="clear" w:color="auto" w:fill="auto"/>
            <w:noWrap/>
            <w:vAlign w:val="center"/>
            <w:hideMark/>
          </w:tcPr>
          <w:p w14:paraId="179EBCF6" w14:textId="5AB7D73C"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 xml:space="preserve">             6</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976</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 xml:space="preserve">728 </w:t>
            </w:r>
          </w:p>
        </w:tc>
      </w:tr>
      <w:tr w:rsidR="00656F34" w:rsidRPr="00656F34" w14:paraId="17A7B7ED" w14:textId="77777777" w:rsidTr="00656F34">
        <w:trPr>
          <w:trHeight w:val="290"/>
        </w:trPr>
        <w:tc>
          <w:tcPr>
            <w:tcW w:w="319" w:type="dxa"/>
            <w:shd w:val="clear" w:color="auto" w:fill="auto"/>
            <w:noWrap/>
            <w:vAlign w:val="center"/>
            <w:hideMark/>
          </w:tcPr>
          <w:p w14:paraId="5A354288" w14:textId="77777777" w:rsidR="00656F34" w:rsidRPr="00656F34" w:rsidRDefault="00656F34" w:rsidP="00656F34">
            <w:pPr>
              <w:jc w:val="center"/>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9</w:t>
            </w:r>
          </w:p>
        </w:tc>
        <w:tc>
          <w:tcPr>
            <w:tcW w:w="879" w:type="dxa"/>
            <w:shd w:val="clear" w:color="auto" w:fill="auto"/>
            <w:noWrap/>
            <w:vAlign w:val="center"/>
            <w:hideMark/>
          </w:tcPr>
          <w:p w14:paraId="484650D2" w14:textId="77777777"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900453463</w:t>
            </w:r>
          </w:p>
        </w:tc>
        <w:tc>
          <w:tcPr>
            <w:tcW w:w="4782" w:type="dxa"/>
            <w:shd w:val="clear" w:color="auto" w:fill="auto"/>
            <w:vAlign w:val="center"/>
            <w:hideMark/>
          </w:tcPr>
          <w:p w14:paraId="4C9753F7" w14:textId="483477AC" w:rsidR="00656F34" w:rsidRPr="00656F34" w:rsidRDefault="00656F34" w:rsidP="00656F34">
            <w:pPr>
              <w:jc w:val="lef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CITYGAS DISTRIBUIDORA S.A.S. E.S.P</w:t>
            </w:r>
            <w:r>
              <w:rPr>
                <w:rFonts w:ascii="Arial Narrow" w:hAnsi="Arial Narrow" w:cs="Calibri"/>
                <w:spacing w:val="0"/>
                <w:sz w:val="18"/>
                <w:szCs w:val="18"/>
                <w:lang w:eastAsia="es-CO"/>
              </w:rPr>
              <w:t>.</w:t>
            </w:r>
          </w:p>
        </w:tc>
        <w:tc>
          <w:tcPr>
            <w:tcW w:w="1380" w:type="dxa"/>
            <w:shd w:val="clear" w:color="auto" w:fill="auto"/>
            <w:noWrap/>
            <w:vAlign w:val="center"/>
            <w:hideMark/>
          </w:tcPr>
          <w:p w14:paraId="647D161A" w14:textId="72E0D410"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 xml:space="preserve">          278</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140</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 xml:space="preserve">011 </w:t>
            </w:r>
          </w:p>
        </w:tc>
        <w:tc>
          <w:tcPr>
            <w:tcW w:w="1360" w:type="dxa"/>
            <w:shd w:val="clear" w:color="auto" w:fill="auto"/>
            <w:noWrap/>
            <w:vAlign w:val="center"/>
            <w:hideMark/>
          </w:tcPr>
          <w:p w14:paraId="2DC5C873" w14:textId="19BA544A"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 xml:space="preserve">             2</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781</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 xml:space="preserve">400 </w:t>
            </w:r>
          </w:p>
        </w:tc>
      </w:tr>
      <w:tr w:rsidR="00656F34" w:rsidRPr="00656F34" w14:paraId="2631E0F0" w14:textId="77777777" w:rsidTr="00656F34">
        <w:trPr>
          <w:trHeight w:val="290"/>
        </w:trPr>
        <w:tc>
          <w:tcPr>
            <w:tcW w:w="319" w:type="dxa"/>
            <w:shd w:val="clear" w:color="auto" w:fill="auto"/>
            <w:noWrap/>
            <w:vAlign w:val="center"/>
            <w:hideMark/>
          </w:tcPr>
          <w:p w14:paraId="1847B1E7" w14:textId="77777777" w:rsidR="00656F34" w:rsidRPr="00656F34" w:rsidRDefault="00656F34" w:rsidP="00656F34">
            <w:pPr>
              <w:jc w:val="center"/>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10</w:t>
            </w:r>
          </w:p>
        </w:tc>
        <w:tc>
          <w:tcPr>
            <w:tcW w:w="879" w:type="dxa"/>
            <w:shd w:val="clear" w:color="auto" w:fill="auto"/>
            <w:noWrap/>
            <w:vAlign w:val="center"/>
            <w:hideMark/>
          </w:tcPr>
          <w:p w14:paraId="1180A43E" w14:textId="77777777"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900863649</w:t>
            </w:r>
          </w:p>
        </w:tc>
        <w:tc>
          <w:tcPr>
            <w:tcW w:w="4782" w:type="dxa"/>
            <w:shd w:val="clear" w:color="auto" w:fill="auto"/>
            <w:vAlign w:val="center"/>
            <w:hideMark/>
          </w:tcPr>
          <w:p w14:paraId="0F299047" w14:textId="77777777" w:rsidR="00656F34" w:rsidRPr="00656F34" w:rsidRDefault="00656F34" w:rsidP="00656F34">
            <w:pPr>
              <w:jc w:val="lef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COLOMBOGAS S.A.S. E.S.P.</w:t>
            </w:r>
          </w:p>
        </w:tc>
        <w:tc>
          <w:tcPr>
            <w:tcW w:w="1380" w:type="dxa"/>
            <w:shd w:val="clear" w:color="auto" w:fill="auto"/>
            <w:noWrap/>
            <w:vAlign w:val="center"/>
            <w:hideMark/>
          </w:tcPr>
          <w:p w14:paraId="4890BEA5" w14:textId="15615345"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 xml:space="preserve">          204</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110</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 xml:space="preserve">364 </w:t>
            </w:r>
          </w:p>
        </w:tc>
        <w:tc>
          <w:tcPr>
            <w:tcW w:w="1360" w:type="dxa"/>
            <w:shd w:val="clear" w:color="auto" w:fill="auto"/>
            <w:noWrap/>
            <w:vAlign w:val="center"/>
            <w:hideMark/>
          </w:tcPr>
          <w:p w14:paraId="73EEAB63" w14:textId="4CFB1602"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 xml:space="preserve">             2</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041</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 xml:space="preserve">104 </w:t>
            </w:r>
          </w:p>
        </w:tc>
      </w:tr>
      <w:tr w:rsidR="00656F34" w:rsidRPr="00656F34" w14:paraId="19C182A7" w14:textId="77777777" w:rsidTr="00656F34">
        <w:trPr>
          <w:trHeight w:val="290"/>
        </w:trPr>
        <w:tc>
          <w:tcPr>
            <w:tcW w:w="319" w:type="dxa"/>
            <w:shd w:val="clear" w:color="auto" w:fill="auto"/>
            <w:noWrap/>
            <w:vAlign w:val="center"/>
            <w:hideMark/>
          </w:tcPr>
          <w:p w14:paraId="628F2749" w14:textId="77777777" w:rsidR="00656F34" w:rsidRPr="00656F34" w:rsidRDefault="00656F34" w:rsidP="00656F34">
            <w:pPr>
              <w:jc w:val="center"/>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11</w:t>
            </w:r>
          </w:p>
        </w:tc>
        <w:tc>
          <w:tcPr>
            <w:tcW w:w="879" w:type="dxa"/>
            <w:shd w:val="clear" w:color="auto" w:fill="auto"/>
            <w:noWrap/>
            <w:vAlign w:val="center"/>
            <w:hideMark/>
          </w:tcPr>
          <w:p w14:paraId="28E2FC07" w14:textId="77777777"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900175830</w:t>
            </w:r>
          </w:p>
        </w:tc>
        <w:tc>
          <w:tcPr>
            <w:tcW w:w="4782" w:type="dxa"/>
            <w:shd w:val="clear" w:color="auto" w:fill="auto"/>
            <w:vAlign w:val="center"/>
            <w:hideMark/>
          </w:tcPr>
          <w:p w14:paraId="26EB7096" w14:textId="77777777" w:rsidR="00656F34" w:rsidRPr="00656F34" w:rsidRDefault="00656F34" w:rsidP="00656F34">
            <w:pPr>
              <w:jc w:val="lef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 xml:space="preserve">COMBUSTIBLES LÍQUIDOS DE COLOMBIA S.A. E.S.P. </w:t>
            </w:r>
          </w:p>
        </w:tc>
        <w:tc>
          <w:tcPr>
            <w:tcW w:w="1380" w:type="dxa"/>
            <w:shd w:val="clear" w:color="auto" w:fill="auto"/>
            <w:noWrap/>
            <w:vAlign w:val="center"/>
            <w:hideMark/>
          </w:tcPr>
          <w:p w14:paraId="314AEE61" w14:textId="0FFB8DE2"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 xml:space="preserve">          141</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706</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 xml:space="preserve">214 </w:t>
            </w:r>
          </w:p>
        </w:tc>
        <w:tc>
          <w:tcPr>
            <w:tcW w:w="1360" w:type="dxa"/>
            <w:shd w:val="clear" w:color="auto" w:fill="auto"/>
            <w:noWrap/>
            <w:vAlign w:val="center"/>
            <w:hideMark/>
          </w:tcPr>
          <w:p w14:paraId="22A7C872" w14:textId="475F646D"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 xml:space="preserve">           1</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417</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 xml:space="preserve">062 </w:t>
            </w:r>
          </w:p>
        </w:tc>
      </w:tr>
      <w:tr w:rsidR="00656F34" w:rsidRPr="00656F34" w14:paraId="241A331F" w14:textId="77777777" w:rsidTr="00656F34">
        <w:trPr>
          <w:trHeight w:val="290"/>
        </w:trPr>
        <w:tc>
          <w:tcPr>
            <w:tcW w:w="319" w:type="dxa"/>
            <w:shd w:val="clear" w:color="auto" w:fill="auto"/>
            <w:noWrap/>
            <w:vAlign w:val="center"/>
            <w:hideMark/>
          </w:tcPr>
          <w:p w14:paraId="2FBDEDDA" w14:textId="77777777" w:rsidR="00656F34" w:rsidRPr="00656F34" w:rsidRDefault="00656F34" w:rsidP="00656F34">
            <w:pPr>
              <w:jc w:val="center"/>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12</w:t>
            </w:r>
          </w:p>
        </w:tc>
        <w:tc>
          <w:tcPr>
            <w:tcW w:w="879" w:type="dxa"/>
            <w:shd w:val="clear" w:color="auto" w:fill="auto"/>
            <w:noWrap/>
            <w:vAlign w:val="center"/>
            <w:hideMark/>
          </w:tcPr>
          <w:p w14:paraId="245A8BFB" w14:textId="77777777"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900716800</w:t>
            </w:r>
          </w:p>
        </w:tc>
        <w:tc>
          <w:tcPr>
            <w:tcW w:w="4782" w:type="dxa"/>
            <w:shd w:val="clear" w:color="auto" w:fill="auto"/>
            <w:vAlign w:val="center"/>
            <w:hideMark/>
          </w:tcPr>
          <w:p w14:paraId="40B8D01C" w14:textId="77777777" w:rsidR="00656F34" w:rsidRPr="00656F34" w:rsidRDefault="00656F34" w:rsidP="00656F34">
            <w:pPr>
              <w:jc w:val="lef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COMERCIALIZADORA CENTRO ORIENTE S.A. E.S.P.</w:t>
            </w:r>
          </w:p>
        </w:tc>
        <w:tc>
          <w:tcPr>
            <w:tcW w:w="1380" w:type="dxa"/>
            <w:shd w:val="clear" w:color="auto" w:fill="auto"/>
            <w:noWrap/>
            <w:vAlign w:val="center"/>
            <w:hideMark/>
          </w:tcPr>
          <w:p w14:paraId="0D14974B" w14:textId="3600E51F"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 xml:space="preserve">          344</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576</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 xml:space="preserve">170 </w:t>
            </w:r>
          </w:p>
        </w:tc>
        <w:tc>
          <w:tcPr>
            <w:tcW w:w="1360" w:type="dxa"/>
            <w:shd w:val="clear" w:color="auto" w:fill="auto"/>
            <w:noWrap/>
            <w:vAlign w:val="center"/>
            <w:hideMark/>
          </w:tcPr>
          <w:p w14:paraId="69FCD8E8" w14:textId="0FAF9472"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 xml:space="preserve">             3</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445</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 xml:space="preserve">762 </w:t>
            </w:r>
          </w:p>
        </w:tc>
      </w:tr>
      <w:tr w:rsidR="00656F34" w:rsidRPr="00656F34" w14:paraId="26D1DD0D" w14:textId="77777777" w:rsidTr="00656F34">
        <w:trPr>
          <w:trHeight w:val="460"/>
        </w:trPr>
        <w:tc>
          <w:tcPr>
            <w:tcW w:w="319" w:type="dxa"/>
            <w:shd w:val="clear" w:color="auto" w:fill="auto"/>
            <w:noWrap/>
            <w:vAlign w:val="center"/>
            <w:hideMark/>
          </w:tcPr>
          <w:p w14:paraId="1C27E2E3" w14:textId="77777777" w:rsidR="00656F34" w:rsidRPr="00656F34" w:rsidRDefault="00656F34" w:rsidP="00656F34">
            <w:pPr>
              <w:jc w:val="center"/>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13</w:t>
            </w:r>
          </w:p>
        </w:tc>
        <w:tc>
          <w:tcPr>
            <w:tcW w:w="879" w:type="dxa"/>
            <w:shd w:val="clear" w:color="auto" w:fill="auto"/>
            <w:noWrap/>
            <w:vAlign w:val="center"/>
            <w:hideMark/>
          </w:tcPr>
          <w:p w14:paraId="4137E1E7" w14:textId="77777777"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900572958</w:t>
            </w:r>
          </w:p>
        </w:tc>
        <w:tc>
          <w:tcPr>
            <w:tcW w:w="4782" w:type="dxa"/>
            <w:shd w:val="clear" w:color="auto" w:fill="auto"/>
            <w:vAlign w:val="center"/>
            <w:hideMark/>
          </w:tcPr>
          <w:p w14:paraId="17E220AE" w14:textId="77777777" w:rsidR="00656F34" w:rsidRPr="00656F34" w:rsidRDefault="00656F34" w:rsidP="00656F34">
            <w:pPr>
              <w:jc w:val="lef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COMERCIALIZADORA DE COMBUSTIBLES, ENERGIA Y GAS S.A.S.  E.S.P.</w:t>
            </w:r>
          </w:p>
        </w:tc>
        <w:tc>
          <w:tcPr>
            <w:tcW w:w="1380" w:type="dxa"/>
            <w:shd w:val="clear" w:color="auto" w:fill="auto"/>
            <w:noWrap/>
            <w:vAlign w:val="center"/>
            <w:hideMark/>
          </w:tcPr>
          <w:p w14:paraId="590C6ACE" w14:textId="130117FC"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 xml:space="preserve">          294</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902</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 xml:space="preserve">242 </w:t>
            </w:r>
          </w:p>
        </w:tc>
        <w:tc>
          <w:tcPr>
            <w:tcW w:w="1360" w:type="dxa"/>
            <w:shd w:val="clear" w:color="auto" w:fill="auto"/>
            <w:noWrap/>
            <w:vAlign w:val="center"/>
            <w:hideMark/>
          </w:tcPr>
          <w:p w14:paraId="4C6A587F" w14:textId="299C38B9"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 xml:space="preserve">             2</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949</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 xml:space="preserve">022 </w:t>
            </w:r>
          </w:p>
        </w:tc>
      </w:tr>
      <w:tr w:rsidR="00656F34" w:rsidRPr="00656F34" w14:paraId="12EA81D5" w14:textId="77777777" w:rsidTr="00656F34">
        <w:trPr>
          <w:trHeight w:val="290"/>
        </w:trPr>
        <w:tc>
          <w:tcPr>
            <w:tcW w:w="319" w:type="dxa"/>
            <w:shd w:val="clear" w:color="auto" w:fill="auto"/>
            <w:noWrap/>
            <w:vAlign w:val="center"/>
            <w:hideMark/>
          </w:tcPr>
          <w:p w14:paraId="5C19F830" w14:textId="77777777" w:rsidR="00656F34" w:rsidRPr="00656F34" w:rsidRDefault="00656F34" w:rsidP="00656F34">
            <w:pPr>
              <w:jc w:val="center"/>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14</w:t>
            </w:r>
          </w:p>
        </w:tc>
        <w:tc>
          <w:tcPr>
            <w:tcW w:w="879" w:type="dxa"/>
            <w:shd w:val="clear" w:color="auto" w:fill="auto"/>
            <w:noWrap/>
            <w:vAlign w:val="center"/>
            <w:hideMark/>
          </w:tcPr>
          <w:p w14:paraId="6B5339AE" w14:textId="77777777" w:rsidR="00656F34" w:rsidRPr="00656F34" w:rsidRDefault="00656F34" w:rsidP="00656F34">
            <w:pPr>
              <w:jc w:val="right"/>
              <w:rPr>
                <w:rFonts w:ascii="Arial Narrow" w:hAnsi="Arial Narrow" w:cs="Calibri"/>
                <w:color w:val="000000"/>
                <w:spacing w:val="0"/>
                <w:sz w:val="18"/>
                <w:szCs w:val="18"/>
                <w:lang w:eastAsia="es-CO"/>
              </w:rPr>
            </w:pPr>
            <w:r w:rsidRPr="00656F34">
              <w:rPr>
                <w:rFonts w:ascii="Arial Narrow" w:hAnsi="Arial Narrow" w:cs="Calibri"/>
                <w:color w:val="000000"/>
                <w:spacing w:val="0"/>
                <w:sz w:val="18"/>
                <w:szCs w:val="18"/>
                <w:lang w:eastAsia="es-CO"/>
              </w:rPr>
              <w:t>900689029</w:t>
            </w:r>
          </w:p>
        </w:tc>
        <w:tc>
          <w:tcPr>
            <w:tcW w:w="4782" w:type="dxa"/>
            <w:shd w:val="clear" w:color="auto" w:fill="auto"/>
            <w:vAlign w:val="center"/>
            <w:hideMark/>
          </w:tcPr>
          <w:p w14:paraId="72D8A5CB" w14:textId="77777777" w:rsidR="00656F34" w:rsidRPr="00656F34" w:rsidRDefault="00656F34" w:rsidP="00656F34">
            <w:pPr>
              <w:jc w:val="left"/>
              <w:rPr>
                <w:rFonts w:ascii="Arial Narrow" w:hAnsi="Arial Narrow" w:cs="Calibri"/>
                <w:color w:val="000000"/>
                <w:spacing w:val="0"/>
                <w:sz w:val="18"/>
                <w:szCs w:val="18"/>
                <w:lang w:eastAsia="es-CO"/>
              </w:rPr>
            </w:pPr>
            <w:r w:rsidRPr="00656F34">
              <w:rPr>
                <w:rFonts w:ascii="Arial Narrow" w:hAnsi="Arial Narrow" w:cs="Calibri"/>
                <w:color w:val="000000"/>
                <w:spacing w:val="0"/>
                <w:sz w:val="18"/>
                <w:szCs w:val="18"/>
                <w:lang w:eastAsia="es-CO"/>
              </w:rPr>
              <w:t>COMERCIALIZADORA DE GAS CASANARE S.A.S. E.S.P.</w:t>
            </w:r>
          </w:p>
        </w:tc>
        <w:tc>
          <w:tcPr>
            <w:tcW w:w="1380" w:type="dxa"/>
            <w:shd w:val="clear" w:color="auto" w:fill="auto"/>
            <w:noWrap/>
            <w:vAlign w:val="center"/>
            <w:hideMark/>
          </w:tcPr>
          <w:p w14:paraId="7C5D5800" w14:textId="1470FA1A"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 xml:space="preserve">            97</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175</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 xml:space="preserve">819 </w:t>
            </w:r>
          </w:p>
        </w:tc>
        <w:tc>
          <w:tcPr>
            <w:tcW w:w="1360" w:type="dxa"/>
            <w:shd w:val="clear" w:color="auto" w:fill="auto"/>
            <w:noWrap/>
            <w:vAlign w:val="center"/>
            <w:hideMark/>
          </w:tcPr>
          <w:p w14:paraId="2405F090" w14:textId="61167C87" w:rsidR="00656F34" w:rsidRPr="00656F34" w:rsidRDefault="00656F34" w:rsidP="00656F34">
            <w:pPr>
              <w:jc w:val="right"/>
              <w:rPr>
                <w:rFonts w:ascii="Arial Narrow" w:hAnsi="Arial Narrow" w:cs="Calibri"/>
                <w:color w:val="000000"/>
                <w:spacing w:val="0"/>
                <w:sz w:val="18"/>
                <w:szCs w:val="18"/>
                <w:lang w:eastAsia="es-CO"/>
              </w:rPr>
            </w:pPr>
            <w:r w:rsidRPr="00656F34">
              <w:rPr>
                <w:rFonts w:ascii="Arial Narrow" w:hAnsi="Arial Narrow" w:cs="Calibri"/>
                <w:color w:val="000000"/>
                <w:spacing w:val="0"/>
                <w:sz w:val="18"/>
                <w:szCs w:val="18"/>
                <w:lang w:eastAsia="es-CO"/>
              </w:rPr>
              <w:t xml:space="preserve">                971</w:t>
            </w:r>
            <w:r w:rsidR="007F7A3E">
              <w:rPr>
                <w:rFonts w:ascii="Arial Narrow" w:hAnsi="Arial Narrow" w:cs="Calibri"/>
                <w:color w:val="000000"/>
                <w:spacing w:val="0"/>
                <w:sz w:val="18"/>
                <w:szCs w:val="18"/>
                <w:lang w:eastAsia="es-CO"/>
              </w:rPr>
              <w:t>.</w:t>
            </w:r>
            <w:r w:rsidRPr="00656F34">
              <w:rPr>
                <w:rFonts w:ascii="Arial Narrow" w:hAnsi="Arial Narrow" w:cs="Calibri"/>
                <w:color w:val="000000"/>
                <w:spacing w:val="0"/>
                <w:sz w:val="18"/>
                <w:szCs w:val="18"/>
                <w:lang w:eastAsia="es-CO"/>
              </w:rPr>
              <w:t xml:space="preserve">758 </w:t>
            </w:r>
          </w:p>
        </w:tc>
      </w:tr>
      <w:tr w:rsidR="00656F34" w:rsidRPr="00656F34" w14:paraId="26DB6FAC" w14:textId="77777777" w:rsidTr="00656F34">
        <w:trPr>
          <w:trHeight w:val="290"/>
        </w:trPr>
        <w:tc>
          <w:tcPr>
            <w:tcW w:w="319" w:type="dxa"/>
            <w:shd w:val="clear" w:color="auto" w:fill="auto"/>
            <w:noWrap/>
            <w:vAlign w:val="center"/>
            <w:hideMark/>
          </w:tcPr>
          <w:p w14:paraId="498380BA" w14:textId="77777777" w:rsidR="00656F34" w:rsidRPr="00656F34" w:rsidRDefault="00656F34" w:rsidP="00656F34">
            <w:pPr>
              <w:jc w:val="center"/>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15</w:t>
            </w:r>
          </w:p>
        </w:tc>
        <w:tc>
          <w:tcPr>
            <w:tcW w:w="879" w:type="dxa"/>
            <w:shd w:val="clear" w:color="auto" w:fill="auto"/>
            <w:noWrap/>
            <w:vAlign w:val="center"/>
            <w:hideMark/>
          </w:tcPr>
          <w:p w14:paraId="54EE29D3" w14:textId="77777777"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860508892</w:t>
            </w:r>
          </w:p>
        </w:tc>
        <w:tc>
          <w:tcPr>
            <w:tcW w:w="4782" w:type="dxa"/>
            <w:shd w:val="clear" w:color="auto" w:fill="auto"/>
            <w:vAlign w:val="center"/>
            <w:hideMark/>
          </w:tcPr>
          <w:p w14:paraId="4FC75DB7" w14:textId="77777777" w:rsidR="00656F34" w:rsidRPr="00656F34" w:rsidRDefault="00656F34" w:rsidP="00656F34">
            <w:pPr>
              <w:jc w:val="lef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COMPAÑIA DE ALMACENAMIENTO DE GAS S.A. ESP</w:t>
            </w:r>
          </w:p>
        </w:tc>
        <w:tc>
          <w:tcPr>
            <w:tcW w:w="1380" w:type="dxa"/>
            <w:shd w:val="clear" w:color="auto" w:fill="auto"/>
            <w:noWrap/>
            <w:vAlign w:val="center"/>
            <w:hideMark/>
          </w:tcPr>
          <w:p w14:paraId="2E631C0F" w14:textId="5436AF61"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 xml:space="preserve">       2</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079</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115</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 xml:space="preserve">980 </w:t>
            </w:r>
          </w:p>
        </w:tc>
        <w:tc>
          <w:tcPr>
            <w:tcW w:w="1360" w:type="dxa"/>
            <w:shd w:val="clear" w:color="auto" w:fill="auto"/>
            <w:noWrap/>
            <w:vAlign w:val="center"/>
            <w:hideMark/>
          </w:tcPr>
          <w:p w14:paraId="2B38387A" w14:textId="647C8372"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 xml:space="preserve">           20</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791</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 xml:space="preserve">160 </w:t>
            </w:r>
          </w:p>
        </w:tc>
      </w:tr>
      <w:tr w:rsidR="00656F34" w:rsidRPr="00656F34" w14:paraId="1E7730A1" w14:textId="77777777" w:rsidTr="00656F34">
        <w:trPr>
          <w:trHeight w:val="290"/>
        </w:trPr>
        <w:tc>
          <w:tcPr>
            <w:tcW w:w="319" w:type="dxa"/>
            <w:shd w:val="clear" w:color="auto" w:fill="auto"/>
            <w:noWrap/>
            <w:vAlign w:val="center"/>
            <w:hideMark/>
          </w:tcPr>
          <w:p w14:paraId="4B57DAAC" w14:textId="77777777" w:rsidR="00656F34" w:rsidRPr="00656F34" w:rsidRDefault="00656F34" w:rsidP="00656F34">
            <w:pPr>
              <w:jc w:val="center"/>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16</w:t>
            </w:r>
          </w:p>
        </w:tc>
        <w:tc>
          <w:tcPr>
            <w:tcW w:w="879" w:type="dxa"/>
            <w:shd w:val="clear" w:color="auto" w:fill="auto"/>
            <w:noWrap/>
            <w:vAlign w:val="center"/>
            <w:hideMark/>
          </w:tcPr>
          <w:p w14:paraId="046CD360" w14:textId="77777777"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830130648</w:t>
            </w:r>
          </w:p>
        </w:tc>
        <w:tc>
          <w:tcPr>
            <w:tcW w:w="4782" w:type="dxa"/>
            <w:shd w:val="clear" w:color="auto" w:fill="auto"/>
            <w:vAlign w:val="center"/>
            <w:hideMark/>
          </w:tcPr>
          <w:p w14:paraId="5DF5CA03" w14:textId="7873AA32" w:rsidR="00656F34" w:rsidRPr="00656F34" w:rsidRDefault="00656F34" w:rsidP="00656F34">
            <w:pPr>
              <w:jc w:val="lef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COMPAÑIA DE SERVICIOS PUBLICOS S.A E.S.P</w:t>
            </w:r>
            <w:r>
              <w:rPr>
                <w:rFonts w:ascii="Arial Narrow" w:hAnsi="Arial Narrow" w:cs="Calibri"/>
                <w:spacing w:val="0"/>
                <w:sz w:val="18"/>
                <w:szCs w:val="18"/>
                <w:lang w:eastAsia="es-CO"/>
              </w:rPr>
              <w:t>.</w:t>
            </w:r>
          </w:p>
        </w:tc>
        <w:tc>
          <w:tcPr>
            <w:tcW w:w="1380" w:type="dxa"/>
            <w:shd w:val="clear" w:color="auto" w:fill="auto"/>
            <w:noWrap/>
            <w:vAlign w:val="center"/>
            <w:hideMark/>
          </w:tcPr>
          <w:p w14:paraId="3953C183" w14:textId="666EB0AD"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 xml:space="preserve">            38</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289</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 xml:space="preserve">766 </w:t>
            </w:r>
          </w:p>
        </w:tc>
        <w:tc>
          <w:tcPr>
            <w:tcW w:w="1360" w:type="dxa"/>
            <w:shd w:val="clear" w:color="auto" w:fill="auto"/>
            <w:noWrap/>
            <w:vAlign w:val="center"/>
            <w:hideMark/>
          </w:tcPr>
          <w:p w14:paraId="5D33920F" w14:textId="2F45666E"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 xml:space="preserve">                382</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 xml:space="preserve">898 </w:t>
            </w:r>
          </w:p>
        </w:tc>
      </w:tr>
      <w:tr w:rsidR="00656F34" w:rsidRPr="00656F34" w14:paraId="540135F7" w14:textId="77777777" w:rsidTr="00656F34">
        <w:trPr>
          <w:trHeight w:val="290"/>
        </w:trPr>
        <w:tc>
          <w:tcPr>
            <w:tcW w:w="319" w:type="dxa"/>
            <w:shd w:val="clear" w:color="auto" w:fill="auto"/>
            <w:noWrap/>
            <w:vAlign w:val="center"/>
            <w:hideMark/>
          </w:tcPr>
          <w:p w14:paraId="5D914888" w14:textId="77777777" w:rsidR="00656F34" w:rsidRPr="00656F34" w:rsidRDefault="00656F34" w:rsidP="00656F34">
            <w:pPr>
              <w:jc w:val="center"/>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17</w:t>
            </w:r>
          </w:p>
        </w:tc>
        <w:tc>
          <w:tcPr>
            <w:tcW w:w="879" w:type="dxa"/>
            <w:shd w:val="clear" w:color="auto" w:fill="auto"/>
            <w:noWrap/>
            <w:vAlign w:val="center"/>
            <w:hideMark/>
          </w:tcPr>
          <w:p w14:paraId="29988484" w14:textId="77777777"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900565871</w:t>
            </w:r>
          </w:p>
        </w:tc>
        <w:tc>
          <w:tcPr>
            <w:tcW w:w="4782" w:type="dxa"/>
            <w:shd w:val="clear" w:color="auto" w:fill="auto"/>
            <w:vAlign w:val="center"/>
            <w:hideMark/>
          </w:tcPr>
          <w:p w14:paraId="5B208023" w14:textId="0855373B" w:rsidR="00656F34" w:rsidRPr="00656F34" w:rsidRDefault="00656F34" w:rsidP="00656F34">
            <w:pPr>
              <w:jc w:val="lef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COMPROPANO SOCIEDAD POR ACCIONES SIMPLIFICADA E.S.P</w:t>
            </w:r>
            <w:r>
              <w:rPr>
                <w:rFonts w:ascii="Arial Narrow" w:hAnsi="Arial Narrow" w:cs="Calibri"/>
                <w:spacing w:val="0"/>
                <w:sz w:val="18"/>
                <w:szCs w:val="18"/>
                <w:lang w:eastAsia="es-CO"/>
              </w:rPr>
              <w:t>.</w:t>
            </w:r>
          </w:p>
        </w:tc>
        <w:tc>
          <w:tcPr>
            <w:tcW w:w="1380" w:type="dxa"/>
            <w:shd w:val="clear" w:color="auto" w:fill="auto"/>
            <w:noWrap/>
            <w:vAlign w:val="center"/>
            <w:hideMark/>
          </w:tcPr>
          <w:p w14:paraId="08E0A3CC" w14:textId="29F6E44D"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 xml:space="preserve">          120</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583</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 xml:space="preserve">934 </w:t>
            </w:r>
          </w:p>
        </w:tc>
        <w:tc>
          <w:tcPr>
            <w:tcW w:w="1360" w:type="dxa"/>
            <w:shd w:val="clear" w:color="auto" w:fill="auto"/>
            <w:noWrap/>
            <w:vAlign w:val="center"/>
            <w:hideMark/>
          </w:tcPr>
          <w:p w14:paraId="2CF87DDC" w14:textId="3A049E3D"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 xml:space="preserve">             1</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205</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 xml:space="preserve">839 </w:t>
            </w:r>
          </w:p>
        </w:tc>
      </w:tr>
      <w:tr w:rsidR="00656F34" w:rsidRPr="00656F34" w14:paraId="05CF2B68" w14:textId="77777777" w:rsidTr="00656F34">
        <w:trPr>
          <w:trHeight w:val="290"/>
        </w:trPr>
        <w:tc>
          <w:tcPr>
            <w:tcW w:w="319" w:type="dxa"/>
            <w:shd w:val="clear" w:color="auto" w:fill="auto"/>
            <w:noWrap/>
            <w:vAlign w:val="center"/>
            <w:hideMark/>
          </w:tcPr>
          <w:p w14:paraId="4D8024CA" w14:textId="77777777" w:rsidR="00656F34" w:rsidRPr="00656F34" w:rsidRDefault="00656F34" w:rsidP="00656F34">
            <w:pPr>
              <w:jc w:val="center"/>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18</w:t>
            </w:r>
          </w:p>
        </w:tc>
        <w:tc>
          <w:tcPr>
            <w:tcW w:w="879" w:type="dxa"/>
            <w:shd w:val="clear" w:color="auto" w:fill="auto"/>
            <w:noWrap/>
            <w:vAlign w:val="center"/>
            <w:hideMark/>
          </w:tcPr>
          <w:p w14:paraId="48102DFA" w14:textId="77777777"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830046209</w:t>
            </w:r>
          </w:p>
        </w:tc>
        <w:tc>
          <w:tcPr>
            <w:tcW w:w="4782" w:type="dxa"/>
            <w:shd w:val="clear" w:color="auto" w:fill="auto"/>
            <w:vAlign w:val="center"/>
            <w:hideMark/>
          </w:tcPr>
          <w:p w14:paraId="2FC0AC6F" w14:textId="77777777" w:rsidR="00656F34" w:rsidRPr="00656F34" w:rsidRDefault="00656F34" w:rsidP="00656F34">
            <w:pPr>
              <w:jc w:val="lef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DISTRIBUIDORA CENTRAL DE GAS SA ESP</w:t>
            </w:r>
          </w:p>
        </w:tc>
        <w:tc>
          <w:tcPr>
            <w:tcW w:w="1380" w:type="dxa"/>
            <w:shd w:val="clear" w:color="auto" w:fill="auto"/>
            <w:noWrap/>
            <w:vAlign w:val="center"/>
            <w:hideMark/>
          </w:tcPr>
          <w:p w14:paraId="0DA3E549" w14:textId="16D34B24"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 xml:space="preserve">          477</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631</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 xml:space="preserve">913 </w:t>
            </w:r>
          </w:p>
        </w:tc>
        <w:tc>
          <w:tcPr>
            <w:tcW w:w="1360" w:type="dxa"/>
            <w:shd w:val="clear" w:color="auto" w:fill="auto"/>
            <w:noWrap/>
            <w:vAlign w:val="center"/>
            <w:hideMark/>
          </w:tcPr>
          <w:p w14:paraId="639FD585" w14:textId="38FE851A"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 xml:space="preserve">             4</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776</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 xml:space="preserve">319 </w:t>
            </w:r>
          </w:p>
        </w:tc>
      </w:tr>
      <w:tr w:rsidR="00656F34" w:rsidRPr="00656F34" w14:paraId="400721CE" w14:textId="77777777" w:rsidTr="00656F34">
        <w:trPr>
          <w:trHeight w:val="690"/>
        </w:trPr>
        <w:tc>
          <w:tcPr>
            <w:tcW w:w="319" w:type="dxa"/>
            <w:shd w:val="clear" w:color="auto" w:fill="auto"/>
            <w:noWrap/>
            <w:vAlign w:val="center"/>
            <w:hideMark/>
          </w:tcPr>
          <w:p w14:paraId="77C0F152" w14:textId="77777777" w:rsidR="00656F34" w:rsidRPr="00656F34" w:rsidRDefault="00656F34" w:rsidP="00656F34">
            <w:pPr>
              <w:jc w:val="center"/>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19</w:t>
            </w:r>
          </w:p>
        </w:tc>
        <w:tc>
          <w:tcPr>
            <w:tcW w:w="879" w:type="dxa"/>
            <w:shd w:val="clear" w:color="auto" w:fill="auto"/>
            <w:noWrap/>
            <w:vAlign w:val="center"/>
            <w:hideMark/>
          </w:tcPr>
          <w:p w14:paraId="3FF6CE00" w14:textId="77777777"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900883057</w:t>
            </w:r>
          </w:p>
        </w:tc>
        <w:tc>
          <w:tcPr>
            <w:tcW w:w="4782" w:type="dxa"/>
            <w:shd w:val="clear" w:color="auto" w:fill="auto"/>
            <w:vAlign w:val="center"/>
            <w:hideMark/>
          </w:tcPr>
          <w:p w14:paraId="7A49AF89" w14:textId="77777777" w:rsidR="00656F34" w:rsidRPr="00656F34" w:rsidRDefault="00656F34" w:rsidP="00656F34">
            <w:pPr>
              <w:jc w:val="lef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DISTRIBUIDORA DE GAS DEL FONCE SOCIEDAD POR ACCIONES SIMPLIFICADA EMPRESA DE SERVICIO PUBLICOS DOMICILIARIOS S.A.S. E.S.P.</w:t>
            </w:r>
          </w:p>
        </w:tc>
        <w:tc>
          <w:tcPr>
            <w:tcW w:w="1380" w:type="dxa"/>
            <w:shd w:val="clear" w:color="auto" w:fill="auto"/>
            <w:noWrap/>
            <w:vAlign w:val="center"/>
            <w:hideMark/>
          </w:tcPr>
          <w:p w14:paraId="77E01D4B" w14:textId="4521F89F"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 xml:space="preserve">            63</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596</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 xml:space="preserve">855 </w:t>
            </w:r>
          </w:p>
        </w:tc>
        <w:tc>
          <w:tcPr>
            <w:tcW w:w="1360" w:type="dxa"/>
            <w:shd w:val="clear" w:color="auto" w:fill="auto"/>
            <w:noWrap/>
            <w:vAlign w:val="center"/>
            <w:hideMark/>
          </w:tcPr>
          <w:p w14:paraId="6BD0B044" w14:textId="4B646813"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 xml:space="preserve">                635</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 xml:space="preserve">969 </w:t>
            </w:r>
          </w:p>
        </w:tc>
      </w:tr>
      <w:tr w:rsidR="00656F34" w:rsidRPr="00656F34" w14:paraId="43C1A411" w14:textId="77777777" w:rsidTr="00656F34">
        <w:trPr>
          <w:trHeight w:val="290"/>
        </w:trPr>
        <w:tc>
          <w:tcPr>
            <w:tcW w:w="319" w:type="dxa"/>
            <w:shd w:val="clear" w:color="auto" w:fill="auto"/>
            <w:noWrap/>
            <w:vAlign w:val="center"/>
            <w:hideMark/>
          </w:tcPr>
          <w:p w14:paraId="6CA8B479" w14:textId="77777777" w:rsidR="00656F34" w:rsidRPr="00656F34" w:rsidRDefault="00656F34" w:rsidP="00656F34">
            <w:pPr>
              <w:jc w:val="center"/>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20</w:t>
            </w:r>
          </w:p>
        </w:tc>
        <w:tc>
          <w:tcPr>
            <w:tcW w:w="879" w:type="dxa"/>
            <w:shd w:val="clear" w:color="auto" w:fill="auto"/>
            <w:noWrap/>
            <w:vAlign w:val="center"/>
            <w:hideMark/>
          </w:tcPr>
          <w:p w14:paraId="1F208197" w14:textId="77777777"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900428208</w:t>
            </w:r>
          </w:p>
        </w:tc>
        <w:tc>
          <w:tcPr>
            <w:tcW w:w="4782" w:type="dxa"/>
            <w:shd w:val="clear" w:color="auto" w:fill="auto"/>
            <w:vAlign w:val="center"/>
            <w:hideMark/>
          </w:tcPr>
          <w:p w14:paraId="3D184C9B" w14:textId="77777777" w:rsidR="00656F34" w:rsidRPr="00656F34" w:rsidRDefault="00656F34" w:rsidP="00656F34">
            <w:pPr>
              <w:jc w:val="lef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DISTRIBUIDORA DE GAS DEL PACIFICO DIGAS SAS ESP</w:t>
            </w:r>
          </w:p>
        </w:tc>
        <w:tc>
          <w:tcPr>
            <w:tcW w:w="1380" w:type="dxa"/>
            <w:shd w:val="clear" w:color="auto" w:fill="auto"/>
            <w:noWrap/>
            <w:vAlign w:val="center"/>
            <w:hideMark/>
          </w:tcPr>
          <w:p w14:paraId="683FAC79" w14:textId="22E0984B"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 xml:space="preserve">       1</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314</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385</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 xml:space="preserve">813 </w:t>
            </w:r>
          </w:p>
        </w:tc>
        <w:tc>
          <w:tcPr>
            <w:tcW w:w="1360" w:type="dxa"/>
            <w:shd w:val="clear" w:color="auto" w:fill="auto"/>
            <w:noWrap/>
            <w:vAlign w:val="center"/>
            <w:hideMark/>
          </w:tcPr>
          <w:p w14:paraId="6DC899D0" w14:textId="2D61D1AF"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 xml:space="preserve">           13</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143</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 xml:space="preserve">858 </w:t>
            </w:r>
          </w:p>
        </w:tc>
      </w:tr>
      <w:tr w:rsidR="00656F34" w:rsidRPr="00656F34" w14:paraId="6EBF40A2" w14:textId="77777777" w:rsidTr="00656F34">
        <w:trPr>
          <w:trHeight w:val="290"/>
        </w:trPr>
        <w:tc>
          <w:tcPr>
            <w:tcW w:w="319" w:type="dxa"/>
            <w:shd w:val="clear" w:color="auto" w:fill="auto"/>
            <w:noWrap/>
            <w:vAlign w:val="center"/>
            <w:hideMark/>
          </w:tcPr>
          <w:p w14:paraId="76C00267" w14:textId="77777777" w:rsidR="00656F34" w:rsidRPr="00656F34" w:rsidRDefault="00656F34" w:rsidP="00656F34">
            <w:pPr>
              <w:jc w:val="center"/>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21</w:t>
            </w:r>
          </w:p>
        </w:tc>
        <w:tc>
          <w:tcPr>
            <w:tcW w:w="879" w:type="dxa"/>
            <w:shd w:val="clear" w:color="auto" w:fill="auto"/>
            <w:noWrap/>
            <w:vAlign w:val="center"/>
            <w:hideMark/>
          </w:tcPr>
          <w:p w14:paraId="3F292EA4" w14:textId="77777777"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834001051</w:t>
            </w:r>
          </w:p>
        </w:tc>
        <w:tc>
          <w:tcPr>
            <w:tcW w:w="4782" w:type="dxa"/>
            <w:shd w:val="clear" w:color="auto" w:fill="auto"/>
            <w:vAlign w:val="center"/>
            <w:hideMark/>
          </w:tcPr>
          <w:p w14:paraId="29EF21EC" w14:textId="77777777" w:rsidR="00656F34" w:rsidRPr="00656F34" w:rsidRDefault="00656F34" w:rsidP="00656F34">
            <w:pPr>
              <w:jc w:val="lef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DISTRIBUIDORA DE GAS MONZAGAS S.A. E.S.P.</w:t>
            </w:r>
          </w:p>
        </w:tc>
        <w:tc>
          <w:tcPr>
            <w:tcW w:w="1380" w:type="dxa"/>
            <w:shd w:val="clear" w:color="auto" w:fill="auto"/>
            <w:noWrap/>
            <w:vAlign w:val="center"/>
            <w:hideMark/>
          </w:tcPr>
          <w:p w14:paraId="55F51421" w14:textId="13987083"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 xml:space="preserve">          107</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360</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 xml:space="preserve">188 </w:t>
            </w:r>
          </w:p>
        </w:tc>
        <w:tc>
          <w:tcPr>
            <w:tcW w:w="1360" w:type="dxa"/>
            <w:shd w:val="clear" w:color="auto" w:fill="auto"/>
            <w:noWrap/>
            <w:vAlign w:val="center"/>
            <w:hideMark/>
          </w:tcPr>
          <w:p w14:paraId="36121513" w14:textId="28DA6107"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 xml:space="preserve">             1</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073</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 xml:space="preserve">602 </w:t>
            </w:r>
          </w:p>
        </w:tc>
      </w:tr>
      <w:tr w:rsidR="00656F34" w:rsidRPr="00656F34" w14:paraId="473805C9" w14:textId="77777777" w:rsidTr="00656F34">
        <w:trPr>
          <w:trHeight w:val="290"/>
        </w:trPr>
        <w:tc>
          <w:tcPr>
            <w:tcW w:w="319" w:type="dxa"/>
            <w:shd w:val="clear" w:color="auto" w:fill="auto"/>
            <w:noWrap/>
            <w:vAlign w:val="center"/>
            <w:hideMark/>
          </w:tcPr>
          <w:p w14:paraId="3A1F72AD" w14:textId="77777777" w:rsidR="00656F34" w:rsidRPr="00656F34" w:rsidRDefault="00656F34" w:rsidP="00656F34">
            <w:pPr>
              <w:jc w:val="center"/>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22</w:t>
            </w:r>
          </w:p>
        </w:tc>
        <w:tc>
          <w:tcPr>
            <w:tcW w:w="879" w:type="dxa"/>
            <w:shd w:val="clear" w:color="auto" w:fill="auto"/>
            <w:noWrap/>
            <w:vAlign w:val="center"/>
            <w:hideMark/>
          </w:tcPr>
          <w:p w14:paraId="637F1902" w14:textId="77777777"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899999068</w:t>
            </w:r>
          </w:p>
        </w:tc>
        <w:tc>
          <w:tcPr>
            <w:tcW w:w="4782" w:type="dxa"/>
            <w:shd w:val="clear" w:color="auto" w:fill="auto"/>
            <w:vAlign w:val="center"/>
            <w:hideMark/>
          </w:tcPr>
          <w:p w14:paraId="1DEF4A7B" w14:textId="77777777" w:rsidR="00656F34" w:rsidRPr="00656F34" w:rsidRDefault="00656F34" w:rsidP="00656F34">
            <w:pPr>
              <w:jc w:val="lef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ECOPETROL S.A.</w:t>
            </w:r>
          </w:p>
        </w:tc>
        <w:tc>
          <w:tcPr>
            <w:tcW w:w="1380" w:type="dxa"/>
            <w:shd w:val="clear" w:color="auto" w:fill="auto"/>
            <w:noWrap/>
            <w:vAlign w:val="center"/>
            <w:hideMark/>
          </w:tcPr>
          <w:p w14:paraId="0009019E" w14:textId="078F129A"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 xml:space="preserve">     56</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172</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651</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 xml:space="preserve">157 </w:t>
            </w:r>
          </w:p>
        </w:tc>
        <w:tc>
          <w:tcPr>
            <w:tcW w:w="1360" w:type="dxa"/>
            <w:shd w:val="clear" w:color="auto" w:fill="auto"/>
            <w:noWrap/>
            <w:vAlign w:val="center"/>
            <w:hideMark/>
          </w:tcPr>
          <w:p w14:paraId="748FAEF6" w14:textId="153DA76F"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 xml:space="preserve">         561</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726</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 xml:space="preserve">512 </w:t>
            </w:r>
          </w:p>
        </w:tc>
      </w:tr>
      <w:tr w:rsidR="00656F34" w:rsidRPr="00656F34" w14:paraId="7D4308B3" w14:textId="77777777" w:rsidTr="00656F34">
        <w:trPr>
          <w:trHeight w:val="290"/>
        </w:trPr>
        <w:tc>
          <w:tcPr>
            <w:tcW w:w="319" w:type="dxa"/>
            <w:shd w:val="clear" w:color="auto" w:fill="auto"/>
            <w:noWrap/>
            <w:vAlign w:val="center"/>
            <w:hideMark/>
          </w:tcPr>
          <w:p w14:paraId="4B42BF38" w14:textId="77777777" w:rsidR="00656F34" w:rsidRPr="00656F34" w:rsidRDefault="00656F34" w:rsidP="00656F34">
            <w:pPr>
              <w:jc w:val="center"/>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23</w:t>
            </w:r>
          </w:p>
        </w:tc>
        <w:tc>
          <w:tcPr>
            <w:tcW w:w="879" w:type="dxa"/>
            <w:shd w:val="clear" w:color="auto" w:fill="auto"/>
            <w:noWrap/>
            <w:vAlign w:val="center"/>
            <w:hideMark/>
          </w:tcPr>
          <w:p w14:paraId="5AAEA0F5" w14:textId="77777777"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891400900</w:t>
            </w:r>
          </w:p>
        </w:tc>
        <w:tc>
          <w:tcPr>
            <w:tcW w:w="4782" w:type="dxa"/>
            <w:shd w:val="clear" w:color="auto" w:fill="auto"/>
            <w:vAlign w:val="center"/>
            <w:hideMark/>
          </w:tcPr>
          <w:p w14:paraId="7861BA22" w14:textId="77777777" w:rsidR="00656F34" w:rsidRPr="00656F34" w:rsidRDefault="00656F34" w:rsidP="00656F34">
            <w:pPr>
              <w:jc w:val="lef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ELECTROGAS SA ESP</w:t>
            </w:r>
          </w:p>
        </w:tc>
        <w:tc>
          <w:tcPr>
            <w:tcW w:w="1380" w:type="dxa"/>
            <w:shd w:val="clear" w:color="auto" w:fill="auto"/>
            <w:noWrap/>
            <w:vAlign w:val="center"/>
            <w:hideMark/>
          </w:tcPr>
          <w:p w14:paraId="582E901A" w14:textId="16858F04"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 xml:space="preserve">          368</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265</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 xml:space="preserve">554 </w:t>
            </w:r>
          </w:p>
        </w:tc>
        <w:tc>
          <w:tcPr>
            <w:tcW w:w="1360" w:type="dxa"/>
            <w:shd w:val="clear" w:color="auto" w:fill="auto"/>
            <w:noWrap/>
            <w:vAlign w:val="center"/>
            <w:hideMark/>
          </w:tcPr>
          <w:p w14:paraId="0D5B2910" w14:textId="2D73F844"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 xml:space="preserve">             3</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682</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 xml:space="preserve">656 </w:t>
            </w:r>
          </w:p>
        </w:tc>
      </w:tr>
      <w:tr w:rsidR="00656F34" w:rsidRPr="00656F34" w14:paraId="45540A2E" w14:textId="77777777" w:rsidTr="00656F34">
        <w:trPr>
          <w:trHeight w:val="290"/>
        </w:trPr>
        <w:tc>
          <w:tcPr>
            <w:tcW w:w="319" w:type="dxa"/>
            <w:shd w:val="clear" w:color="auto" w:fill="auto"/>
            <w:noWrap/>
            <w:vAlign w:val="center"/>
            <w:hideMark/>
          </w:tcPr>
          <w:p w14:paraId="0FB1BC95" w14:textId="77777777" w:rsidR="00656F34" w:rsidRPr="00656F34" w:rsidRDefault="00656F34" w:rsidP="00656F34">
            <w:pPr>
              <w:jc w:val="center"/>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24</w:t>
            </w:r>
          </w:p>
        </w:tc>
        <w:tc>
          <w:tcPr>
            <w:tcW w:w="879" w:type="dxa"/>
            <w:shd w:val="clear" w:color="auto" w:fill="auto"/>
            <w:noWrap/>
            <w:vAlign w:val="center"/>
            <w:hideMark/>
          </w:tcPr>
          <w:p w14:paraId="309C55DB" w14:textId="77777777"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900948809</w:t>
            </w:r>
          </w:p>
        </w:tc>
        <w:tc>
          <w:tcPr>
            <w:tcW w:w="4782" w:type="dxa"/>
            <w:shd w:val="clear" w:color="auto" w:fill="auto"/>
            <w:vAlign w:val="center"/>
            <w:hideMark/>
          </w:tcPr>
          <w:p w14:paraId="78966F19" w14:textId="77777777" w:rsidR="00656F34" w:rsidRPr="00656F34" w:rsidRDefault="00656F34" w:rsidP="00656F34">
            <w:pPr>
              <w:jc w:val="lef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EMPRESA MIXTA DE GAS S.A.S. E.S.P.</w:t>
            </w:r>
          </w:p>
        </w:tc>
        <w:tc>
          <w:tcPr>
            <w:tcW w:w="1380" w:type="dxa"/>
            <w:shd w:val="clear" w:color="auto" w:fill="auto"/>
            <w:noWrap/>
            <w:vAlign w:val="center"/>
            <w:hideMark/>
          </w:tcPr>
          <w:p w14:paraId="3E31094B" w14:textId="6B03D2DB"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 xml:space="preserve">          164</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652</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 xml:space="preserve">743 </w:t>
            </w:r>
          </w:p>
        </w:tc>
        <w:tc>
          <w:tcPr>
            <w:tcW w:w="1360" w:type="dxa"/>
            <w:shd w:val="clear" w:color="auto" w:fill="auto"/>
            <w:noWrap/>
            <w:vAlign w:val="center"/>
            <w:hideMark/>
          </w:tcPr>
          <w:p w14:paraId="7A3E5BC8" w14:textId="4BA64913"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 xml:space="preserve">             1</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646</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 xml:space="preserve">527 </w:t>
            </w:r>
          </w:p>
        </w:tc>
      </w:tr>
      <w:tr w:rsidR="00656F34" w:rsidRPr="00656F34" w14:paraId="15065755" w14:textId="77777777" w:rsidTr="00656F34">
        <w:trPr>
          <w:trHeight w:val="290"/>
        </w:trPr>
        <w:tc>
          <w:tcPr>
            <w:tcW w:w="319" w:type="dxa"/>
            <w:shd w:val="clear" w:color="auto" w:fill="auto"/>
            <w:noWrap/>
            <w:vAlign w:val="center"/>
            <w:hideMark/>
          </w:tcPr>
          <w:p w14:paraId="441770BC" w14:textId="77777777" w:rsidR="00656F34" w:rsidRPr="00656F34" w:rsidRDefault="00656F34" w:rsidP="00656F34">
            <w:pPr>
              <w:jc w:val="center"/>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25</w:t>
            </w:r>
          </w:p>
        </w:tc>
        <w:tc>
          <w:tcPr>
            <w:tcW w:w="879" w:type="dxa"/>
            <w:shd w:val="clear" w:color="auto" w:fill="auto"/>
            <w:noWrap/>
            <w:vAlign w:val="center"/>
            <w:hideMark/>
          </w:tcPr>
          <w:p w14:paraId="524CB6F6" w14:textId="77777777"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800182395</w:t>
            </w:r>
          </w:p>
        </w:tc>
        <w:tc>
          <w:tcPr>
            <w:tcW w:w="4782" w:type="dxa"/>
            <w:shd w:val="clear" w:color="auto" w:fill="auto"/>
            <w:vAlign w:val="center"/>
            <w:hideMark/>
          </w:tcPr>
          <w:p w14:paraId="6413CCF6" w14:textId="77777777" w:rsidR="00656F34" w:rsidRPr="00656F34" w:rsidRDefault="00656F34" w:rsidP="00656F34">
            <w:pPr>
              <w:jc w:val="lef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ENERGAS S.A. E.S.P.</w:t>
            </w:r>
          </w:p>
        </w:tc>
        <w:tc>
          <w:tcPr>
            <w:tcW w:w="1380" w:type="dxa"/>
            <w:shd w:val="clear" w:color="auto" w:fill="auto"/>
            <w:noWrap/>
            <w:vAlign w:val="center"/>
            <w:hideMark/>
          </w:tcPr>
          <w:p w14:paraId="66AAF226" w14:textId="312B5B66"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 xml:space="preserve">          284</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003</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 xml:space="preserve">224 </w:t>
            </w:r>
          </w:p>
        </w:tc>
        <w:tc>
          <w:tcPr>
            <w:tcW w:w="1360" w:type="dxa"/>
            <w:shd w:val="clear" w:color="auto" w:fill="auto"/>
            <w:noWrap/>
            <w:vAlign w:val="center"/>
            <w:hideMark/>
          </w:tcPr>
          <w:p w14:paraId="47189484" w14:textId="57A30DAE"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 xml:space="preserve">             2</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840</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 xml:space="preserve">032 </w:t>
            </w:r>
          </w:p>
        </w:tc>
      </w:tr>
      <w:tr w:rsidR="00656F34" w:rsidRPr="00656F34" w14:paraId="47FA0B42" w14:textId="77777777" w:rsidTr="00656F34">
        <w:trPr>
          <w:trHeight w:val="290"/>
        </w:trPr>
        <w:tc>
          <w:tcPr>
            <w:tcW w:w="319" w:type="dxa"/>
            <w:shd w:val="clear" w:color="auto" w:fill="auto"/>
            <w:noWrap/>
            <w:vAlign w:val="center"/>
            <w:hideMark/>
          </w:tcPr>
          <w:p w14:paraId="2F512761" w14:textId="77777777" w:rsidR="00656F34" w:rsidRPr="00656F34" w:rsidRDefault="00656F34" w:rsidP="00656F34">
            <w:pPr>
              <w:jc w:val="center"/>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26</w:t>
            </w:r>
          </w:p>
        </w:tc>
        <w:tc>
          <w:tcPr>
            <w:tcW w:w="879" w:type="dxa"/>
            <w:shd w:val="clear" w:color="auto" w:fill="auto"/>
            <w:noWrap/>
            <w:vAlign w:val="center"/>
            <w:hideMark/>
          </w:tcPr>
          <w:p w14:paraId="5760835D" w14:textId="77777777"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901023947</w:t>
            </w:r>
          </w:p>
        </w:tc>
        <w:tc>
          <w:tcPr>
            <w:tcW w:w="4782" w:type="dxa"/>
            <w:shd w:val="clear" w:color="auto" w:fill="auto"/>
            <w:vAlign w:val="center"/>
            <w:hideMark/>
          </w:tcPr>
          <w:p w14:paraId="2C9C596F" w14:textId="77777777" w:rsidR="00656F34" w:rsidRPr="00656F34" w:rsidRDefault="00656F34" w:rsidP="00656F34">
            <w:pPr>
              <w:jc w:val="lef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ENERGIA VITAL DE COLOMBIA SA ESP</w:t>
            </w:r>
          </w:p>
        </w:tc>
        <w:tc>
          <w:tcPr>
            <w:tcW w:w="1380" w:type="dxa"/>
            <w:shd w:val="clear" w:color="auto" w:fill="auto"/>
            <w:noWrap/>
            <w:vAlign w:val="center"/>
            <w:hideMark/>
          </w:tcPr>
          <w:p w14:paraId="051FB837" w14:textId="66BEF6F5"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 xml:space="preserve">            39</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757</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 xml:space="preserve">121 </w:t>
            </w:r>
          </w:p>
        </w:tc>
        <w:tc>
          <w:tcPr>
            <w:tcW w:w="1360" w:type="dxa"/>
            <w:shd w:val="clear" w:color="auto" w:fill="auto"/>
            <w:noWrap/>
            <w:vAlign w:val="center"/>
            <w:hideMark/>
          </w:tcPr>
          <w:p w14:paraId="2CEAD4FF" w14:textId="0DE70EEC"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 xml:space="preserve">                397</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 xml:space="preserve">571 </w:t>
            </w:r>
          </w:p>
        </w:tc>
      </w:tr>
      <w:tr w:rsidR="00656F34" w:rsidRPr="00656F34" w14:paraId="1C4BD52A" w14:textId="77777777" w:rsidTr="00656F34">
        <w:trPr>
          <w:trHeight w:val="460"/>
        </w:trPr>
        <w:tc>
          <w:tcPr>
            <w:tcW w:w="319" w:type="dxa"/>
            <w:shd w:val="clear" w:color="auto" w:fill="auto"/>
            <w:noWrap/>
            <w:vAlign w:val="center"/>
            <w:hideMark/>
          </w:tcPr>
          <w:p w14:paraId="5E8ECDE6" w14:textId="77777777" w:rsidR="00656F34" w:rsidRPr="00656F34" w:rsidRDefault="00656F34" w:rsidP="00656F34">
            <w:pPr>
              <w:jc w:val="center"/>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27</w:t>
            </w:r>
          </w:p>
        </w:tc>
        <w:tc>
          <w:tcPr>
            <w:tcW w:w="879" w:type="dxa"/>
            <w:shd w:val="clear" w:color="auto" w:fill="auto"/>
            <w:noWrap/>
            <w:vAlign w:val="center"/>
            <w:hideMark/>
          </w:tcPr>
          <w:p w14:paraId="277DD21D" w14:textId="77777777"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890701766</w:t>
            </w:r>
          </w:p>
        </w:tc>
        <w:tc>
          <w:tcPr>
            <w:tcW w:w="4782" w:type="dxa"/>
            <w:shd w:val="clear" w:color="auto" w:fill="auto"/>
            <w:vAlign w:val="center"/>
            <w:hideMark/>
          </w:tcPr>
          <w:p w14:paraId="20F2690B" w14:textId="77777777" w:rsidR="00656F34" w:rsidRPr="00656F34" w:rsidRDefault="00656F34" w:rsidP="00656F34">
            <w:pPr>
              <w:jc w:val="lef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ENVASADORA DE GAS DE PUERTO SALGAR S.A. EMPRESA DE SERVICIOS PUBLICOS</w:t>
            </w:r>
          </w:p>
        </w:tc>
        <w:tc>
          <w:tcPr>
            <w:tcW w:w="1380" w:type="dxa"/>
            <w:shd w:val="clear" w:color="auto" w:fill="auto"/>
            <w:noWrap/>
            <w:vAlign w:val="center"/>
            <w:hideMark/>
          </w:tcPr>
          <w:p w14:paraId="0EB4A1EB" w14:textId="7C882BE4"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 xml:space="preserve">          616</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791</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 xml:space="preserve">513 </w:t>
            </w:r>
          </w:p>
        </w:tc>
        <w:tc>
          <w:tcPr>
            <w:tcW w:w="1360" w:type="dxa"/>
            <w:shd w:val="clear" w:color="auto" w:fill="auto"/>
            <w:noWrap/>
            <w:vAlign w:val="center"/>
            <w:hideMark/>
          </w:tcPr>
          <w:p w14:paraId="42B45C75" w14:textId="54B9EFF1"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 xml:space="preserve">             6</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167</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 xml:space="preserve">915 </w:t>
            </w:r>
          </w:p>
        </w:tc>
      </w:tr>
      <w:tr w:rsidR="00656F34" w:rsidRPr="00656F34" w14:paraId="1AFFBCA4" w14:textId="77777777" w:rsidTr="00656F34">
        <w:trPr>
          <w:trHeight w:val="290"/>
        </w:trPr>
        <w:tc>
          <w:tcPr>
            <w:tcW w:w="319" w:type="dxa"/>
            <w:shd w:val="clear" w:color="auto" w:fill="auto"/>
            <w:noWrap/>
            <w:vAlign w:val="center"/>
            <w:hideMark/>
          </w:tcPr>
          <w:p w14:paraId="243D6BE0" w14:textId="77777777" w:rsidR="00656F34" w:rsidRPr="00656F34" w:rsidRDefault="00656F34" w:rsidP="00656F34">
            <w:pPr>
              <w:jc w:val="center"/>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28</w:t>
            </w:r>
          </w:p>
        </w:tc>
        <w:tc>
          <w:tcPr>
            <w:tcW w:w="879" w:type="dxa"/>
            <w:shd w:val="clear" w:color="auto" w:fill="auto"/>
            <w:noWrap/>
            <w:vAlign w:val="center"/>
            <w:hideMark/>
          </w:tcPr>
          <w:p w14:paraId="63602C04" w14:textId="77777777"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900120534</w:t>
            </w:r>
          </w:p>
        </w:tc>
        <w:tc>
          <w:tcPr>
            <w:tcW w:w="4782" w:type="dxa"/>
            <w:shd w:val="clear" w:color="auto" w:fill="auto"/>
            <w:vAlign w:val="center"/>
            <w:hideMark/>
          </w:tcPr>
          <w:p w14:paraId="7B8585C4" w14:textId="77777777" w:rsidR="00656F34" w:rsidRPr="00656F34" w:rsidRDefault="00656F34" w:rsidP="00656F34">
            <w:pPr>
              <w:jc w:val="lef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ESP DIGASPRO SA</w:t>
            </w:r>
          </w:p>
        </w:tc>
        <w:tc>
          <w:tcPr>
            <w:tcW w:w="1380" w:type="dxa"/>
            <w:shd w:val="clear" w:color="auto" w:fill="auto"/>
            <w:noWrap/>
            <w:vAlign w:val="center"/>
            <w:hideMark/>
          </w:tcPr>
          <w:p w14:paraId="4C69BB1F" w14:textId="6EC52D02"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 xml:space="preserve">          352</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382</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 xml:space="preserve">517 </w:t>
            </w:r>
          </w:p>
        </w:tc>
        <w:tc>
          <w:tcPr>
            <w:tcW w:w="1360" w:type="dxa"/>
            <w:shd w:val="clear" w:color="auto" w:fill="auto"/>
            <w:noWrap/>
            <w:vAlign w:val="center"/>
            <w:hideMark/>
          </w:tcPr>
          <w:p w14:paraId="0F3C651D" w14:textId="04AA9243"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 xml:space="preserve">             3</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523</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 xml:space="preserve">825 </w:t>
            </w:r>
          </w:p>
        </w:tc>
      </w:tr>
      <w:tr w:rsidR="00656F34" w:rsidRPr="00656F34" w14:paraId="47862CC4" w14:textId="77777777" w:rsidTr="00656F34">
        <w:trPr>
          <w:trHeight w:val="290"/>
        </w:trPr>
        <w:tc>
          <w:tcPr>
            <w:tcW w:w="319" w:type="dxa"/>
            <w:shd w:val="clear" w:color="auto" w:fill="auto"/>
            <w:noWrap/>
            <w:vAlign w:val="center"/>
            <w:hideMark/>
          </w:tcPr>
          <w:p w14:paraId="5FF48E68" w14:textId="77777777" w:rsidR="00656F34" w:rsidRPr="00656F34" w:rsidRDefault="00656F34" w:rsidP="00656F34">
            <w:pPr>
              <w:jc w:val="center"/>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29</w:t>
            </w:r>
          </w:p>
        </w:tc>
        <w:tc>
          <w:tcPr>
            <w:tcW w:w="879" w:type="dxa"/>
            <w:shd w:val="clear" w:color="auto" w:fill="auto"/>
            <w:noWrap/>
            <w:vAlign w:val="center"/>
            <w:hideMark/>
          </w:tcPr>
          <w:p w14:paraId="440819C7" w14:textId="77777777"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900396040</w:t>
            </w:r>
          </w:p>
        </w:tc>
        <w:tc>
          <w:tcPr>
            <w:tcW w:w="4782" w:type="dxa"/>
            <w:shd w:val="clear" w:color="auto" w:fill="auto"/>
            <w:vAlign w:val="center"/>
            <w:hideMark/>
          </w:tcPr>
          <w:p w14:paraId="05D1B3A6" w14:textId="77777777" w:rsidR="00656F34" w:rsidRPr="00D26825" w:rsidRDefault="00656F34" w:rsidP="00656F34">
            <w:pPr>
              <w:jc w:val="left"/>
              <w:rPr>
                <w:rFonts w:ascii="Arial Narrow" w:hAnsi="Arial Narrow" w:cs="Calibri"/>
                <w:spacing w:val="0"/>
                <w:sz w:val="18"/>
                <w:szCs w:val="18"/>
                <w:lang w:val="en-US" w:eastAsia="es-CO"/>
              </w:rPr>
            </w:pPr>
            <w:r w:rsidRPr="00D26825">
              <w:rPr>
                <w:rFonts w:ascii="Arial Narrow" w:hAnsi="Arial Narrow" w:cs="Calibri"/>
                <w:spacing w:val="0"/>
                <w:sz w:val="18"/>
                <w:szCs w:val="18"/>
                <w:lang w:val="en-US" w:eastAsia="es-CO"/>
              </w:rPr>
              <w:t>FEDEGAS S.A.S.  E.S.P.</w:t>
            </w:r>
          </w:p>
        </w:tc>
        <w:tc>
          <w:tcPr>
            <w:tcW w:w="1380" w:type="dxa"/>
            <w:shd w:val="clear" w:color="auto" w:fill="auto"/>
            <w:noWrap/>
            <w:vAlign w:val="center"/>
            <w:hideMark/>
          </w:tcPr>
          <w:p w14:paraId="58E59E4D" w14:textId="30DA33D5" w:rsidR="00656F34" w:rsidRPr="00656F34" w:rsidRDefault="00656F34" w:rsidP="00656F34">
            <w:pPr>
              <w:jc w:val="right"/>
              <w:rPr>
                <w:rFonts w:ascii="Arial Narrow" w:hAnsi="Arial Narrow" w:cs="Calibri"/>
                <w:spacing w:val="0"/>
                <w:sz w:val="18"/>
                <w:szCs w:val="18"/>
                <w:lang w:eastAsia="es-CO"/>
              </w:rPr>
            </w:pPr>
            <w:r w:rsidRPr="00D26825">
              <w:rPr>
                <w:rFonts w:ascii="Arial Narrow" w:hAnsi="Arial Narrow" w:cs="Calibri"/>
                <w:spacing w:val="0"/>
                <w:sz w:val="18"/>
                <w:szCs w:val="18"/>
                <w:lang w:val="en-US" w:eastAsia="es-CO"/>
              </w:rPr>
              <w:t xml:space="preserve">       </w:t>
            </w:r>
            <w:r w:rsidRPr="00656F34">
              <w:rPr>
                <w:rFonts w:ascii="Arial Narrow" w:hAnsi="Arial Narrow" w:cs="Calibri"/>
                <w:spacing w:val="0"/>
                <w:sz w:val="18"/>
                <w:szCs w:val="18"/>
                <w:lang w:eastAsia="es-CO"/>
              </w:rPr>
              <w:t>1</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490</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225</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 xml:space="preserve">954 </w:t>
            </w:r>
          </w:p>
        </w:tc>
        <w:tc>
          <w:tcPr>
            <w:tcW w:w="1360" w:type="dxa"/>
            <w:shd w:val="clear" w:color="auto" w:fill="auto"/>
            <w:noWrap/>
            <w:vAlign w:val="center"/>
            <w:hideMark/>
          </w:tcPr>
          <w:p w14:paraId="7BF6D63F" w14:textId="04EB708D"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 xml:space="preserve">           14</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902</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 xml:space="preserve">260 </w:t>
            </w:r>
          </w:p>
        </w:tc>
      </w:tr>
      <w:tr w:rsidR="00656F34" w:rsidRPr="00656F34" w14:paraId="79B555F9" w14:textId="77777777" w:rsidTr="00656F34">
        <w:trPr>
          <w:trHeight w:val="290"/>
        </w:trPr>
        <w:tc>
          <w:tcPr>
            <w:tcW w:w="319" w:type="dxa"/>
            <w:shd w:val="clear" w:color="auto" w:fill="auto"/>
            <w:noWrap/>
            <w:vAlign w:val="center"/>
            <w:hideMark/>
          </w:tcPr>
          <w:p w14:paraId="01703B0A" w14:textId="77777777" w:rsidR="00656F34" w:rsidRPr="00656F34" w:rsidRDefault="00656F34" w:rsidP="00656F34">
            <w:pPr>
              <w:jc w:val="center"/>
              <w:rPr>
                <w:rFonts w:ascii="Arial Narrow" w:hAnsi="Arial Narrow" w:cs="Calibri"/>
                <w:spacing w:val="0"/>
                <w:sz w:val="18"/>
                <w:szCs w:val="18"/>
                <w:lang w:eastAsia="es-CO"/>
              </w:rPr>
            </w:pPr>
            <w:r w:rsidRPr="00656F34">
              <w:rPr>
                <w:rFonts w:ascii="Arial Narrow" w:hAnsi="Arial Narrow" w:cs="Calibri"/>
                <w:spacing w:val="0"/>
                <w:sz w:val="18"/>
                <w:szCs w:val="18"/>
                <w:lang w:eastAsia="es-CO"/>
              </w:rPr>
              <w:lastRenderedPageBreak/>
              <w:t>30</w:t>
            </w:r>
          </w:p>
        </w:tc>
        <w:tc>
          <w:tcPr>
            <w:tcW w:w="879" w:type="dxa"/>
            <w:shd w:val="clear" w:color="auto" w:fill="auto"/>
            <w:noWrap/>
            <w:vAlign w:val="center"/>
            <w:hideMark/>
          </w:tcPr>
          <w:p w14:paraId="4995AE52" w14:textId="77777777"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828000499</w:t>
            </w:r>
          </w:p>
        </w:tc>
        <w:tc>
          <w:tcPr>
            <w:tcW w:w="4782" w:type="dxa"/>
            <w:shd w:val="clear" w:color="auto" w:fill="auto"/>
            <w:vAlign w:val="center"/>
            <w:hideMark/>
          </w:tcPr>
          <w:p w14:paraId="0E4D68C5" w14:textId="71C5489B" w:rsidR="00656F34" w:rsidRPr="00656F34" w:rsidRDefault="00656F34" w:rsidP="00656F34">
            <w:pPr>
              <w:jc w:val="lef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GAS CAQUETA S.A</w:t>
            </w:r>
            <w:r>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 xml:space="preserve">  E.S.P</w:t>
            </w:r>
            <w:r>
              <w:rPr>
                <w:rFonts w:ascii="Arial Narrow" w:hAnsi="Arial Narrow" w:cs="Calibri"/>
                <w:spacing w:val="0"/>
                <w:sz w:val="18"/>
                <w:szCs w:val="18"/>
                <w:lang w:eastAsia="es-CO"/>
              </w:rPr>
              <w:t>.</w:t>
            </w:r>
          </w:p>
        </w:tc>
        <w:tc>
          <w:tcPr>
            <w:tcW w:w="1380" w:type="dxa"/>
            <w:shd w:val="clear" w:color="auto" w:fill="auto"/>
            <w:noWrap/>
            <w:vAlign w:val="center"/>
            <w:hideMark/>
          </w:tcPr>
          <w:p w14:paraId="4AB8F880" w14:textId="176965B5"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 xml:space="preserve">       4</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558</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789</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 xml:space="preserve">299 </w:t>
            </w:r>
          </w:p>
        </w:tc>
        <w:tc>
          <w:tcPr>
            <w:tcW w:w="1360" w:type="dxa"/>
            <w:shd w:val="clear" w:color="auto" w:fill="auto"/>
            <w:noWrap/>
            <w:vAlign w:val="center"/>
            <w:hideMark/>
          </w:tcPr>
          <w:p w14:paraId="35222369" w14:textId="66087EAB"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 xml:space="preserve">           45</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587</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 xml:space="preserve">893 </w:t>
            </w:r>
          </w:p>
        </w:tc>
      </w:tr>
      <w:tr w:rsidR="00656F34" w:rsidRPr="00656F34" w14:paraId="6AFC0E20" w14:textId="77777777" w:rsidTr="00656F34">
        <w:trPr>
          <w:trHeight w:val="290"/>
        </w:trPr>
        <w:tc>
          <w:tcPr>
            <w:tcW w:w="319" w:type="dxa"/>
            <w:shd w:val="clear" w:color="auto" w:fill="auto"/>
            <w:noWrap/>
            <w:vAlign w:val="center"/>
            <w:hideMark/>
          </w:tcPr>
          <w:p w14:paraId="3CB021B3" w14:textId="77777777" w:rsidR="00656F34" w:rsidRPr="00656F34" w:rsidRDefault="00656F34" w:rsidP="00656F34">
            <w:pPr>
              <w:jc w:val="center"/>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31</w:t>
            </w:r>
          </w:p>
        </w:tc>
        <w:tc>
          <w:tcPr>
            <w:tcW w:w="879" w:type="dxa"/>
            <w:shd w:val="clear" w:color="auto" w:fill="auto"/>
            <w:noWrap/>
            <w:vAlign w:val="center"/>
            <w:hideMark/>
          </w:tcPr>
          <w:p w14:paraId="4C09ADC3" w14:textId="77777777"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900970665</w:t>
            </w:r>
          </w:p>
        </w:tc>
        <w:tc>
          <w:tcPr>
            <w:tcW w:w="4782" w:type="dxa"/>
            <w:shd w:val="clear" w:color="auto" w:fill="auto"/>
            <w:vAlign w:val="center"/>
            <w:hideMark/>
          </w:tcPr>
          <w:p w14:paraId="2A5BF499" w14:textId="77777777" w:rsidR="00656F34" w:rsidRPr="00656F34" w:rsidRDefault="00656F34" w:rsidP="00656F34">
            <w:pPr>
              <w:jc w:val="lef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GAS COLOMBIA SAS ESP</w:t>
            </w:r>
          </w:p>
        </w:tc>
        <w:tc>
          <w:tcPr>
            <w:tcW w:w="1380" w:type="dxa"/>
            <w:shd w:val="clear" w:color="auto" w:fill="auto"/>
            <w:noWrap/>
            <w:vAlign w:val="center"/>
            <w:hideMark/>
          </w:tcPr>
          <w:p w14:paraId="24C3547F" w14:textId="06DA6BBE"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 xml:space="preserve">          124</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401</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 xml:space="preserve">770 </w:t>
            </w:r>
          </w:p>
        </w:tc>
        <w:tc>
          <w:tcPr>
            <w:tcW w:w="1360" w:type="dxa"/>
            <w:shd w:val="clear" w:color="auto" w:fill="auto"/>
            <w:noWrap/>
            <w:vAlign w:val="center"/>
            <w:hideMark/>
          </w:tcPr>
          <w:p w14:paraId="748D477A" w14:textId="546B0A1D"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 xml:space="preserve">             1</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244</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 xml:space="preserve">018 </w:t>
            </w:r>
          </w:p>
        </w:tc>
      </w:tr>
      <w:tr w:rsidR="00656F34" w:rsidRPr="00656F34" w14:paraId="0C1CDF7D" w14:textId="77777777" w:rsidTr="00656F34">
        <w:trPr>
          <w:trHeight w:val="290"/>
        </w:trPr>
        <w:tc>
          <w:tcPr>
            <w:tcW w:w="319" w:type="dxa"/>
            <w:shd w:val="clear" w:color="auto" w:fill="auto"/>
            <w:noWrap/>
            <w:vAlign w:val="center"/>
            <w:hideMark/>
          </w:tcPr>
          <w:p w14:paraId="62B6D6BC" w14:textId="77777777" w:rsidR="00656F34" w:rsidRPr="00656F34" w:rsidRDefault="00656F34" w:rsidP="00656F34">
            <w:pPr>
              <w:jc w:val="center"/>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32</w:t>
            </w:r>
          </w:p>
        </w:tc>
        <w:tc>
          <w:tcPr>
            <w:tcW w:w="879" w:type="dxa"/>
            <w:shd w:val="clear" w:color="auto" w:fill="auto"/>
            <w:noWrap/>
            <w:vAlign w:val="center"/>
            <w:hideMark/>
          </w:tcPr>
          <w:p w14:paraId="1B58E6E8" w14:textId="77777777"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800150534</w:t>
            </w:r>
          </w:p>
        </w:tc>
        <w:tc>
          <w:tcPr>
            <w:tcW w:w="4782" w:type="dxa"/>
            <w:shd w:val="clear" w:color="auto" w:fill="auto"/>
            <w:vAlign w:val="center"/>
            <w:hideMark/>
          </w:tcPr>
          <w:p w14:paraId="3C9F0861" w14:textId="77777777" w:rsidR="00656F34" w:rsidRPr="00656F34" w:rsidRDefault="00656F34" w:rsidP="00656F34">
            <w:pPr>
              <w:jc w:val="lef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GAS EL SOL S.A. E.S.P.</w:t>
            </w:r>
          </w:p>
        </w:tc>
        <w:tc>
          <w:tcPr>
            <w:tcW w:w="1380" w:type="dxa"/>
            <w:shd w:val="clear" w:color="auto" w:fill="auto"/>
            <w:noWrap/>
            <w:vAlign w:val="center"/>
            <w:hideMark/>
          </w:tcPr>
          <w:p w14:paraId="3C11509F" w14:textId="2CB66B36"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 xml:space="preserve">          168</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478</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 xml:space="preserve">729 </w:t>
            </w:r>
          </w:p>
        </w:tc>
        <w:tc>
          <w:tcPr>
            <w:tcW w:w="1360" w:type="dxa"/>
            <w:shd w:val="clear" w:color="auto" w:fill="auto"/>
            <w:noWrap/>
            <w:vAlign w:val="center"/>
            <w:hideMark/>
          </w:tcPr>
          <w:p w14:paraId="7F4EC65D" w14:textId="659C6554"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 xml:space="preserve">             1</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684</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 xml:space="preserve">787 </w:t>
            </w:r>
          </w:p>
        </w:tc>
      </w:tr>
      <w:tr w:rsidR="00656F34" w:rsidRPr="00656F34" w14:paraId="25788BF3" w14:textId="77777777" w:rsidTr="00656F34">
        <w:trPr>
          <w:trHeight w:val="290"/>
        </w:trPr>
        <w:tc>
          <w:tcPr>
            <w:tcW w:w="319" w:type="dxa"/>
            <w:shd w:val="clear" w:color="auto" w:fill="auto"/>
            <w:noWrap/>
            <w:vAlign w:val="center"/>
            <w:hideMark/>
          </w:tcPr>
          <w:p w14:paraId="4AB68212" w14:textId="77777777" w:rsidR="00656F34" w:rsidRPr="00656F34" w:rsidRDefault="00656F34" w:rsidP="00656F34">
            <w:pPr>
              <w:jc w:val="center"/>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33</w:t>
            </w:r>
          </w:p>
        </w:tc>
        <w:tc>
          <w:tcPr>
            <w:tcW w:w="879" w:type="dxa"/>
            <w:shd w:val="clear" w:color="auto" w:fill="auto"/>
            <w:noWrap/>
            <w:vAlign w:val="center"/>
            <w:hideMark/>
          </w:tcPr>
          <w:p w14:paraId="56A8C734" w14:textId="77777777"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900566834</w:t>
            </w:r>
          </w:p>
        </w:tc>
        <w:tc>
          <w:tcPr>
            <w:tcW w:w="4782" w:type="dxa"/>
            <w:shd w:val="clear" w:color="auto" w:fill="auto"/>
            <w:vAlign w:val="center"/>
            <w:hideMark/>
          </w:tcPr>
          <w:p w14:paraId="23EEE77D" w14:textId="77777777" w:rsidR="00656F34" w:rsidRPr="00656F34" w:rsidRDefault="00656F34" w:rsidP="00656F34">
            <w:pPr>
              <w:jc w:val="lef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GAS EXPRESS COLOMBIA SAS ESP</w:t>
            </w:r>
          </w:p>
        </w:tc>
        <w:tc>
          <w:tcPr>
            <w:tcW w:w="1380" w:type="dxa"/>
            <w:shd w:val="clear" w:color="auto" w:fill="auto"/>
            <w:noWrap/>
            <w:vAlign w:val="center"/>
            <w:hideMark/>
          </w:tcPr>
          <w:p w14:paraId="1F3378D5" w14:textId="37D20AAC"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 xml:space="preserve">          197</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060</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 xml:space="preserve">965 </w:t>
            </w:r>
          </w:p>
        </w:tc>
        <w:tc>
          <w:tcPr>
            <w:tcW w:w="1360" w:type="dxa"/>
            <w:shd w:val="clear" w:color="auto" w:fill="auto"/>
            <w:noWrap/>
            <w:vAlign w:val="center"/>
            <w:hideMark/>
          </w:tcPr>
          <w:p w14:paraId="14AF55BA" w14:textId="43057C6B"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 xml:space="preserve">             1</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970</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 xml:space="preserve">610 </w:t>
            </w:r>
          </w:p>
        </w:tc>
      </w:tr>
      <w:tr w:rsidR="00656F34" w:rsidRPr="00656F34" w14:paraId="6BFD4E6E" w14:textId="77777777" w:rsidTr="00656F34">
        <w:trPr>
          <w:trHeight w:val="290"/>
        </w:trPr>
        <w:tc>
          <w:tcPr>
            <w:tcW w:w="319" w:type="dxa"/>
            <w:shd w:val="clear" w:color="auto" w:fill="auto"/>
            <w:noWrap/>
            <w:vAlign w:val="center"/>
            <w:hideMark/>
          </w:tcPr>
          <w:p w14:paraId="1C9DB8C7" w14:textId="77777777" w:rsidR="00656F34" w:rsidRPr="00656F34" w:rsidRDefault="00656F34" w:rsidP="00656F34">
            <w:pPr>
              <w:jc w:val="center"/>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34</w:t>
            </w:r>
          </w:p>
        </w:tc>
        <w:tc>
          <w:tcPr>
            <w:tcW w:w="879" w:type="dxa"/>
            <w:shd w:val="clear" w:color="auto" w:fill="auto"/>
            <w:noWrap/>
            <w:vAlign w:val="center"/>
            <w:hideMark/>
          </w:tcPr>
          <w:p w14:paraId="69C6796A" w14:textId="77777777"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800136258</w:t>
            </w:r>
          </w:p>
        </w:tc>
        <w:tc>
          <w:tcPr>
            <w:tcW w:w="4782" w:type="dxa"/>
            <w:shd w:val="clear" w:color="auto" w:fill="auto"/>
            <w:vAlign w:val="center"/>
            <w:hideMark/>
          </w:tcPr>
          <w:p w14:paraId="7E2CD083" w14:textId="77777777" w:rsidR="00656F34" w:rsidRPr="00656F34" w:rsidRDefault="00656F34" w:rsidP="00656F34">
            <w:pPr>
              <w:jc w:val="lef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GAS GUAVIARE S.A. E.S.P.</w:t>
            </w:r>
          </w:p>
        </w:tc>
        <w:tc>
          <w:tcPr>
            <w:tcW w:w="1380" w:type="dxa"/>
            <w:shd w:val="clear" w:color="auto" w:fill="auto"/>
            <w:noWrap/>
            <w:vAlign w:val="center"/>
            <w:hideMark/>
          </w:tcPr>
          <w:p w14:paraId="18483F35" w14:textId="4A8A6D8D"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 xml:space="preserve">       2</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349</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354</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 xml:space="preserve">747 </w:t>
            </w:r>
          </w:p>
        </w:tc>
        <w:tc>
          <w:tcPr>
            <w:tcW w:w="1360" w:type="dxa"/>
            <w:shd w:val="clear" w:color="auto" w:fill="auto"/>
            <w:noWrap/>
            <w:vAlign w:val="center"/>
            <w:hideMark/>
          </w:tcPr>
          <w:p w14:paraId="26AD936C" w14:textId="608158B0"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 xml:space="preserve">           23</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493</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 xml:space="preserve">547 </w:t>
            </w:r>
          </w:p>
        </w:tc>
      </w:tr>
      <w:tr w:rsidR="00656F34" w:rsidRPr="00656F34" w14:paraId="2B098C53" w14:textId="77777777" w:rsidTr="00656F34">
        <w:trPr>
          <w:trHeight w:val="290"/>
        </w:trPr>
        <w:tc>
          <w:tcPr>
            <w:tcW w:w="319" w:type="dxa"/>
            <w:shd w:val="clear" w:color="auto" w:fill="auto"/>
            <w:noWrap/>
            <w:vAlign w:val="center"/>
            <w:hideMark/>
          </w:tcPr>
          <w:p w14:paraId="6FB6B4A4" w14:textId="77777777" w:rsidR="00656F34" w:rsidRPr="00656F34" w:rsidRDefault="00656F34" w:rsidP="00656F34">
            <w:pPr>
              <w:jc w:val="center"/>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35</w:t>
            </w:r>
          </w:p>
        </w:tc>
        <w:tc>
          <w:tcPr>
            <w:tcW w:w="879" w:type="dxa"/>
            <w:shd w:val="clear" w:color="auto" w:fill="auto"/>
            <w:noWrap/>
            <w:vAlign w:val="center"/>
            <w:hideMark/>
          </w:tcPr>
          <w:p w14:paraId="4F3CD9F5" w14:textId="77777777"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813002696</w:t>
            </w:r>
          </w:p>
        </w:tc>
        <w:tc>
          <w:tcPr>
            <w:tcW w:w="4782" w:type="dxa"/>
            <w:shd w:val="clear" w:color="auto" w:fill="auto"/>
            <w:vAlign w:val="center"/>
            <w:hideMark/>
          </w:tcPr>
          <w:p w14:paraId="6C8278DF" w14:textId="3072C4A1" w:rsidR="00656F34" w:rsidRPr="00656F34" w:rsidRDefault="00656F34" w:rsidP="00656F34">
            <w:pPr>
              <w:jc w:val="lef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GAS NEIVA S.A. E.S.P</w:t>
            </w:r>
            <w:r>
              <w:rPr>
                <w:rFonts w:ascii="Arial Narrow" w:hAnsi="Arial Narrow" w:cs="Calibri"/>
                <w:spacing w:val="0"/>
                <w:sz w:val="18"/>
                <w:szCs w:val="18"/>
                <w:lang w:eastAsia="es-CO"/>
              </w:rPr>
              <w:t>.</w:t>
            </w:r>
          </w:p>
        </w:tc>
        <w:tc>
          <w:tcPr>
            <w:tcW w:w="1380" w:type="dxa"/>
            <w:shd w:val="clear" w:color="auto" w:fill="auto"/>
            <w:noWrap/>
            <w:vAlign w:val="center"/>
            <w:hideMark/>
          </w:tcPr>
          <w:p w14:paraId="6464004A" w14:textId="291CC59B"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 xml:space="preserve">       6</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223</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780</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 xml:space="preserve">905 </w:t>
            </w:r>
          </w:p>
        </w:tc>
        <w:tc>
          <w:tcPr>
            <w:tcW w:w="1360" w:type="dxa"/>
            <w:shd w:val="clear" w:color="auto" w:fill="auto"/>
            <w:noWrap/>
            <w:vAlign w:val="center"/>
            <w:hideMark/>
          </w:tcPr>
          <w:p w14:paraId="6B6C0BB2" w14:textId="6B0D09BA"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 xml:space="preserve">           62</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237</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 xml:space="preserve">809 </w:t>
            </w:r>
          </w:p>
        </w:tc>
      </w:tr>
      <w:tr w:rsidR="00656F34" w:rsidRPr="00656F34" w14:paraId="03B21F9C" w14:textId="77777777" w:rsidTr="00656F34">
        <w:trPr>
          <w:trHeight w:val="290"/>
        </w:trPr>
        <w:tc>
          <w:tcPr>
            <w:tcW w:w="319" w:type="dxa"/>
            <w:shd w:val="clear" w:color="auto" w:fill="auto"/>
            <w:noWrap/>
            <w:vAlign w:val="center"/>
            <w:hideMark/>
          </w:tcPr>
          <w:p w14:paraId="28590BEB" w14:textId="77777777" w:rsidR="00656F34" w:rsidRPr="00656F34" w:rsidRDefault="00656F34" w:rsidP="00656F34">
            <w:pPr>
              <w:jc w:val="center"/>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36</w:t>
            </w:r>
          </w:p>
        </w:tc>
        <w:tc>
          <w:tcPr>
            <w:tcW w:w="879" w:type="dxa"/>
            <w:shd w:val="clear" w:color="auto" w:fill="auto"/>
            <w:noWrap/>
            <w:vAlign w:val="center"/>
            <w:hideMark/>
          </w:tcPr>
          <w:p w14:paraId="7B2AFFF3" w14:textId="77777777"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900771588</w:t>
            </w:r>
          </w:p>
        </w:tc>
        <w:tc>
          <w:tcPr>
            <w:tcW w:w="4782" w:type="dxa"/>
            <w:shd w:val="clear" w:color="auto" w:fill="auto"/>
            <w:vAlign w:val="center"/>
            <w:hideMark/>
          </w:tcPr>
          <w:p w14:paraId="3BA9F55A" w14:textId="77777777" w:rsidR="00656F34" w:rsidRPr="00656F34" w:rsidRDefault="00656F34" w:rsidP="00656F34">
            <w:pPr>
              <w:jc w:val="lef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GAS PAC S.A.S. ESP.</w:t>
            </w:r>
          </w:p>
        </w:tc>
        <w:tc>
          <w:tcPr>
            <w:tcW w:w="1380" w:type="dxa"/>
            <w:shd w:val="clear" w:color="auto" w:fill="auto"/>
            <w:noWrap/>
            <w:vAlign w:val="center"/>
            <w:hideMark/>
          </w:tcPr>
          <w:p w14:paraId="02366314" w14:textId="37B625F8"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 xml:space="preserve">          118</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773</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 xml:space="preserve">788 </w:t>
            </w:r>
          </w:p>
        </w:tc>
        <w:tc>
          <w:tcPr>
            <w:tcW w:w="1360" w:type="dxa"/>
            <w:shd w:val="clear" w:color="auto" w:fill="auto"/>
            <w:noWrap/>
            <w:vAlign w:val="center"/>
            <w:hideMark/>
          </w:tcPr>
          <w:p w14:paraId="7B83A086" w14:textId="265E1AFF"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 xml:space="preserve">             1</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187</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 xml:space="preserve">738 </w:t>
            </w:r>
          </w:p>
        </w:tc>
      </w:tr>
      <w:tr w:rsidR="00656F34" w:rsidRPr="00656F34" w14:paraId="2C38E2BB" w14:textId="77777777" w:rsidTr="00656F34">
        <w:trPr>
          <w:trHeight w:val="290"/>
        </w:trPr>
        <w:tc>
          <w:tcPr>
            <w:tcW w:w="319" w:type="dxa"/>
            <w:shd w:val="clear" w:color="auto" w:fill="auto"/>
            <w:noWrap/>
            <w:vAlign w:val="center"/>
            <w:hideMark/>
          </w:tcPr>
          <w:p w14:paraId="63734F81" w14:textId="77777777" w:rsidR="00656F34" w:rsidRPr="00656F34" w:rsidRDefault="00656F34" w:rsidP="00656F34">
            <w:pPr>
              <w:jc w:val="center"/>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37</w:t>
            </w:r>
          </w:p>
        </w:tc>
        <w:tc>
          <w:tcPr>
            <w:tcW w:w="879" w:type="dxa"/>
            <w:shd w:val="clear" w:color="auto" w:fill="auto"/>
            <w:noWrap/>
            <w:vAlign w:val="center"/>
            <w:hideMark/>
          </w:tcPr>
          <w:p w14:paraId="59BDEBAB" w14:textId="77777777"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900852226</w:t>
            </w:r>
          </w:p>
        </w:tc>
        <w:tc>
          <w:tcPr>
            <w:tcW w:w="4782" w:type="dxa"/>
            <w:shd w:val="clear" w:color="auto" w:fill="auto"/>
            <w:vAlign w:val="center"/>
            <w:hideMark/>
          </w:tcPr>
          <w:p w14:paraId="6606D6DC" w14:textId="77777777" w:rsidR="00656F34" w:rsidRPr="00656F34" w:rsidRDefault="00656F34" w:rsidP="00656F34">
            <w:pPr>
              <w:jc w:val="lef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GAS PORVENIR ESP SAS</w:t>
            </w:r>
          </w:p>
        </w:tc>
        <w:tc>
          <w:tcPr>
            <w:tcW w:w="1380" w:type="dxa"/>
            <w:shd w:val="clear" w:color="auto" w:fill="auto"/>
            <w:noWrap/>
            <w:vAlign w:val="center"/>
            <w:hideMark/>
          </w:tcPr>
          <w:p w14:paraId="2F6DAAA9" w14:textId="1BF1C8E8"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 xml:space="preserve">            35</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071</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 xml:space="preserve">019 </w:t>
            </w:r>
          </w:p>
        </w:tc>
        <w:tc>
          <w:tcPr>
            <w:tcW w:w="1360" w:type="dxa"/>
            <w:shd w:val="clear" w:color="auto" w:fill="auto"/>
            <w:noWrap/>
            <w:vAlign w:val="center"/>
            <w:hideMark/>
          </w:tcPr>
          <w:p w14:paraId="1D38EF16" w14:textId="316D7D31"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 xml:space="preserve">                350</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 xml:space="preserve">710 </w:t>
            </w:r>
          </w:p>
        </w:tc>
      </w:tr>
      <w:tr w:rsidR="00656F34" w:rsidRPr="00656F34" w14:paraId="754FF77B" w14:textId="77777777" w:rsidTr="00656F34">
        <w:trPr>
          <w:trHeight w:val="290"/>
        </w:trPr>
        <w:tc>
          <w:tcPr>
            <w:tcW w:w="319" w:type="dxa"/>
            <w:shd w:val="clear" w:color="auto" w:fill="auto"/>
            <w:noWrap/>
            <w:vAlign w:val="center"/>
            <w:hideMark/>
          </w:tcPr>
          <w:p w14:paraId="1D5EDB34" w14:textId="77777777" w:rsidR="00656F34" w:rsidRPr="00656F34" w:rsidRDefault="00656F34" w:rsidP="00656F34">
            <w:pPr>
              <w:jc w:val="center"/>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38</w:t>
            </w:r>
          </w:p>
        </w:tc>
        <w:tc>
          <w:tcPr>
            <w:tcW w:w="879" w:type="dxa"/>
            <w:shd w:val="clear" w:color="auto" w:fill="auto"/>
            <w:noWrap/>
            <w:vAlign w:val="center"/>
            <w:hideMark/>
          </w:tcPr>
          <w:p w14:paraId="5B0C275D" w14:textId="77777777"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900701845</w:t>
            </w:r>
          </w:p>
        </w:tc>
        <w:tc>
          <w:tcPr>
            <w:tcW w:w="4782" w:type="dxa"/>
            <w:shd w:val="clear" w:color="auto" w:fill="auto"/>
            <w:vAlign w:val="center"/>
            <w:hideMark/>
          </w:tcPr>
          <w:p w14:paraId="7C4F13F1" w14:textId="77777777" w:rsidR="00656F34" w:rsidRPr="00656F34" w:rsidRDefault="00656F34" w:rsidP="00656F34">
            <w:pPr>
              <w:jc w:val="lef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GAS PROPANO DE COLOMBIA S.A.S. E.S.P.</w:t>
            </w:r>
          </w:p>
        </w:tc>
        <w:tc>
          <w:tcPr>
            <w:tcW w:w="1380" w:type="dxa"/>
            <w:shd w:val="clear" w:color="auto" w:fill="auto"/>
            <w:noWrap/>
            <w:vAlign w:val="center"/>
            <w:hideMark/>
          </w:tcPr>
          <w:p w14:paraId="00BCF9BE" w14:textId="67FAF366"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 xml:space="preserve">          220</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198</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 xml:space="preserve">392 </w:t>
            </w:r>
          </w:p>
        </w:tc>
        <w:tc>
          <w:tcPr>
            <w:tcW w:w="1360" w:type="dxa"/>
            <w:shd w:val="clear" w:color="auto" w:fill="auto"/>
            <w:noWrap/>
            <w:vAlign w:val="center"/>
            <w:hideMark/>
          </w:tcPr>
          <w:p w14:paraId="6CC5A4CB" w14:textId="4C5C8702"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 xml:space="preserve">             2</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201</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 xml:space="preserve">984 </w:t>
            </w:r>
          </w:p>
        </w:tc>
      </w:tr>
      <w:tr w:rsidR="00656F34" w:rsidRPr="00656F34" w14:paraId="7DD3BC7B" w14:textId="77777777" w:rsidTr="00656F34">
        <w:trPr>
          <w:trHeight w:val="290"/>
        </w:trPr>
        <w:tc>
          <w:tcPr>
            <w:tcW w:w="319" w:type="dxa"/>
            <w:shd w:val="clear" w:color="auto" w:fill="auto"/>
            <w:noWrap/>
            <w:vAlign w:val="center"/>
            <w:hideMark/>
          </w:tcPr>
          <w:p w14:paraId="17D6191B" w14:textId="77777777" w:rsidR="00656F34" w:rsidRPr="00656F34" w:rsidRDefault="00656F34" w:rsidP="00656F34">
            <w:pPr>
              <w:jc w:val="center"/>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39</w:t>
            </w:r>
          </w:p>
        </w:tc>
        <w:tc>
          <w:tcPr>
            <w:tcW w:w="879" w:type="dxa"/>
            <w:shd w:val="clear" w:color="auto" w:fill="auto"/>
            <w:noWrap/>
            <w:vAlign w:val="center"/>
            <w:hideMark/>
          </w:tcPr>
          <w:p w14:paraId="0B8DD82F" w14:textId="77777777"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860450098</w:t>
            </w:r>
          </w:p>
        </w:tc>
        <w:tc>
          <w:tcPr>
            <w:tcW w:w="4782" w:type="dxa"/>
            <w:shd w:val="clear" w:color="auto" w:fill="auto"/>
            <w:vAlign w:val="center"/>
            <w:hideMark/>
          </w:tcPr>
          <w:p w14:paraId="5BAB3F77" w14:textId="77777777" w:rsidR="00656F34" w:rsidRPr="00656F34" w:rsidRDefault="00656F34" w:rsidP="00656F34">
            <w:pPr>
              <w:jc w:val="lef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GAS SUMAPAZ S.A. E.S.P.</w:t>
            </w:r>
          </w:p>
        </w:tc>
        <w:tc>
          <w:tcPr>
            <w:tcW w:w="1380" w:type="dxa"/>
            <w:shd w:val="clear" w:color="auto" w:fill="auto"/>
            <w:noWrap/>
            <w:vAlign w:val="center"/>
            <w:hideMark/>
          </w:tcPr>
          <w:p w14:paraId="53AEA181" w14:textId="1CF1CA0D"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 xml:space="preserve">          261</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675</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 xml:space="preserve">856 </w:t>
            </w:r>
          </w:p>
        </w:tc>
        <w:tc>
          <w:tcPr>
            <w:tcW w:w="1360" w:type="dxa"/>
            <w:shd w:val="clear" w:color="auto" w:fill="auto"/>
            <w:noWrap/>
            <w:vAlign w:val="center"/>
            <w:hideMark/>
          </w:tcPr>
          <w:p w14:paraId="6D76B391" w14:textId="730F63E4"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 xml:space="preserve">             2</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616</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 xml:space="preserve">759 </w:t>
            </w:r>
          </w:p>
        </w:tc>
      </w:tr>
      <w:tr w:rsidR="00656F34" w:rsidRPr="00656F34" w14:paraId="16AAAA28" w14:textId="77777777" w:rsidTr="00656F34">
        <w:trPr>
          <w:trHeight w:val="290"/>
        </w:trPr>
        <w:tc>
          <w:tcPr>
            <w:tcW w:w="319" w:type="dxa"/>
            <w:shd w:val="clear" w:color="auto" w:fill="auto"/>
            <w:noWrap/>
            <w:vAlign w:val="center"/>
            <w:hideMark/>
          </w:tcPr>
          <w:p w14:paraId="3EF2AFCC" w14:textId="77777777" w:rsidR="00656F34" w:rsidRPr="00656F34" w:rsidRDefault="00656F34" w:rsidP="00656F34">
            <w:pPr>
              <w:jc w:val="center"/>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40</w:t>
            </w:r>
          </w:p>
        </w:tc>
        <w:tc>
          <w:tcPr>
            <w:tcW w:w="879" w:type="dxa"/>
            <w:shd w:val="clear" w:color="auto" w:fill="auto"/>
            <w:noWrap/>
            <w:vAlign w:val="center"/>
            <w:hideMark/>
          </w:tcPr>
          <w:p w14:paraId="7F4EFB59" w14:textId="77777777"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900089898</w:t>
            </w:r>
          </w:p>
        </w:tc>
        <w:tc>
          <w:tcPr>
            <w:tcW w:w="4782" w:type="dxa"/>
            <w:shd w:val="clear" w:color="auto" w:fill="auto"/>
            <w:vAlign w:val="center"/>
            <w:hideMark/>
          </w:tcPr>
          <w:p w14:paraId="140D8829" w14:textId="77777777" w:rsidR="00656F34" w:rsidRPr="00656F34" w:rsidRDefault="00656F34" w:rsidP="00656F34">
            <w:pPr>
              <w:jc w:val="lef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GAS SUPERIOR DE COLOMBIA SA ESP</w:t>
            </w:r>
          </w:p>
        </w:tc>
        <w:tc>
          <w:tcPr>
            <w:tcW w:w="1380" w:type="dxa"/>
            <w:shd w:val="clear" w:color="auto" w:fill="auto"/>
            <w:noWrap/>
            <w:vAlign w:val="center"/>
            <w:hideMark/>
          </w:tcPr>
          <w:p w14:paraId="662D4610" w14:textId="4D221483"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 xml:space="preserve">          447</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124</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 xml:space="preserve">369 </w:t>
            </w:r>
          </w:p>
        </w:tc>
        <w:tc>
          <w:tcPr>
            <w:tcW w:w="1360" w:type="dxa"/>
            <w:shd w:val="clear" w:color="auto" w:fill="auto"/>
            <w:noWrap/>
            <w:vAlign w:val="center"/>
            <w:hideMark/>
          </w:tcPr>
          <w:p w14:paraId="71E5C45A" w14:textId="3A24B6A6"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 xml:space="preserve">             4</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471</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 xml:space="preserve">244 </w:t>
            </w:r>
          </w:p>
        </w:tc>
      </w:tr>
      <w:tr w:rsidR="00656F34" w:rsidRPr="00656F34" w14:paraId="44D7A374" w14:textId="77777777" w:rsidTr="00656F34">
        <w:trPr>
          <w:trHeight w:val="290"/>
        </w:trPr>
        <w:tc>
          <w:tcPr>
            <w:tcW w:w="319" w:type="dxa"/>
            <w:shd w:val="clear" w:color="auto" w:fill="auto"/>
            <w:noWrap/>
            <w:vAlign w:val="center"/>
            <w:hideMark/>
          </w:tcPr>
          <w:p w14:paraId="2C4E84F1" w14:textId="77777777" w:rsidR="00656F34" w:rsidRPr="00656F34" w:rsidRDefault="00656F34" w:rsidP="00656F34">
            <w:pPr>
              <w:jc w:val="center"/>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41</w:t>
            </w:r>
          </w:p>
        </w:tc>
        <w:tc>
          <w:tcPr>
            <w:tcW w:w="879" w:type="dxa"/>
            <w:shd w:val="clear" w:color="auto" w:fill="auto"/>
            <w:noWrap/>
            <w:vAlign w:val="center"/>
            <w:hideMark/>
          </w:tcPr>
          <w:p w14:paraId="5B4EE52B" w14:textId="77777777"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860026070</w:t>
            </w:r>
          </w:p>
        </w:tc>
        <w:tc>
          <w:tcPr>
            <w:tcW w:w="4782" w:type="dxa"/>
            <w:shd w:val="clear" w:color="auto" w:fill="auto"/>
            <w:vAlign w:val="center"/>
            <w:hideMark/>
          </w:tcPr>
          <w:p w14:paraId="7CBA97BB" w14:textId="50FF97E9" w:rsidR="00656F34" w:rsidRPr="00656F34" w:rsidRDefault="00656F34" w:rsidP="00656F34">
            <w:pPr>
              <w:jc w:val="lef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GAS ZIPA S</w:t>
            </w:r>
            <w:r>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A</w:t>
            </w:r>
            <w:r>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S</w:t>
            </w:r>
            <w:r>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 xml:space="preserve">  E</w:t>
            </w:r>
            <w:r>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S</w:t>
            </w:r>
            <w:r>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P</w:t>
            </w:r>
            <w:r>
              <w:rPr>
                <w:rFonts w:ascii="Arial Narrow" w:hAnsi="Arial Narrow" w:cs="Calibri"/>
                <w:spacing w:val="0"/>
                <w:sz w:val="18"/>
                <w:szCs w:val="18"/>
                <w:lang w:eastAsia="es-CO"/>
              </w:rPr>
              <w:t>.</w:t>
            </w:r>
          </w:p>
        </w:tc>
        <w:tc>
          <w:tcPr>
            <w:tcW w:w="1380" w:type="dxa"/>
            <w:shd w:val="clear" w:color="auto" w:fill="auto"/>
            <w:noWrap/>
            <w:vAlign w:val="center"/>
            <w:hideMark/>
          </w:tcPr>
          <w:p w14:paraId="1D5BDD78" w14:textId="13937811"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 xml:space="preserve">     33</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841</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081</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 xml:space="preserve">900 </w:t>
            </w:r>
          </w:p>
        </w:tc>
        <w:tc>
          <w:tcPr>
            <w:tcW w:w="1360" w:type="dxa"/>
            <w:shd w:val="clear" w:color="auto" w:fill="auto"/>
            <w:noWrap/>
            <w:vAlign w:val="center"/>
            <w:hideMark/>
          </w:tcPr>
          <w:p w14:paraId="684BF3DF" w14:textId="50C7E92E"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 xml:space="preserve">         338</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410</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 xml:space="preserve">819 </w:t>
            </w:r>
          </w:p>
        </w:tc>
      </w:tr>
      <w:tr w:rsidR="00656F34" w:rsidRPr="00656F34" w14:paraId="594B4130" w14:textId="77777777" w:rsidTr="00656F34">
        <w:trPr>
          <w:trHeight w:val="290"/>
        </w:trPr>
        <w:tc>
          <w:tcPr>
            <w:tcW w:w="319" w:type="dxa"/>
            <w:shd w:val="clear" w:color="auto" w:fill="auto"/>
            <w:noWrap/>
            <w:vAlign w:val="center"/>
            <w:hideMark/>
          </w:tcPr>
          <w:p w14:paraId="1FA67322" w14:textId="77777777" w:rsidR="00656F34" w:rsidRPr="00656F34" w:rsidRDefault="00656F34" w:rsidP="00656F34">
            <w:pPr>
              <w:jc w:val="center"/>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42</w:t>
            </w:r>
          </w:p>
        </w:tc>
        <w:tc>
          <w:tcPr>
            <w:tcW w:w="879" w:type="dxa"/>
            <w:shd w:val="clear" w:color="auto" w:fill="auto"/>
            <w:noWrap/>
            <w:vAlign w:val="center"/>
            <w:hideMark/>
          </w:tcPr>
          <w:p w14:paraId="4F9B9899" w14:textId="77777777"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828000578</w:t>
            </w:r>
          </w:p>
        </w:tc>
        <w:tc>
          <w:tcPr>
            <w:tcW w:w="4782" w:type="dxa"/>
            <w:shd w:val="clear" w:color="auto" w:fill="auto"/>
            <w:vAlign w:val="center"/>
            <w:hideMark/>
          </w:tcPr>
          <w:p w14:paraId="1F39F6BB" w14:textId="77777777" w:rsidR="00656F34" w:rsidRPr="00656F34" w:rsidRDefault="00656F34" w:rsidP="00656F34">
            <w:pPr>
              <w:jc w:val="lef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GASES DEL CAGUAN S. A. E.S.P.</w:t>
            </w:r>
          </w:p>
        </w:tc>
        <w:tc>
          <w:tcPr>
            <w:tcW w:w="1380" w:type="dxa"/>
            <w:shd w:val="clear" w:color="auto" w:fill="auto"/>
            <w:noWrap/>
            <w:vAlign w:val="center"/>
            <w:hideMark/>
          </w:tcPr>
          <w:p w14:paraId="0DBB32E9" w14:textId="0580053B"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 xml:space="preserve">          137</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179</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 xml:space="preserve">045 </w:t>
            </w:r>
          </w:p>
        </w:tc>
        <w:tc>
          <w:tcPr>
            <w:tcW w:w="1360" w:type="dxa"/>
            <w:shd w:val="clear" w:color="auto" w:fill="auto"/>
            <w:noWrap/>
            <w:vAlign w:val="center"/>
            <w:hideMark/>
          </w:tcPr>
          <w:p w14:paraId="619CD95A" w14:textId="5D77A1C0"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 xml:space="preserve">             1</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371</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 xml:space="preserve">790 </w:t>
            </w:r>
          </w:p>
        </w:tc>
      </w:tr>
      <w:tr w:rsidR="00656F34" w:rsidRPr="00656F34" w14:paraId="34238543" w14:textId="77777777" w:rsidTr="00656F34">
        <w:trPr>
          <w:trHeight w:val="290"/>
        </w:trPr>
        <w:tc>
          <w:tcPr>
            <w:tcW w:w="319" w:type="dxa"/>
            <w:shd w:val="clear" w:color="auto" w:fill="auto"/>
            <w:noWrap/>
            <w:vAlign w:val="center"/>
            <w:hideMark/>
          </w:tcPr>
          <w:p w14:paraId="3710B311" w14:textId="77777777" w:rsidR="00656F34" w:rsidRPr="00656F34" w:rsidRDefault="00656F34" w:rsidP="00656F34">
            <w:pPr>
              <w:jc w:val="center"/>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43</w:t>
            </w:r>
          </w:p>
        </w:tc>
        <w:tc>
          <w:tcPr>
            <w:tcW w:w="879" w:type="dxa"/>
            <w:shd w:val="clear" w:color="auto" w:fill="auto"/>
            <w:noWrap/>
            <w:vAlign w:val="center"/>
            <w:hideMark/>
          </w:tcPr>
          <w:p w14:paraId="16B26AD8" w14:textId="77777777"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891800082</w:t>
            </w:r>
          </w:p>
        </w:tc>
        <w:tc>
          <w:tcPr>
            <w:tcW w:w="4782" w:type="dxa"/>
            <w:shd w:val="clear" w:color="auto" w:fill="auto"/>
            <w:vAlign w:val="center"/>
            <w:hideMark/>
          </w:tcPr>
          <w:p w14:paraId="55B9A7E0" w14:textId="77777777" w:rsidR="00656F34" w:rsidRPr="00656F34" w:rsidRDefault="00656F34" w:rsidP="00656F34">
            <w:pPr>
              <w:jc w:val="lef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GRANADOS, GOMEZ Y CIA S.A. E.S.P.</w:t>
            </w:r>
          </w:p>
        </w:tc>
        <w:tc>
          <w:tcPr>
            <w:tcW w:w="1380" w:type="dxa"/>
            <w:shd w:val="clear" w:color="auto" w:fill="auto"/>
            <w:noWrap/>
            <w:vAlign w:val="center"/>
            <w:hideMark/>
          </w:tcPr>
          <w:p w14:paraId="4E6A1A2F" w14:textId="5F4F694E"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 xml:space="preserve">       1</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110</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387</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 xml:space="preserve">689 </w:t>
            </w:r>
          </w:p>
        </w:tc>
        <w:tc>
          <w:tcPr>
            <w:tcW w:w="1360" w:type="dxa"/>
            <w:shd w:val="clear" w:color="auto" w:fill="auto"/>
            <w:noWrap/>
            <w:vAlign w:val="center"/>
            <w:hideMark/>
          </w:tcPr>
          <w:p w14:paraId="577B66CC" w14:textId="5EDE553F"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 xml:space="preserve">           11</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103</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 xml:space="preserve">877 </w:t>
            </w:r>
          </w:p>
        </w:tc>
      </w:tr>
      <w:tr w:rsidR="00656F34" w:rsidRPr="00656F34" w14:paraId="2EE1780B" w14:textId="77777777" w:rsidTr="00656F34">
        <w:trPr>
          <w:trHeight w:val="290"/>
        </w:trPr>
        <w:tc>
          <w:tcPr>
            <w:tcW w:w="319" w:type="dxa"/>
            <w:shd w:val="clear" w:color="auto" w:fill="auto"/>
            <w:noWrap/>
            <w:vAlign w:val="center"/>
            <w:hideMark/>
          </w:tcPr>
          <w:p w14:paraId="51BC3D6C" w14:textId="77777777" w:rsidR="00656F34" w:rsidRPr="00656F34" w:rsidRDefault="00656F34" w:rsidP="00656F34">
            <w:pPr>
              <w:jc w:val="center"/>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44</w:t>
            </w:r>
          </w:p>
        </w:tc>
        <w:tc>
          <w:tcPr>
            <w:tcW w:w="879" w:type="dxa"/>
            <w:shd w:val="clear" w:color="auto" w:fill="auto"/>
            <w:noWrap/>
            <w:vAlign w:val="center"/>
            <w:hideMark/>
          </w:tcPr>
          <w:p w14:paraId="3D8D2928" w14:textId="77777777"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890600185</w:t>
            </w:r>
          </w:p>
        </w:tc>
        <w:tc>
          <w:tcPr>
            <w:tcW w:w="4782" w:type="dxa"/>
            <w:shd w:val="clear" w:color="auto" w:fill="auto"/>
            <w:vAlign w:val="center"/>
            <w:hideMark/>
          </w:tcPr>
          <w:p w14:paraId="6B70C3F6" w14:textId="77777777" w:rsidR="00656F34" w:rsidRPr="00656F34" w:rsidRDefault="00656F34" w:rsidP="00656F34">
            <w:pPr>
              <w:jc w:val="lef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INTERMUNICIPAL DE GAS S.A. E.S.P.</w:t>
            </w:r>
          </w:p>
        </w:tc>
        <w:tc>
          <w:tcPr>
            <w:tcW w:w="1380" w:type="dxa"/>
            <w:shd w:val="clear" w:color="auto" w:fill="auto"/>
            <w:noWrap/>
            <w:vAlign w:val="center"/>
            <w:hideMark/>
          </w:tcPr>
          <w:p w14:paraId="601AABCD" w14:textId="6A872991"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 xml:space="preserve">          128</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485</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 xml:space="preserve">905 </w:t>
            </w:r>
          </w:p>
        </w:tc>
        <w:tc>
          <w:tcPr>
            <w:tcW w:w="1360" w:type="dxa"/>
            <w:shd w:val="clear" w:color="auto" w:fill="auto"/>
            <w:noWrap/>
            <w:vAlign w:val="center"/>
            <w:hideMark/>
          </w:tcPr>
          <w:p w14:paraId="7A3DC5FD" w14:textId="6B89C90F"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 xml:space="preserve">             1</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284</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 xml:space="preserve">859 </w:t>
            </w:r>
          </w:p>
        </w:tc>
      </w:tr>
      <w:tr w:rsidR="00656F34" w:rsidRPr="00656F34" w14:paraId="606A5D8E" w14:textId="77777777" w:rsidTr="00656F34">
        <w:trPr>
          <w:trHeight w:val="290"/>
        </w:trPr>
        <w:tc>
          <w:tcPr>
            <w:tcW w:w="319" w:type="dxa"/>
            <w:shd w:val="clear" w:color="auto" w:fill="auto"/>
            <w:noWrap/>
            <w:vAlign w:val="center"/>
            <w:hideMark/>
          </w:tcPr>
          <w:p w14:paraId="1AC6FEA9" w14:textId="77777777" w:rsidR="00656F34" w:rsidRPr="00656F34" w:rsidRDefault="00656F34" w:rsidP="00656F34">
            <w:pPr>
              <w:jc w:val="center"/>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45</w:t>
            </w:r>
          </w:p>
        </w:tc>
        <w:tc>
          <w:tcPr>
            <w:tcW w:w="879" w:type="dxa"/>
            <w:shd w:val="clear" w:color="auto" w:fill="auto"/>
            <w:noWrap/>
            <w:vAlign w:val="center"/>
            <w:hideMark/>
          </w:tcPr>
          <w:p w14:paraId="5F2469DE" w14:textId="77777777"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900335279</w:t>
            </w:r>
          </w:p>
        </w:tc>
        <w:tc>
          <w:tcPr>
            <w:tcW w:w="4782" w:type="dxa"/>
            <w:shd w:val="clear" w:color="auto" w:fill="auto"/>
            <w:vAlign w:val="center"/>
            <w:hideMark/>
          </w:tcPr>
          <w:p w14:paraId="12FE46A3" w14:textId="77777777" w:rsidR="00656F34" w:rsidRPr="00656F34" w:rsidRDefault="00656F34" w:rsidP="00656F34">
            <w:pPr>
              <w:jc w:val="lef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INVERSIONES GLP SAS ESP</w:t>
            </w:r>
          </w:p>
        </w:tc>
        <w:tc>
          <w:tcPr>
            <w:tcW w:w="1380" w:type="dxa"/>
            <w:shd w:val="clear" w:color="auto" w:fill="auto"/>
            <w:noWrap/>
            <w:vAlign w:val="center"/>
            <w:hideMark/>
          </w:tcPr>
          <w:p w14:paraId="3FE89EA7" w14:textId="1DC3F486"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 xml:space="preserve">       8</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399</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232</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 xml:space="preserve">468 </w:t>
            </w:r>
          </w:p>
        </w:tc>
        <w:tc>
          <w:tcPr>
            <w:tcW w:w="1360" w:type="dxa"/>
            <w:shd w:val="clear" w:color="auto" w:fill="auto"/>
            <w:noWrap/>
            <w:vAlign w:val="center"/>
            <w:hideMark/>
          </w:tcPr>
          <w:p w14:paraId="5A1B326D" w14:textId="3F3D5066"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 xml:space="preserve">           83</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992</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 xml:space="preserve">325 </w:t>
            </w:r>
          </w:p>
        </w:tc>
      </w:tr>
      <w:tr w:rsidR="00656F34" w:rsidRPr="00656F34" w14:paraId="278BCC7F" w14:textId="77777777" w:rsidTr="00656F34">
        <w:trPr>
          <w:trHeight w:val="290"/>
        </w:trPr>
        <w:tc>
          <w:tcPr>
            <w:tcW w:w="319" w:type="dxa"/>
            <w:shd w:val="clear" w:color="auto" w:fill="auto"/>
            <w:noWrap/>
            <w:vAlign w:val="center"/>
            <w:hideMark/>
          </w:tcPr>
          <w:p w14:paraId="6B94083E" w14:textId="77777777" w:rsidR="00656F34" w:rsidRPr="00656F34" w:rsidRDefault="00656F34" w:rsidP="00656F34">
            <w:pPr>
              <w:jc w:val="center"/>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46</w:t>
            </w:r>
          </w:p>
        </w:tc>
        <w:tc>
          <w:tcPr>
            <w:tcW w:w="879" w:type="dxa"/>
            <w:shd w:val="clear" w:color="auto" w:fill="auto"/>
            <w:noWrap/>
            <w:vAlign w:val="center"/>
            <w:hideMark/>
          </w:tcPr>
          <w:p w14:paraId="290D35CD" w14:textId="77777777"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891300973</w:t>
            </w:r>
          </w:p>
        </w:tc>
        <w:tc>
          <w:tcPr>
            <w:tcW w:w="4782" w:type="dxa"/>
            <w:shd w:val="clear" w:color="auto" w:fill="auto"/>
            <w:vAlign w:val="center"/>
            <w:hideMark/>
          </w:tcPr>
          <w:p w14:paraId="7AD5B5F0" w14:textId="77777777" w:rsidR="00656F34" w:rsidRPr="00656F34" w:rsidRDefault="00656F34" w:rsidP="00656F34">
            <w:pPr>
              <w:jc w:val="lef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LIDAGAS S.A E.S.P.</w:t>
            </w:r>
          </w:p>
        </w:tc>
        <w:tc>
          <w:tcPr>
            <w:tcW w:w="1380" w:type="dxa"/>
            <w:shd w:val="clear" w:color="auto" w:fill="auto"/>
            <w:noWrap/>
            <w:vAlign w:val="center"/>
            <w:hideMark/>
          </w:tcPr>
          <w:p w14:paraId="73B1A86D" w14:textId="477927C2"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 xml:space="preserve">       1</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052</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166</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 xml:space="preserve">486 </w:t>
            </w:r>
          </w:p>
        </w:tc>
        <w:tc>
          <w:tcPr>
            <w:tcW w:w="1360" w:type="dxa"/>
            <w:shd w:val="clear" w:color="auto" w:fill="auto"/>
            <w:noWrap/>
            <w:vAlign w:val="center"/>
            <w:hideMark/>
          </w:tcPr>
          <w:p w14:paraId="019761B3" w14:textId="4C61C2B0"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 xml:space="preserve">           10</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521</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 xml:space="preserve">665 </w:t>
            </w:r>
          </w:p>
        </w:tc>
      </w:tr>
      <w:tr w:rsidR="00656F34" w:rsidRPr="00656F34" w14:paraId="62284D9E" w14:textId="77777777" w:rsidTr="00656F34">
        <w:trPr>
          <w:trHeight w:val="290"/>
        </w:trPr>
        <w:tc>
          <w:tcPr>
            <w:tcW w:w="319" w:type="dxa"/>
            <w:shd w:val="clear" w:color="auto" w:fill="auto"/>
            <w:noWrap/>
            <w:vAlign w:val="center"/>
            <w:hideMark/>
          </w:tcPr>
          <w:p w14:paraId="3930EE05" w14:textId="77777777" w:rsidR="00656F34" w:rsidRPr="00656F34" w:rsidRDefault="00656F34" w:rsidP="00656F34">
            <w:pPr>
              <w:jc w:val="center"/>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47</w:t>
            </w:r>
          </w:p>
        </w:tc>
        <w:tc>
          <w:tcPr>
            <w:tcW w:w="879" w:type="dxa"/>
            <w:shd w:val="clear" w:color="auto" w:fill="auto"/>
            <w:noWrap/>
            <w:vAlign w:val="center"/>
            <w:hideMark/>
          </w:tcPr>
          <w:p w14:paraId="2527F88B" w14:textId="77777777"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890503966</w:t>
            </w:r>
          </w:p>
        </w:tc>
        <w:tc>
          <w:tcPr>
            <w:tcW w:w="4782" w:type="dxa"/>
            <w:shd w:val="clear" w:color="auto" w:fill="auto"/>
            <w:vAlign w:val="center"/>
            <w:hideMark/>
          </w:tcPr>
          <w:p w14:paraId="0976A9A4" w14:textId="77777777" w:rsidR="00656F34" w:rsidRPr="00656F34" w:rsidRDefault="00656F34" w:rsidP="00656F34">
            <w:pPr>
              <w:jc w:val="lef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LUSTRIGAS S.A EMPRESA DE SERVICIOS PUBLICOS</w:t>
            </w:r>
          </w:p>
        </w:tc>
        <w:tc>
          <w:tcPr>
            <w:tcW w:w="1380" w:type="dxa"/>
            <w:shd w:val="clear" w:color="auto" w:fill="auto"/>
            <w:noWrap/>
            <w:vAlign w:val="center"/>
            <w:hideMark/>
          </w:tcPr>
          <w:p w14:paraId="2856B473" w14:textId="4C697C33"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 xml:space="preserve">          292</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660</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 xml:space="preserve">269 </w:t>
            </w:r>
          </w:p>
        </w:tc>
        <w:tc>
          <w:tcPr>
            <w:tcW w:w="1360" w:type="dxa"/>
            <w:shd w:val="clear" w:color="auto" w:fill="auto"/>
            <w:noWrap/>
            <w:vAlign w:val="center"/>
            <w:hideMark/>
          </w:tcPr>
          <w:p w14:paraId="21555847" w14:textId="78A399D4"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 xml:space="preserve">             2</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926</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 xml:space="preserve">603 </w:t>
            </w:r>
          </w:p>
        </w:tc>
      </w:tr>
      <w:tr w:rsidR="00656F34" w:rsidRPr="00656F34" w14:paraId="193B5297" w14:textId="77777777" w:rsidTr="00656F34">
        <w:trPr>
          <w:trHeight w:val="290"/>
        </w:trPr>
        <w:tc>
          <w:tcPr>
            <w:tcW w:w="319" w:type="dxa"/>
            <w:shd w:val="clear" w:color="auto" w:fill="auto"/>
            <w:noWrap/>
            <w:vAlign w:val="center"/>
            <w:hideMark/>
          </w:tcPr>
          <w:p w14:paraId="3F369E95" w14:textId="77777777" w:rsidR="00656F34" w:rsidRPr="00656F34" w:rsidRDefault="00656F34" w:rsidP="00656F34">
            <w:pPr>
              <w:jc w:val="center"/>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48</w:t>
            </w:r>
          </w:p>
        </w:tc>
        <w:tc>
          <w:tcPr>
            <w:tcW w:w="879" w:type="dxa"/>
            <w:shd w:val="clear" w:color="auto" w:fill="auto"/>
            <w:noWrap/>
            <w:vAlign w:val="center"/>
            <w:hideMark/>
          </w:tcPr>
          <w:p w14:paraId="2D6EA175" w14:textId="77777777"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891202203</w:t>
            </w:r>
          </w:p>
        </w:tc>
        <w:tc>
          <w:tcPr>
            <w:tcW w:w="4782" w:type="dxa"/>
            <w:shd w:val="clear" w:color="auto" w:fill="auto"/>
            <w:vAlign w:val="center"/>
            <w:hideMark/>
          </w:tcPr>
          <w:p w14:paraId="0834CB7E" w14:textId="77777777" w:rsidR="00656F34" w:rsidRPr="00D26825" w:rsidRDefault="00656F34" w:rsidP="00656F34">
            <w:pPr>
              <w:jc w:val="left"/>
              <w:rPr>
                <w:rFonts w:ascii="Arial Narrow" w:hAnsi="Arial Narrow" w:cs="Calibri"/>
                <w:spacing w:val="0"/>
                <w:sz w:val="18"/>
                <w:szCs w:val="18"/>
                <w:lang w:val="en-US" w:eastAsia="es-CO"/>
              </w:rPr>
            </w:pPr>
            <w:r w:rsidRPr="00D26825">
              <w:rPr>
                <w:rFonts w:ascii="Arial Narrow" w:hAnsi="Arial Narrow" w:cs="Calibri"/>
                <w:spacing w:val="0"/>
                <w:sz w:val="18"/>
                <w:szCs w:val="18"/>
                <w:lang w:val="en-US" w:eastAsia="es-CO"/>
              </w:rPr>
              <w:t>MONTAGAS S.A. E.S.P.</w:t>
            </w:r>
          </w:p>
        </w:tc>
        <w:tc>
          <w:tcPr>
            <w:tcW w:w="1380" w:type="dxa"/>
            <w:shd w:val="clear" w:color="auto" w:fill="auto"/>
            <w:noWrap/>
            <w:vAlign w:val="center"/>
            <w:hideMark/>
          </w:tcPr>
          <w:p w14:paraId="6C6F46E9" w14:textId="16D203ED" w:rsidR="00656F34" w:rsidRPr="00656F34" w:rsidRDefault="00656F34" w:rsidP="00656F34">
            <w:pPr>
              <w:jc w:val="right"/>
              <w:rPr>
                <w:rFonts w:ascii="Arial Narrow" w:hAnsi="Arial Narrow" w:cs="Calibri"/>
                <w:spacing w:val="0"/>
                <w:sz w:val="18"/>
                <w:szCs w:val="18"/>
                <w:lang w:eastAsia="es-CO"/>
              </w:rPr>
            </w:pPr>
            <w:r w:rsidRPr="00D26825">
              <w:rPr>
                <w:rFonts w:ascii="Arial Narrow" w:hAnsi="Arial Narrow" w:cs="Calibri"/>
                <w:spacing w:val="0"/>
                <w:sz w:val="18"/>
                <w:szCs w:val="18"/>
                <w:lang w:val="en-US" w:eastAsia="es-CO"/>
              </w:rPr>
              <w:t xml:space="preserve">       </w:t>
            </w:r>
            <w:r w:rsidRPr="00656F34">
              <w:rPr>
                <w:rFonts w:ascii="Arial Narrow" w:hAnsi="Arial Narrow" w:cs="Calibri"/>
                <w:spacing w:val="0"/>
                <w:sz w:val="18"/>
                <w:szCs w:val="18"/>
                <w:lang w:eastAsia="es-CO"/>
              </w:rPr>
              <w:t>3</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906</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558</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 xml:space="preserve">513 </w:t>
            </w:r>
          </w:p>
        </w:tc>
        <w:tc>
          <w:tcPr>
            <w:tcW w:w="1360" w:type="dxa"/>
            <w:shd w:val="clear" w:color="auto" w:fill="auto"/>
            <w:noWrap/>
            <w:vAlign w:val="center"/>
            <w:hideMark/>
          </w:tcPr>
          <w:p w14:paraId="040043F2" w14:textId="4755C43B"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 xml:space="preserve">           39</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065</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 xml:space="preserve">585 </w:t>
            </w:r>
          </w:p>
        </w:tc>
      </w:tr>
      <w:tr w:rsidR="00656F34" w:rsidRPr="00656F34" w14:paraId="28CCF8AA" w14:textId="77777777" w:rsidTr="00656F34">
        <w:trPr>
          <w:trHeight w:val="290"/>
        </w:trPr>
        <w:tc>
          <w:tcPr>
            <w:tcW w:w="319" w:type="dxa"/>
            <w:shd w:val="clear" w:color="auto" w:fill="auto"/>
            <w:noWrap/>
            <w:vAlign w:val="center"/>
            <w:hideMark/>
          </w:tcPr>
          <w:p w14:paraId="13DC1CC3" w14:textId="77777777" w:rsidR="00656F34" w:rsidRPr="00656F34" w:rsidRDefault="00656F34" w:rsidP="00656F34">
            <w:pPr>
              <w:jc w:val="center"/>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49</w:t>
            </w:r>
          </w:p>
        </w:tc>
        <w:tc>
          <w:tcPr>
            <w:tcW w:w="879" w:type="dxa"/>
            <w:shd w:val="clear" w:color="auto" w:fill="auto"/>
            <w:noWrap/>
            <w:vAlign w:val="center"/>
            <w:hideMark/>
          </w:tcPr>
          <w:p w14:paraId="7E481743" w14:textId="77777777"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900719749</w:t>
            </w:r>
          </w:p>
        </w:tc>
        <w:tc>
          <w:tcPr>
            <w:tcW w:w="4782" w:type="dxa"/>
            <w:shd w:val="clear" w:color="auto" w:fill="auto"/>
            <w:vAlign w:val="center"/>
            <w:hideMark/>
          </w:tcPr>
          <w:p w14:paraId="2EB16EE9" w14:textId="77777777" w:rsidR="00656F34" w:rsidRPr="00656F34" w:rsidRDefault="00656F34" w:rsidP="00656F34">
            <w:pPr>
              <w:jc w:val="lef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MULTIGAS DE COLOMBIA S.A.S. E.S.P.</w:t>
            </w:r>
          </w:p>
        </w:tc>
        <w:tc>
          <w:tcPr>
            <w:tcW w:w="1380" w:type="dxa"/>
            <w:shd w:val="clear" w:color="auto" w:fill="auto"/>
            <w:noWrap/>
            <w:vAlign w:val="center"/>
            <w:hideMark/>
          </w:tcPr>
          <w:p w14:paraId="67F8A700" w14:textId="03FDBE52"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 xml:space="preserve">          476</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084</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 xml:space="preserve">241 </w:t>
            </w:r>
          </w:p>
        </w:tc>
        <w:tc>
          <w:tcPr>
            <w:tcW w:w="1360" w:type="dxa"/>
            <w:shd w:val="clear" w:color="auto" w:fill="auto"/>
            <w:noWrap/>
            <w:vAlign w:val="center"/>
            <w:hideMark/>
          </w:tcPr>
          <w:p w14:paraId="492B9A58" w14:textId="54EC01D8"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 xml:space="preserve">             4</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760</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 xml:space="preserve">842 </w:t>
            </w:r>
          </w:p>
        </w:tc>
      </w:tr>
      <w:tr w:rsidR="00656F34" w:rsidRPr="00656F34" w14:paraId="499628D8" w14:textId="77777777" w:rsidTr="00656F34">
        <w:trPr>
          <w:trHeight w:val="290"/>
        </w:trPr>
        <w:tc>
          <w:tcPr>
            <w:tcW w:w="319" w:type="dxa"/>
            <w:shd w:val="clear" w:color="auto" w:fill="auto"/>
            <w:noWrap/>
            <w:vAlign w:val="center"/>
            <w:hideMark/>
          </w:tcPr>
          <w:p w14:paraId="5A6C4B4D" w14:textId="77777777" w:rsidR="00656F34" w:rsidRPr="00656F34" w:rsidRDefault="00656F34" w:rsidP="00656F34">
            <w:pPr>
              <w:jc w:val="center"/>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50</w:t>
            </w:r>
          </w:p>
        </w:tc>
        <w:tc>
          <w:tcPr>
            <w:tcW w:w="879" w:type="dxa"/>
            <w:shd w:val="clear" w:color="auto" w:fill="auto"/>
            <w:noWrap/>
            <w:vAlign w:val="center"/>
            <w:hideMark/>
          </w:tcPr>
          <w:p w14:paraId="0791B5FF" w14:textId="77777777"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890500726</w:t>
            </w:r>
          </w:p>
        </w:tc>
        <w:tc>
          <w:tcPr>
            <w:tcW w:w="4782" w:type="dxa"/>
            <w:shd w:val="clear" w:color="auto" w:fill="auto"/>
            <w:vAlign w:val="center"/>
            <w:hideMark/>
          </w:tcPr>
          <w:p w14:paraId="7BFFB620" w14:textId="77777777" w:rsidR="00656F34" w:rsidRPr="00656F34" w:rsidRDefault="00656F34" w:rsidP="00656F34">
            <w:pPr>
              <w:jc w:val="lef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NORTESANTANDEREANA DE GAS S.A. E.S.P.</w:t>
            </w:r>
          </w:p>
        </w:tc>
        <w:tc>
          <w:tcPr>
            <w:tcW w:w="1380" w:type="dxa"/>
            <w:shd w:val="clear" w:color="auto" w:fill="auto"/>
            <w:noWrap/>
            <w:vAlign w:val="center"/>
            <w:hideMark/>
          </w:tcPr>
          <w:p w14:paraId="1BFAD633" w14:textId="3BE5F9FC"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 xml:space="preserve">     23</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459</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354</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 xml:space="preserve">329 </w:t>
            </w:r>
          </w:p>
        </w:tc>
        <w:tc>
          <w:tcPr>
            <w:tcW w:w="1360" w:type="dxa"/>
            <w:shd w:val="clear" w:color="auto" w:fill="auto"/>
            <w:noWrap/>
            <w:vAlign w:val="center"/>
            <w:hideMark/>
          </w:tcPr>
          <w:p w14:paraId="00F81DA6" w14:textId="4149C24C"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 xml:space="preserve">         234</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593</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 xml:space="preserve">543 </w:t>
            </w:r>
          </w:p>
        </w:tc>
      </w:tr>
      <w:tr w:rsidR="00656F34" w:rsidRPr="00656F34" w14:paraId="04F3E81B" w14:textId="77777777" w:rsidTr="00656F34">
        <w:trPr>
          <w:trHeight w:val="290"/>
        </w:trPr>
        <w:tc>
          <w:tcPr>
            <w:tcW w:w="319" w:type="dxa"/>
            <w:shd w:val="clear" w:color="auto" w:fill="auto"/>
            <w:noWrap/>
            <w:vAlign w:val="center"/>
            <w:hideMark/>
          </w:tcPr>
          <w:p w14:paraId="20A9C183" w14:textId="77777777" w:rsidR="00656F34" w:rsidRPr="00656F34" w:rsidRDefault="00656F34" w:rsidP="00656F34">
            <w:pPr>
              <w:jc w:val="center"/>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51</w:t>
            </w:r>
          </w:p>
        </w:tc>
        <w:tc>
          <w:tcPr>
            <w:tcW w:w="879" w:type="dxa"/>
            <w:shd w:val="clear" w:color="auto" w:fill="auto"/>
            <w:noWrap/>
            <w:vAlign w:val="center"/>
            <w:hideMark/>
          </w:tcPr>
          <w:p w14:paraId="2B7171C4" w14:textId="77777777"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900924778</w:t>
            </w:r>
          </w:p>
        </w:tc>
        <w:tc>
          <w:tcPr>
            <w:tcW w:w="4782" w:type="dxa"/>
            <w:shd w:val="clear" w:color="auto" w:fill="auto"/>
            <w:vAlign w:val="center"/>
            <w:hideMark/>
          </w:tcPr>
          <w:p w14:paraId="3A26485E" w14:textId="77777777" w:rsidR="00656F34" w:rsidRPr="00D26825" w:rsidRDefault="00656F34" w:rsidP="00656F34">
            <w:pPr>
              <w:jc w:val="left"/>
              <w:rPr>
                <w:rFonts w:ascii="Arial Narrow" w:hAnsi="Arial Narrow" w:cs="Calibri"/>
                <w:spacing w:val="0"/>
                <w:sz w:val="18"/>
                <w:szCs w:val="18"/>
                <w:lang w:val="en-US" w:eastAsia="es-CO"/>
              </w:rPr>
            </w:pPr>
            <w:r w:rsidRPr="00D26825">
              <w:rPr>
                <w:rFonts w:ascii="Arial Narrow" w:hAnsi="Arial Narrow" w:cs="Calibri"/>
                <w:spacing w:val="0"/>
                <w:sz w:val="18"/>
                <w:szCs w:val="18"/>
                <w:lang w:val="en-US" w:eastAsia="es-CO"/>
              </w:rPr>
              <w:t>OIL &amp; GAS MAINTENANCE AND SERVICE SAS ESP</w:t>
            </w:r>
          </w:p>
        </w:tc>
        <w:tc>
          <w:tcPr>
            <w:tcW w:w="1380" w:type="dxa"/>
            <w:shd w:val="clear" w:color="auto" w:fill="auto"/>
            <w:noWrap/>
            <w:vAlign w:val="center"/>
            <w:hideMark/>
          </w:tcPr>
          <w:p w14:paraId="69B301A8" w14:textId="7C811F26" w:rsidR="00656F34" w:rsidRPr="00656F34" w:rsidRDefault="00656F34" w:rsidP="00656F34">
            <w:pPr>
              <w:jc w:val="right"/>
              <w:rPr>
                <w:rFonts w:ascii="Arial Narrow" w:hAnsi="Arial Narrow" w:cs="Calibri"/>
                <w:spacing w:val="0"/>
                <w:sz w:val="18"/>
                <w:szCs w:val="18"/>
                <w:lang w:eastAsia="es-CO"/>
              </w:rPr>
            </w:pPr>
            <w:r w:rsidRPr="00D26825">
              <w:rPr>
                <w:rFonts w:ascii="Arial Narrow" w:hAnsi="Arial Narrow" w:cs="Calibri"/>
                <w:spacing w:val="0"/>
                <w:sz w:val="18"/>
                <w:szCs w:val="18"/>
                <w:lang w:val="en-US" w:eastAsia="es-CO"/>
              </w:rPr>
              <w:t xml:space="preserve">          </w:t>
            </w:r>
            <w:r w:rsidRPr="00656F34">
              <w:rPr>
                <w:rFonts w:ascii="Arial Narrow" w:hAnsi="Arial Narrow" w:cs="Calibri"/>
                <w:spacing w:val="0"/>
                <w:sz w:val="18"/>
                <w:szCs w:val="18"/>
                <w:lang w:eastAsia="es-CO"/>
              </w:rPr>
              <w:t>104</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132</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 xml:space="preserve">011 </w:t>
            </w:r>
          </w:p>
        </w:tc>
        <w:tc>
          <w:tcPr>
            <w:tcW w:w="1360" w:type="dxa"/>
            <w:shd w:val="clear" w:color="auto" w:fill="auto"/>
            <w:noWrap/>
            <w:vAlign w:val="center"/>
            <w:hideMark/>
          </w:tcPr>
          <w:p w14:paraId="13537D20" w14:textId="24B73E2C"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 xml:space="preserve">             1</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041</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 xml:space="preserve">320 </w:t>
            </w:r>
          </w:p>
        </w:tc>
      </w:tr>
      <w:tr w:rsidR="00656F34" w:rsidRPr="00656F34" w14:paraId="21BBE9CA" w14:textId="77777777" w:rsidTr="00656F34">
        <w:trPr>
          <w:trHeight w:val="290"/>
        </w:trPr>
        <w:tc>
          <w:tcPr>
            <w:tcW w:w="319" w:type="dxa"/>
            <w:shd w:val="clear" w:color="auto" w:fill="auto"/>
            <w:noWrap/>
            <w:vAlign w:val="center"/>
            <w:hideMark/>
          </w:tcPr>
          <w:p w14:paraId="1C1BFF1F" w14:textId="77777777" w:rsidR="00656F34" w:rsidRPr="00656F34" w:rsidRDefault="00656F34" w:rsidP="00656F34">
            <w:pPr>
              <w:jc w:val="center"/>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52</w:t>
            </w:r>
          </w:p>
        </w:tc>
        <w:tc>
          <w:tcPr>
            <w:tcW w:w="879" w:type="dxa"/>
            <w:shd w:val="clear" w:color="auto" w:fill="auto"/>
            <w:noWrap/>
            <w:vAlign w:val="center"/>
            <w:hideMark/>
          </w:tcPr>
          <w:p w14:paraId="7916FB49" w14:textId="77777777"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900268747</w:t>
            </w:r>
          </w:p>
        </w:tc>
        <w:tc>
          <w:tcPr>
            <w:tcW w:w="4782" w:type="dxa"/>
            <w:shd w:val="clear" w:color="auto" w:fill="auto"/>
            <w:vAlign w:val="center"/>
            <w:hideMark/>
          </w:tcPr>
          <w:p w14:paraId="01B3141D" w14:textId="77777777" w:rsidR="00656F34" w:rsidRPr="00656F34" w:rsidRDefault="00656F34" w:rsidP="00656F34">
            <w:pPr>
              <w:jc w:val="lef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PAREX RESOURCES COLOMBIA LTD SUCURSAL</w:t>
            </w:r>
          </w:p>
        </w:tc>
        <w:tc>
          <w:tcPr>
            <w:tcW w:w="1380" w:type="dxa"/>
            <w:shd w:val="clear" w:color="auto" w:fill="auto"/>
            <w:noWrap/>
            <w:vAlign w:val="center"/>
            <w:hideMark/>
          </w:tcPr>
          <w:p w14:paraId="4E1741ED" w14:textId="57A2DB3E"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 xml:space="preserve">       3</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725</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781</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 xml:space="preserve">731 </w:t>
            </w:r>
          </w:p>
        </w:tc>
        <w:tc>
          <w:tcPr>
            <w:tcW w:w="1360" w:type="dxa"/>
            <w:shd w:val="clear" w:color="auto" w:fill="auto"/>
            <w:noWrap/>
            <w:vAlign w:val="center"/>
            <w:hideMark/>
          </w:tcPr>
          <w:p w14:paraId="6D48ED13" w14:textId="3F44B160"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 xml:space="preserve">           37</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257</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 xml:space="preserve">817 </w:t>
            </w:r>
          </w:p>
        </w:tc>
      </w:tr>
      <w:tr w:rsidR="00656F34" w:rsidRPr="00656F34" w14:paraId="0831B5A2" w14:textId="77777777" w:rsidTr="00656F34">
        <w:trPr>
          <w:trHeight w:val="460"/>
        </w:trPr>
        <w:tc>
          <w:tcPr>
            <w:tcW w:w="319" w:type="dxa"/>
            <w:shd w:val="clear" w:color="auto" w:fill="auto"/>
            <w:noWrap/>
            <w:vAlign w:val="center"/>
            <w:hideMark/>
          </w:tcPr>
          <w:p w14:paraId="4104B5D6" w14:textId="77777777" w:rsidR="00656F34" w:rsidRPr="00656F34" w:rsidRDefault="00656F34" w:rsidP="00656F34">
            <w:pPr>
              <w:jc w:val="center"/>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53</w:t>
            </w:r>
          </w:p>
        </w:tc>
        <w:tc>
          <w:tcPr>
            <w:tcW w:w="879" w:type="dxa"/>
            <w:shd w:val="clear" w:color="auto" w:fill="auto"/>
            <w:noWrap/>
            <w:vAlign w:val="center"/>
            <w:hideMark/>
          </w:tcPr>
          <w:p w14:paraId="6CC0A935" w14:textId="77777777"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900319306</w:t>
            </w:r>
          </w:p>
        </w:tc>
        <w:tc>
          <w:tcPr>
            <w:tcW w:w="4782" w:type="dxa"/>
            <w:shd w:val="clear" w:color="auto" w:fill="auto"/>
            <w:vAlign w:val="center"/>
            <w:hideMark/>
          </w:tcPr>
          <w:p w14:paraId="3628479F" w14:textId="34BA9266" w:rsidR="00656F34" w:rsidRPr="00656F34" w:rsidRDefault="00656F34" w:rsidP="00656F34">
            <w:pPr>
              <w:jc w:val="lef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PEGASUS BLENDING INTERNATIONAL S.A.S. EMPRESA DE SERVICIOS PUBLICOS E.S.P</w:t>
            </w:r>
            <w:r>
              <w:rPr>
                <w:rFonts w:ascii="Arial Narrow" w:hAnsi="Arial Narrow" w:cs="Calibri"/>
                <w:spacing w:val="0"/>
                <w:sz w:val="18"/>
                <w:szCs w:val="18"/>
                <w:lang w:eastAsia="es-CO"/>
              </w:rPr>
              <w:t>.</w:t>
            </w:r>
          </w:p>
        </w:tc>
        <w:tc>
          <w:tcPr>
            <w:tcW w:w="1380" w:type="dxa"/>
            <w:shd w:val="clear" w:color="auto" w:fill="auto"/>
            <w:noWrap/>
            <w:vAlign w:val="center"/>
            <w:hideMark/>
          </w:tcPr>
          <w:p w14:paraId="425071DB" w14:textId="3EC27557"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 xml:space="preserve">              8</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731</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 xml:space="preserve">509 </w:t>
            </w:r>
          </w:p>
        </w:tc>
        <w:tc>
          <w:tcPr>
            <w:tcW w:w="1360" w:type="dxa"/>
            <w:shd w:val="clear" w:color="auto" w:fill="auto"/>
            <w:noWrap/>
            <w:vAlign w:val="center"/>
            <w:hideMark/>
          </w:tcPr>
          <w:p w14:paraId="232CC942" w14:textId="6A9CF9BC"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 xml:space="preserve">                  87</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 xml:space="preserve">315 </w:t>
            </w:r>
          </w:p>
        </w:tc>
      </w:tr>
      <w:tr w:rsidR="00656F34" w:rsidRPr="00656F34" w14:paraId="0E9613AD" w14:textId="77777777" w:rsidTr="00656F34">
        <w:trPr>
          <w:trHeight w:val="290"/>
        </w:trPr>
        <w:tc>
          <w:tcPr>
            <w:tcW w:w="319" w:type="dxa"/>
            <w:shd w:val="clear" w:color="auto" w:fill="auto"/>
            <w:noWrap/>
            <w:vAlign w:val="center"/>
            <w:hideMark/>
          </w:tcPr>
          <w:p w14:paraId="7611B45B" w14:textId="77777777" w:rsidR="00656F34" w:rsidRPr="00656F34" w:rsidRDefault="00656F34" w:rsidP="00656F34">
            <w:pPr>
              <w:jc w:val="center"/>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54</w:t>
            </w:r>
          </w:p>
        </w:tc>
        <w:tc>
          <w:tcPr>
            <w:tcW w:w="879" w:type="dxa"/>
            <w:shd w:val="clear" w:color="auto" w:fill="auto"/>
            <w:noWrap/>
            <w:vAlign w:val="center"/>
            <w:hideMark/>
          </w:tcPr>
          <w:p w14:paraId="20410338" w14:textId="77777777"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860515802</w:t>
            </w:r>
          </w:p>
        </w:tc>
        <w:tc>
          <w:tcPr>
            <w:tcW w:w="4782" w:type="dxa"/>
            <w:shd w:val="clear" w:color="auto" w:fill="auto"/>
            <w:vAlign w:val="center"/>
            <w:hideMark/>
          </w:tcPr>
          <w:p w14:paraId="79252E11" w14:textId="77777777" w:rsidR="00656F34" w:rsidRPr="00656F34" w:rsidRDefault="00656F34" w:rsidP="00656F34">
            <w:pPr>
              <w:jc w:val="lef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PLEXA SAS ESP</w:t>
            </w:r>
          </w:p>
        </w:tc>
        <w:tc>
          <w:tcPr>
            <w:tcW w:w="1380" w:type="dxa"/>
            <w:shd w:val="clear" w:color="auto" w:fill="auto"/>
            <w:noWrap/>
            <w:vAlign w:val="center"/>
            <w:hideMark/>
          </w:tcPr>
          <w:p w14:paraId="22654142" w14:textId="224D55C4"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 xml:space="preserve">       7</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091</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641</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 xml:space="preserve">555 </w:t>
            </w:r>
          </w:p>
        </w:tc>
        <w:tc>
          <w:tcPr>
            <w:tcW w:w="1360" w:type="dxa"/>
            <w:shd w:val="clear" w:color="auto" w:fill="auto"/>
            <w:noWrap/>
            <w:vAlign w:val="center"/>
            <w:hideMark/>
          </w:tcPr>
          <w:p w14:paraId="218536DA" w14:textId="1210A5F2"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 xml:space="preserve">           70</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916</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 xml:space="preserve">416 </w:t>
            </w:r>
          </w:p>
        </w:tc>
      </w:tr>
      <w:tr w:rsidR="00656F34" w:rsidRPr="00656F34" w14:paraId="6502E475" w14:textId="77777777" w:rsidTr="00656F34">
        <w:trPr>
          <w:trHeight w:val="290"/>
        </w:trPr>
        <w:tc>
          <w:tcPr>
            <w:tcW w:w="319" w:type="dxa"/>
            <w:shd w:val="clear" w:color="auto" w:fill="auto"/>
            <w:noWrap/>
            <w:vAlign w:val="center"/>
            <w:hideMark/>
          </w:tcPr>
          <w:p w14:paraId="2E7D9C74" w14:textId="77777777" w:rsidR="00656F34" w:rsidRPr="00656F34" w:rsidRDefault="00656F34" w:rsidP="00656F34">
            <w:pPr>
              <w:jc w:val="center"/>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55</w:t>
            </w:r>
          </w:p>
        </w:tc>
        <w:tc>
          <w:tcPr>
            <w:tcW w:w="879" w:type="dxa"/>
            <w:shd w:val="clear" w:color="auto" w:fill="auto"/>
            <w:noWrap/>
            <w:vAlign w:val="center"/>
            <w:hideMark/>
          </w:tcPr>
          <w:p w14:paraId="23E7E85B" w14:textId="77777777"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900438187</w:t>
            </w:r>
          </w:p>
        </w:tc>
        <w:tc>
          <w:tcPr>
            <w:tcW w:w="4782" w:type="dxa"/>
            <w:shd w:val="clear" w:color="auto" w:fill="auto"/>
            <w:vAlign w:val="center"/>
            <w:hideMark/>
          </w:tcPr>
          <w:p w14:paraId="12C9B936" w14:textId="77777777" w:rsidR="00656F34" w:rsidRPr="00656F34" w:rsidRDefault="00656F34" w:rsidP="00656F34">
            <w:pPr>
              <w:jc w:val="lef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PROVIGAS COLOMBIA S.A. ESP</w:t>
            </w:r>
          </w:p>
        </w:tc>
        <w:tc>
          <w:tcPr>
            <w:tcW w:w="1380" w:type="dxa"/>
            <w:shd w:val="clear" w:color="auto" w:fill="auto"/>
            <w:noWrap/>
            <w:vAlign w:val="center"/>
            <w:hideMark/>
          </w:tcPr>
          <w:p w14:paraId="5FD31166" w14:textId="6791EE87"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 xml:space="preserve">          151</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626</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 xml:space="preserve">691 </w:t>
            </w:r>
          </w:p>
        </w:tc>
        <w:tc>
          <w:tcPr>
            <w:tcW w:w="1360" w:type="dxa"/>
            <w:shd w:val="clear" w:color="auto" w:fill="auto"/>
            <w:noWrap/>
            <w:vAlign w:val="center"/>
            <w:hideMark/>
          </w:tcPr>
          <w:p w14:paraId="3F4F6C84" w14:textId="1030E901"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 xml:space="preserve">             1</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516</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 xml:space="preserve">267 </w:t>
            </w:r>
          </w:p>
        </w:tc>
      </w:tr>
      <w:tr w:rsidR="00656F34" w:rsidRPr="00656F34" w14:paraId="25FD6ED2" w14:textId="77777777" w:rsidTr="00656F34">
        <w:trPr>
          <w:trHeight w:val="290"/>
        </w:trPr>
        <w:tc>
          <w:tcPr>
            <w:tcW w:w="319" w:type="dxa"/>
            <w:shd w:val="clear" w:color="auto" w:fill="auto"/>
            <w:noWrap/>
            <w:vAlign w:val="center"/>
            <w:hideMark/>
          </w:tcPr>
          <w:p w14:paraId="3B035AE9" w14:textId="77777777" w:rsidR="00656F34" w:rsidRPr="00656F34" w:rsidRDefault="00656F34" w:rsidP="00656F34">
            <w:pPr>
              <w:jc w:val="center"/>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56</w:t>
            </w:r>
          </w:p>
        </w:tc>
        <w:tc>
          <w:tcPr>
            <w:tcW w:w="879" w:type="dxa"/>
            <w:shd w:val="clear" w:color="auto" w:fill="auto"/>
            <w:noWrap/>
            <w:vAlign w:val="center"/>
            <w:hideMark/>
          </w:tcPr>
          <w:p w14:paraId="0AC36088" w14:textId="77777777"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827000149</w:t>
            </w:r>
          </w:p>
        </w:tc>
        <w:tc>
          <w:tcPr>
            <w:tcW w:w="4782" w:type="dxa"/>
            <w:shd w:val="clear" w:color="auto" w:fill="auto"/>
            <w:vAlign w:val="center"/>
            <w:hideMark/>
          </w:tcPr>
          <w:p w14:paraId="045B0A9D" w14:textId="77777777" w:rsidR="00656F34" w:rsidRPr="00656F34" w:rsidRDefault="00656F34" w:rsidP="00656F34">
            <w:pPr>
              <w:jc w:val="lef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PROVIGAS S.A.  E.S.P.</w:t>
            </w:r>
          </w:p>
        </w:tc>
        <w:tc>
          <w:tcPr>
            <w:tcW w:w="1380" w:type="dxa"/>
            <w:shd w:val="clear" w:color="auto" w:fill="auto"/>
            <w:noWrap/>
            <w:vAlign w:val="center"/>
            <w:hideMark/>
          </w:tcPr>
          <w:p w14:paraId="33B2EE45" w14:textId="36F417F6"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 xml:space="preserve">          945</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258</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 xml:space="preserve">796 </w:t>
            </w:r>
          </w:p>
        </w:tc>
        <w:tc>
          <w:tcPr>
            <w:tcW w:w="1360" w:type="dxa"/>
            <w:shd w:val="clear" w:color="auto" w:fill="auto"/>
            <w:noWrap/>
            <w:vAlign w:val="center"/>
            <w:hideMark/>
          </w:tcPr>
          <w:p w14:paraId="726BA09C" w14:textId="1F7C3F60"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 xml:space="preserve">             9</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452</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 xml:space="preserve">588 </w:t>
            </w:r>
          </w:p>
        </w:tc>
      </w:tr>
      <w:tr w:rsidR="00656F34" w:rsidRPr="00656F34" w14:paraId="00EE3ECA" w14:textId="77777777" w:rsidTr="00656F34">
        <w:trPr>
          <w:trHeight w:val="290"/>
        </w:trPr>
        <w:tc>
          <w:tcPr>
            <w:tcW w:w="319" w:type="dxa"/>
            <w:shd w:val="clear" w:color="auto" w:fill="auto"/>
            <w:noWrap/>
            <w:vAlign w:val="center"/>
            <w:hideMark/>
          </w:tcPr>
          <w:p w14:paraId="0691225E" w14:textId="77777777" w:rsidR="00656F34" w:rsidRPr="00656F34" w:rsidRDefault="00656F34" w:rsidP="00656F34">
            <w:pPr>
              <w:jc w:val="center"/>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57</w:t>
            </w:r>
          </w:p>
        </w:tc>
        <w:tc>
          <w:tcPr>
            <w:tcW w:w="879" w:type="dxa"/>
            <w:shd w:val="clear" w:color="auto" w:fill="auto"/>
            <w:noWrap/>
            <w:vAlign w:val="center"/>
            <w:hideMark/>
          </w:tcPr>
          <w:p w14:paraId="08E02CD8" w14:textId="77777777" w:rsidR="00656F34" w:rsidRPr="00656F34" w:rsidRDefault="00656F34" w:rsidP="00656F34">
            <w:pPr>
              <w:jc w:val="right"/>
              <w:rPr>
                <w:rFonts w:ascii="Arial Narrow" w:hAnsi="Arial Narrow" w:cs="Calibri"/>
                <w:color w:val="000000"/>
                <w:spacing w:val="0"/>
                <w:sz w:val="18"/>
                <w:szCs w:val="18"/>
                <w:lang w:eastAsia="es-CO"/>
              </w:rPr>
            </w:pPr>
            <w:r w:rsidRPr="00656F34">
              <w:rPr>
                <w:rFonts w:ascii="Arial Narrow" w:hAnsi="Arial Narrow" w:cs="Calibri"/>
                <w:color w:val="000000"/>
                <w:spacing w:val="0"/>
                <w:sz w:val="18"/>
                <w:szCs w:val="18"/>
                <w:lang w:eastAsia="es-CO"/>
              </w:rPr>
              <w:t>900443684</w:t>
            </w:r>
          </w:p>
        </w:tc>
        <w:tc>
          <w:tcPr>
            <w:tcW w:w="4782" w:type="dxa"/>
            <w:shd w:val="clear" w:color="auto" w:fill="auto"/>
            <w:vAlign w:val="center"/>
            <w:hideMark/>
          </w:tcPr>
          <w:p w14:paraId="1B2512E4" w14:textId="77777777" w:rsidR="00656F34" w:rsidRPr="00656F34" w:rsidRDefault="00656F34" w:rsidP="00656F34">
            <w:pPr>
              <w:jc w:val="left"/>
              <w:rPr>
                <w:rFonts w:ascii="Arial Narrow" w:hAnsi="Arial Narrow" w:cs="Calibri"/>
                <w:color w:val="000000"/>
                <w:spacing w:val="0"/>
                <w:sz w:val="18"/>
                <w:szCs w:val="18"/>
                <w:lang w:eastAsia="es-CO"/>
              </w:rPr>
            </w:pPr>
            <w:r w:rsidRPr="00656F34">
              <w:rPr>
                <w:rFonts w:ascii="Arial Narrow" w:hAnsi="Arial Narrow" w:cs="Calibri"/>
                <w:color w:val="000000"/>
                <w:spacing w:val="0"/>
                <w:sz w:val="18"/>
                <w:szCs w:val="18"/>
                <w:lang w:eastAsia="es-CO"/>
              </w:rPr>
              <w:t>RAPIDGAS SAS ESP</w:t>
            </w:r>
          </w:p>
        </w:tc>
        <w:tc>
          <w:tcPr>
            <w:tcW w:w="1380" w:type="dxa"/>
            <w:shd w:val="clear" w:color="auto" w:fill="auto"/>
            <w:noWrap/>
            <w:vAlign w:val="center"/>
            <w:hideMark/>
          </w:tcPr>
          <w:p w14:paraId="7852860C" w14:textId="0AE30691"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 xml:space="preserve">          182</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195</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 xml:space="preserve">388 </w:t>
            </w:r>
          </w:p>
        </w:tc>
        <w:tc>
          <w:tcPr>
            <w:tcW w:w="1360" w:type="dxa"/>
            <w:shd w:val="clear" w:color="auto" w:fill="auto"/>
            <w:noWrap/>
            <w:vAlign w:val="center"/>
            <w:hideMark/>
          </w:tcPr>
          <w:p w14:paraId="10ED76AB" w14:textId="36A6A669" w:rsidR="00656F34" w:rsidRPr="00656F34" w:rsidRDefault="00656F34" w:rsidP="00656F34">
            <w:pPr>
              <w:jc w:val="right"/>
              <w:rPr>
                <w:rFonts w:ascii="Arial Narrow" w:hAnsi="Arial Narrow" w:cs="Calibri"/>
                <w:color w:val="000000"/>
                <w:spacing w:val="0"/>
                <w:sz w:val="18"/>
                <w:szCs w:val="18"/>
                <w:lang w:eastAsia="es-CO"/>
              </w:rPr>
            </w:pPr>
            <w:r w:rsidRPr="00656F34">
              <w:rPr>
                <w:rFonts w:ascii="Arial Narrow" w:hAnsi="Arial Narrow" w:cs="Calibri"/>
                <w:color w:val="000000"/>
                <w:spacing w:val="0"/>
                <w:sz w:val="18"/>
                <w:szCs w:val="18"/>
                <w:lang w:eastAsia="es-CO"/>
              </w:rPr>
              <w:t xml:space="preserve">             1</w:t>
            </w:r>
            <w:r w:rsidR="007F7A3E">
              <w:rPr>
                <w:rFonts w:ascii="Arial Narrow" w:hAnsi="Arial Narrow" w:cs="Calibri"/>
                <w:color w:val="000000"/>
                <w:spacing w:val="0"/>
                <w:sz w:val="18"/>
                <w:szCs w:val="18"/>
                <w:lang w:eastAsia="es-CO"/>
              </w:rPr>
              <w:t>.</w:t>
            </w:r>
            <w:r w:rsidRPr="00656F34">
              <w:rPr>
                <w:rFonts w:ascii="Arial Narrow" w:hAnsi="Arial Narrow" w:cs="Calibri"/>
                <w:color w:val="000000"/>
                <w:spacing w:val="0"/>
                <w:sz w:val="18"/>
                <w:szCs w:val="18"/>
                <w:lang w:eastAsia="es-CO"/>
              </w:rPr>
              <w:t>821</w:t>
            </w:r>
            <w:r w:rsidR="007F7A3E">
              <w:rPr>
                <w:rFonts w:ascii="Arial Narrow" w:hAnsi="Arial Narrow" w:cs="Calibri"/>
                <w:color w:val="000000"/>
                <w:spacing w:val="0"/>
                <w:sz w:val="18"/>
                <w:szCs w:val="18"/>
                <w:lang w:eastAsia="es-CO"/>
              </w:rPr>
              <w:t>.</w:t>
            </w:r>
            <w:r w:rsidRPr="00656F34">
              <w:rPr>
                <w:rFonts w:ascii="Arial Narrow" w:hAnsi="Arial Narrow" w:cs="Calibri"/>
                <w:color w:val="000000"/>
                <w:spacing w:val="0"/>
                <w:sz w:val="18"/>
                <w:szCs w:val="18"/>
                <w:lang w:eastAsia="es-CO"/>
              </w:rPr>
              <w:t xml:space="preserve">954 </w:t>
            </w:r>
          </w:p>
        </w:tc>
      </w:tr>
      <w:tr w:rsidR="00656F34" w:rsidRPr="00656F34" w14:paraId="12BF3A66" w14:textId="77777777" w:rsidTr="00656F34">
        <w:trPr>
          <w:trHeight w:val="290"/>
        </w:trPr>
        <w:tc>
          <w:tcPr>
            <w:tcW w:w="319" w:type="dxa"/>
            <w:shd w:val="clear" w:color="auto" w:fill="auto"/>
            <w:noWrap/>
            <w:vAlign w:val="center"/>
            <w:hideMark/>
          </w:tcPr>
          <w:p w14:paraId="4EEB757E" w14:textId="77777777" w:rsidR="00656F34" w:rsidRPr="00656F34" w:rsidRDefault="00656F34" w:rsidP="00656F34">
            <w:pPr>
              <w:jc w:val="center"/>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58</w:t>
            </w:r>
          </w:p>
        </w:tc>
        <w:tc>
          <w:tcPr>
            <w:tcW w:w="879" w:type="dxa"/>
            <w:shd w:val="clear" w:color="auto" w:fill="auto"/>
            <w:noWrap/>
            <w:vAlign w:val="center"/>
            <w:hideMark/>
          </w:tcPr>
          <w:p w14:paraId="3A073FC3" w14:textId="77777777"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860033633</w:t>
            </w:r>
          </w:p>
        </w:tc>
        <w:tc>
          <w:tcPr>
            <w:tcW w:w="4782" w:type="dxa"/>
            <w:shd w:val="clear" w:color="auto" w:fill="auto"/>
            <w:vAlign w:val="center"/>
            <w:hideMark/>
          </w:tcPr>
          <w:p w14:paraId="4325EABD" w14:textId="77777777" w:rsidR="00656F34" w:rsidRPr="00656F34" w:rsidRDefault="00656F34" w:rsidP="00656F34">
            <w:pPr>
              <w:jc w:val="lef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RAYOGAS S.A. ESP</w:t>
            </w:r>
          </w:p>
        </w:tc>
        <w:tc>
          <w:tcPr>
            <w:tcW w:w="1380" w:type="dxa"/>
            <w:shd w:val="clear" w:color="auto" w:fill="auto"/>
            <w:noWrap/>
            <w:vAlign w:val="center"/>
            <w:hideMark/>
          </w:tcPr>
          <w:p w14:paraId="20AB38C4" w14:textId="6D71FFD5"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 xml:space="preserve">       6</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676</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334</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 xml:space="preserve">761 </w:t>
            </w:r>
          </w:p>
        </w:tc>
        <w:tc>
          <w:tcPr>
            <w:tcW w:w="1360" w:type="dxa"/>
            <w:shd w:val="clear" w:color="auto" w:fill="auto"/>
            <w:noWrap/>
            <w:vAlign w:val="center"/>
            <w:hideMark/>
          </w:tcPr>
          <w:p w14:paraId="63AD8474" w14:textId="26B5923B"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 xml:space="preserve">           66</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763</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 xml:space="preserve">348 </w:t>
            </w:r>
          </w:p>
        </w:tc>
      </w:tr>
      <w:tr w:rsidR="00656F34" w:rsidRPr="00656F34" w14:paraId="1D25FD4E" w14:textId="77777777" w:rsidTr="00656F34">
        <w:trPr>
          <w:trHeight w:val="290"/>
        </w:trPr>
        <w:tc>
          <w:tcPr>
            <w:tcW w:w="319" w:type="dxa"/>
            <w:shd w:val="clear" w:color="auto" w:fill="auto"/>
            <w:noWrap/>
            <w:vAlign w:val="center"/>
            <w:hideMark/>
          </w:tcPr>
          <w:p w14:paraId="4D300FE1" w14:textId="77777777" w:rsidR="00656F34" w:rsidRPr="00656F34" w:rsidRDefault="00656F34" w:rsidP="00656F34">
            <w:pPr>
              <w:jc w:val="center"/>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59</w:t>
            </w:r>
          </w:p>
        </w:tc>
        <w:tc>
          <w:tcPr>
            <w:tcW w:w="879" w:type="dxa"/>
            <w:shd w:val="clear" w:color="auto" w:fill="auto"/>
            <w:noWrap/>
            <w:vAlign w:val="center"/>
            <w:hideMark/>
          </w:tcPr>
          <w:p w14:paraId="47DE06C0" w14:textId="77777777"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900112515</w:t>
            </w:r>
          </w:p>
        </w:tc>
        <w:tc>
          <w:tcPr>
            <w:tcW w:w="4782" w:type="dxa"/>
            <w:shd w:val="clear" w:color="auto" w:fill="auto"/>
            <w:vAlign w:val="center"/>
            <w:hideMark/>
          </w:tcPr>
          <w:p w14:paraId="2BB5CFB0" w14:textId="77777777" w:rsidR="00656F34" w:rsidRPr="00656F34" w:rsidRDefault="00656F34" w:rsidP="00656F34">
            <w:pPr>
              <w:jc w:val="lef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REFINERIA DE CARTAGENA S.A.</w:t>
            </w:r>
          </w:p>
        </w:tc>
        <w:tc>
          <w:tcPr>
            <w:tcW w:w="1380" w:type="dxa"/>
            <w:shd w:val="clear" w:color="auto" w:fill="auto"/>
            <w:noWrap/>
            <w:vAlign w:val="center"/>
            <w:hideMark/>
          </w:tcPr>
          <w:p w14:paraId="78ED67E7" w14:textId="63D8B47F"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 xml:space="preserve">       9</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766</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736</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 xml:space="preserve">255 </w:t>
            </w:r>
          </w:p>
        </w:tc>
        <w:tc>
          <w:tcPr>
            <w:tcW w:w="1360" w:type="dxa"/>
            <w:shd w:val="clear" w:color="auto" w:fill="auto"/>
            <w:noWrap/>
            <w:vAlign w:val="center"/>
            <w:hideMark/>
          </w:tcPr>
          <w:p w14:paraId="46B8085F" w14:textId="5DBBEF37"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 xml:space="preserve">           97</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667</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 xml:space="preserve">363 </w:t>
            </w:r>
          </w:p>
        </w:tc>
      </w:tr>
      <w:tr w:rsidR="00656F34" w:rsidRPr="00656F34" w14:paraId="04D17CE0" w14:textId="77777777" w:rsidTr="00656F34">
        <w:trPr>
          <w:trHeight w:val="290"/>
        </w:trPr>
        <w:tc>
          <w:tcPr>
            <w:tcW w:w="319" w:type="dxa"/>
            <w:shd w:val="clear" w:color="auto" w:fill="auto"/>
            <w:noWrap/>
            <w:vAlign w:val="center"/>
            <w:hideMark/>
          </w:tcPr>
          <w:p w14:paraId="5573562D" w14:textId="77777777" w:rsidR="00656F34" w:rsidRPr="00656F34" w:rsidRDefault="00656F34" w:rsidP="00656F34">
            <w:pPr>
              <w:jc w:val="center"/>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60</w:t>
            </w:r>
          </w:p>
        </w:tc>
        <w:tc>
          <w:tcPr>
            <w:tcW w:w="879" w:type="dxa"/>
            <w:shd w:val="clear" w:color="auto" w:fill="auto"/>
            <w:noWrap/>
            <w:vAlign w:val="center"/>
            <w:hideMark/>
          </w:tcPr>
          <w:p w14:paraId="44BDE912" w14:textId="77777777"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900167770</w:t>
            </w:r>
          </w:p>
        </w:tc>
        <w:tc>
          <w:tcPr>
            <w:tcW w:w="4782" w:type="dxa"/>
            <w:shd w:val="clear" w:color="auto" w:fill="auto"/>
            <w:vAlign w:val="center"/>
            <w:hideMark/>
          </w:tcPr>
          <w:p w14:paraId="44A32085" w14:textId="748F1703" w:rsidR="00656F34" w:rsidRPr="00656F34" w:rsidRDefault="00656F34" w:rsidP="00656F34">
            <w:pPr>
              <w:jc w:val="lef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ROSCOGAS S.A. E.S.P</w:t>
            </w:r>
            <w:r>
              <w:rPr>
                <w:rFonts w:ascii="Arial Narrow" w:hAnsi="Arial Narrow" w:cs="Calibri"/>
                <w:spacing w:val="0"/>
                <w:sz w:val="18"/>
                <w:szCs w:val="18"/>
                <w:lang w:eastAsia="es-CO"/>
              </w:rPr>
              <w:t>.</w:t>
            </w:r>
          </w:p>
        </w:tc>
        <w:tc>
          <w:tcPr>
            <w:tcW w:w="1380" w:type="dxa"/>
            <w:shd w:val="clear" w:color="auto" w:fill="auto"/>
            <w:noWrap/>
            <w:vAlign w:val="center"/>
            <w:hideMark/>
          </w:tcPr>
          <w:p w14:paraId="41236502" w14:textId="5BAD1189"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 xml:space="preserve">            43</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447</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 xml:space="preserve">738 </w:t>
            </w:r>
          </w:p>
        </w:tc>
        <w:tc>
          <w:tcPr>
            <w:tcW w:w="1360" w:type="dxa"/>
            <w:shd w:val="clear" w:color="auto" w:fill="auto"/>
            <w:noWrap/>
            <w:vAlign w:val="center"/>
            <w:hideMark/>
          </w:tcPr>
          <w:p w14:paraId="05E6DDA3" w14:textId="5B5E99BB"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 xml:space="preserve">                434</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 xml:space="preserve">477 </w:t>
            </w:r>
          </w:p>
        </w:tc>
      </w:tr>
      <w:tr w:rsidR="00656F34" w:rsidRPr="00656F34" w14:paraId="5727A246" w14:textId="77777777" w:rsidTr="00656F34">
        <w:trPr>
          <w:trHeight w:val="290"/>
        </w:trPr>
        <w:tc>
          <w:tcPr>
            <w:tcW w:w="319" w:type="dxa"/>
            <w:shd w:val="clear" w:color="auto" w:fill="auto"/>
            <w:noWrap/>
            <w:vAlign w:val="center"/>
            <w:hideMark/>
          </w:tcPr>
          <w:p w14:paraId="73B05BDD" w14:textId="77777777" w:rsidR="00656F34" w:rsidRPr="00656F34" w:rsidRDefault="00656F34" w:rsidP="00656F34">
            <w:pPr>
              <w:jc w:val="center"/>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61</w:t>
            </w:r>
          </w:p>
        </w:tc>
        <w:tc>
          <w:tcPr>
            <w:tcW w:w="879" w:type="dxa"/>
            <w:shd w:val="clear" w:color="auto" w:fill="auto"/>
            <w:noWrap/>
            <w:vAlign w:val="center"/>
            <w:hideMark/>
          </w:tcPr>
          <w:p w14:paraId="4FC119DB" w14:textId="77777777"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814003050</w:t>
            </w:r>
          </w:p>
        </w:tc>
        <w:tc>
          <w:tcPr>
            <w:tcW w:w="4782" w:type="dxa"/>
            <w:shd w:val="clear" w:color="auto" w:fill="auto"/>
            <w:vAlign w:val="center"/>
            <w:hideMark/>
          </w:tcPr>
          <w:p w14:paraId="3E09C80A" w14:textId="77777777" w:rsidR="00656F34" w:rsidRPr="00656F34" w:rsidRDefault="00656F34" w:rsidP="00656F34">
            <w:pPr>
              <w:jc w:val="lef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SUPERGAS DE NARIÑO S.A. E.S.P.</w:t>
            </w:r>
          </w:p>
        </w:tc>
        <w:tc>
          <w:tcPr>
            <w:tcW w:w="1380" w:type="dxa"/>
            <w:shd w:val="clear" w:color="auto" w:fill="auto"/>
            <w:noWrap/>
            <w:vAlign w:val="center"/>
            <w:hideMark/>
          </w:tcPr>
          <w:p w14:paraId="184C0D8A" w14:textId="63E75883"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 xml:space="preserve">       2</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868</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356</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 xml:space="preserve">002 </w:t>
            </w:r>
          </w:p>
        </w:tc>
        <w:tc>
          <w:tcPr>
            <w:tcW w:w="1360" w:type="dxa"/>
            <w:shd w:val="clear" w:color="auto" w:fill="auto"/>
            <w:noWrap/>
            <w:vAlign w:val="center"/>
            <w:hideMark/>
          </w:tcPr>
          <w:p w14:paraId="38B01BCF" w14:textId="11DE68C1"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 xml:space="preserve">           28</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683</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 xml:space="preserve">560 </w:t>
            </w:r>
          </w:p>
        </w:tc>
      </w:tr>
      <w:tr w:rsidR="00656F34" w:rsidRPr="00656F34" w14:paraId="41DC98BC" w14:textId="77777777" w:rsidTr="00656F34">
        <w:trPr>
          <w:trHeight w:val="290"/>
        </w:trPr>
        <w:tc>
          <w:tcPr>
            <w:tcW w:w="319" w:type="dxa"/>
            <w:shd w:val="clear" w:color="auto" w:fill="auto"/>
            <w:noWrap/>
            <w:vAlign w:val="center"/>
            <w:hideMark/>
          </w:tcPr>
          <w:p w14:paraId="26893B9C" w14:textId="77777777" w:rsidR="00656F34" w:rsidRPr="00656F34" w:rsidRDefault="00656F34" w:rsidP="00656F34">
            <w:pPr>
              <w:jc w:val="center"/>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62</w:t>
            </w:r>
          </w:p>
        </w:tc>
        <w:tc>
          <w:tcPr>
            <w:tcW w:w="879" w:type="dxa"/>
            <w:shd w:val="clear" w:color="auto" w:fill="auto"/>
            <w:noWrap/>
            <w:vAlign w:val="center"/>
            <w:hideMark/>
          </w:tcPr>
          <w:p w14:paraId="79C0A3E3" w14:textId="77777777"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900466858</w:t>
            </w:r>
          </w:p>
        </w:tc>
        <w:tc>
          <w:tcPr>
            <w:tcW w:w="4782" w:type="dxa"/>
            <w:shd w:val="clear" w:color="auto" w:fill="auto"/>
            <w:vAlign w:val="center"/>
            <w:hideMark/>
          </w:tcPr>
          <w:p w14:paraId="6E5C41F5" w14:textId="77777777" w:rsidR="00656F34" w:rsidRPr="00656F34" w:rsidRDefault="00656F34" w:rsidP="00656F34">
            <w:pPr>
              <w:jc w:val="lef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SURENERGY SAS ESP</w:t>
            </w:r>
          </w:p>
        </w:tc>
        <w:tc>
          <w:tcPr>
            <w:tcW w:w="1380" w:type="dxa"/>
            <w:shd w:val="clear" w:color="auto" w:fill="auto"/>
            <w:noWrap/>
            <w:vAlign w:val="center"/>
            <w:hideMark/>
          </w:tcPr>
          <w:p w14:paraId="645B5601" w14:textId="2DB92BE5"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 xml:space="preserve">              8</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305</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 xml:space="preserve">275 </w:t>
            </w:r>
          </w:p>
        </w:tc>
        <w:tc>
          <w:tcPr>
            <w:tcW w:w="1360" w:type="dxa"/>
            <w:shd w:val="clear" w:color="auto" w:fill="auto"/>
            <w:noWrap/>
            <w:vAlign w:val="center"/>
            <w:hideMark/>
          </w:tcPr>
          <w:p w14:paraId="1EFF43E6" w14:textId="28C62855"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 xml:space="preserve">                  83</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 xml:space="preserve">053 </w:t>
            </w:r>
          </w:p>
        </w:tc>
      </w:tr>
      <w:tr w:rsidR="00656F34" w:rsidRPr="00656F34" w14:paraId="5FB9A9E7" w14:textId="77777777" w:rsidTr="00656F34">
        <w:trPr>
          <w:trHeight w:val="290"/>
        </w:trPr>
        <w:tc>
          <w:tcPr>
            <w:tcW w:w="319" w:type="dxa"/>
            <w:shd w:val="clear" w:color="auto" w:fill="auto"/>
            <w:noWrap/>
            <w:vAlign w:val="center"/>
            <w:hideMark/>
          </w:tcPr>
          <w:p w14:paraId="46DC3764" w14:textId="77777777" w:rsidR="00656F34" w:rsidRPr="00656F34" w:rsidRDefault="00656F34" w:rsidP="00656F34">
            <w:pPr>
              <w:jc w:val="center"/>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63</w:t>
            </w:r>
          </w:p>
        </w:tc>
        <w:tc>
          <w:tcPr>
            <w:tcW w:w="879" w:type="dxa"/>
            <w:shd w:val="clear" w:color="auto" w:fill="auto"/>
            <w:noWrap/>
            <w:vAlign w:val="center"/>
            <w:hideMark/>
          </w:tcPr>
          <w:p w14:paraId="0945E208" w14:textId="77777777" w:rsidR="00656F34" w:rsidRPr="00656F34" w:rsidRDefault="00656F34" w:rsidP="00656F34">
            <w:pPr>
              <w:jc w:val="right"/>
              <w:rPr>
                <w:rFonts w:ascii="Arial Narrow" w:hAnsi="Arial Narrow" w:cs="Calibri"/>
                <w:color w:val="000000"/>
                <w:spacing w:val="0"/>
                <w:sz w:val="18"/>
                <w:szCs w:val="18"/>
                <w:lang w:eastAsia="es-CO"/>
              </w:rPr>
            </w:pPr>
            <w:r w:rsidRPr="00656F34">
              <w:rPr>
                <w:rFonts w:ascii="Arial Narrow" w:hAnsi="Arial Narrow" w:cs="Calibri"/>
                <w:color w:val="000000"/>
                <w:spacing w:val="0"/>
                <w:sz w:val="18"/>
                <w:szCs w:val="18"/>
                <w:lang w:eastAsia="es-CO"/>
              </w:rPr>
              <w:t>901060669</w:t>
            </w:r>
          </w:p>
        </w:tc>
        <w:tc>
          <w:tcPr>
            <w:tcW w:w="4782" w:type="dxa"/>
            <w:shd w:val="clear" w:color="auto" w:fill="auto"/>
            <w:vAlign w:val="center"/>
            <w:hideMark/>
          </w:tcPr>
          <w:p w14:paraId="58FCF332" w14:textId="77777777" w:rsidR="00656F34" w:rsidRPr="00656F34" w:rsidRDefault="00656F34" w:rsidP="00656F34">
            <w:pPr>
              <w:jc w:val="left"/>
              <w:rPr>
                <w:rFonts w:ascii="Arial Narrow" w:hAnsi="Arial Narrow" w:cs="Calibri"/>
                <w:color w:val="000000"/>
                <w:spacing w:val="0"/>
                <w:sz w:val="18"/>
                <w:szCs w:val="18"/>
                <w:lang w:eastAsia="es-CO"/>
              </w:rPr>
            </w:pPr>
            <w:r w:rsidRPr="00656F34">
              <w:rPr>
                <w:rFonts w:ascii="Arial Narrow" w:hAnsi="Arial Narrow" w:cs="Calibri"/>
                <w:color w:val="000000"/>
                <w:spacing w:val="0"/>
                <w:sz w:val="18"/>
                <w:szCs w:val="18"/>
                <w:lang w:eastAsia="es-CO"/>
              </w:rPr>
              <w:t>TERMOGAS SOLUCIONES ENERGETICAS SAS ESP</w:t>
            </w:r>
          </w:p>
        </w:tc>
        <w:tc>
          <w:tcPr>
            <w:tcW w:w="1380" w:type="dxa"/>
            <w:shd w:val="clear" w:color="auto" w:fill="auto"/>
            <w:noWrap/>
            <w:vAlign w:val="center"/>
            <w:hideMark/>
          </w:tcPr>
          <w:p w14:paraId="7B0A9808" w14:textId="63D3A7D4"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 xml:space="preserve">            51</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378</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 xml:space="preserve">776 </w:t>
            </w:r>
          </w:p>
        </w:tc>
        <w:tc>
          <w:tcPr>
            <w:tcW w:w="1360" w:type="dxa"/>
            <w:shd w:val="clear" w:color="auto" w:fill="auto"/>
            <w:noWrap/>
            <w:vAlign w:val="center"/>
            <w:hideMark/>
          </w:tcPr>
          <w:p w14:paraId="60776710" w14:textId="58D6EB22" w:rsidR="00656F34" w:rsidRPr="00656F34" w:rsidRDefault="00656F34" w:rsidP="00656F34">
            <w:pPr>
              <w:jc w:val="right"/>
              <w:rPr>
                <w:rFonts w:ascii="Arial Narrow" w:hAnsi="Arial Narrow" w:cs="Calibri"/>
                <w:color w:val="000000"/>
                <w:spacing w:val="0"/>
                <w:sz w:val="18"/>
                <w:szCs w:val="18"/>
                <w:lang w:eastAsia="es-CO"/>
              </w:rPr>
            </w:pPr>
            <w:r w:rsidRPr="00656F34">
              <w:rPr>
                <w:rFonts w:ascii="Arial Narrow" w:hAnsi="Arial Narrow" w:cs="Calibri"/>
                <w:color w:val="000000"/>
                <w:spacing w:val="0"/>
                <w:sz w:val="18"/>
                <w:szCs w:val="18"/>
                <w:lang w:eastAsia="es-CO"/>
              </w:rPr>
              <w:t xml:space="preserve">                513</w:t>
            </w:r>
            <w:r w:rsidR="007F7A3E">
              <w:rPr>
                <w:rFonts w:ascii="Arial Narrow" w:hAnsi="Arial Narrow" w:cs="Calibri"/>
                <w:color w:val="000000"/>
                <w:spacing w:val="0"/>
                <w:sz w:val="18"/>
                <w:szCs w:val="18"/>
                <w:lang w:eastAsia="es-CO"/>
              </w:rPr>
              <w:t>.</w:t>
            </w:r>
            <w:r w:rsidRPr="00656F34">
              <w:rPr>
                <w:rFonts w:ascii="Arial Narrow" w:hAnsi="Arial Narrow" w:cs="Calibri"/>
                <w:color w:val="000000"/>
                <w:spacing w:val="0"/>
                <w:sz w:val="18"/>
                <w:szCs w:val="18"/>
                <w:lang w:eastAsia="es-CO"/>
              </w:rPr>
              <w:t xml:space="preserve">788 </w:t>
            </w:r>
          </w:p>
        </w:tc>
      </w:tr>
      <w:tr w:rsidR="00656F34" w:rsidRPr="00656F34" w14:paraId="50DC3136" w14:textId="77777777" w:rsidTr="00656F34">
        <w:trPr>
          <w:trHeight w:val="290"/>
        </w:trPr>
        <w:tc>
          <w:tcPr>
            <w:tcW w:w="319" w:type="dxa"/>
            <w:shd w:val="clear" w:color="auto" w:fill="auto"/>
            <w:noWrap/>
            <w:vAlign w:val="center"/>
            <w:hideMark/>
          </w:tcPr>
          <w:p w14:paraId="70B7DBA1" w14:textId="77777777" w:rsidR="00656F34" w:rsidRPr="00656F34" w:rsidRDefault="00656F34" w:rsidP="00656F34">
            <w:pPr>
              <w:jc w:val="center"/>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64</w:t>
            </w:r>
          </w:p>
        </w:tc>
        <w:tc>
          <w:tcPr>
            <w:tcW w:w="879" w:type="dxa"/>
            <w:shd w:val="clear" w:color="auto" w:fill="auto"/>
            <w:noWrap/>
            <w:vAlign w:val="center"/>
            <w:hideMark/>
          </w:tcPr>
          <w:p w14:paraId="5871B216" w14:textId="77777777"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900028111</w:t>
            </w:r>
          </w:p>
        </w:tc>
        <w:tc>
          <w:tcPr>
            <w:tcW w:w="4782" w:type="dxa"/>
            <w:shd w:val="clear" w:color="auto" w:fill="auto"/>
            <w:vAlign w:val="center"/>
            <w:hideMark/>
          </w:tcPr>
          <w:p w14:paraId="1CC9E6E9" w14:textId="77777777" w:rsidR="00656F34" w:rsidRPr="00656F34" w:rsidRDefault="00656F34" w:rsidP="00656F34">
            <w:pPr>
              <w:jc w:val="lef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TURGAS S.A. E.S.P.</w:t>
            </w:r>
          </w:p>
        </w:tc>
        <w:tc>
          <w:tcPr>
            <w:tcW w:w="1380" w:type="dxa"/>
            <w:shd w:val="clear" w:color="auto" w:fill="auto"/>
            <w:noWrap/>
            <w:vAlign w:val="center"/>
            <w:hideMark/>
          </w:tcPr>
          <w:p w14:paraId="08AC4839" w14:textId="7A69F6B2"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 xml:space="preserve">          104</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646</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 xml:space="preserve">549 </w:t>
            </w:r>
          </w:p>
        </w:tc>
        <w:tc>
          <w:tcPr>
            <w:tcW w:w="1360" w:type="dxa"/>
            <w:shd w:val="clear" w:color="auto" w:fill="auto"/>
            <w:noWrap/>
            <w:vAlign w:val="center"/>
            <w:hideMark/>
          </w:tcPr>
          <w:p w14:paraId="545B626F" w14:textId="0DF2F75D"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 xml:space="preserve">             1</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046</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 xml:space="preserve">465 </w:t>
            </w:r>
          </w:p>
        </w:tc>
      </w:tr>
      <w:tr w:rsidR="00656F34" w:rsidRPr="00656F34" w14:paraId="6F684A1B" w14:textId="77777777" w:rsidTr="00656F34">
        <w:trPr>
          <w:trHeight w:val="290"/>
        </w:trPr>
        <w:tc>
          <w:tcPr>
            <w:tcW w:w="319" w:type="dxa"/>
            <w:shd w:val="clear" w:color="auto" w:fill="auto"/>
            <w:noWrap/>
            <w:vAlign w:val="center"/>
            <w:hideMark/>
          </w:tcPr>
          <w:p w14:paraId="2A58CC3F" w14:textId="77777777" w:rsidR="00656F34" w:rsidRPr="00656F34" w:rsidRDefault="00656F34" w:rsidP="00656F34">
            <w:pPr>
              <w:jc w:val="center"/>
              <w:rPr>
                <w:rFonts w:ascii="Arial Narrow" w:hAnsi="Arial Narrow" w:cs="Calibri"/>
                <w:spacing w:val="0"/>
                <w:sz w:val="18"/>
                <w:szCs w:val="18"/>
                <w:lang w:eastAsia="es-CO"/>
              </w:rPr>
            </w:pPr>
            <w:r w:rsidRPr="00656F34">
              <w:rPr>
                <w:rFonts w:ascii="Arial Narrow" w:hAnsi="Arial Narrow" w:cs="Calibri"/>
                <w:spacing w:val="0"/>
                <w:sz w:val="18"/>
                <w:szCs w:val="18"/>
                <w:lang w:eastAsia="es-CO"/>
              </w:rPr>
              <w:lastRenderedPageBreak/>
              <w:t>65</w:t>
            </w:r>
          </w:p>
        </w:tc>
        <w:tc>
          <w:tcPr>
            <w:tcW w:w="879" w:type="dxa"/>
            <w:shd w:val="clear" w:color="auto" w:fill="auto"/>
            <w:noWrap/>
            <w:vAlign w:val="center"/>
            <w:hideMark/>
          </w:tcPr>
          <w:p w14:paraId="2BA04862" w14:textId="77777777"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830058558</w:t>
            </w:r>
          </w:p>
        </w:tc>
        <w:tc>
          <w:tcPr>
            <w:tcW w:w="4782" w:type="dxa"/>
            <w:shd w:val="clear" w:color="auto" w:fill="auto"/>
            <w:vAlign w:val="center"/>
            <w:hideMark/>
          </w:tcPr>
          <w:p w14:paraId="3F05939F" w14:textId="77777777" w:rsidR="00656F34" w:rsidRPr="00656F34" w:rsidRDefault="00656F34" w:rsidP="00656F34">
            <w:pPr>
              <w:jc w:val="lef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TY GAS S.A. E.S.P.</w:t>
            </w:r>
          </w:p>
        </w:tc>
        <w:tc>
          <w:tcPr>
            <w:tcW w:w="1380" w:type="dxa"/>
            <w:shd w:val="clear" w:color="auto" w:fill="auto"/>
            <w:noWrap/>
            <w:vAlign w:val="center"/>
            <w:hideMark/>
          </w:tcPr>
          <w:p w14:paraId="53FD0132" w14:textId="323AD83D"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 xml:space="preserve">          239</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076</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 xml:space="preserve">408 </w:t>
            </w:r>
          </w:p>
        </w:tc>
        <w:tc>
          <w:tcPr>
            <w:tcW w:w="1360" w:type="dxa"/>
            <w:shd w:val="clear" w:color="auto" w:fill="auto"/>
            <w:noWrap/>
            <w:vAlign w:val="center"/>
            <w:hideMark/>
          </w:tcPr>
          <w:p w14:paraId="2C23AB1D" w14:textId="1E42424E"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 xml:space="preserve">             2</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390</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 xml:space="preserve">764 </w:t>
            </w:r>
          </w:p>
        </w:tc>
      </w:tr>
      <w:tr w:rsidR="00656F34" w:rsidRPr="00656F34" w14:paraId="79C50301" w14:textId="77777777" w:rsidTr="00656F34">
        <w:trPr>
          <w:trHeight w:val="290"/>
        </w:trPr>
        <w:tc>
          <w:tcPr>
            <w:tcW w:w="319" w:type="dxa"/>
            <w:shd w:val="clear" w:color="auto" w:fill="auto"/>
            <w:noWrap/>
            <w:vAlign w:val="center"/>
            <w:hideMark/>
          </w:tcPr>
          <w:p w14:paraId="0EEFCE18" w14:textId="77777777" w:rsidR="00656F34" w:rsidRPr="00656F34" w:rsidRDefault="00656F34" w:rsidP="00656F34">
            <w:pPr>
              <w:jc w:val="center"/>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66</w:t>
            </w:r>
          </w:p>
        </w:tc>
        <w:tc>
          <w:tcPr>
            <w:tcW w:w="879" w:type="dxa"/>
            <w:shd w:val="clear" w:color="auto" w:fill="auto"/>
            <w:noWrap/>
            <w:vAlign w:val="center"/>
            <w:hideMark/>
          </w:tcPr>
          <w:p w14:paraId="20C231EF" w14:textId="77777777"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805003583</w:t>
            </w:r>
          </w:p>
        </w:tc>
        <w:tc>
          <w:tcPr>
            <w:tcW w:w="4782" w:type="dxa"/>
            <w:shd w:val="clear" w:color="auto" w:fill="auto"/>
            <w:vAlign w:val="center"/>
            <w:hideMark/>
          </w:tcPr>
          <w:p w14:paraId="55024EAD" w14:textId="77777777" w:rsidR="00656F34" w:rsidRPr="00656F34" w:rsidRDefault="00656F34" w:rsidP="00656F34">
            <w:pPr>
              <w:jc w:val="lef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VELOGAS DE OCCIDENTE S.A. E.S.P.</w:t>
            </w:r>
          </w:p>
        </w:tc>
        <w:tc>
          <w:tcPr>
            <w:tcW w:w="1380" w:type="dxa"/>
            <w:shd w:val="clear" w:color="auto" w:fill="auto"/>
            <w:noWrap/>
            <w:vAlign w:val="center"/>
            <w:hideMark/>
          </w:tcPr>
          <w:p w14:paraId="54912D2C" w14:textId="233349FE"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 xml:space="preserve">          310</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225</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 xml:space="preserve">258 </w:t>
            </w:r>
          </w:p>
        </w:tc>
        <w:tc>
          <w:tcPr>
            <w:tcW w:w="1360" w:type="dxa"/>
            <w:shd w:val="clear" w:color="auto" w:fill="auto"/>
            <w:noWrap/>
            <w:vAlign w:val="center"/>
            <w:hideMark/>
          </w:tcPr>
          <w:p w14:paraId="607EC128" w14:textId="6890DAA6"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 xml:space="preserve">             3</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102</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 xml:space="preserve">253 </w:t>
            </w:r>
          </w:p>
        </w:tc>
      </w:tr>
      <w:tr w:rsidR="00656F34" w:rsidRPr="00656F34" w14:paraId="4687CAA2" w14:textId="77777777" w:rsidTr="00656F34">
        <w:trPr>
          <w:trHeight w:val="290"/>
        </w:trPr>
        <w:tc>
          <w:tcPr>
            <w:tcW w:w="319" w:type="dxa"/>
            <w:shd w:val="clear" w:color="auto" w:fill="auto"/>
            <w:noWrap/>
            <w:vAlign w:val="center"/>
            <w:hideMark/>
          </w:tcPr>
          <w:p w14:paraId="161137A6" w14:textId="77777777" w:rsidR="00656F34" w:rsidRPr="00656F34" w:rsidRDefault="00656F34" w:rsidP="00656F34">
            <w:pPr>
              <w:jc w:val="center"/>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67</w:t>
            </w:r>
          </w:p>
        </w:tc>
        <w:tc>
          <w:tcPr>
            <w:tcW w:w="879" w:type="dxa"/>
            <w:shd w:val="clear" w:color="auto" w:fill="auto"/>
            <w:noWrap/>
            <w:vAlign w:val="center"/>
            <w:hideMark/>
          </w:tcPr>
          <w:p w14:paraId="2D909F91" w14:textId="77777777"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800166132</w:t>
            </w:r>
          </w:p>
        </w:tc>
        <w:tc>
          <w:tcPr>
            <w:tcW w:w="4782" w:type="dxa"/>
            <w:shd w:val="clear" w:color="auto" w:fill="auto"/>
            <w:vAlign w:val="center"/>
            <w:hideMark/>
          </w:tcPr>
          <w:p w14:paraId="2046435D" w14:textId="77777777" w:rsidR="00656F34" w:rsidRPr="00656F34" w:rsidRDefault="00656F34" w:rsidP="00656F34">
            <w:pPr>
              <w:jc w:val="lef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VELOGAS S.A.  E.S.P.</w:t>
            </w:r>
          </w:p>
        </w:tc>
        <w:tc>
          <w:tcPr>
            <w:tcW w:w="1380" w:type="dxa"/>
            <w:shd w:val="clear" w:color="auto" w:fill="auto"/>
            <w:noWrap/>
            <w:vAlign w:val="center"/>
            <w:hideMark/>
          </w:tcPr>
          <w:p w14:paraId="4292F76A" w14:textId="47F3B5D6"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 xml:space="preserve">          334</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984</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 xml:space="preserve">135 </w:t>
            </w:r>
          </w:p>
        </w:tc>
        <w:tc>
          <w:tcPr>
            <w:tcW w:w="1360" w:type="dxa"/>
            <w:shd w:val="clear" w:color="auto" w:fill="auto"/>
            <w:noWrap/>
            <w:vAlign w:val="center"/>
            <w:hideMark/>
          </w:tcPr>
          <w:p w14:paraId="1B2A72EE" w14:textId="3B59CE16"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 xml:space="preserve">             3</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349</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 xml:space="preserve">841 </w:t>
            </w:r>
          </w:p>
        </w:tc>
      </w:tr>
      <w:tr w:rsidR="00656F34" w:rsidRPr="00656F34" w14:paraId="5023943E" w14:textId="77777777" w:rsidTr="00656F34">
        <w:trPr>
          <w:trHeight w:val="290"/>
        </w:trPr>
        <w:tc>
          <w:tcPr>
            <w:tcW w:w="319" w:type="dxa"/>
            <w:shd w:val="clear" w:color="auto" w:fill="auto"/>
            <w:noWrap/>
            <w:vAlign w:val="center"/>
            <w:hideMark/>
          </w:tcPr>
          <w:p w14:paraId="62758F34" w14:textId="77777777" w:rsidR="00656F34" w:rsidRPr="00656F34" w:rsidRDefault="00656F34" w:rsidP="00656F34">
            <w:pPr>
              <w:jc w:val="center"/>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68</w:t>
            </w:r>
          </w:p>
        </w:tc>
        <w:tc>
          <w:tcPr>
            <w:tcW w:w="879" w:type="dxa"/>
            <w:shd w:val="clear" w:color="auto" w:fill="auto"/>
            <w:noWrap/>
            <w:vAlign w:val="center"/>
            <w:hideMark/>
          </w:tcPr>
          <w:p w14:paraId="53039C60" w14:textId="77777777"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860025611</w:t>
            </w:r>
          </w:p>
        </w:tc>
        <w:tc>
          <w:tcPr>
            <w:tcW w:w="4782" w:type="dxa"/>
            <w:shd w:val="clear" w:color="auto" w:fill="auto"/>
            <w:vAlign w:val="center"/>
            <w:hideMark/>
          </w:tcPr>
          <w:p w14:paraId="4C92EA96" w14:textId="77777777" w:rsidR="00656F34" w:rsidRPr="00656F34" w:rsidRDefault="00656F34" w:rsidP="00656F34">
            <w:pPr>
              <w:jc w:val="lef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VILLA GAS S.A. E.S.P.</w:t>
            </w:r>
          </w:p>
        </w:tc>
        <w:tc>
          <w:tcPr>
            <w:tcW w:w="1380" w:type="dxa"/>
            <w:shd w:val="clear" w:color="auto" w:fill="auto"/>
            <w:noWrap/>
            <w:vAlign w:val="center"/>
            <w:hideMark/>
          </w:tcPr>
          <w:p w14:paraId="3B3E62EB" w14:textId="333FAA60"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 xml:space="preserve">          489</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175</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 xml:space="preserve">618 </w:t>
            </w:r>
          </w:p>
        </w:tc>
        <w:tc>
          <w:tcPr>
            <w:tcW w:w="1360" w:type="dxa"/>
            <w:shd w:val="clear" w:color="auto" w:fill="auto"/>
            <w:noWrap/>
            <w:vAlign w:val="center"/>
            <w:hideMark/>
          </w:tcPr>
          <w:p w14:paraId="6365B6D2" w14:textId="60028BF0" w:rsidR="00656F34" w:rsidRPr="00656F34" w:rsidRDefault="00656F34" w:rsidP="00656F34">
            <w:pPr>
              <w:jc w:val="right"/>
              <w:rPr>
                <w:rFonts w:ascii="Arial Narrow" w:hAnsi="Arial Narrow" w:cs="Calibri"/>
                <w:spacing w:val="0"/>
                <w:sz w:val="18"/>
                <w:szCs w:val="18"/>
                <w:lang w:eastAsia="es-CO"/>
              </w:rPr>
            </w:pPr>
            <w:r w:rsidRPr="00656F34">
              <w:rPr>
                <w:rFonts w:ascii="Arial Narrow" w:hAnsi="Arial Narrow" w:cs="Calibri"/>
                <w:spacing w:val="0"/>
                <w:sz w:val="18"/>
                <w:szCs w:val="18"/>
                <w:lang w:eastAsia="es-CO"/>
              </w:rPr>
              <w:t xml:space="preserve">             4</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891</w:t>
            </w:r>
            <w:r w:rsidR="007F7A3E">
              <w:rPr>
                <w:rFonts w:ascii="Arial Narrow" w:hAnsi="Arial Narrow" w:cs="Calibri"/>
                <w:spacing w:val="0"/>
                <w:sz w:val="18"/>
                <w:szCs w:val="18"/>
                <w:lang w:eastAsia="es-CO"/>
              </w:rPr>
              <w:t>.</w:t>
            </w:r>
            <w:r w:rsidRPr="00656F34">
              <w:rPr>
                <w:rFonts w:ascii="Arial Narrow" w:hAnsi="Arial Narrow" w:cs="Calibri"/>
                <w:spacing w:val="0"/>
                <w:sz w:val="18"/>
                <w:szCs w:val="18"/>
                <w:lang w:eastAsia="es-CO"/>
              </w:rPr>
              <w:t xml:space="preserve">756 </w:t>
            </w:r>
          </w:p>
        </w:tc>
      </w:tr>
      <w:tr w:rsidR="00656F34" w:rsidRPr="00C73280" w14:paraId="0867BEC1" w14:textId="77777777" w:rsidTr="00C73280">
        <w:trPr>
          <w:trHeight w:val="290"/>
        </w:trPr>
        <w:tc>
          <w:tcPr>
            <w:tcW w:w="7360" w:type="dxa"/>
            <w:gridSpan w:val="4"/>
            <w:shd w:val="clear" w:color="auto" w:fill="E7E6E6" w:themeFill="background2"/>
            <w:noWrap/>
            <w:vAlign w:val="center"/>
          </w:tcPr>
          <w:p w14:paraId="0628C93A" w14:textId="6ADCE260" w:rsidR="00656F34" w:rsidRPr="00C73280" w:rsidRDefault="00656F34" w:rsidP="00656F34">
            <w:pPr>
              <w:jc w:val="right"/>
              <w:rPr>
                <w:rFonts w:ascii="Arial Narrow" w:hAnsi="Arial Narrow" w:cs="Calibri"/>
                <w:b/>
                <w:bCs/>
                <w:spacing w:val="0"/>
                <w:sz w:val="18"/>
                <w:szCs w:val="18"/>
                <w:lang w:eastAsia="es-CO"/>
              </w:rPr>
            </w:pPr>
            <w:r w:rsidRPr="00C73280">
              <w:rPr>
                <w:rFonts w:ascii="Arial Narrow" w:hAnsi="Arial Narrow" w:cs="Calibri"/>
                <w:b/>
                <w:bCs/>
                <w:spacing w:val="0"/>
                <w:sz w:val="18"/>
                <w:szCs w:val="18"/>
                <w:lang w:eastAsia="es-CO"/>
              </w:rPr>
              <w:t>TOTAL</w:t>
            </w:r>
            <w:r w:rsidR="00312247">
              <w:rPr>
                <w:rFonts w:ascii="Arial Narrow" w:hAnsi="Arial Narrow" w:cs="Calibri"/>
                <w:b/>
                <w:bCs/>
                <w:spacing w:val="0"/>
                <w:sz w:val="18"/>
                <w:szCs w:val="18"/>
                <w:lang w:eastAsia="es-CO"/>
              </w:rPr>
              <w:t xml:space="preserve"> GLP </w:t>
            </w:r>
          </w:p>
        </w:tc>
        <w:tc>
          <w:tcPr>
            <w:tcW w:w="1360" w:type="dxa"/>
            <w:shd w:val="clear" w:color="auto" w:fill="E7E6E6" w:themeFill="background2"/>
            <w:noWrap/>
            <w:vAlign w:val="center"/>
          </w:tcPr>
          <w:p w14:paraId="65BC6B28" w14:textId="36E56A7F" w:rsidR="00656F34" w:rsidRPr="00C73280" w:rsidRDefault="00C73280" w:rsidP="00C73280">
            <w:pPr>
              <w:jc w:val="right"/>
              <w:rPr>
                <w:rFonts w:ascii="Arial Narrow" w:hAnsi="Arial Narrow" w:cs="Calibri"/>
                <w:b/>
                <w:bCs/>
                <w:color w:val="000000"/>
                <w:spacing w:val="0"/>
                <w:sz w:val="18"/>
                <w:szCs w:val="18"/>
                <w:lang w:eastAsia="es-CO"/>
              </w:rPr>
            </w:pPr>
            <w:r w:rsidRPr="00C73280">
              <w:rPr>
                <w:rFonts w:ascii="Arial Narrow" w:hAnsi="Arial Narrow" w:cs="Calibri"/>
                <w:b/>
                <w:bCs/>
                <w:color w:val="000000"/>
                <w:sz w:val="18"/>
                <w:szCs w:val="18"/>
              </w:rPr>
              <w:t xml:space="preserve">        2</w:t>
            </w:r>
            <w:r w:rsidR="00AB0B17">
              <w:rPr>
                <w:rFonts w:ascii="Arial Narrow" w:hAnsi="Arial Narrow" w:cs="Calibri"/>
                <w:b/>
                <w:bCs/>
                <w:color w:val="000000"/>
                <w:sz w:val="18"/>
                <w:szCs w:val="18"/>
              </w:rPr>
              <w:t>.</w:t>
            </w:r>
            <w:r w:rsidRPr="00C73280">
              <w:rPr>
                <w:rFonts w:ascii="Arial Narrow" w:hAnsi="Arial Narrow" w:cs="Calibri"/>
                <w:b/>
                <w:bCs/>
                <w:color w:val="000000"/>
                <w:sz w:val="18"/>
                <w:szCs w:val="18"/>
              </w:rPr>
              <w:t>009</w:t>
            </w:r>
            <w:r w:rsidR="00AB0B17">
              <w:rPr>
                <w:rFonts w:ascii="Arial Narrow" w:hAnsi="Arial Narrow" w:cs="Calibri"/>
                <w:b/>
                <w:bCs/>
                <w:color w:val="000000"/>
                <w:sz w:val="18"/>
                <w:szCs w:val="18"/>
              </w:rPr>
              <w:t>.</w:t>
            </w:r>
            <w:r w:rsidRPr="00C73280">
              <w:rPr>
                <w:rFonts w:ascii="Arial Narrow" w:hAnsi="Arial Narrow" w:cs="Calibri"/>
                <w:b/>
                <w:bCs/>
                <w:color w:val="000000"/>
                <w:sz w:val="18"/>
                <w:szCs w:val="18"/>
              </w:rPr>
              <w:t>021</w:t>
            </w:r>
            <w:r w:rsidR="00312247">
              <w:rPr>
                <w:rFonts w:ascii="Arial Narrow" w:hAnsi="Arial Narrow" w:cs="Calibri"/>
                <w:b/>
                <w:bCs/>
                <w:color w:val="000000"/>
                <w:sz w:val="18"/>
                <w:szCs w:val="18"/>
              </w:rPr>
              <w:t>.</w:t>
            </w:r>
            <w:r w:rsidRPr="00C73280">
              <w:rPr>
                <w:rFonts w:ascii="Arial Narrow" w:hAnsi="Arial Narrow" w:cs="Calibri"/>
                <w:b/>
                <w:bCs/>
                <w:color w:val="000000"/>
                <w:sz w:val="18"/>
                <w:szCs w:val="18"/>
              </w:rPr>
              <w:t xml:space="preserve">801 </w:t>
            </w:r>
          </w:p>
        </w:tc>
      </w:tr>
    </w:tbl>
    <w:p w14:paraId="1743E680" w14:textId="77777777" w:rsidR="00656F34" w:rsidRPr="0085721C" w:rsidRDefault="00656F34" w:rsidP="00656F34">
      <w:pPr>
        <w:rPr>
          <w:rFonts w:asciiTheme="majorHAnsi" w:hAnsiTheme="majorHAnsi" w:cstheme="majorHAnsi"/>
          <w:color w:val="FF0000"/>
          <w:sz w:val="18"/>
          <w:szCs w:val="18"/>
        </w:rPr>
      </w:pPr>
    </w:p>
    <w:p w14:paraId="621163BB" w14:textId="502BD640" w:rsidR="00E62DB0" w:rsidRDefault="00E62DB0" w:rsidP="008F6BFB">
      <w:pPr>
        <w:rPr>
          <w:rFonts w:asciiTheme="majorHAnsi" w:hAnsiTheme="majorHAnsi" w:cstheme="majorHAnsi"/>
          <w:color w:val="FF0000"/>
          <w:sz w:val="18"/>
          <w:szCs w:val="18"/>
        </w:rPr>
      </w:pPr>
    </w:p>
    <w:p w14:paraId="410FEF66" w14:textId="519766CA" w:rsidR="00E62DB0" w:rsidRPr="00767202" w:rsidRDefault="00531ACB" w:rsidP="00E62DB0">
      <w:pPr>
        <w:pStyle w:val="Subttulo"/>
        <w:numPr>
          <w:ilvl w:val="1"/>
          <w:numId w:val="37"/>
        </w:numPr>
        <w:spacing w:after="0"/>
        <w:ind w:left="357" w:hanging="357"/>
        <w:jc w:val="left"/>
        <w:rPr>
          <w:b/>
          <w:bCs/>
          <w:sz w:val="22"/>
          <w:szCs w:val="22"/>
        </w:rPr>
      </w:pPr>
      <w:bookmarkStart w:id="64" w:name="_Toc88126867"/>
      <w:r>
        <w:rPr>
          <w:b/>
          <w:bCs/>
          <w:sz w:val="22"/>
          <w:szCs w:val="22"/>
        </w:rPr>
        <w:t>REGULADOS COMO AGENTES ESPECIALES DEL MERCADO</w:t>
      </w:r>
      <w:bookmarkEnd w:id="64"/>
    </w:p>
    <w:p w14:paraId="1B5FE87C" w14:textId="77777777" w:rsidR="00E62DB0" w:rsidRDefault="00E62DB0" w:rsidP="00E62DB0">
      <w:pPr>
        <w:rPr>
          <w:rFonts w:cs="Arial"/>
          <w:b/>
          <w:sz w:val="22"/>
          <w:szCs w:val="22"/>
        </w:rPr>
      </w:pPr>
    </w:p>
    <w:p w14:paraId="3CC73383" w14:textId="58D8F965" w:rsidR="00E62DB0" w:rsidRDefault="00531ACB" w:rsidP="00E62DB0">
      <w:pPr>
        <w:rPr>
          <w:rFonts w:cs="Arial"/>
          <w:sz w:val="22"/>
          <w:szCs w:val="22"/>
        </w:rPr>
      </w:pPr>
      <w:r w:rsidRPr="00531ACB">
        <w:rPr>
          <w:rFonts w:cs="Arial"/>
          <w:sz w:val="22"/>
          <w:szCs w:val="22"/>
        </w:rPr>
        <w:t xml:space="preserve">A </w:t>
      </w:r>
      <w:r w:rsidR="007644D2" w:rsidRPr="00531ACB">
        <w:rPr>
          <w:rFonts w:cs="Arial"/>
          <w:sz w:val="22"/>
          <w:szCs w:val="22"/>
        </w:rPr>
        <w:t>continuación,</w:t>
      </w:r>
      <w:r w:rsidRPr="00531ACB">
        <w:rPr>
          <w:rFonts w:cs="Arial"/>
          <w:sz w:val="22"/>
          <w:szCs w:val="22"/>
        </w:rPr>
        <w:t xml:space="preserve"> se relaciona la contribución especial 202</w:t>
      </w:r>
      <w:r>
        <w:rPr>
          <w:rFonts w:cs="Arial"/>
          <w:sz w:val="22"/>
          <w:szCs w:val="22"/>
        </w:rPr>
        <w:t>1</w:t>
      </w:r>
      <w:r w:rsidRPr="00531ACB">
        <w:rPr>
          <w:rFonts w:cs="Arial"/>
          <w:sz w:val="22"/>
          <w:szCs w:val="22"/>
        </w:rPr>
        <w:t xml:space="preserve"> que debe pagar el regulado que presta el servicio de operación del Sistema Interconectado Nacional (SIN) y administra el mercado mayorista local.</w:t>
      </w:r>
    </w:p>
    <w:p w14:paraId="0E57D8B3" w14:textId="5B210638" w:rsidR="00531ACB" w:rsidRDefault="00531ACB" w:rsidP="00E62DB0">
      <w:pPr>
        <w:rPr>
          <w:rFonts w:cs="Arial"/>
          <w:sz w:val="22"/>
          <w:szCs w:val="22"/>
        </w:rPr>
      </w:pPr>
    </w:p>
    <w:tbl>
      <w:tblPr>
        <w:tblW w:w="8740" w:type="dxa"/>
        <w:tblCellMar>
          <w:left w:w="70" w:type="dxa"/>
          <w:right w:w="70" w:type="dxa"/>
        </w:tblCellMar>
        <w:tblLook w:val="04A0" w:firstRow="1" w:lastRow="0" w:firstColumn="1" w:lastColumn="0" w:noHBand="0" w:noVBand="1"/>
      </w:tblPr>
      <w:tblGrid>
        <w:gridCol w:w="319"/>
        <w:gridCol w:w="940"/>
        <w:gridCol w:w="4461"/>
        <w:gridCol w:w="1260"/>
        <w:gridCol w:w="1760"/>
      </w:tblGrid>
      <w:tr w:rsidR="00531ACB" w:rsidRPr="00531ACB" w14:paraId="7ADA78D1" w14:textId="77777777" w:rsidTr="00C73280">
        <w:trPr>
          <w:trHeight w:val="290"/>
        </w:trPr>
        <w:tc>
          <w:tcPr>
            <w:tcW w:w="319"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CB993F6" w14:textId="77777777" w:rsidR="00531ACB" w:rsidRPr="00531ACB" w:rsidRDefault="00531ACB" w:rsidP="00531ACB">
            <w:pPr>
              <w:jc w:val="center"/>
              <w:rPr>
                <w:rFonts w:ascii="Arial Narrow" w:hAnsi="Arial Narrow" w:cs="Calibri"/>
                <w:b/>
                <w:bCs/>
                <w:color w:val="000000"/>
                <w:spacing w:val="0"/>
                <w:sz w:val="18"/>
                <w:szCs w:val="18"/>
                <w:lang w:eastAsia="es-CO"/>
              </w:rPr>
            </w:pPr>
            <w:r w:rsidRPr="00531ACB">
              <w:rPr>
                <w:rFonts w:ascii="Arial Narrow" w:hAnsi="Arial Narrow" w:cs="Calibri"/>
                <w:b/>
                <w:bCs/>
                <w:color w:val="000000"/>
                <w:spacing w:val="0"/>
                <w:sz w:val="18"/>
                <w:szCs w:val="18"/>
                <w:lang w:eastAsia="es-CO"/>
              </w:rPr>
              <w:t>N°</w:t>
            </w:r>
          </w:p>
        </w:tc>
        <w:tc>
          <w:tcPr>
            <w:tcW w:w="940" w:type="dxa"/>
            <w:tcBorders>
              <w:top w:val="single" w:sz="4" w:space="0" w:color="auto"/>
              <w:left w:val="nil"/>
              <w:bottom w:val="single" w:sz="4" w:space="0" w:color="auto"/>
              <w:right w:val="single" w:sz="4" w:space="0" w:color="auto"/>
            </w:tcBorders>
            <w:shd w:val="clear" w:color="000000" w:fill="F2F2F2"/>
            <w:noWrap/>
            <w:vAlign w:val="center"/>
            <w:hideMark/>
          </w:tcPr>
          <w:p w14:paraId="566E344F" w14:textId="77777777" w:rsidR="00531ACB" w:rsidRPr="00531ACB" w:rsidRDefault="00531ACB" w:rsidP="00531ACB">
            <w:pPr>
              <w:jc w:val="center"/>
              <w:rPr>
                <w:rFonts w:ascii="Arial Narrow" w:hAnsi="Arial Narrow" w:cs="Calibri"/>
                <w:b/>
                <w:bCs/>
                <w:color w:val="000000"/>
                <w:spacing w:val="0"/>
                <w:sz w:val="18"/>
                <w:szCs w:val="18"/>
                <w:lang w:eastAsia="es-CO"/>
              </w:rPr>
            </w:pPr>
            <w:r w:rsidRPr="00531ACB">
              <w:rPr>
                <w:rFonts w:ascii="Arial Narrow" w:hAnsi="Arial Narrow" w:cs="Calibri"/>
                <w:b/>
                <w:bCs/>
                <w:color w:val="000000"/>
                <w:spacing w:val="0"/>
                <w:sz w:val="18"/>
                <w:szCs w:val="18"/>
                <w:lang w:eastAsia="es-CO"/>
              </w:rPr>
              <w:t>NIT</w:t>
            </w:r>
          </w:p>
        </w:tc>
        <w:tc>
          <w:tcPr>
            <w:tcW w:w="4461" w:type="dxa"/>
            <w:tcBorders>
              <w:top w:val="single" w:sz="4" w:space="0" w:color="auto"/>
              <w:left w:val="nil"/>
              <w:bottom w:val="single" w:sz="4" w:space="0" w:color="auto"/>
              <w:right w:val="single" w:sz="4" w:space="0" w:color="auto"/>
            </w:tcBorders>
            <w:shd w:val="clear" w:color="000000" w:fill="F2F2F2"/>
            <w:vAlign w:val="center"/>
            <w:hideMark/>
          </w:tcPr>
          <w:p w14:paraId="5CD9A2C6" w14:textId="77777777" w:rsidR="00531ACB" w:rsidRPr="00531ACB" w:rsidRDefault="00531ACB" w:rsidP="00531ACB">
            <w:pPr>
              <w:jc w:val="center"/>
              <w:rPr>
                <w:rFonts w:ascii="Arial Narrow" w:hAnsi="Arial Narrow" w:cs="Calibri"/>
                <w:b/>
                <w:bCs/>
                <w:color w:val="000000"/>
                <w:spacing w:val="0"/>
                <w:sz w:val="18"/>
                <w:szCs w:val="18"/>
                <w:lang w:eastAsia="es-CO"/>
              </w:rPr>
            </w:pPr>
            <w:r w:rsidRPr="00531ACB">
              <w:rPr>
                <w:rFonts w:ascii="Arial Narrow" w:hAnsi="Arial Narrow" w:cs="Calibri"/>
                <w:b/>
                <w:bCs/>
                <w:color w:val="000000"/>
                <w:spacing w:val="0"/>
                <w:sz w:val="18"/>
                <w:szCs w:val="18"/>
                <w:lang w:eastAsia="es-CO"/>
              </w:rPr>
              <w:t>RAZÓN SOCIAL DEL REGULADO</w:t>
            </w:r>
          </w:p>
        </w:tc>
        <w:tc>
          <w:tcPr>
            <w:tcW w:w="1260" w:type="dxa"/>
            <w:tcBorders>
              <w:top w:val="single" w:sz="4" w:space="0" w:color="auto"/>
              <w:left w:val="nil"/>
              <w:bottom w:val="single" w:sz="4" w:space="0" w:color="auto"/>
              <w:right w:val="single" w:sz="4" w:space="0" w:color="auto"/>
            </w:tcBorders>
            <w:shd w:val="clear" w:color="000000" w:fill="F2F2F2"/>
            <w:noWrap/>
            <w:vAlign w:val="center"/>
            <w:hideMark/>
          </w:tcPr>
          <w:p w14:paraId="24466B3C" w14:textId="77777777" w:rsidR="00531ACB" w:rsidRPr="00531ACB" w:rsidRDefault="00531ACB" w:rsidP="00531ACB">
            <w:pPr>
              <w:jc w:val="center"/>
              <w:rPr>
                <w:rFonts w:ascii="Arial Narrow" w:hAnsi="Arial Narrow" w:cs="Calibri"/>
                <w:b/>
                <w:bCs/>
                <w:color w:val="000000"/>
                <w:spacing w:val="0"/>
                <w:sz w:val="18"/>
                <w:szCs w:val="18"/>
                <w:lang w:eastAsia="es-CO"/>
              </w:rPr>
            </w:pPr>
            <w:r w:rsidRPr="00531ACB">
              <w:rPr>
                <w:rFonts w:ascii="Arial Narrow" w:hAnsi="Arial Narrow" w:cs="Calibri"/>
                <w:b/>
                <w:bCs/>
                <w:color w:val="000000"/>
                <w:spacing w:val="0"/>
                <w:sz w:val="18"/>
                <w:szCs w:val="18"/>
                <w:lang w:eastAsia="es-CO"/>
              </w:rPr>
              <w:t>Base Gravable</w:t>
            </w:r>
          </w:p>
        </w:tc>
        <w:tc>
          <w:tcPr>
            <w:tcW w:w="1760" w:type="dxa"/>
            <w:tcBorders>
              <w:top w:val="single" w:sz="4" w:space="0" w:color="auto"/>
              <w:left w:val="nil"/>
              <w:bottom w:val="single" w:sz="4" w:space="0" w:color="auto"/>
              <w:right w:val="single" w:sz="4" w:space="0" w:color="auto"/>
            </w:tcBorders>
            <w:shd w:val="clear" w:color="000000" w:fill="F2F2F2"/>
            <w:noWrap/>
            <w:vAlign w:val="center"/>
            <w:hideMark/>
          </w:tcPr>
          <w:p w14:paraId="3C8CA674" w14:textId="77777777" w:rsidR="00531ACB" w:rsidRPr="00531ACB" w:rsidRDefault="00531ACB" w:rsidP="00531ACB">
            <w:pPr>
              <w:jc w:val="center"/>
              <w:rPr>
                <w:rFonts w:ascii="Arial Narrow" w:hAnsi="Arial Narrow" w:cs="Calibri"/>
                <w:b/>
                <w:bCs/>
                <w:color w:val="000000"/>
                <w:spacing w:val="0"/>
                <w:sz w:val="18"/>
                <w:szCs w:val="18"/>
                <w:lang w:eastAsia="es-CO"/>
              </w:rPr>
            </w:pPr>
            <w:r w:rsidRPr="00531ACB">
              <w:rPr>
                <w:rFonts w:ascii="Arial Narrow" w:hAnsi="Arial Narrow" w:cs="Calibri"/>
                <w:b/>
                <w:bCs/>
                <w:color w:val="000000"/>
                <w:spacing w:val="0"/>
                <w:sz w:val="18"/>
                <w:szCs w:val="18"/>
                <w:lang w:eastAsia="es-CO"/>
              </w:rPr>
              <w:t>Contribución 2021</w:t>
            </w:r>
          </w:p>
        </w:tc>
      </w:tr>
      <w:tr w:rsidR="00C73280" w:rsidRPr="00531ACB" w14:paraId="5BBE7CC2" w14:textId="77777777" w:rsidTr="00C73280">
        <w:trPr>
          <w:trHeight w:val="290"/>
        </w:trPr>
        <w:tc>
          <w:tcPr>
            <w:tcW w:w="319" w:type="dxa"/>
            <w:tcBorders>
              <w:top w:val="nil"/>
              <w:left w:val="single" w:sz="4" w:space="0" w:color="auto"/>
              <w:bottom w:val="single" w:sz="4" w:space="0" w:color="auto"/>
              <w:right w:val="single" w:sz="4" w:space="0" w:color="auto"/>
            </w:tcBorders>
            <w:shd w:val="clear" w:color="auto" w:fill="auto"/>
            <w:noWrap/>
            <w:vAlign w:val="center"/>
            <w:hideMark/>
          </w:tcPr>
          <w:p w14:paraId="2A59F179" w14:textId="77777777" w:rsidR="00C73280" w:rsidRPr="00531ACB" w:rsidRDefault="00C73280" w:rsidP="00C73280">
            <w:pPr>
              <w:jc w:val="right"/>
              <w:rPr>
                <w:rFonts w:ascii="Arial Narrow" w:hAnsi="Arial Narrow" w:cs="Calibri"/>
                <w:color w:val="000000"/>
                <w:spacing w:val="0"/>
                <w:sz w:val="18"/>
                <w:szCs w:val="18"/>
                <w:lang w:eastAsia="es-CO"/>
              </w:rPr>
            </w:pPr>
            <w:r w:rsidRPr="00531ACB">
              <w:rPr>
                <w:rFonts w:ascii="Arial Narrow" w:hAnsi="Arial Narrow" w:cs="Calibri"/>
                <w:color w:val="000000"/>
                <w:spacing w:val="0"/>
                <w:sz w:val="18"/>
                <w:szCs w:val="18"/>
                <w:lang w:eastAsia="es-CO"/>
              </w:rPr>
              <w:t>1</w:t>
            </w:r>
          </w:p>
        </w:tc>
        <w:tc>
          <w:tcPr>
            <w:tcW w:w="940" w:type="dxa"/>
            <w:tcBorders>
              <w:top w:val="nil"/>
              <w:left w:val="nil"/>
              <w:bottom w:val="single" w:sz="4" w:space="0" w:color="auto"/>
              <w:right w:val="single" w:sz="4" w:space="0" w:color="auto"/>
            </w:tcBorders>
            <w:shd w:val="clear" w:color="auto" w:fill="auto"/>
            <w:noWrap/>
            <w:vAlign w:val="center"/>
            <w:hideMark/>
          </w:tcPr>
          <w:p w14:paraId="5791790F" w14:textId="77777777" w:rsidR="00C73280" w:rsidRPr="00531ACB" w:rsidRDefault="00C73280" w:rsidP="00C73280">
            <w:pPr>
              <w:jc w:val="right"/>
              <w:rPr>
                <w:rFonts w:ascii="Arial Narrow" w:hAnsi="Arial Narrow" w:cs="Calibri"/>
                <w:color w:val="000000"/>
                <w:spacing w:val="0"/>
                <w:sz w:val="18"/>
                <w:szCs w:val="18"/>
                <w:lang w:eastAsia="es-CO"/>
              </w:rPr>
            </w:pPr>
            <w:r w:rsidRPr="00531ACB">
              <w:rPr>
                <w:rFonts w:ascii="Arial Narrow" w:hAnsi="Arial Narrow" w:cs="Calibri"/>
                <w:color w:val="000000"/>
                <w:spacing w:val="0"/>
                <w:sz w:val="18"/>
                <w:szCs w:val="18"/>
                <w:lang w:eastAsia="es-CO"/>
              </w:rPr>
              <w:t>900042857</w:t>
            </w:r>
          </w:p>
        </w:tc>
        <w:tc>
          <w:tcPr>
            <w:tcW w:w="4461" w:type="dxa"/>
            <w:tcBorders>
              <w:top w:val="nil"/>
              <w:left w:val="nil"/>
              <w:bottom w:val="single" w:sz="4" w:space="0" w:color="auto"/>
              <w:right w:val="single" w:sz="4" w:space="0" w:color="auto"/>
            </w:tcBorders>
            <w:shd w:val="clear" w:color="auto" w:fill="auto"/>
            <w:vAlign w:val="center"/>
            <w:hideMark/>
          </w:tcPr>
          <w:p w14:paraId="02DE26F2" w14:textId="7A61BC50" w:rsidR="00C73280" w:rsidRPr="00531ACB" w:rsidRDefault="00C73280" w:rsidP="00C73280">
            <w:pPr>
              <w:jc w:val="left"/>
              <w:rPr>
                <w:rFonts w:ascii="Arial Narrow" w:hAnsi="Arial Narrow" w:cs="Calibri"/>
                <w:color w:val="000000"/>
                <w:spacing w:val="0"/>
                <w:sz w:val="18"/>
                <w:szCs w:val="18"/>
                <w:lang w:eastAsia="es-CO"/>
              </w:rPr>
            </w:pPr>
            <w:r w:rsidRPr="00531ACB">
              <w:rPr>
                <w:rFonts w:ascii="Arial Narrow" w:hAnsi="Arial Narrow" w:cs="Calibri"/>
                <w:color w:val="000000"/>
                <w:spacing w:val="0"/>
                <w:sz w:val="18"/>
                <w:szCs w:val="18"/>
                <w:lang w:eastAsia="es-CO"/>
              </w:rPr>
              <w:t xml:space="preserve">XM </w:t>
            </w:r>
            <w:r>
              <w:rPr>
                <w:rFonts w:ascii="Arial Narrow" w:hAnsi="Arial Narrow" w:cs="Calibri"/>
                <w:color w:val="000000"/>
                <w:spacing w:val="0"/>
                <w:sz w:val="18"/>
                <w:szCs w:val="18"/>
                <w:lang w:eastAsia="es-CO"/>
              </w:rPr>
              <w:t>COMPAÑÍA</w:t>
            </w:r>
            <w:r w:rsidRPr="00531ACB">
              <w:rPr>
                <w:rFonts w:ascii="Arial Narrow" w:hAnsi="Arial Narrow" w:cs="Calibri"/>
                <w:color w:val="000000"/>
                <w:spacing w:val="0"/>
                <w:sz w:val="18"/>
                <w:szCs w:val="18"/>
                <w:lang w:eastAsia="es-CO"/>
              </w:rPr>
              <w:t xml:space="preserve"> DE EXPERTOS EN MERCADOS S.A. E.S.P.</w:t>
            </w:r>
          </w:p>
        </w:tc>
        <w:tc>
          <w:tcPr>
            <w:tcW w:w="1260" w:type="dxa"/>
            <w:tcBorders>
              <w:top w:val="nil"/>
              <w:left w:val="nil"/>
              <w:bottom w:val="single" w:sz="4" w:space="0" w:color="auto"/>
              <w:right w:val="single" w:sz="4" w:space="0" w:color="auto"/>
            </w:tcBorders>
            <w:shd w:val="clear" w:color="auto" w:fill="auto"/>
            <w:noWrap/>
            <w:vAlign w:val="center"/>
            <w:hideMark/>
          </w:tcPr>
          <w:p w14:paraId="1F88B402" w14:textId="7614779E" w:rsidR="00C73280" w:rsidRPr="00531ACB" w:rsidRDefault="00C73280" w:rsidP="00C73280">
            <w:pPr>
              <w:jc w:val="right"/>
              <w:rPr>
                <w:rFonts w:ascii="Arial Narrow" w:hAnsi="Arial Narrow" w:cs="Calibri"/>
                <w:color w:val="000000"/>
                <w:spacing w:val="0"/>
                <w:sz w:val="18"/>
                <w:szCs w:val="18"/>
                <w:lang w:eastAsia="es-CO"/>
              </w:rPr>
            </w:pPr>
            <w:r>
              <w:rPr>
                <w:rFonts w:ascii="Arial Narrow" w:hAnsi="Arial Narrow" w:cs="Calibri"/>
                <w:color w:val="000000"/>
                <w:sz w:val="18"/>
                <w:szCs w:val="18"/>
              </w:rPr>
              <w:t xml:space="preserve">    48</w:t>
            </w:r>
            <w:r w:rsidR="007F7A3E">
              <w:rPr>
                <w:rFonts w:ascii="Arial Narrow" w:hAnsi="Arial Narrow" w:cs="Calibri"/>
                <w:color w:val="000000"/>
                <w:sz w:val="18"/>
                <w:szCs w:val="18"/>
              </w:rPr>
              <w:t>.</w:t>
            </w:r>
            <w:r>
              <w:rPr>
                <w:rFonts w:ascii="Arial Narrow" w:hAnsi="Arial Narrow" w:cs="Calibri"/>
                <w:color w:val="000000"/>
                <w:sz w:val="18"/>
                <w:szCs w:val="18"/>
              </w:rPr>
              <w:t>543</w:t>
            </w:r>
            <w:r w:rsidR="007F7A3E">
              <w:rPr>
                <w:rFonts w:ascii="Arial Narrow" w:hAnsi="Arial Narrow" w:cs="Calibri"/>
                <w:color w:val="000000"/>
                <w:sz w:val="18"/>
                <w:szCs w:val="18"/>
              </w:rPr>
              <w:t>.</w:t>
            </w:r>
            <w:r>
              <w:rPr>
                <w:rFonts w:ascii="Arial Narrow" w:hAnsi="Arial Narrow" w:cs="Calibri"/>
                <w:color w:val="000000"/>
                <w:sz w:val="18"/>
                <w:szCs w:val="18"/>
              </w:rPr>
              <w:t>465</w:t>
            </w:r>
            <w:r w:rsidR="007F7A3E">
              <w:rPr>
                <w:rFonts w:ascii="Arial Narrow" w:hAnsi="Arial Narrow" w:cs="Calibri"/>
                <w:color w:val="000000"/>
                <w:sz w:val="18"/>
                <w:szCs w:val="18"/>
              </w:rPr>
              <w:t>.</w:t>
            </w:r>
            <w:r>
              <w:rPr>
                <w:rFonts w:ascii="Arial Narrow" w:hAnsi="Arial Narrow" w:cs="Calibri"/>
                <w:color w:val="000000"/>
                <w:sz w:val="18"/>
                <w:szCs w:val="18"/>
              </w:rPr>
              <w:t xml:space="preserve">271 </w:t>
            </w:r>
          </w:p>
        </w:tc>
        <w:tc>
          <w:tcPr>
            <w:tcW w:w="1760" w:type="dxa"/>
            <w:tcBorders>
              <w:top w:val="nil"/>
              <w:left w:val="nil"/>
              <w:bottom w:val="single" w:sz="4" w:space="0" w:color="auto"/>
              <w:right w:val="single" w:sz="4" w:space="0" w:color="auto"/>
            </w:tcBorders>
            <w:shd w:val="clear" w:color="auto" w:fill="auto"/>
            <w:noWrap/>
            <w:vAlign w:val="center"/>
            <w:hideMark/>
          </w:tcPr>
          <w:p w14:paraId="5A6E7D01" w14:textId="5010AE1C" w:rsidR="00C73280" w:rsidRPr="00531ACB" w:rsidRDefault="00C73280" w:rsidP="00C73280">
            <w:pPr>
              <w:jc w:val="right"/>
              <w:rPr>
                <w:rFonts w:ascii="Arial Narrow" w:hAnsi="Arial Narrow" w:cs="Calibri"/>
                <w:color w:val="000000"/>
                <w:spacing w:val="0"/>
                <w:sz w:val="18"/>
                <w:szCs w:val="18"/>
                <w:lang w:eastAsia="es-CO"/>
              </w:rPr>
            </w:pPr>
            <w:r>
              <w:rPr>
                <w:rFonts w:ascii="Arial Narrow" w:hAnsi="Arial Narrow" w:cs="Calibri"/>
                <w:color w:val="000000"/>
                <w:sz w:val="18"/>
                <w:szCs w:val="18"/>
              </w:rPr>
              <w:t xml:space="preserve">                     485</w:t>
            </w:r>
            <w:r w:rsidR="007F7A3E">
              <w:rPr>
                <w:rFonts w:ascii="Arial Narrow" w:hAnsi="Arial Narrow" w:cs="Calibri"/>
                <w:color w:val="000000"/>
                <w:sz w:val="18"/>
                <w:szCs w:val="18"/>
              </w:rPr>
              <w:t>.</w:t>
            </w:r>
            <w:r>
              <w:rPr>
                <w:rFonts w:ascii="Arial Narrow" w:hAnsi="Arial Narrow" w:cs="Calibri"/>
                <w:color w:val="000000"/>
                <w:sz w:val="18"/>
                <w:szCs w:val="18"/>
              </w:rPr>
              <w:t>434</w:t>
            </w:r>
            <w:r w:rsidR="007F7A3E">
              <w:rPr>
                <w:rFonts w:ascii="Arial Narrow" w:hAnsi="Arial Narrow" w:cs="Calibri"/>
                <w:color w:val="000000"/>
                <w:sz w:val="18"/>
                <w:szCs w:val="18"/>
              </w:rPr>
              <w:t>.</w:t>
            </w:r>
            <w:r>
              <w:rPr>
                <w:rFonts w:ascii="Arial Narrow" w:hAnsi="Arial Narrow" w:cs="Calibri"/>
                <w:color w:val="000000"/>
                <w:sz w:val="18"/>
                <w:szCs w:val="18"/>
              </w:rPr>
              <w:t xml:space="preserve">653 </w:t>
            </w:r>
          </w:p>
        </w:tc>
      </w:tr>
    </w:tbl>
    <w:p w14:paraId="1CF87F38" w14:textId="77777777" w:rsidR="00531ACB" w:rsidRDefault="00531ACB" w:rsidP="00E62DB0">
      <w:pPr>
        <w:rPr>
          <w:rFonts w:cs="Arial"/>
          <w:sz w:val="22"/>
          <w:szCs w:val="22"/>
        </w:rPr>
      </w:pPr>
    </w:p>
    <w:p w14:paraId="3F1AC1A4" w14:textId="0BBED0EE" w:rsidR="007F7A3E" w:rsidRPr="00767202" w:rsidRDefault="007F7A3E" w:rsidP="007F7A3E">
      <w:pPr>
        <w:pStyle w:val="Subttulo"/>
        <w:numPr>
          <w:ilvl w:val="1"/>
          <w:numId w:val="37"/>
        </w:numPr>
        <w:spacing w:after="0"/>
        <w:ind w:left="357" w:hanging="357"/>
        <w:jc w:val="left"/>
        <w:rPr>
          <w:b/>
          <w:bCs/>
          <w:sz w:val="22"/>
          <w:szCs w:val="22"/>
        </w:rPr>
      </w:pPr>
      <w:bookmarkStart w:id="65" w:name="_Toc88126868"/>
      <w:r>
        <w:rPr>
          <w:b/>
          <w:bCs/>
          <w:sz w:val="22"/>
          <w:szCs w:val="22"/>
        </w:rPr>
        <w:t>CONSOLIDADO GENERAL CONTRIBUCIÓN 2021</w:t>
      </w:r>
      <w:bookmarkEnd w:id="65"/>
    </w:p>
    <w:p w14:paraId="52DDA500" w14:textId="236B2DF3" w:rsidR="007F7A3E" w:rsidRDefault="007F7A3E" w:rsidP="0037152F">
      <w:pPr>
        <w:jc w:val="left"/>
        <w:rPr>
          <w:sz w:val="22"/>
          <w:szCs w:val="22"/>
        </w:rPr>
      </w:pPr>
    </w:p>
    <w:p w14:paraId="61CE83A4" w14:textId="26EFD7CD" w:rsidR="00F17FBD" w:rsidRDefault="00F17FBD" w:rsidP="0037152F">
      <w:pPr>
        <w:jc w:val="left"/>
        <w:rPr>
          <w:sz w:val="22"/>
          <w:szCs w:val="22"/>
        </w:rPr>
      </w:pPr>
      <w:r>
        <w:rPr>
          <w:sz w:val="22"/>
          <w:szCs w:val="22"/>
        </w:rPr>
        <w:t>A continuación, se relaciona el consolidado general de los regulados sujetos pasivos de la contribución especial 2021:</w:t>
      </w:r>
    </w:p>
    <w:p w14:paraId="04EA6C9B" w14:textId="77777777" w:rsidR="00F17FBD" w:rsidRDefault="00F17FBD" w:rsidP="0037152F">
      <w:pPr>
        <w:jc w:val="left"/>
        <w:rPr>
          <w:sz w:val="22"/>
          <w:szCs w:val="22"/>
        </w:rPr>
      </w:pPr>
    </w:p>
    <w:tbl>
      <w:tblPr>
        <w:tblW w:w="9032" w:type="dxa"/>
        <w:tblCellMar>
          <w:left w:w="70" w:type="dxa"/>
          <w:right w:w="70" w:type="dxa"/>
        </w:tblCellMar>
        <w:tblLook w:val="04A0" w:firstRow="1" w:lastRow="0" w:firstColumn="1" w:lastColumn="0" w:noHBand="0" w:noVBand="1"/>
      </w:tblPr>
      <w:tblGrid>
        <w:gridCol w:w="560"/>
        <w:gridCol w:w="660"/>
        <w:gridCol w:w="879"/>
        <w:gridCol w:w="3913"/>
        <w:gridCol w:w="1602"/>
        <w:gridCol w:w="1418"/>
      </w:tblGrid>
      <w:tr w:rsidR="009A21D7" w:rsidRPr="00374360" w14:paraId="4BADFF4A" w14:textId="77777777" w:rsidTr="00C734CF">
        <w:trPr>
          <w:trHeight w:val="460"/>
          <w:tblHeader/>
        </w:trPr>
        <w:tc>
          <w:tcPr>
            <w:tcW w:w="56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8F632AA" w14:textId="77777777" w:rsidR="00374360" w:rsidRPr="00374360" w:rsidRDefault="00374360" w:rsidP="00374360">
            <w:pPr>
              <w:jc w:val="center"/>
              <w:rPr>
                <w:rFonts w:ascii="Arial Narrow" w:hAnsi="Arial Narrow" w:cs="Calibri"/>
                <w:b/>
                <w:bCs/>
                <w:color w:val="000000"/>
                <w:spacing w:val="0"/>
                <w:sz w:val="18"/>
                <w:szCs w:val="18"/>
                <w:lang w:eastAsia="es-CO"/>
              </w:rPr>
            </w:pPr>
            <w:r w:rsidRPr="00374360">
              <w:rPr>
                <w:rFonts w:ascii="Arial Narrow" w:hAnsi="Arial Narrow" w:cs="Calibri"/>
                <w:b/>
                <w:bCs/>
                <w:color w:val="000000"/>
                <w:spacing w:val="0"/>
                <w:sz w:val="18"/>
                <w:szCs w:val="18"/>
                <w:lang w:eastAsia="es-CO"/>
              </w:rPr>
              <w:t>N°</w:t>
            </w:r>
          </w:p>
        </w:tc>
        <w:tc>
          <w:tcPr>
            <w:tcW w:w="660" w:type="dxa"/>
            <w:tcBorders>
              <w:top w:val="single" w:sz="4" w:space="0" w:color="auto"/>
              <w:left w:val="nil"/>
              <w:bottom w:val="single" w:sz="4" w:space="0" w:color="auto"/>
              <w:right w:val="single" w:sz="4" w:space="0" w:color="auto"/>
            </w:tcBorders>
            <w:shd w:val="clear" w:color="000000" w:fill="D9D9D9"/>
            <w:vAlign w:val="center"/>
            <w:hideMark/>
          </w:tcPr>
          <w:p w14:paraId="18029F05" w14:textId="77777777" w:rsidR="00374360" w:rsidRPr="00374360" w:rsidRDefault="00374360" w:rsidP="00374360">
            <w:pPr>
              <w:jc w:val="center"/>
              <w:rPr>
                <w:rFonts w:ascii="Arial Narrow" w:hAnsi="Arial Narrow" w:cs="Calibri"/>
                <w:b/>
                <w:bCs/>
                <w:color w:val="000000"/>
                <w:spacing w:val="0"/>
                <w:sz w:val="18"/>
                <w:szCs w:val="18"/>
                <w:lang w:eastAsia="es-CO"/>
              </w:rPr>
            </w:pPr>
            <w:r w:rsidRPr="00374360">
              <w:rPr>
                <w:rFonts w:ascii="Arial Narrow" w:hAnsi="Arial Narrow" w:cs="Calibri"/>
                <w:b/>
                <w:bCs/>
                <w:color w:val="000000"/>
                <w:spacing w:val="0"/>
                <w:sz w:val="18"/>
                <w:szCs w:val="18"/>
                <w:lang w:eastAsia="es-CO"/>
              </w:rPr>
              <w:t>ID RUPs SUI</w:t>
            </w:r>
          </w:p>
        </w:tc>
        <w:tc>
          <w:tcPr>
            <w:tcW w:w="879" w:type="dxa"/>
            <w:tcBorders>
              <w:top w:val="single" w:sz="4" w:space="0" w:color="auto"/>
              <w:left w:val="nil"/>
              <w:bottom w:val="single" w:sz="4" w:space="0" w:color="auto"/>
              <w:right w:val="single" w:sz="4" w:space="0" w:color="auto"/>
            </w:tcBorders>
            <w:shd w:val="clear" w:color="000000" w:fill="D9D9D9"/>
            <w:noWrap/>
            <w:vAlign w:val="center"/>
            <w:hideMark/>
          </w:tcPr>
          <w:p w14:paraId="379B2EA6" w14:textId="77777777" w:rsidR="00374360" w:rsidRPr="00374360" w:rsidRDefault="00374360" w:rsidP="00374360">
            <w:pPr>
              <w:jc w:val="center"/>
              <w:rPr>
                <w:rFonts w:ascii="Arial Narrow" w:hAnsi="Arial Narrow" w:cs="Calibri"/>
                <w:b/>
                <w:bCs/>
                <w:color w:val="000000"/>
                <w:spacing w:val="0"/>
                <w:sz w:val="18"/>
                <w:szCs w:val="18"/>
                <w:lang w:eastAsia="es-CO"/>
              </w:rPr>
            </w:pPr>
            <w:r w:rsidRPr="00374360">
              <w:rPr>
                <w:rFonts w:ascii="Arial Narrow" w:hAnsi="Arial Narrow" w:cs="Calibri"/>
                <w:b/>
                <w:bCs/>
                <w:color w:val="000000"/>
                <w:spacing w:val="0"/>
                <w:sz w:val="18"/>
                <w:szCs w:val="18"/>
                <w:lang w:eastAsia="es-CO"/>
              </w:rPr>
              <w:t>NIT</w:t>
            </w:r>
          </w:p>
        </w:tc>
        <w:tc>
          <w:tcPr>
            <w:tcW w:w="3913" w:type="dxa"/>
            <w:tcBorders>
              <w:top w:val="single" w:sz="4" w:space="0" w:color="auto"/>
              <w:left w:val="nil"/>
              <w:bottom w:val="single" w:sz="4" w:space="0" w:color="auto"/>
              <w:right w:val="single" w:sz="4" w:space="0" w:color="auto"/>
            </w:tcBorders>
            <w:shd w:val="clear" w:color="000000" w:fill="D9D9D9"/>
            <w:vAlign w:val="center"/>
            <w:hideMark/>
          </w:tcPr>
          <w:p w14:paraId="57597A1C" w14:textId="77777777" w:rsidR="00374360" w:rsidRPr="00374360" w:rsidRDefault="00374360" w:rsidP="00374360">
            <w:pPr>
              <w:jc w:val="center"/>
              <w:rPr>
                <w:rFonts w:ascii="Arial Narrow" w:hAnsi="Arial Narrow" w:cs="Calibri"/>
                <w:b/>
                <w:bCs/>
                <w:color w:val="000000"/>
                <w:spacing w:val="0"/>
                <w:sz w:val="18"/>
                <w:szCs w:val="18"/>
                <w:lang w:eastAsia="es-CO"/>
              </w:rPr>
            </w:pPr>
            <w:r w:rsidRPr="00374360">
              <w:rPr>
                <w:rFonts w:ascii="Arial Narrow" w:hAnsi="Arial Narrow" w:cs="Calibri"/>
                <w:b/>
                <w:bCs/>
                <w:color w:val="000000"/>
                <w:spacing w:val="0"/>
                <w:sz w:val="18"/>
                <w:szCs w:val="18"/>
                <w:lang w:eastAsia="es-CO"/>
              </w:rPr>
              <w:t>RAZÓN SOCIAL DEL REGULADO</w:t>
            </w:r>
          </w:p>
        </w:tc>
        <w:tc>
          <w:tcPr>
            <w:tcW w:w="1602" w:type="dxa"/>
            <w:tcBorders>
              <w:top w:val="single" w:sz="4" w:space="0" w:color="auto"/>
              <w:left w:val="nil"/>
              <w:bottom w:val="single" w:sz="4" w:space="0" w:color="auto"/>
              <w:right w:val="single" w:sz="4" w:space="0" w:color="auto"/>
            </w:tcBorders>
            <w:shd w:val="clear" w:color="000000" w:fill="D9D9D9"/>
            <w:vAlign w:val="center"/>
            <w:hideMark/>
          </w:tcPr>
          <w:p w14:paraId="1EAE5BEA" w14:textId="77777777" w:rsidR="00374360" w:rsidRPr="00374360" w:rsidRDefault="00374360" w:rsidP="00374360">
            <w:pPr>
              <w:jc w:val="center"/>
              <w:rPr>
                <w:rFonts w:ascii="Arial Narrow" w:hAnsi="Arial Narrow" w:cs="Calibri"/>
                <w:b/>
                <w:bCs/>
                <w:color w:val="000000"/>
                <w:spacing w:val="0"/>
                <w:sz w:val="18"/>
                <w:szCs w:val="18"/>
                <w:lang w:eastAsia="es-CO"/>
              </w:rPr>
            </w:pPr>
            <w:r w:rsidRPr="00374360">
              <w:rPr>
                <w:rFonts w:ascii="Arial Narrow" w:hAnsi="Arial Narrow" w:cs="Calibri"/>
                <w:b/>
                <w:bCs/>
                <w:color w:val="000000"/>
                <w:spacing w:val="0"/>
                <w:sz w:val="18"/>
                <w:szCs w:val="18"/>
                <w:lang w:eastAsia="es-CO"/>
              </w:rPr>
              <w:t xml:space="preserve">Base gravable </w:t>
            </w:r>
            <w:r w:rsidRPr="00374360">
              <w:rPr>
                <w:rFonts w:ascii="Arial Narrow" w:hAnsi="Arial Narrow" w:cs="Calibri"/>
                <w:b/>
                <w:bCs/>
                <w:color w:val="000000"/>
                <w:spacing w:val="0"/>
                <w:sz w:val="18"/>
                <w:szCs w:val="18"/>
                <w:lang w:eastAsia="es-CO"/>
              </w:rPr>
              <w:br/>
              <w:t>EEFF 2020</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2208EE63" w14:textId="77777777" w:rsidR="00374360" w:rsidRPr="00374360" w:rsidRDefault="00374360" w:rsidP="00374360">
            <w:pPr>
              <w:jc w:val="center"/>
              <w:rPr>
                <w:rFonts w:ascii="Arial Narrow" w:hAnsi="Arial Narrow" w:cs="Calibri"/>
                <w:b/>
                <w:bCs/>
                <w:color w:val="000000"/>
                <w:spacing w:val="0"/>
                <w:sz w:val="18"/>
                <w:szCs w:val="18"/>
                <w:lang w:eastAsia="es-CO"/>
              </w:rPr>
            </w:pPr>
            <w:r w:rsidRPr="00374360">
              <w:rPr>
                <w:rFonts w:ascii="Arial Narrow" w:hAnsi="Arial Narrow" w:cs="Calibri"/>
                <w:b/>
                <w:bCs/>
                <w:color w:val="000000"/>
                <w:spacing w:val="0"/>
                <w:sz w:val="18"/>
                <w:szCs w:val="18"/>
                <w:lang w:eastAsia="es-CO"/>
              </w:rPr>
              <w:t>Contribución 2021</w:t>
            </w:r>
          </w:p>
        </w:tc>
      </w:tr>
      <w:tr w:rsidR="009A21D7" w:rsidRPr="00374360" w14:paraId="030B7E34" w14:textId="77777777" w:rsidTr="00C734CF">
        <w:trPr>
          <w:trHeight w:val="112"/>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D27A3FB"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w:t>
            </w:r>
          </w:p>
        </w:tc>
        <w:tc>
          <w:tcPr>
            <w:tcW w:w="660" w:type="dxa"/>
            <w:tcBorders>
              <w:top w:val="nil"/>
              <w:left w:val="nil"/>
              <w:bottom w:val="single" w:sz="4" w:space="0" w:color="auto"/>
              <w:right w:val="single" w:sz="4" w:space="0" w:color="auto"/>
            </w:tcBorders>
            <w:shd w:val="clear" w:color="auto" w:fill="auto"/>
            <w:noWrap/>
            <w:vAlign w:val="center"/>
            <w:hideMark/>
          </w:tcPr>
          <w:p w14:paraId="24CAB5D1"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44217</w:t>
            </w:r>
          </w:p>
        </w:tc>
        <w:tc>
          <w:tcPr>
            <w:tcW w:w="879" w:type="dxa"/>
            <w:tcBorders>
              <w:top w:val="nil"/>
              <w:left w:val="nil"/>
              <w:bottom w:val="single" w:sz="4" w:space="0" w:color="auto"/>
              <w:right w:val="single" w:sz="4" w:space="0" w:color="auto"/>
            </w:tcBorders>
            <w:shd w:val="clear" w:color="auto" w:fill="auto"/>
            <w:noWrap/>
            <w:vAlign w:val="center"/>
            <w:hideMark/>
          </w:tcPr>
          <w:p w14:paraId="0FADE07B"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900155624</w:t>
            </w:r>
          </w:p>
        </w:tc>
        <w:tc>
          <w:tcPr>
            <w:tcW w:w="3913" w:type="dxa"/>
            <w:tcBorders>
              <w:top w:val="nil"/>
              <w:left w:val="nil"/>
              <w:bottom w:val="single" w:sz="4" w:space="0" w:color="auto"/>
              <w:right w:val="single" w:sz="4" w:space="0" w:color="auto"/>
            </w:tcBorders>
            <w:shd w:val="clear" w:color="auto" w:fill="auto"/>
            <w:vAlign w:val="center"/>
            <w:hideMark/>
          </w:tcPr>
          <w:p w14:paraId="1C898216"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A&amp;A ENERGY SAS ESP</w:t>
            </w:r>
          </w:p>
        </w:tc>
        <w:tc>
          <w:tcPr>
            <w:tcW w:w="1602" w:type="dxa"/>
            <w:tcBorders>
              <w:top w:val="nil"/>
              <w:left w:val="nil"/>
              <w:bottom w:val="single" w:sz="4" w:space="0" w:color="auto"/>
              <w:right w:val="single" w:sz="4" w:space="0" w:color="auto"/>
            </w:tcBorders>
            <w:shd w:val="clear" w:color="auto" w:fill="auto"/>
            <w:noWrap/>
            <w:vAlign w:val="center"/>
            <w:hideMark/>
          </w:tcPr>
          <w:p w14:paraId="625050B2" w14:textId="78F1D8EB"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221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318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616 </w:t>
            </w:r>
          </w:p>
        </w:tc>
        <w:tc>
          <w:tcPr>
            <w:tcW w:w="1418" w:type="dxa"/>
            <w:tcBorders>
              <w:top w:val="nil"/>
              <w:left w:val="nil"/>
              <w:bottom w:val="single" w:sz="4" w:space="0" w:color="auto"/>
              <w:right w:val="single" w:sz="4" w:space="0" w:color="auto"/>
            </w:tcBorders>
            <w:shd w:val="clear" w:color="auto" w:fill="auto"/>
            <w:noWrap/>
            <w:vAlign w:val="center"/>
            <w:hideMark/>
          </w:tcPr>
          <w:p w14:paraId="3E349A2D" w14:textId="4492178B"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213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186 </w:t>
            </w:r>
          </w:p>
        </w:tc>
      </w:tr>
      <w:tr w:rsidR="009A21D7" w:rsidRPr="00374360" w14:paraId="572D3994" w14:textId="77777777" w:rsidTr="00C734CF">
        <w:trPr>
          <w:trHeight w:val="4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AF539CD"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w:t>
            </w:r>
          </w:p>
        </w:tc>
        <w:tc>
          <w:tcPr>
            <w:tcW w:w="660" w:type="dxa"/>
            <w:tcBorders>
              <w:top w:val="nil"/>
              <w:left w:val="nil"/>
              <w:bottom w:val="single" w:sz="4" w:space="0" w:color="auto"/>
              <w:right w:val="single" w:sz="4" w:space="0" w:color="auto"/>
            </w:tcBorders>
            <w:shd w:val="clear" w:color="auto" w:fill="auto"/>
            <w:noWrap/>
            <w:vAlign w:val="center"/>
            <w:hideMark/>
          </w:tcPr>
          <w:p w14:paraId="5CB74E0E"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3372</w:t>
            </w:r>
          </w:p>
        </w:tc>
        <w:tc>
          <w:tcPr>
            <w:tcW w:w="879" w:type="dxa"/>
            <w:tcBorders>
              <w:top w:val="nil"/>
              <w:left w:val="nil"/>
              <w:bottom w:val="single" w:sz="4" w:space="0" w:color="auto"/>
              <w:right w:val="single" w:sz="4" w:space="0" w:color="auto"/>
            </w:tcBorders>
            <w:shd w:val="clear" w:color="auto" w:fill="auto"/>
            <w:noWrap/>
            <w:vAlign w:val="center"/>
            <w:hideMark/>
          </w:tcPr>
          <w:p w14:paraId="7F3A6518"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814002979</w:t>
            </w:r>
          </w:p>
        </w:tc>
        <w:tc>
          <w:tcPr>
            <w:tcW w:w="3913" w:type="dxa"/>
            <w:tcBorders>
              <w:top w:val="nil"/>
              <w:left w:val="nil"/>
              <w:bottom w:val="single" w:sz="4" w:space="0" w:color="auto"/>
              <w:right w:val="single" w:sz="4" w:space="0" w:color="auto"/>
            </w:tcBorders>
            <w:shd w:val="clear" w:color="auto" w:fill="auto"/>
            <w:vAlign w:val="center"/>
            <w:hideMark/>
          </w:tcPr>
          <w:p w14:paraId="7E454D24"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A.S.C INGENIERIA SOCIEDAD ANONIMA SA ESP.</w:t>
            </w:r>
          </w:p>
        </w:tc>
        <w:tc>
          <w:tcPr>
            <w:tcW w:w="1602" w:type="dxa"/>
            <w:tcBorders>
              <w:top w:val="nil"/>
              <w:left w:val="nil"/>
              <w:bottom w:val="single" w:sz="4" w:space="0" w:color="auto"/>
              <w:right w:val="single" w:sz="4" w:space="0" w:color="auto"/>
            </w:tcBorders>
            <w:shd w:val="clear" w:color="auto" w:fill="auto"/>
            <w:noWrap/>
            <w:vAlign w:val="center"/>
            <w:hideMark/>
          </w:tcPr>
          <w:p w14:paraId="43AD4EFF" w14:textId="7A19FD8B"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214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019</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088 </w:t>
            </w:r>
          </w:p>
        </w:tc>
        <w:tc>
          <w:tcPr>
            <w:tcW w:w="1418" w:type="dxa"/>
            <w:tcBorders>
              <w:top w:val="nil"/>
              <w:left w:val="nil"/>
              <w:bottom w:val="single" w:sz="4" w:space="0" w:color="auto"/>
              <w:right w:val="single" w:sz="4" w:space="0" w:color="auto"/>
            </w:tcBorders>
            <w:shd w:val="clear" w:color="auto" w:fill="auto"/>
            <w:noWrap/>
            <w:vAlign w:val="center"/>
            <w:hideMark/>
          </w:tcPr>
          <w:p w14:paraId="6ABC5C49" w14:textId="03D307D1"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140</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191 </w:t>
            </w:r>
          </w:p>
        </w:tc>
      </w:tr>
      <w:tr w:rsidR="009A21D7" w:rsidRPr="00374360" w14:paraId="7A0E12A5"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D06D388"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w:t>
            </w:r>
          </w:p>
        </w:tc>
        <w:tc>
          <w:tcPr>
            <w:tcW w:w="660" w:type="dxa"/>
            <w:tcBorders>
              <w:top w:val="nil"/>
              <w:left w:val="nil"/>
              <w:bottom w:val="single" w:sz="4" w:space="0" w:color="auto"/>
              <w:right w:val="single" w:sz="4" w:space="0" w:color="auto"/>
            </w:tcBorders>
            <w:shd w:val="clear" w:color="auto" w:fill="auto"/>
            <w:noWrap/>
            <w:vAlign w:val="center"/>
            <w:hideMark/>
          </w:tcPr>
          <w:p w14:paraId="09EDF069"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1864</w:t>
            </w:r>
          </w:p>
        </w:tc>
        <w:tc>
          <w:tcPr>
            <w:tcW w:w="879" w:type="dxa"/>
            <w:tcBorders>
              <w:top w:val="nil"/>
              <w:left w:val="nil"/>
              <w:bottom w:val="single" w:sz="4" w:space="0" w:color="auto"/>
              <w:right w:val="single" w:sz="4" w:space="0" w:color="auto"/>
            </w:tcBorders>
            <w:shd w:val="clear" w:color="auto" w:fill="auto"/>
            <w:noWrap/>
            <w:vAlign w:val="center"/>
            <w:hideMark/>
          </w:tcPr>
          <w:p w14:paraId="082CA41F"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830025205</w:t>
            </w:r>
          </w:p>
        </w:tc>
        <w:tc>
          <w:tcPr>
            <w:tcW w:w="3913" w:type="dxa"/>
            <w:tcBorders>
              <w:top w:val="nil"/>
              <w:left w:val="nil"/>
              <w:bottom w:val="single" w:sz="4" w:space="0" w:color="auto"/>
              <w:right w:val="single" w:sz="4" w:space="0" w:color="auto"/>
            </w:tcBorders>
            <w:shd w:val="clear" w:color="auto" w:fill="auto"/>
            <w:vAlign w:val="center"/>
            <w:hideMark/>
          </w:tcPr>
          <w:p w14:paraId="33A0E0AD"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AES CHIVOR &amp; CIA SCA ESP</w:t>
            </w:r>
          </w:p>
        </w:tc>
        <w:tc>
          <w:tcPr>
            <w:tcW w:w="1602" w:type="dxa"/>
            <w:tcBorders>
              <w:top w:val="nil"/>
              <w:left w:val="nil"/>
              <w:bottom w:val="single" w:sz="4" w:space="0" w:color="auto"/>
              <w:right w:val="single" w:sz="4" w:space="0" w:color="auto"/>
            </w:tcBorders>
            <w:shd w:val="clear" w:color="auto" w:fill="auto"/>
            <w:noWrap/>
            <w:vAlign w:val="center"/>
            <w:hideMark/>
          </w:tcPr>
          <w:p w14:paraId="3DD81527" w14:textId="3EDB42E6"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86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419</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123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544 </w:t>
            </w:r>
          </w:p>
        </w:tc>
        <w:tc>
          <w:tcPr>
            <w:tcW w:w="1418" w:type="dxa"/>
            <w:tcBorders>
              <w:top w:val="nil"/>
              <w:left w:val="nil"/>
              <w:bottom w:val="single" w:sz="4" w:space="0" w:color="auto"/>
              <w:right w:val="single" w:sz="4" w:space="0" w:color="auto"/>
            </w:tcBorders>
            <w:shd w:val="clear" w:color="auto" w:fill="auto"/>
            <w:noWrap/>
            <w:vAlign w:val="center"/>
            <w:hideMark/>
          </w:tcPr>
          <w:p w14:paraId="25B05DE0" w14:textId="11AAB715"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864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191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235 </w:t>
            </w:r>
          </w:p>
        </w:tc>
      </w:tr>
      <w:tr w:rsidR="009A21D7" w:rsidRPr="00374360" w14:paraId="5F15572E" w14:textId="77777777" w:rsidTr="00C734CF">
        <w:trPr>
          <w:trHeight w:val="4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8EE2D98"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4</w:t>
            </w:r>
          </w:p>
        </w:tc>
        <w:tc>
          <w:tcPr>
            <w:tcW w:w="660" w:type="dxa"/>
            <w:tcBorders>
              <w:top w:val="nil"/>
              <w:left w:val="nil"/>
              <w:bottom w:val="single" w:sz="4" w:space="0" w:color="auto"/>
              <w:right w:val="single" w:sz="4" w:space="0" w:color="auto"/>
            </w:tcBorders>
            <w:shd w:val="clear" w:color="auto" w:fill="auto"/>
            <w:noWrap/>
            <w:vAlign w:val="center"/>
            <w:hideMark/>
          </w:tcPr>
          <w:p w14:paraId="3457D831"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30951</w:t>
            </w:r>
          </w:p>
        </w:tc>
        <w:tc>
          <w:tcPr>
            <w:tcW w:w="879" w:type="dxa"/>
            <w:tcBorders>
              <w:top w:val="nil"/>
              <w:left w:val="nil"/>
              <w:bottom w:val="single" w:sz="4" w:space="0" w:color="auto"/>
              <w:right w:val="single" w:sz="4" w:space="0" w:color="auto"/>
            </w:tcBorders>
            <w:shd w:val="clear" w:color="auto" w:fill="auto"/>
            <w:noWrap/>
            <w:vAlign w:val="center"/>
            <w:hideMark/>
          </w:tcPr>
          <w:p w14:paraId="290D9D94"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900325920</w:t>
            </w:r>
          </w:p>
        </w:tc>
        <w:tc>
          <w:tcPr>
            <w:tcW w:w="3913" w:type="dxa"/>
            <w:tcBorders>
              <w:top w:val="nil"/>
              <w:left w:val="nil"/>
              <w:bottom w:val="single" w:sz="4" w:space="0" w:color="auto"/>
              <w:right w:val="single" w:sz="4" w:space="0" w:color="auto"/>
            </w:tcBorders>
            <w:shd w:val="clear" w:color="auto" w:fill="auto"/>
            <w:vAlign w:val="center"/>
            <w:hideMark/>
          </w:tcPr>
          <w:p w14:paraId="0A62FF13"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AGENTE EXPERTO EN SERVICIOS PUBLICOS SA ESP</w:t>
            </w:r>
          </w:p>
        </w:tc>
        <w:tc>
          <w:tcPr>
            <w:tcW w:w="1602" w:type="dxa"/>
            <w:tcBorders>
              <w:top w:val="nil"/>
              <w:left w:val="nil"/>
              <w:bottom w:val="single" w:sz="4" w:space="0" w:color="auto"/>
              <w:right w:val="single" w:sz="4" w:space="0" w:color="auto"/>
            </w:tcBorders>
            <w:shd w:val="clear" w:color="auto" w:fill="auto"/>
            <w:noWrap/>
            <w:vAlign w:val="center"/>
            <w:hideMark/>
          </w:tcPr>
          <w:p w14:paraId="12E03A3F" w14:textId="250ADC78"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866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914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032 </w:t>
            </w:r>
          </w:p>
        </w:tc>
        <w:tc>
          <w:tcPr>
            <w:tcW w:w="1418" w:type="dxa"/>
            <w:tcBorders>
              <w:top w:val="nil"/>
              <w:left w:val="nil"/>
              <w:bottom w:val="single" w:sz="4" w:space="0" w:color="auto"/>
              <w:right w:val="single" w:sz="4" w:space="0" w:color="auto"/>
            </w:tcBorders>
            <w:shd w:val="clear" w:color="auto" w:fill="auto"/>
            <w:noWrap/>
            <w:vAlign w:val="center"/>
            <w:hideMark/>
          </w:tcPr>
          <w:p w14:paraId="3F273B29" w14:textId="1A1BA861"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669</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140 </w:t>
            </w:r>
          </w:p>
        </w:tc>
      </w:tr>
      <w:tr w:rsidR="009A21D7" w:rsidRPr="00374360" w14:paraId="7C20DFF8"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0BE5DE5"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5</w:t>
            </w:r>
          </w:p>
        </w:tc>
        <w:tc>
          <w:tcPr>
            <w:tcW w:w="660" w:type="dxa"/>
            <w:tcBorders>
              <w:top w:val="nil"/>
              <w:left w:val="nil"/>
              <w:bottom w:val="single" w:sz="4" w:space="0" w:color="auto"/>
              <w:right w:val="single" w:sz="4" w:space="0" w:color="auto"/>
            </w:tcBorders>
            <w:shd w:val="clear" w:color="auto" w:fill="auto"/>
            <w:noWrap/>
            <w:vAlign w:val="center"/>
            <w:hideMark/>
          </w:tcPr>
          <w:p w14:paraId="32250065"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48307</w:t>
            </w:r>
          </w:p>
        </w:tc>
        <w:tc>
          <w:tcPr>
            <w:tcW w:w="879" w:type="dxa"/>
            <w:tcBorders>
              <w:top w:val="nil"/>
              <w:left w:val="nil"/>
              <w:bottom w:val="single" w:sz="4" w:space="0" w:color="auto"/>
              <w:right w:val="single" w:sz="4" w:space="0" w:color="auto"/>
            </w:tcBorders>
            <w:shd w:val="clear" w:color="auto" w:fill="auto"/>
            <w:noWrap/>
            <w:vAlign w:val="center"/>
            <w:hideMark/>
          </w:tcPr>
          <w:p w14:paraId="508CF33D"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901380930</w:t>
            </w:r>
          </w:p>
        </w:tc>
        <w:tc>
          <w:tcPr>
            <w:tcW w:w="3913" w:type="dxa"/>
            <w:tcBorders>
              <w:top w:val="nil"/>
              <w:left w:val="nil"/>
              <w:bottom w:val="single" w:sz="4" w:space="0" w:color="auto"/>
              <w:right w:val="single" w:sz="4" w:space="0" w:color="auto"/>
            </w:tcBorders>
            <w:shd w:val="clear" w:color="auto" w:fill="auto"/>
            <w:vAlign w:val="center"/>
            <w:hideMark/>
          </w:tcPr>
          <w:p w14:paraId="4A5C4F1D"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AIR-E S.A.S. E.S.P.</w:t>
            </w:r>
          </w:p>
        </w:tc>
        <w:tc>
          <w:tcPr>
            <w:tcW w:w="1602" w:type="dxa"/>
            <w:tcBorders>
              <w:top w:val="nil"/>
              <w:left w:val="nil"/>
              <w:bottom w:val="single" w:sz="4" w:space="0" w:color="auto"/>
              <w:right w:val="single" w:sz="4" w:space="0" w:color="auto"/>
            </w:tcBorders>
            <w:shd w:val="clear" w:color="auto" w:fill="auto"/>
            <w:noWrap/>
            <w:vAlign w:val="center"/>
            <w:hideMark/>
          </w:tcPr>
          <w:p w14:paraId="5253F136" w14:textId="5DFD193E"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17</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140</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448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947 </w:t>
            </w:r>
          </w:p>
        </w:tc>
        <w:tc>
          <w:tcPr>
            <w:tcW w:w="1418" w:type="dxa"/>
            <w:tcBorders>
              <w:top w:val="nil"/>
              <w:left w:val="nil"/>
              <w:bottom w:val="single" w:sz="4" w:space="0" w:color="auto"/>
              <w:right w:val="single" w:sz="4" w:space="0" w:color="auto"/>
            </w:tcBorders>
            <w:shd w:val="clear" w:color="auto" w:fill="auto"/>
            <w:noWrap/>
            <w:vAlign w:val="center"/>
            <w:hideMark/>
          </w:tcPr>
          <w:p w14:paraId="7959911C" w14:textId="3C7A9BF5"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171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404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489 </w:t>
            </w:r>
          </w:p>
        </w:tc>
      </w:tr>
      <w:tr w:rsidR="009A21D7" w:rsidRPr="00374360" w14:paraId="59898ACD"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43D3697"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6</w:t>
            </w:r>
          </w:p>
        </w:tc>
        <w:tc>
          <w:tcPr>
            <w:tcW w:w="660" w:type="dxa"/>
            <w:tcBorders>
              <w:top w:val="nil"/>
              <w:left w:val="nil"/>
              <w:bottom w:val="single" w:sz="4" w:space="0" w:color="auto"/>
              <w:right w:val="single" w:sz="4" w:space="0" w:color="auto"/>
            </w:tcBorders>
            <w:shd w:val="clear" w:color="auto" w:fill="auto"/>
            <w:noWrap/>
            <w:vAlign w:val="center"/>
            <w:hideMark/>
          </w:tcPr>
          <w:p w14:paraId="0B63FE53"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618</w:t>
            </w:r>
          </w:p>
        </w:tc>
        <w:tc>
          <w:tcPr>
            <w:tcW w:w="879" w:type="dxa"/>
            <w:tcBorders>
              <w:top w:val="nil"/>
              <w:left w:val="nil"/>
              <w:bottom w:val="single" w:sz="4" w:space="0" w:color="auto"/>
              <w:right w:val="single" w:sz="4" w:space="0" w:color="auto"/>
            </w:tcBorders>
            <w:shd w:val="clear" w:color="auto" w:fill="auto"/>
            <w:noWrap/>
            <w:vAlign w:val="center"/>
            <w:hideMark/>
          </w:tcPr>
          <w:p w14:paraId="162063DD"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891101577</w:t>
            </w:r>
          </w:p>
        </w:tc>
        <w:tc>
          <w:tcPr>
            <w:tcW w:w="3913" w:type="dxa"/>
            <w:tcBorders>
              <w:top w:val="nil"/>
              <w:left w:val="nil"/>
              <w:bottom w:val="single" w:sz="4" w:space="0" w:color="auto"/>
              <w:right w:val="single" w:sz="4" w:space="0" w:color="auto"/>
            </w:tcBorders>
            <w:shd w:val="clear" w:color="auto" w:fill="auto"/>
            <w:vAlign w:val="center"/>
            <w:hideMark/>
          </w:tcPr>
          <w:p w14:paraId="73A3C11E"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ALCANOS DE COLOMBIA S.A. E.S.P.</w:t>
            </w:r>
          </w:p>
        </w:tc>
        <w:tc>
          <w:tcPr>
            <w:tcW w:w="1602" w:type="dxa"/>
            <w:tcBorders>
              <w:top w:val="nil"/>
              <w:left w:val="nil"/>
              <w:bottom w:val="single" w:sz="4" w:space="0" w:color="auto"/>
              <w:right w:val="single" w:sz="4" w:space="0" w:color="auto"/>
            </w:tcBorders>
            <w:shd w:val="clear" w:color="auto" w:fill="auto"/>
            <w:noWrap/>
            <w:vAlign w:val="center"/>
            <w:hideMark/>
          </w:tcPr>
          <w:p w14:paraId="6C347FB3" w14:textId="7D953060"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199</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457</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501 </w:t>
            </w:r>
          </w:p>
        </w:tc>
        <w:tc>
          <w:tcPr>
            <w:tcW w:w="1418" w:type="dxa"/>
            <w:tcBorders>
              <w:top w:val="nil"/>
              <w:left w:val="nil"/>
              <w:bottom w:val="single" w:sz="4" w:space="0" w:color="auto"/>
              <w:right w:val="single" w:sz="4" w:space="0" w:color="auto"/>
            </w:tcBorders>
            <w:shd w:val="clear" w:color="auto" w:fill="auto"/>
            <w:noWrap/>
            <w:vAlign w:val="center"/>
            <w:hideMark/>
          </w:tcPr>
          <w:p w14:paraId="3513F422" w14:textId="5683E63B"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161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994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575 </w:t>
            </w:r>
          </w:p>
        </w:tc>
      </w:tr>
      <w:tr w:rsidR="009A21D7" w:rsidRPr="00F17FBD" w14:paraId="07C3F21E" w14:textId="77777777" w:rsidTr="00C734CF">
        <w:trPr>
          <w:trHeight w:val="4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C9EBB22"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7</w:t>
            </w:r>
          </w:p>
        </w:tc>
        <w:tc>
          <w:tcPr>
            <w:tcW w:w="660" w:type="dxa"/>
            <w:tcBorders>
              <w:top w:val="nil"/>
              <w:left w:val="nil"/>
              <w:bottom w:val="single" w:sz="4" w:space="0" w:color="auto"/>
              <w:right w:val="single" w:sz="4" w:space="0" w:color="auto"/>
            </w:tcBorders>
            <w:shd w:val="clear" w:color="auto" w:fill="auto"/>
            <w:noWrap/>
            <w:vAlign w:val="center"/>
            <w:hideMark/>
          </w:tcPr>
          <w:p w14:paraId="407DC6F7"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1635</w:t>
            </w:r>
          </w:p>
        </w:tc>
        <w:tc>
          <w:tcPr>
            <w:tcW w:w="879" w:type="dxa"/>
            <w:tcBorders>
              <w:top w:val="nil"/>
              <w:left w:val="nil"/>
              <w:bottom w:val="single" w:sz="4" w:space="0" w:color="auto"/>
              <w:right w:val="single" w:sz="4" w:space="0" w:color="auto"/>
            </w:tcBorders>
            <w:shd w:val="clear" w:color="auto" w:fill="auto"/>
            <w:noWrap/>
            <w:vAlign w:val="center"/>
            <w:hideMark/>
          </w:tcPr>
          <w:p w14:paraId="3446D3BD"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800125495</w:t>
            </w:r>
          </w:p>
        </w:tc>
        <w:tc>
          <w:tcPr>
            <w:tcW w:w="3913" w:type="dxa"/>
            <w:tcBorders>
              <w:top w:val="nil"/>
              <w:left w:val="nil"/>
              <w:bottom w:val="single" w:sz="4" w:space="0" w:color="auto"/>
              <w:right w:val="single" w:sz="4" w:space="0" w:color="auto"/>
            </w:tcBorders>
            <w:shd w:val="clear" w:color="auto" w:fill="auto"/>
            <w:vAlign w:val="center"/>
            <w:hideMark/>
          </w:tcPr>
          <w:p w14:paraId="1C35C39E"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ALMACENADORA DE GASES DE APIAY S.A. ESP</w:t>
            </w:r>
          </w:p>
        </w:tc>
        <w:tc>
          <w:tcPr>
            <w:tcW w:w="1602" w:type="dxa"/>
            <w:tcBorders>
              <w:top w:val="nil"/>
              <w:left w:val="nil"/>
              <w:bottom w:val="single" w:sz="4" w:space="0" w:color="auto"/>
              <w:right w:val="single" w:sz="4" w:space="0" w:color="auto"/>
            </w:tcBorders>
            <w:shd w:val="clear" w:color="auto" w:fill="auto"/>
            <w:noWrap/>
            <w:vAlign w:val="center"/>
            <w:hideMark/>
          </w:tcPr>
          <w:p w14:paraId="559E4297" w14:textId="06D0D28C"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841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909</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011 </w:t>
            </w:r>
          </w:p>
        </w:tc>
        <w:tc>
          <w:tcPr>
            <w:tcW w:w="1418" w:type="dxa"/>
            <w:tcBorders>
              <w:top w:val="nil"/>
              <w:left w:val="nil"/>
              <w:bottom w:val="single" w:sz="4" w:space="0" w:color="auto"/>
              <w:right w:val="single" w:sz="4" w:space="0" w:color="auto"/>
            </w:tcBorders>
            <w:shd w:val="clear" w:color="auto" w:fill="auto"/>
            <w:noWrap/>
            <w:vAlign w:val="center"/>
            <w:hideMark/>
          </w:tcPr>
          <w:p w14:paraId="336D6B8E" w14:textId="4C26894A"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419</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090 </w:t>
            </w:r>
          </w:p>
        </w:tc>
      </w:tr>
      <w:tr w:rsidR="009A21D7" w:rsidRPr="00F17FBD" w14:paraId="1878035D"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32C1FFA"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w:t>
            </w:r>
          </w:p>
        </w:tc>
        <w:tc>
          <w:tcPr>
            <w:tcW w:w="660" w:type="dxa"/>
            <w:tcBorders>
              <w:top w:val="nil"/>
              <w:left w:val="nil"/>
              <w:bottom w:val="single" w:sz="4" w:space="0" w:color="auto"/>
              <w:right w:val="single" w:sz="4" w:space="0" w:color="auto"/>
            </w:tcBorders>
            <w:shd w:val="clear" w:color="auto" w:fill="auto"/>
            <w:noWrap/>
            <w:vAlign w:val="center"/>
            <w:hideMark/>
          </w:tcPr>
          <w:p w14:paraId="4ED35A57"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572</w:t>
            </w:r>
          </w:p>
        </w:tc>
        <w:tc>
          <w:tcPr>
            <w:tcW w:w="879" w:type="dxa"/>
            <w:tcBorders>
              <w:top w:val="nil"/>
              <w:left w:val="nil"/>
              <w:bottom w:val="single" w:sz="4" w:space="0" w:color="auto"/>
              <w:right w:val="single" w:sz="4" w:space="0" w:color="auto"/>
            </w:tcBorders>
            <w:shd w:val="clear" w:color="auto" w:fill="auto"/>
            <w:noWrap/>
            <w:vAlign w:val="center"/>
            <w:hideMark/>
          </w:tcPr>
          <w:p w14:paraId="1D3D8F01"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800176319</w:t>
            </w:r>
          </w:p>
        </w:tc>
        <w:tc>
          <w:tcPr>
            <w:tcW w:w="3913" w:type="dxa"/>
            <w:tcBorders>
              <w:top w:val="nil"/>
              <w:left w:val="nil"/>
              <w:bottom w:val="single" w:sz="4" w:space="0" w:color="auto"/>
              <w:right w:val="single" w:sz="4" w:space="0" w:color="auto"/>
            </w:tcBorders>
            <w:shd w:val="clear" w:color="auto" w:fill="auto"/>
            <w:vAlign w:val="center"/>
            <w:hideMark/>
          </w:tcPr>
          <w:p w14:paraId="5DA3EA36"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ALMALLANO S.A. ESP</w:t>
            </w:r>
          </w:p>
        </w:tc>
        <w:tc>
          <w:tcPr>
            <w:tcW w:w="1602" w:type="dxa"/>
            <w:tcBorders>
              <w:top w:val="nil"/>
              <w:left w:val="nil"/>
              <w:bottom w:val="single" w:sz="4" w:space="0" w:color="auto"/>
              <w:right w:val="single" w:sz="4" w:space="0" w:color="auto"/>
            </w:tcBorders>
            <w:shd w:val="clear" w:color="auto" w:fill="auto"/>
            <w:noWrap/>
            <w:vAlign w:val="center"/>
            <w:hideMark/>
          </w:tcPr>
          <w:p w14:paraId="745CF314" w14:textId="7506AA32"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566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338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635</w:t>
            </w:r>
          </w:p>
        </w:tc>
        <w:tc>
          <w:tcPr>
            <w:tcW w:w="1418" w:type="dxa"/>
            <w:tcBorders>
              <w:top w:val="nil"/>
              <w:left w:val="nil"/>
              <w:bottom w:val="single" w:sz="4" w:space="0" w:color="auto"/>
              <w:right w:val="single" w:sz="4" w:space="0" w:color="auto"/>
            </w:tcBorders>
            <w:shd w:val="clear" w:color="auto" w:fill="auto"/>
            <w:noWrap/>
            <w:vAlign w:val="center"/>
            <w:hideMark/>
          </w:tcPr>
          <w:p w14:paraId="2CE641D3" w14:textId="1BBC30C9"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35</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663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386 </w:t>
            </w:r>
          </w:p>
        </w:tc>
      </w:tr>
      <w:tr w:rsidR="009A21D7" w:rsidRPr="00F17FBD" w14:paraId="6932FBC1"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F25B3BE"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w:t>
            </w:r>
          </w:p>
        </w:tc>
        <w:tc>
          <w:tcPr>
            <w:tcW w:w="660" w:type="dxa"/>
            <w:tcBorders>
              <w:top w:val="nil"/>
              <w:left w:val="nil"/>
              <w:bottom w:val="single" w:sz="4" w:space="0" w:color="auto"/>
              <w:right w:val="single" w:sz="4" w:space="0" w:color="auto"/>
            </w:tcBorders>
            <w:shd w:val="clear" w:color="auto" w:fill="auto"/>
            <w:noWrap/>
            <w:vAlign w:val="center"/>
            <w:hideMark/>
          </w:tcPr>
          <w:p w14:paraId="746D5943"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1171</w:t>
            </w:r>
          </w:p>
        </w:tc>
        <w:tc>
          <w:tcPr>
            <w:tcW w:w="879" w:type="dxa"/>
            <w:tcBorders>
              <w:top w:val="nil"/>
              <w:left w:val="nil"/>
              <w:bottom w:val="single" w:sz="4" w:space="0" w:color="auto"/>
              <w:right w:val="single" w:sz="4" w:space="0" w:color="auto"/>
            </w:tcBorders>
            <w:shd w:val="clear" w:color="auto" w:fill="auto"/>
            <w:noWrap/>
            <w:vAlign w:val="center"/>
            <w:hideMark/>
          </w:tcPr>
          <w:p w14:paraId="220645FE"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860352913</w:t>
            </w:r>
          </w:p>
        </w:tc>
        <w:tc>
          <w:tcPr>
            <w:tcW w:w="3913" w:type="dxa"/>
            <w:tcBorders>
              <w:top w:val="nil"/>
              <w:left w:val="nil"/>
              <w:bottom w:val="single" w:sz="4" w:space="0" w:color="auto"/>
              <w:right w:val="single" w:sz="4" w:space="0" w:color="auto"/>
            </w:tcBorders>
            <w:shd w:val="clear" w:color="auto" w:fill="auto"/>
            <w:vAlign w:val="center"/>
            <w:hideMark/>
          </w:tcPr>
          <w:p w14:paraId="65B7F56A"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ALMANSILLA  S.A. E.S.P.</w:t>
            </w:r>
          </w:p>
        </w:tc>
        <w:tc>
          <w:tcPr>
            <w:tcW w:w="1602" w:type="dxa"/>
            <w:tcBorders>
              <w:top w:val="nil"/>
              <w:left w:val="nil"/>
              <w:bottom w:val="single" w:sz="4" w:space="0" w:color="auto"/>
              <w:right w:val="single" w:sz="4" w:space="0" w:color="auto"/>
            </w:tcBorders>
            <w:shd w:val="clear" w:color="auto" w:fill="auto"/>
            <w:noWrap/>
            <w:vAlign w:val="center"/>
            <w:hideMark/>
          </w:tcPr>
          <w:p w14:paraId="5D4EE309" w14:textId="5B17534A"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48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172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280 </w:t>
            </w:r>
          </w:p>
        </w:tc>
        <w:tc>
          <w:tcPr>
            <w:tcW w:w="1418" w:type="dxa"/>
            <w:tcBorders>
              <w:top w:val="nil"/>
              <w:left w:val="nil"/>
              <w:bottom w:val="single" w:sz="4" w:space="0" w:color="auto"/>
              <w:right w:val="single" w:sz="4" w:space="0" w:color="auto"/>
            </w:tcBorders>
            <w:shd w:val="clear" w:color="auto" w:fill="auto"/>
            <w:noWrap/>
            <w:vAlign w:val="center"/>
            <w:hideMark/>
          </w:tcPr>
          <w:p w14:paraId="3668AFF4" w14:textId="1DA842CC"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481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723 </w:t>
            </w:r>
          </w:p>
        </w:tc>
      </w:tr>
      <w:tr w:rsidR="009A21D7" w:rsidRPr="00F17FBD" w14:paraId="696F6443"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3F10C54"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10</w:t>
            </w:r>
          </w:p>
        </w:tc>
        <w:tc>
          <w:tcPr>
            <w:tcW w:w="660" w:type="dxa"/>
            <w:tcBorders>
              <w:top w:val="nil"/>
              <w:left w:val="nil"/>
              <w:bottom w:val="single" w:sz="4" w:space="0" w:color="auto"/>
              <w:right w:val="single" w:sz="4" w:space="0" w:color="auto"/>
            </w:tcBorders>
            <w:shd w:val="clear" w:color="auto" w:fill="auto"/>
            <w:noWrap/>
            <w:vAlign w:val="center"/>
            <w:hideMark/>
          </w:tcPr>
          <w:p w14:paraId="3172DDF7"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21837</w:t>
            </w:r>
          </w:p>
        </w:tc>
        <w:tc>
          <w:tcPr>
            <w:tcW w:w="879" w:type="dxa"/>
            <w:tcBorders>
              <w:top w:val="nil"/>
              <w:left w:val="nil"/>
              <w:bottom w:val="single" w:sz="4" w:space="0" w:color="auto"/>
              <w:right w:val="single" w:sz="4" w:space="0" w:color="auto"/>
            </w:tcBorders>
            <w:shd w:val="clear" w:color="auto" w:fill="auto"/>
            <w:noWrap/>
            <w:vAlign w:val="center"/>
            <w:hideMark/>
          </w:tcPr>
          <w:p w14:paraId="1EBA1257"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900154878</w:t>
            </w:r>
          </w:p>
        </w:tc>
        <w:tc>
          <w:tcPr>
            <w:tcW w:w="3913" w:type="dxa"/>
            <w:tcBorders>
              <w:top w:val="nil"/>
              <w:left w:val="nil"/>
              <w:bottom w:val="single" w:sz="4" w:space="0" w:color="auto"/>
              <w:right w:val="single" w:sz="4" w:space="0" w:color="auto"/>
            </w:tcBorders>
            <w:shd w:val="clear" w:color="auto" w:fill="auto"/>
            <w:vAlign w:val="center"/>
            <w:hideMark/>
          </w:tcPr>
          <w:p w14:paraId="635E63A1"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AMERICANA DE ENERGIA S.A.S. E.S.P.</w:t>
            </w:r>
          </w:p>
        </w:tc>
        <w:tc>
          <w:tcPr>
            <w:tcW w:w="1602" w:type="dxa"/>
            <w:tcBorders>
              <w:top w:val="nil"/>
              <w:left w:val="nil"/>
              <w:bottom w:val="single" w:sz="4" w:space="0" w:color="auto"/>
              <w:right w:val="single" w:sz="4" w:space="0" w:color="auto"/>
            </w:tcBorders>
            <w:shd w:val="clear" w:color="auto" w:fill="auto"/>
            <w:noWrap/>
            <w:vAlign w:val="center"/>
            <w:hideMark/>
          </w:tcPr>
          <w:p w14:paraId="3720F107" w14:textId="7396B743"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127</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922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859 </w:t>
            </w:r>
          </w:p>
        </w:tc>
        <w:tc>
          <w:tcPr>
            <w:tcW w:w="1418" w:type="dxa"/>
            <w:tcBorders>
              <w:top w:val="nil"/>
              <w:left w:val="nil"/>
              <w:bottom w:val="single" w:sz="4" w:space="0" w:color="auto"/>
              <w:right w:val="single" w:sz="4" w:space="0" w:color="auto"/>
            </w:tcBorders>
            <w:shd w:val="clear" w:color="auto" w:fill="auto"/>
            <w:noWrap/>
            <w:vAlign w:val="center"/>
            <w:hideMark/>
          </w:tcPr>
          <w:p w14:paraId="05CB75B5" w14:textId="7801869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279</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229 </w:t>
            </w:r>
          </w:p>
        </w:tc>
      </w:tr>
      <w:tr w:rsidR="009A21D7" w:rsidRPr="00374360" w14:paraId="3498005D"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166516D"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11</w:t>
            </w:r>
          </w:p>
        </w:tc>
        <w:tc>
          <w:tcPr>
            <w:tcW w:w="660" w:type="dxa"/>
            <w:tcBorders>
              <w:top w:val="nil"/>
              <w:left w:val="nil"/>
              <w:bottom w:val="single" w:sz="4" w:space="0" w:color="auto"/>
              <w:right w:val="single" w:sz="4" w:space="0" w:color="auto"/>
            </w:tcBorders>
            <w:shd w:val="clear" w:color="auto" w:fill="auto"/>
            <w:noWrap/>
            <w:vAlign w:val="center"/>
            <w:hideMark/>
          </w:tcPr>
          <w:p w14:paraId="7D4EC2CC"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32374</w:t>
            </w:r>
          </w:p>
        </w:tc>
        <w:tc>
          <w:tcPr>
            <w:tcW w:w="879" w:type="dxa"/>
            <w:tcBorders>
              <w:top w:val="nil"/>
              <w:left w:val="nil"/>
              <w:bottom w:val="single" w:sz="4" w:space="0" w:color="auto"/>
              <w:right w:val="single" w:sz="4" w:space="0" w:color="auto"/>
            </w:tcBorders>
            <w:shd w:val="clear" w:color="auto" w:fill="auto"/>
            <w:noWrap/>
            <w:vAlign w:val="center"/>
            <w:hideMark/>
          </w:tcPr>
          <w:p w14:paraId="51940438"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900932147</w:t>
            </w:r>
          </w:p>
        </w:tc>
        <w:tc>
          <w:tcPr>
            <w:tcW w:w="3913" w:type="dxa"/>
            <w:tcBorders>
              <w:top w:val="nil"/>
              <w:left w:val="nil"/>
              <w:bottom w:val="single" w:sz="4" w:space="0" w:color="auto"/>
              <w:right w:val="single" w:sz="4" w:space="0" w:color="auto"/>
            </w:tcBorders>
            <w:shd w:val="clear" w:color="auto" w:fill="auto"/>
            <w:vAlign w:val="center"/>
            <w:hideMark/>
          </w:tcPr>
          <w:p w14:paraId="3672B8C7"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AMPERIA SA ESP</w:t>
            </w:r>
          </w:p>
        </w:tc>
        <w:tc>
          <w:tcPr>
            <w:tcW w:w="1602" w:type="dxa"/>
            <w:tcBorders>
              <w:top w:val="nil"/>
              <w:left w:val="nil"/>
              <w:bottom w:val="single" w:sz="4" w:space="0" w:color="auto"/>
              <w:right w:val="single" w:sz="4" w:space="0" w:color="auto"/>
            </w:tcBorders>
            <w:shd w:val="clear" w:color="auto" w:fill="auto"/>
            <w:noWrap/>
            <w:vAlign w:val="center"/>
            <w:hideMark/>
          </w:tcPr>
          <w:p w14:paraId="6A277B5D" w14:textId="24DD817E"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241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055</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800 </w:t>
            </w:r>
          </w:p>
        </w:tc>
        <w:tc>
          <w:tcPr>
            <w:tcW w:w="1418" w:type="dxa"/>
            <w:tcBorders>
              <w:top w:val="nil"/>
              <w:left w:val="nil"/>
              <w:bottom w:val="single" w:sz="4" w:space="0" w:color="auto"/>
              <w:right w:val="single" w:sz="4" w:space="0" w:color="auto"/>
            </w:tcBorders>
            <w:shd w:val="clear" w:color="auto" w:fill="auto"/>
            <w:noWrap/>
            <w:vAlign w:val="center"/>
            <w:hideMark/>
          </w:tcPr>
          <w:p w14:paraId="07B48D29" w14:textId="6D95356E"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410</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558 </w:t>
            </w:r>
          </w:p>
        </w:tc>
      </w:tr>
      <w:tr w:rsidR="009A21D7" w:rsidRPr="00374360" w14:paraId="72ABE5EE" w14:textId="77777777" w:rsidTr="00C734CF">
        <w:trPr>
          <w:trHeight w:val="4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652B88A"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12</w:t>
            </w:r>
          </w:p>
        </w:tc>
        <w:tc>
          <w:tcPr>
            <w:tcW w:w="660" w:type="dxa"/>
            <w:tcBorders>
              <w:top w:val="nil"/>
              <w:left w:val="nil"/>
              <w:bottom w:val="single" w:sz="4" w:space="0" w:color="auto"/>
              <w:right w:val="single" w:sz="4" w:space="0" w:color="auto"/>
            </w:tcBorders>
            <w:shd w:val="clear" w:color="auto" w:fill="auto"/>
            <w:noWrap/>
            <w:vAlign w:val="center"/>
            <w:hideMark/>
          </w:tcPr>
          <w:p w14:paraId="6E7E6E48"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25681</w:t>
            </w:r>
          </w:p>
        </w:tc>
        <w:tc>
          <w:tcPr>
            <w:tcW w:w="879" w:type="dxa"/>
            <w:tcBorders>
              <w:top w:val="nil"/>
              <w:left w:val="nil"/>
              <w:bottom w:val="single" w:sz="4" w:space="0" w:color="auto"/>
              <w:right w:val="single" w:sz="4" w:space="0" w:color="auto"/>
            </w:tcBorders>
            <w:shd w:val="clear" w:color="auto" w:fill="auto"/>
            <w:noWrap/>
            <w:vAlign w:val="center"/>
            <w:hideMark/>
          </w:tcPr>
          <w:p w14:paraId="0359AC6F"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900428270</w:t>
            </w:r>
          </w:p>
        </w:tc>
        <w:tc>
          <w:tcPr>
            <w:tcW w:w="3913" w:type="dxa"/>
            <w:tcBorders>
              <w:top w:val="nil"/>
              <w:left w:val="nil"/>
              <w:bottom w:val="single" w:sz="4" w:space="0" w:color="auto"/>
              <w:right w:val="single" w:sz="4" w:space="0" w:color="auto"/>
            </w:tcBorders>
            <w:shd w:val="clear" w:color="auto" w:fill="auto"/>
            <w:vAlign w:val="center"/>
            <w:hideMark/>
          </w:tcPr>
          <w:p w14:paraId="2238BD92"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ASOCIACION DE ENERGIA DE LAS ZONAS RURALES DEL MUNICIPIO DE EL CHARCO</w:t>
            </w:r>
          </w:p>
        </w:tc>
        <w:tc>
          <w:tcPr>
            <w:tcW w:w="1602" w:type="dxa"/>
            <w:tcBorders>
              <w:top w:val="nil"/>
              <w:left w:val="nil"/>
              <w:bottom w:val="single" w:sz="4" w:space="0" w:color="auto"/>
              <w:right w:val="single" w:sz="4" w:space="0" w:color="auto"/>
            </w:tcBorders>
            <w:shd w:val="clear" w:color="auto" w:fill="auto"/>
            <w:noWrap/>
            <w:vAlign w:val="center"/>
            <w:hideMark/>
          </w:tcPr>
          <w:p w14:paraId="75CD5A0F" w14:textId="4379707F"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465</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429</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383 </w:t>
            </w:r>
          </w:p>
        </w:tc>
        <w:tc>
          <w:tcPr>
            <w:tcW w:w="1418" w:type="dxa"/>
            <w:tcBorders>
              <w:top w:val="nil"/>
              <w:left w:val="nil"/>
              <w:bottom w:val="single" w:sz="4" w:space="0" w:color="auto"/>
              <w:right w:val="single" w:sz="4" w:space="0" w:color="auto"/>
            </w:tcBorders>
            <w:shd w:val="clear" w:color="auto" w:fill="auto"/>
            <w:noWrap/>
            <w:vAlign w:val="center"/>
            <w:hideMark/>
          </w:tcPr>
          <w:p w14:paraId="6204F15A" w14:textId="102FB06E"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654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294 </w:t>
            </w:r>
          </w:p>
        </w:tc>
      </w:tr>
      <w:tr w:rsidR="009A21D7" w:rsidRPr="00374360" w14:paraId="7C1BE266" w14:textId="77777777" w:rsidTr="00C734CF">
        <w:trPr>
          <w:trHeight w:val="4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7A0CC4E"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lastRenderedPageBreak/>
              <w:t>13</w:t>
            </w:r>
          </w:p>
        </w:tc>
        <w:tc>
          <w:tcPr>
            <w:tcW w:w="660" w:type="dxa"/>
            <w:tcBorders>
              <w:top w:val="nil"/>
              <w:left w:val="nil"/>
              <w:bottom w:val="single" w:sz="4" w:space="0" w:color="auto"/>
              <w:right w:val="single" w:sz="4" w:space="0" w:color="auto"/>
            </w:tcBorders>
            <w:shd w:val="clear" w:color="auto" w:fill="auto"/>
            <w:noWrap/>
            <w:vAlign w:val="center"/>
            <w:hideMark/>
          </w:tcPr>
          <w:p w14:paraId="7ECA9516"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22728</w:t>
            </w:r>
          </w:p>
        </w:tc>
        <w:tc>
          <w:tcPr>
            <w:tcW w:w="879" w:type="dxa"/>
            <w:tcBorders>
              <w:top w:val="nil"/>
              <w:left w:val="nil"/>
              <w:bottom w:val="single" w:sz="4" w:space="0" w:color="auto"/>
              <w:right w:val="single" w:sz="4" w:space="0" w:color="auto"/>
            </w:tcBorders>
            <w:shd w:val="clear" w:color="auto" w:fill="auto"/>
            <w:noWrap/>
            <w:vAlign w:val="center"/>
            <w:hideMark/>
          </w:tcPr>
          <w:p w14:paraId="3CC67B82"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900274902</w:t>
            </w:r>
          </w:p>
        </w:tc>
        <w:tc>
          <w:tcPr>
            <w:tcW w:w="3913" w:type="dxa"/>
            <w:tcBorders>
              <w:top w:val="nil"/>
              <w:left w:val="nil"/>
              <w:bottom w:val="single" w:sz="4" w:space="0" w:color="auto"/>
              <w:right w:val="single" w:sz="4" w:space="0" w:color="auto"/>
            </w:tcBorders>
            <w:shd w:val="clear" w:color="auto" w:fill="auto"/>
            <w:vAlign w:val="center"/>
            <w:hideMark/>
          </w:tcPr>
          <w:p w14:paraId="257CF049"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ASOCIACION DE USUARIOS DE SERVICIOS PUBLICOS DEL MEDIO BAUDO</w:t>
            </w:r>
          </w:p>
        </w:tc>
        <w:tc>
          <w:tcPr>
            <w:tcW w:w="1602" w:type="dxa"/>
            <w:tcBorders>
              <w:top w:val="nil"/>
              <w:left w:val="nil"/>
              <w:bottom w:val="single" w:sz="4" w:space="0" w:color="auto"/>
              <w:right w:val="single" w:sz="4" w:space="0" w:color="auto"/>
            </w:tcBorders>
            <w:shd w:val="clear" w:color="auto" w:fill="auto"/>
            <w:noWrap/>
            <w:vAlign w:val="center"/>
            <w:hideMark/>
          </w:tcPr>
          <w:p w14:paraId="451AF3FD" w14:textId="5AA53F21"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220</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148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398 </w:t>
            </w:r>
          </w:p>
        </w:tc>
        <w:tc>
          <w:tcPr>
            <w:tcW w:w="1418" w:type="dxa"/>
            <w:tcBorders>
              <w:top w:val="nil"/>
              <w:left w:val="nil"/>
              <w:bottom w:val="single" w:sz="4" w:space="0" w:color="auto"/>
              <w:right w:val="single" w:sz="4" w:space="0" w:color="auto"/>
            </w:tcBorders>
            <w:shd w:val="clear" w:color="auto" w:fill="auto"/>
            <w:noWrap/>
            <w:vAlign w:val="center"/>
            <w:hideMark/>
          </w:tcPr>
          <w:p w14:paraId="360F1816" w14:textId="10901BFE"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201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484 </w:t>
            </w:r>
          </w:p>
        </w:tc>
      </w:tr>
      <w:tr w:rsidR="009A21D7" w:rsidRPr="00374360" w14:paraId="54509218" w14:textId="77777777" w:rsidTr="00C734CF">
        <w:trPr>
          <w:trHeight w:val="6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4C95E29"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14</w:t>
            </w:r>
          </w:p>
        </w:tc>
        <w:tc>
          <w:tcPr>
            <w:tcW w:w="660" w:type="dxa"/>
            <w:tcBorders>
              <w:top w:val="nil"/>
              <w:left w:val="nil"/>
              <w:bottom w:val="single" w:sz="4" w:space="0" w:color="auto"/>
              <w:right w:val="single" w:sz="4" w:space="0" w:color="auto"/>
            </w:tcBorders>
            <w:shd w:val="clear" w:color="auto" w:fill="auto"/>
            <w:noWrap/>
            <w:vAlign w:val="center"/>
            <w:hideMark/>
          </w:tcPr>
          <w:p w14:paraId="4C2E3584"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22594</w:t>
            </w:r>
          </w:p>
        </w:tc>
        <w:tc>
          <w:tcPr>
            <w:tcW w:w="879" w:type="dxa"/>
            <w:tcBorders>
              <w:top w:val="nil"/>
              <w:left w:val="nil"/>
              <w:bottom w:val="single" w:sz="4" w:space="0" w:color="auto"/>
              <w:right w:val="single" w:sz="4" w:space="0" w:color="auto"/>
            </w:tcBorders>
            <w:shd w:val="clear" w:color="auto" w:fill="auto"/>
            <w:noWrap/>
            <w:vAlign w:val="center"/>
            <w:hideMark/>
          </w:tcPr>
          <w:p w14:paraId="23C7F500"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900260857</w:t>
            </w:r>
          </w:p>
        </w:tc>
        <w:tc>
          <w:tcPr>
            <w:tcW w:w="3913" w:type="dxa"/>
            <w:tcBorders>
              <w:top w:val="nil"/>
              <w:left w:val="nil"/>
              <w:bottom w:val="single" w:sz="4" w:space="0" w:color="auto"/>
              <w:right w:val="single" w:sz="4" w:space="0" w:color="auto"/>
            </w:tcBorders>
            <w:shd w:val="clear" w:color="auto" w:fill="auto"/>
            <w:vAlign w:val="center"/>
            <w:hideMark/>
          </w:tcPr>
          <w:p w14:paraId="490ED7FE"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ASOCIACIÓN DE USUARIOS DEL SERVICIO DE ENERGÍA ELÉCTRICA DE LA ZONA RURAL DE SANTA BARBARA DE ISCUANDE </w:t>
            </w:r>
          </w:p>
        </w:tc>
        <w:tc>
          <w:tcPr>
            <w:tcW w:w="1602" w:type="dxa"/>
            <w:tcBorders>
              <w:top w:val="nil"/>
              <w:left w:val="nil"/>
              <w:bottom w:val="single" w:sz="4" w:space="0" w:color="auto"/>
              <w:right w:val="single" w:sz="4" w:space="0" w:color="auto"/>
            </w:tcBorders>
            <w:shd w:val="clear" w:color="auto" w:fill="auto"/>
            <w:noWrap/>
            <w:vAlign w:val="center"/>
            <w:hideMark/>
          </w:tcPr>
          <w:p w14:paraId="598100B1" w14:textId="5AE69314"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47</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016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955 </w:t>
            </w:r>
          </w:p>
        </w:tc>
        <w:tc>
          <w:tcPr>
            <w:tcW w:w="1418" w:type="dxa"/>
            <w:tcBorders>
              <w:top w:val="nil"/>
              <w:left w:val="nil"/>
              <w:bottom w:val="single" w:sz="4" w:space="0" w:color="auto"/>
              <w:right w:val="single" w:sz="4" w:space="0" w:color="auto"/>
            </w:tcBorders>
            <w:shd w:val="clear" w:color="auto" w:fill="auto"/>
            <w:noWrap/>
            <w:vAlign w:val="center"/>
            <w:hideMark/>
          </w:tcPr>
          <w:p w14:paraId="450462D6" w14:textId="038EA350"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470</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170 </w:t>
            </w:r>
          </w:p>
        </w:tc>
      </w:tr>
      <w:tr w:rsidR="009A21D7" w:rsidRPr="00374360" w14:paraId="3FCA3BFD"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2018134"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15</w:t>
            </w:r>
          </w:p>
        </w:tc>
        <w:tc>
          <w:tcPr>
            <w:tcW w:w="660" w:type="dxa"/>
            <w:tcBorders>
              <w:top w:val="nil"/>
              <w:left w:val="nil"/>
              <w:bottom w:val="single" w:sz="4" w:space="0" w:color="auto"/>
              <w:right w:val="single" w:sz="4" w:space="0" w:color="auto"/>
            </w:tcBorders>
            <w:shd w:val="clear" w:color="auto" w:fill="auto"/>
            <w:noWrap/>
            <w:vAlign w:val="center"/>
            <w:hideMark/>
          </w:tcPr>
          <w:p w14:paraId="7EC68399"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39955</w:t>
            </w:r>
          </w:p>
        </w:tc>
        <w:tc>
          <w:tcPr>
            <w:tcW w:w="879" w:type="dxa"/>
            <w:tcBorders>
              <w:top w:val="nil"/>
              <w:left w:val="nil"/>
              <w:bottom w:val="single" w:sz="4" w:space="0" w:color="auto"/>
              <w:right w:val="single" w:sz="4" w:space="0" w:color="auto"/>
            </w:tcBorders>
            <w:shd w:val="clear" w:color="auto" w:fill="auto"/>
            <w:noWrap/>
            <w:vAlign w:val="center"/>
            <w:hideMark/>
          </w:tcPr>
          <w:p w14:paraId="20B39160"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900740329</w:t>
            </w:r>
          </w:p>
        </w:tc>
        <w:tc>
          <w:tcPr>
            <w:tcW w:w="3913" w:type="dxa"/>
            <w:tcBorders>
              <w:top w:val="nil"/>
              <w:left w:val="nil"/>
              <w:bottom w:val="single" w:sz="4" w:space="0" w:color="auto"/>
              <w:right w:val="single" w:sz="4" w:space="0" w:color="auto"/>
            </w:tcBorders>
            <w:shd w:val="clear" w:color="auto" w:fill="auto"/>
            <w:vAlign w:val="center"/>
            <w:hideMark/>
          </w:tcPr>
          <w:p w14:paraId="23DCCF0B"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AURES BAJO S.A.S. E.S.P.</w:t>
            </w:r>
          </w:p>
        </w:tc>
        <w:tc>
          <w:tcPr>
            <w:tcW w:w="1602" w:type="dxa"/>
            <w:tcBorders>
              <w:top w:val="nil"/>
              <w:left w:val="nil"/>
              <w:bottom w:val="single" w:sz="4" w:space="0" w:color="auto"/>
              <w:right w:val="single" w:sz="4" w:space="0" w:color="auto"/>
            </w:tcBorders>
            <w:shd w:val="clear" w:color="auto" w:fill="auto"/>
            <w:noWrap/>
            <w:vAlign w:val="center"/>
            <w:hideMark/>
          </w:tcPr>
          <w:p w14:paraId="68FF9131" w14:textId="58D42CAC"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313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624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382 </w:t>
            </w:r>
          </w:p>
        </w:tc>
        <w:tc>
          <w:tcPr>
            <w:tcW w:w="1418" w:type="dxa"/>
            <w:tcBorders>
              <w:top w:val="nil"/>
              <w:left w:val="nil"/>
              <w:bottom w:val="single" w:sz="4" w:space="0" w:color="auto"/>
              <w:right w:val="single" w:sz="4" w:space="0" w:color="auto"/>
            </w:tcBorders>
            <w:shd w:val="clear" w:color="auto" w:fill="auto"/>
            <w:noWrap/>
            <w:vAlign w:val="center"/>
            <w:hideMark/>
          </w:tcPr>
          <w:p w14:paraId="2F71E77C" w14:textId="60BD91F1"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136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244 </w:t>
            </w:r>
          </w:p>
        </w:tc>
      </w:tr>
      <w:tr w:rsidR="009A21D7" w:rsidRPr="00374360" w14:paraId="59A465E9"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C6C3EBD"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16</w:t>
            </w:r>
          </w:p>
        </w:tc>
        <w:tc>
          <w:tcPr>
            <w:tcW w:w="660" w:type="dxa"/>
            <w:tcBorders>
              <w:top w:val="nil"/>
              <w:left w:val="nil"/>
              <w:bottom w:val="single" w:sz="4" w:space="0" w:color="auto"/>
              <w:right w:val="single" w:sz="4" w:space="0" w:color="auto"/>
            </w:tcBorders>
            <w:shd w:val="clear" w:color="auto" w:fill="auto"/>
            <w:noWrap/>
            <w:vAlign w:val="center"/>
            <w:hideMark/>
          </w:tcPr>
          <w:p w14:paraId="6FAFACBA"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26234</w:t>
            </w:r>
          </w:p>
        </w:tc>
        <w:tc>
          <w:tcPr>
            <w:tcW w:w="879" w:type="dxa"/>
            <w:tcBorders>
              <w:top w:val="nil"/>
              <w:left w:val="nil"/>
              <w:bottom w:val="single" w:sz="4" w:space="0" w:color="auto"/>
              <w:right w:val="single" w:sz="4" w:space="0" w:color="auto"/>
            </w:tcBorders>
            <w:shd w:val="clear" w:color="auto" w:fill="auto"/>
            <w:noWrap/>
            <w:vAlign w:val="center"/>
            <w:hideMark/>
          </w:tcPr>
          <w:p w14:paraId="41825421"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900275349</w:t>
            </w:r>
          </w:p>
        </w:tc>
        <w:tc>
          <w:tcPr>
            <w:tcW w:w="3913" w:type="dxa"/>
            <w:tcBorders>
              <w:top w:val="nil"/>
              <w:left w:val="nil"/>
              <w:bottom w:val="single" w:sz="4" w:space="0" w:color="auto"/>
              <w:right w:val="single" w:sz="4" w:space="0" w:color="auto"/>
            </w:tcBorders>
            <w:shd w:val="clear" w:color="auto" w:fill="auto"/>
            <w:vAlign w:val="center"/>
            <w:hideMark/>
          </w:tcPr>
          <w:p w14:paraId="3FE259DE"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BARROSO S.A.S. E.S.P</w:t>
            </w:r>
          </w:p>
        </w:tc>
        <w:tc>
          <w:tcPr>
            <w:tcW w:w="1602" w:type="dxa"/>
            <w:tcBorders>
              <w:top w:val="nil"/>
              <w:left w:val="nil"/>
              <w:bottom w:val="single" w:sz="4" w:space="0" w:color="auto"/>
              <w:right w:val="single" w:sz="4" w:space="0" w:color="auto"/>
            </w:tcBorders>
            <w:shd w:val="clear" w:color="auto" w:fill="auto"/>
            <w:noWrap/>
            <w:vAlign w:val="center"/>
            <w:hideMark/>
          </w:tcPr>
          <w:p w14:paraId="699E785B" w14:textId="7BE60264"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099</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328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500 </w:t>
            </w:r>
          </w:p>
        </w:tc>
        <w:tc>
          <w:tcPr>
            <w:tcW w:w="1418" w:type="dxa"/>
            <w:tcBorders>
              <w:top w:val="nil"/>
              <w:left w:val="nil"/>
              <w:bottom w:val="single" w:sz="4" w:space="0" w:color="auto"/>
              <w:right w:val="single" w:sz="4" w:space="0" w:color="auto"/>
            </w:tcBorders>
            <w:shd w:val="clear" w:color="auto" w:fill="auto"/>
            <w:noWrap/>
            <w:vAlign w:val="center"/>
            <w:hideMark/>
          </w:tcPr>
          <w:p w14:paraId="7F7C2BAC" w14:textId="6394BC3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20</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993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285 </w:t>
            </w:r>
          </w:p>
        </w:tc>
      </w:tr>
      <w:tr w:rsidR="009A21D7" w:rsidRPr="00374360" w14:paraId="4F265BEC"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2E68260"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17</w:t>
            </w:r>
          </w:p>
        </w:tc>
        <w:tc>
          <w:tcPr>
            <w:tcW w:w="660" w:type="dxa"/>
            <w:tcBorders>
              <w:top w:val="nil"/>
              <w:left w:val="nil"/>
              <w:bottom w:val="single" w:sz="4" w:space="0" w:color="auto"/>
              <w:right w:val="single" w:sz="4" w:space="0" w:color="auto"/>
            </w:tcBorders>
            <w:shd w:val="clear" w:color="auto" w:fill="auto"/>
            <w:noWrap/>
            <w:vAlign w:val="center"/>
            <w:hideMark/>
          </w:tcPr>
          <w:p w14:paraId="3024517A"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25982</w:t>
            </w:r>
          </w:p>
        </w:tc>
        <w:tc>
          <w:tcPr>
            <w:tcW w:w="879" w:type="dxa"/>
            <w:tcBorders>
              <w:top w:val="nil"/>
              <w:left w:val="nil"/>
              <w:bottom w:val="single" w:sz="4" w:space="0" w:color="auto"/>
              <w:right w:val="single" w:sz="4" w:space="0" w:color="auto"/>
            </w:tcBorders>
            <w:shd w:val="clear" w:color="auto" w:fill="auto"/>
            <w:noWrap/>
            <w:vAlign w:val="center"/>
            <w:hideMark/>
          </w:tcPr>
          <w:p w14:paraId="7C567C6D"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900475298</w:t>
            </w:r>
          </w:p>
        </w:tc>
        <w:tc>
          <w:tcPr>
            <w:tcW w:w="3913" w:type="dxa"/>
            <w:tcBorders>
              <w:top w:val="nil"/>
              <w:left w:val="nil"/>
              <w:bottom w:val="single" w:sz="4" w:space="0" w:color="auto"/>
              <w:right w:val="single" w:sz="4" w:space="0" w:color="auto"/>
            </w:tcBorders>
            <w:shd w:val="clear" w:color="auto" w:fill="auto"/>
            <w:vAlign w:val="center"/>
            <w:hideMark/>
          </w:tcPr>
          <w:p w14:paraId="1CF049E6"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BIOGAS COLOMBIA GENERSA S.A.S E.S.P.</w:t>
            </w:r>
          </w:p>
        </w:tc>
        <w:tc>
          <w:tcPr>
            <w:tcW w:w="1602" w:type="dxa"/>
            <w:tcBorders>
              <w:top w:val="nil"/>
              <w:left w:val="nil"/>
              <w:bottom w:val="single" w:sz="4" w:space="0" w:color="auto"/>
              <w:right w:val="single" w:sz="4" w:space="0" w:color="auto"/>
            </w:tcBorders>
            <w:shd w:val="clear" w:color="auto" w:fill="auto"/>
            <w:noWrap/>
            <w:vAlign w:val="center"/>
            <w:hideMark/>
          </w:tcPr>
          <w:p w14:paraId="494FD066" w14:textId="7F63FB05"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961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845</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142 </w:t>
            </w:r>
          </w:p>
        </w:tc>
        <w:tc>
          <w:tcPr>
            <w:tcW w:w="1418" w:type="dxa"/>
            <w:tcBorders>
              <w:top w:val="nil"/>
              <w:left w:val="nil"/>
              <w:bottom w:val="single" w:sz="4" w:space="0" w:color="auto"/>
              <w:right w:val="single" w:sz="4" w:space="0" w:color="auto"/>
            </w:tcBorders>
            <w:shd w:val="clear" w:color="auto" w:fill="auto"/>
            <w:noWrap/>
            <w:vAlign w:val="center"/>
            <w:hideMark/>
          </w:tcPr>
          <w:p w14:paraId="15FABCB6" w14:textId="5C0578DF"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618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451 </w:t>
            </w:r>
          </w:p>
        </w:tc>
      </w:tr>
      <w:tr w:rsidR="009A21D7" w:rsidRPr="00374360" w14:paraId="3265B671"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DA1435B"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18</w:t>
            </w:r>
          </w:p>
        </w:tc>
        <w:tc>
          <w:tcPr>
            <w:tcW w:w="660" w:type="dxa"/>
            <w:tcBorders>
              <w:top w:val="nil"/>
              <w:left w:val="nil"/>
              <w:bottom w:val="single" w:sz="4" w:space="0" w:color="auto"/>
              <w:right w:val="single" w:sz="4" w:space="0" w:color="auto"/>
            </w:tcBorders>
            <w:shd w:val="clear" w:color="auto" w:fill="auto"/>
            <w:noWrap/>
            <w:vAlign w:val="center"/>
            <w:hideMark/>
          </w:tcPr>
          <w:p w14:paraId="7EA1ACA2"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26953</w:t>
            </w:r>
          </w:p>
        </w:tc>
        <w:tc>
          <w:tcPr>
            <w:tcW w:w="879" w:type="dxa"/>
            <w:tcBorders>
              <w:top w:val="nil"/>
              <w:left w:val="nil"/>
              <w:bottom w:val="single" w:sz="4" w:space="0" w:color="auto"/>
              <w:right w:val="single" w:sz="4" w:space="0" w:color="auto"/>
            </w:tcBorders>
            <w:shd w:val="clear" w:color="auto" w:fill="auto"/>
            <w:noWrap/>
            <w:vAlign w:val="center"/>
            <w:hideMark/>
          </w:tcPr>
          <w:p w14:paraId="1B68B3FF"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900181508</w:t>
            </w:r>
          </w:p>
        </w:tc>
        <w:tc>
          <w:tcPr>
            <w:tcW w:w="3913" w:type="dxa"/>
            <w:tcBorders>
              <w:top w:val="nil"/>
              <w:left w:val="nil"/>
              <w:bottom w:val="single" w:sz="4" w:space="0" w:color="auto"/>
              <w:right w:val="single" w:sz="4" w:space="0" w:color="auto"/>
            </w:tcBorders>
            <w:shd w:val="clear" w:color="auto" w:fill="auto"/>
            <w:vAlign w:val="center"/>
            <w:hideMark/>
          </w:tcPr>
          <w:p w14:paraId="1ACDFBE8"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BIOGAS DONA JUANA S.A.S  E.S.P.</w:t>
            </w:r>
          </w:p>
        </w:tc>
        <w:tc>
          <w:tcPr>
            <w:tcW w:w="1602" w:type="dxa"/>
            <w:tcBorders>
              <w:top w:val="nil"/>
              <w:left w:val="nil"/>
              <w:bottom w:val="single" w:sz="4" w:space="0" w:color="auto"/>
              <w:right w:val="single" w:sz="4" w:space="0" w:color="auto"/>
            </w:tcBorders>
            <w:shd w:val="clear" w:color="auto" w:fill="auto"/>
            <w:noWrap/>
            <w:vAlign w:val="center"/>
            <w:hideMark/>
          </w:tcPr>
          <w:p w14:paraId="6B45A495" w14:textId="57555328"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137</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616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291 </w:t>
            </w:r>
          </w:p>
        </w:tc>
        <w:tc>
          <w:tcPr>
            <w:tcW w:w="1418" w:type="dxa"/>
            <w:tcBorders>
              <w:top w:val="nil"/>
              <w:left w:val="nil"/>
              <w:bottom w:val="single" w:sz="4" w:space="0" w:color="auto"/>
              <w:right w:val="single" w:sz="4" w:space="0" w:color="auto"/>
            </w:tcBorders>
            <w:shd w:val="clear" w:color="auto" w:fill="auto"/>
            <w:noWrap/>
            <w:vAlign w:val="center"/>
            <w:hideMark/>
          </w:tcPr>
          <w:p w14:paraId="69C7D5E6" w14:textId="58FAFC9E"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376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163 </w:t>
            </w:r>
          </w:p>
        </w:tc>
      </w:tr>
      <w:tr w:rsidR="009A21D7" w:rsidRPr="00374360" w14:paraId="07A7A2CB"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314D762"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19</w:t>
            </w:r>
          </w:p>
        </w:tc>
        <w:tc>
          <w:tcPr>
            <w:tcW w:w="660" w:type="dxa"/>
            <w:tcBorders>
              <w:top w:val="nil"/>
              <w:left w:val="nil"/>
              <w:bottom w:val="single" w:sz="4" w:space="0" w:color="auto"/>
              <w:right w:val="single" w:sz="4" w:space="0" w:color="auto"/>
            </w:tcBorders>
            <w:shd w:val="clear" w:color="auto" w:fill="auto"/>
            <w:noWrap/>
            <w:vAlign w:val="center"/>
            <w:hideMark/>
          </w:tcPr>
          <w:p w14:paraId="51978545"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36314</w:t>
            </w:r>
          </w:p>
        </w:tc>
        <w:tc>
          <w:tcPr>
            <w:tcW w:w="879" w:type="dxa"/>
            <w:tcBorders>
              <w:top w:val="nil"/>
              <w:left w:val="nil"/>
              <w:bottom w:val="single" w:sz="4" w:space="0" w:color="auto"/>
              <w:right w:val="single" w:sz="4" w:space="0" w:color="auto"/>
            </w:tcBorders>
            <w:shd w:val="clear" w:color="auto" w:fill="auto"/>
            <w:noWrap/>
            <w:vAlign w:val="center"/>
            <w:hideMark/>
          </w:tcPr>
          <w:p w14:paraId="3CE08A86"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900851785</w:t>
            </w:r>
          </w:p>
        </w:tc>
        <w:tc>
          <w:tcPr>
            <w:tcW w:w="3913" w:type="dxa"/>
            <w:tcBorders>
              <w:top w:val="nil"/>
              <w:left w:val="nil"/>
              <w:bottom w:val="single" w:sz="4" w:space="0" w:color="auto"/>
              <w:right w:val="single" w:sz="4" w:space="0" w:color="auto"/>
            </w:tcBorders>
            <w:shd w:val="clear" w:color="auto" w:fill="auto"/>
            <w:vAlign w:val="center"/>
            <w:hideMark/>
          </w:tcPr>
          <w:p w14:paraId="0D2F1B16"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CALAMARI LNG SA ESP</w:t>
            </w:r>
          </w:p>
        </w:tc>
        <w:tc>
          <w:tcPr>
            <w:tcW w:w="1602" w:type="dxa"/>
            <w:tcBorders>
              <w:top w:val="nil"/>
              <w:left w:val="nil"/>
              <w:bottom w:val="single" w:sz="4" w:space="0" w:color="auto"/>
              <w:right w:val="single" w:sz="4" w:space="0" w:color="auto"/>
            </w:tcBorders>
            <w:shd w:val="clear" w:color="auto" w:fill="auto"/>
            <w:noWrap/>
            <w:vAlign w:val="center"/>
            <w:hideMark/>
          </w:tcPr>
          <w:p w14:paraId="632EDDC0" w14:textId="39A1F8AF"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433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870</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726 </w:t>
            </w:r>
          </w:p>
        </w:tc>
        <w:tc>
          <w:tcPr>
            <w:tcW w:w="1418" w:type="dxa"/>
            <w:tcBorders>
              <w:top w:val="nil"/>
              <w:left w:val="nil"/>
              <w:bottom w:val="single" w:sz="4" w:space="0" w:color="auto"/>
              <w:right w:val="single" w:sz="4" w:space="0" w:color="auto"/>
            </w:tcBorders>
            <w:shd w:val="clear" w:color="auto" w:fill="auto"/>
            <w:noWrap/>
            <w:vAlign w:val="center"/>
            <w:hideMark/>
          </w:tcPr>
          <w:p w14:paraId="17FE08E3" w14:textId="2FBA3209"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338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707 </w:t>
            </w:r>
          </w:p>
        </w:tc>
      </w:tr>
      <w:tr w:rsidR="009A21D7" w:rsidRPr="00374360" w14:paraId="295052B0"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51CED4F"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20</w:t>
            </w:r>
          </w:p>
        </w:tc>
        <w:tc>
          <w:tcPr>
            <w:tcW w:w="660" w:type="dxa"/>
            <w:tcBorders>
              <w:top w:val="nil"/>
              <w:left w:val="nil"/>
              <w:bottom w:val="single" w:sz="4" w:space="0" w:color="auto"/>
              <w:right w:val="single" w:sz="4" w:space="0" w:color="auto"/>
            </w:tcBorders>
            <w:shd w:val="clear" w:color="auto" w:fill="auto"/>
            <w:noWrap/>
            <w:vAlign w:val="center"/>
            <w:hideMark/>
          </w:tcPr>
          <w:p w14:paraId="01C8C5F2"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25891</w:t>
            </w:r>
          </w:p>
        </w:tc>
        <w:tc>
          <w:tcPr>
            <w:tcW w:w="879" w:type="dxa"/>
            <w:tcBorders>
              <w:top w:val="nil"/>
              <w:left w:val="nil"/>
              <w:bottom w:val="single" w:sz="4" w:space="0" w:color="auto"/>
              <w:right w:val="single" w:sz="4" w:space="0" w:color="auto"/>
            </w:tcBorders>
            <w:shd w:val="clear" w:color="auto" w:fill="auto"/>
            <w:noWrap/>
            <w:vAlign w:val="center"/>
            <w:hideMark/>
          </w:tcPr>
          <w:p w14:paraId="0E5E8B04"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830095563</w:t>
            </w:r>
          </w:p>
        </w:tc>
        <w:tc>
          <w:tcPr>
            <w:tcW w:w="3913" w:type="dxa"/>
            <w:tcBorders>
              <w:top w:val="nil"/>
              <w:left w:val="nil"/>
              <w:bottom w:val="single" w:sz="4" w:space="0" w:color="auto"/>
              <w:right w:val="single" w:sz="4" w:space="0" w:color="auto"/>
            </w:tcBorders>
            <w:shd w:val="clear" w:color="auto" w:fill="auto"/>
            <w:vAlign w:val="center"/>
            <w:hideMark/>
          </w:tcPr>
          <w:p w14:paraId="5C07D179"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CANACOL ENERGY COLOMBIA S.A.</w:t>
            </w:r>
          </w:p>
        </w:tc>
        <w:tc>
          <w:tcPr>
            <w:tcW w:w="1602" w:type="dxa"/>
            <w:tcBorders>
              <w:top w:val="nil"/>
              <w:left w:val="nil"/>
              <w:bottom w:val="single" w:sz="4" w:space="0" w:color="auto"/>
              <w:right w:val="single" w:sz="4" w:space="0" w:color="auto"/>
            </w:tcBorders>
            <w:shd w:val="clear" w:color="auto" w:fill="auto"/>
            <w:noWrap/>
            <w:vAlign w:val="center"/>
            <w:hideMark/>
          </w:tcPr>
          <w:p w14:paraId="32FC0891" w14:textId="15CE33CF"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48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049</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177</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041 </w:t>
            </w:r>
          </w:p>
        </w:tc>
        <w:tc>
          <w:tcPr>
            <w:tcW w:w="1418" w:type="dxa"/>
            <w:tcBorders>
              <w:top w:val="nil"/>
              <w:left w:val="nil"/>
              <w:bottom w:val="single" w:sz="4" w:space="0" w:color="auto"/>
              <w:right w:val="single" w:sz="4" w:space="0" w:color="auto"/>
            </w:tcBorders>
            <w:shd w:val="clear" w:color="auto" w:fill="auto"/>
            <w:noWrap/>
            <w:vAlign w:val="center"/>
            <w:hideMark/>
          </w:tcPr>
          <w:p w14:paraId="09E174F3" w14:textId="151E47AF"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480</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491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770 </w:t>
            </w:r>
          </w:p>
        </w:tc>
      </w:tr>
      <w:tr w:rsidR="009A21D7" w:rsidRPr="00374360" w14:paraId="7D6D33BF"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980FD90"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21</w:t>
            </w:r>
          </w:p>
        </w:tc>
        <w:tc>
          <w:tcPr>
            <w:tcW w:w="660" w:type="dxa"/>
            <w:tcBorders>
              <w:top w:val="nil"/>
              <w:left w:val="nil"/>
              <w:bottom w:val="single" w:sz="4" w:space="0" w:color="auto"/>
              <w:right w:val="single" w:sz="4" w:space="0" w:color="auto"/>
            </w:tcBorders>
            <w:shd w:val="clear" w:color="auto" w:fill="auto"/>
            <w:noWrap/>
            <w:vAlign w:val="center"/>
            <w:hideMark/>
          </w:tcPr>
          <w:p w14:paraId="348C25B3"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48305</w:t>
            </w:r>
          </w:p>
        </w:tc>
        <w:tc>
          <w:tcPr>
            <w:tcW w:w="879" w:type="dxa"/>
            <w:tcBorders>
              <w:top w:val="nil"/>
              <w:left w:val="nil"/>
              <w:bottom w:val="single" w:sz="4" w:space="0" w:color="auto"/>
              <w:right w:val="single" w:sz="4" w:space="0" w:color="auto"/>
            </w:tcBorders>
            <w:shd w:val="clear" w:color="auto" w:fill="auto"/>
            <w:noWrap/>
            <w:vAlign w:val="center"/>
            <w:hideMark/>
          </w:tcPr>
          <w:p w14:paraId="7F8F1A31"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901380949</w:t>
            </w:r>
          </w:p>
        </w:tc>
        <w:tc>
          <w:tcPr>
            <w:tcW w:w="3913" w:type="dxa"/>
            <w:tcBorders>
              <w:top w:val="nil"/>
              <w:left w:val="nil"/>
              <w:bottom w:val="single" w:sz="4" w:space="0" w:color="auto"/>
              <w:right w:val="single" w:sz="4" w:space="0" w:color="auto"/>
            </w:tcBorders>
            <w:shd w:val="clear" w:color="auto" w:fill="auto"/>
            <w:vAlign w:val="center"/>
            <w:hideMark/>
          </w:tcPr>
          <w:p w14:paraId="2FECC5A9"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CARIBEMAR DE LA COSTA S.A.S. E.S.P.</w:t>
            </w:r>
          </w:p>
        </w:tc>
        <w:tc>
          <w:tcPr>
            <w:tcW w:w="1602" w:type="dxa"/>
            <w:tcBorders>
              <w:top w:val="nil"/>
              <w:left w:val="nil"/>
              <w:bottom w:val="single" w:sz="4" w:space="0" w:color="auto"/>
              <w:right w:val="single" w:sz="4" w:space="0" w:color="auto"/>
            </w:tcBorders>
            <w:shd w:val="clear" w:color="auto" w:fill="auto"/>
            <w:noWrap/>
            <w:vAlign w:val="center"/>
            <w:hideMark/>
          </w:tcPr>
          <w:p w14:paraId="2967A19D" w14:textId="1D6CEB48"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128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527</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138 </w:t>
            </w:r>
          </w:p>
        </w:tc>
        <w:tc>
          <w:tcPr>
            <w:tcW w:w="1418" w:type="dxa"/>
            <w:tcBorders>
              <w:top w:val="nil"/>
              <w:left w:val="nil"/>
              <w:bottom w:val="single" w:sz="4" w:space="0" w:color="auto"/>
              <w:right w:val="single" w:sz="4" w:space="0" w:color="auto"/>
            </w:tcBorders>
            <w:shd w:val="clear" w:color="auto" w:fill="auto"/>
            <w:noWrap/>
            <w:vAlign w:val="center"/>
            <w:hideMark/>
          </w:tcPr>
          <w:p w14:paraId="07AFC6E0" w14:textId="45B0B1D5"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285</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271 </w:t>
            </w:r>
          </w:p>
        </w:tc>
      </w:tr>
      <w:tr w:rsidR="009A21D7" w:rsidRPr="00374360" w14:paraId="431F402E"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1672550"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22</w:t>
            </w:r>
          </w:p>
        </w:tc>
        <w:tc>
          <w:tcPr>
            <w:tcW w:w="660" w:type="dxa"/>
            <w:tcBorders>
              <w:top w:val="nil"/>
              <w:left w:val="nil"/>
              <w:bottom w:val="single" w:sz="4" w:space="0" w:color="auto"/>
              <w:right w:val="single" w:sz="4" w:space="0" w:color="auto"/>
            </w:tcBorders>
            <w:shd w:val="clear" w:color="auto" w:fill="auto"/>
            <w:noWrap/>
            <w:vAlign w:val="center"/>
            <w:hideMark/>
          </w:tcPr>
          <w:p w14:paraId="4D0F62E0"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23095</w:t>
            </w:r>
          </w:p>
        </w:tc>
        <w:tc>
          <w:tcPr>
            <w:tcW w:w="879" w:type="dxa"/>
            <w:tcBorders>
              <w:top w:val="nil"/>
              <w:left w:val="nil"/>
              <w:bottom w:val="single" w:sz="4" w:space="0" w:color="auto"/>
              <w:right w:val="single" w:sz="4" w:space="0" w:color="auto"/>
            </w:tcBorders>
            <w:shd w:val="clear" w:color="auto" w:fill="auto"/>
            <w:noWrap/>
            <w:vAlign w:val="center"/>
            <w:hideMark/>
          </w:tcPr>
          <w:p w14:paraId="62510C08"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900185106</w:t>
            </w:r>
          </w:p>
        </w:tc>
        <w:tc>
          <w:tcPr>
            <w:tcW w:w="3913" w:type="dxa"/>
            <w:tcBorders>
              <w:top w:val="nil"/>
              <w:left w:val="nil"/>
              <w:bottom w:val="single" w:sz="4" w:space="0" w:color="auto"/>
              <w:right w:val="single" w:sz="4" w:space="0" w:color="auto"/>
            </w:tcBorders>
            <w:shd w:val="clear" w:color="auto" w:fill="auto"/>
            <w:vAlign w:val="center"/>
            <w:hideMark/>
          </w:tcPr>
          <w:p w14:paraId="5A4774E2"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CARUQUIA S.A.S E.S.P</w:t>
            </w:r>
          </w:p>
        </w:tc>
        <w:tc>
          <w:tcPr>
            <w:tcW w:w="1602" w:type="dxa"/>
            <w:tcBorders>
              <w:top w:val="nil"/>
              <w:left w:val="nil"/>
              <w:bottom w:val="single" w:sz="4" w:space="0" w:color="auto"/>
              <w:right w:val="single" w:sz="4" w:space="0" w:color="auto"/>
            </w:tcBorders>
            <w:shd w:val="clear" w:color="auto" w:fill="auto"/>
            <w:noWrap/>
            <w:vAlign w:val="center"/>
            <w:hideMark/>
          </w:tcPr>
          <w:p w14:paraId="025BE41D" w14:textId="768AF67B"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231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732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137 </w:t>
            </w:r>
          </w:p>
        </w:tc>
        <w:tc>
          <w:tcPr>
            <w:tcW w:w="1418" w:type="dxa"/>
            <w:tcBorders>
              <w:top w:val="nil"/>
              <w:left w:val="nil"/>
              <w:bottom w:val="single" w:sz="4" w:space="0" w:color="auto"/>
              <w:right w:val="single" w:sz="4" w:space="0" w:color="auto"/>
            </w:tcBorders>
            <w:shd w:val="clear" w:color="auto" w:fill="auto"/>
            <w:noWrap/>
            <w:vAlign w:val="center"/>
            <w:hideMark/>
          </w:tcPr>
          <w:p w14:paraId="1A4AD021" w14:textId="26A30721"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317</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321 </w:t>
            </w:r>
          </w:p>
        </w:tc>
      </w:tr>
      <w:tr w:rsidR="009A21D7" w:rsidRPr="00374360" w14:paraId="4F235097"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0EE0C6A"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23</w:t>
            </w:r>
          </w:p>
        </w:tc>
        <w:tc>
          <w:tcPr>
            <w:tcW w:w="660" w:type="dxa"/>
            <w:tcBorders>
              <w:top w:val="nil"/>
              <w:left w:val="nil"/>
              <w:bottom w:val="single" w:sz="4" w:space="0" w:color="auto"/>
              <w:right w:val="single" w:sz="4" w:space="0" w:color="auto"/>
            </w:tcBorders>
            <w:shd w:val="clear" w:color="auto" w:fill="auto"/>
            <w:noWrap/>
            <w:vAlign w:val="center"/>
            <w:hideMark/>
          </w:tcPr>
          <w:p w14:paraId="675F00F8"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27572</w:t>
            </w:r>
          </w:p>
        </w:tc>
        <w:tc>
          <w:tcPr>
            <w:tcW w:w="879" w:type="dxa"/>
            <w:tcBorders>
              <w:top w:val="nil"/>
              <w:left w:val="nil"/>
              <w:bottom w:val="single" w:sz="4" w:space="0" w:color="auto"/>
              <w:right w:val="single" w:sz="4" w:space="0" w:color="auto"/>
            </w:tcBorders>
            <w:shd w:val="clear" w:color="auto" w:fill="auto"/>
            <w:noWrap/>
            <w:vAlign w:val="center"/>
            <w:hideMark/>
          </w:tcPr>
          <w:p w14:paraId="42B5085B"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900746422</w:t>
            </w:r>
          </w:p>
        </w:tc>
        <w:tc>
          <w:tcPr>
            <w:tcW w:w="3913" w:type="dxa"/>
            <w:tcBorders>
              <w:top w:val="nil"/>
              <w:left w:val="nil"/>
              <w:bottom w:val="single" w:sz="4" w:space="0" w:color="auto"/>
              <w:right w:val="single" w:sz="4" w:space="0" w:color="auto"/>
            </w:tcBorders>
            <w:shd w:val="clear" w:color="auto" w:fill="auto"/>
            <w:vAlign w:val="center"/>
            <w:hideMark/>
          </w:tcPr>
          <w:p w14:paraId="360E51DE"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CEMEX ENERGY SAS ESP</w:t>
            </w:r>
          </w:p>
        </w:tc>
        <w:tc>
          <w:tcPr>
            <w:tcW w:w="1602" w:type="dxa"/>
            <w:tcBorders>
              <w:top w:val="nil"/>
              <w:left w:val="nil"/>
              <w:bottom w:val="single" w:sz="4" w:space="0" w:color="auto"/>
              <w:right w:val="single" w:sz="4" w:space="0" w:color="auto"/>
            </w:tcBorders>
            <w:shd w:val="clear" w:color="auto" w:fill="auto"/>
            <w:noWrap/>
            <w:vAlign w:val="center"/>
            <w:hideMark/>
          </w:tcPr>
          <w:p w14:paraId="5E677E13" w14:textId="4C1EB7E8"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318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434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849 </w:t>
            </w:r>
          </w:p>
        </w:tc>
        <w:tc>
          <w:tcPr>
            <w:tcW w:w="1418" w:type="dxa"/>
            <w:tcBorders>
              <w:top w:val="nil"/>
              <w:left w:val="nil"/>
              <w:bottom w:val="single" w:sz="4" w:space="0" w:color="auto"/>
              <w:right w:val="single" w:sz="4" w:space="0" w:color="auto"/>
            </w:tcBorders>
            <w:shd w:val="clear" w:color="auto" w:fill="auto"/>
            <w:noWrap/>
            <w:vAlign w:val="center"/>
            <w:hideMark/>
          </w:tcPr>
          <w:p w14:paraId="435C833B" w14:textId="013B3FB4"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184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348 </w:t>
            </w:r>
          </w:p>
        </w:tc>
      </w:tr>
      <w:tr w:rsidR="009A21D7" w:rsidRPr="00374360" w14:paraId="1FEEAF9D"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8D788C0"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24</w:t>
            </w:r>
          </w:p>
        </w:tc>
        <w:tc>
          <w:tcPr>
            <w:tcW w:w="660" w:type="dxa"/>
            <w:tcBorders>
              <w:top w:val="nil"/>
              <w:left w:val="nil"/>
              <w:bottom w:val="single" w:sz="4" w:space="0" w:color="auto"/>
              <w:right w:val="single" w:sz="4" w:space="0" w:color="auto"/>
            </w:tcBorders>
            <w:shd w:val="clear" w:color="auto" w:fill="auto"/>
            <w:noWrap/>
            <w:vAlign w:val="center"/>
            <w:hideMark/>
          </w:tcPr>
          <w:p w14:paraId="1FA5E3B3"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38213</w:t>
            </w:r>
          </w:p>
        </w:tc>
        <w:tc>
          <w:tcPr>
            <w:tcW w:w="879" w:type="dxa"/>
            <w:tcBorders>
              <w:top w:val="nil"/>
              <w:left w:val="nil"/>
              <w:bottom w:val="single" w:sz="4" w:space="0" w:color="auto"/>
              <w:right w:val="single" w:sz="4" w:space="0" w:color="auto"/>
            </w:tcBorders>
            <w:shd w:val="clear" w:color="auto" w:fill="auto"/>
            <w:noWrap/>
            <w:vAlign w:val="center"/>
            <w:hideMark/>
          </w:tcPr>
          <w:p w14:paraId="3A1D1B7A"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901094947</w:t>
            </w:r>
          </w:p>
        </w:tc>
        <w:tc>
          <w:tcPr>
            <w:tcW w:w="3913" w:type="dxa"/>
            <w:tcBorders>
              <w:top w:val="nil"/>
              <w:left w:val="nil"/>
              <w:bottom w:val="single" w:sz="4" w:space="0" w:color="auto"/>
              <w:right w:val="single" w:sz="4" w:space="0" w:color="auto"/>
            </w:tcBorders>
            <w:shd w:val="clear" w:color="auto" w:fill="auto"/>
            <w:vAlign w:val="center"/>
            <w:hideMark/>
          </w:tcPr>
          <w:p w14:paraId="09B3DBCF"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CEN ENERGY S.A.S E.S.P</w:t>
            </w:r>
          </w:p>
        </w:tc>
        <w:tc>
          <w:tcPr>
            <w:tcW w:w="1602" w:type="dxa"/>
            <w:tcBorders>
              <w:top w:val="nil"/>
              <w:left w:val="nil"/>
              <w:bottom w:val="single" w:sz="4" w:space="0" w:color="auto"/>
              <w:right w:val="single" w:sz="4" w:space="0" w:color="auto"/>
            </w:tcBorders>
            <w:shd w:val="clear" w:color="auto" w:fill="auto"/>
            <w:noWrap/>
            <w:vAlign w:val="center"/>
            <w:hideMark/>
          </w:tcPr>
          <w:p w14:paraId="5404486C" w14:textId="5182166C"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852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271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916 </w:t>
            </w:r>
          </w:p>
        </w:tc>
        <w:tc>
          <w:tcPr>
            <w:tcW w:w="1418" w:type="dxa"/>
            <w:tcBorders>
              <w:top w:val="nil"/>
              <w:left w:val="nil"/>
              <w:bottom w:val="single" w:sz="4" w:space="0" w:color="auto"/>
              <w:right w:val="single" w:sz="4" w:space="0" w:color="auto"/>
            </w:tcBorders>
            <w:shd w:val="clear" w:color="auto" w:fill="auto"/>
            <w:noWrap/>
            <w:vAlign w:val="center"/>
            <w:hideMark/>
          </w:tcPr>
          <w:p w14:paraId="435B483A" w14:textId="59078154"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522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719 </w:t>
            </w:r>
          </w:p>
        </w:tc>
      </w:tr>
      <w:tr w:rsidR="009A21D7" w:rsidRPr="00374360" w14:paraId="008908E8" w14:textId="77777777" w:rsidTr="00C734CF">
        <w:trPr>
          <w:trHeight w:val="4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2D3EC02"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25</w:t>
            </w:r>
          </w:p>
        </w:tc>
        <w:tc>
          <w:tcPr>
            <w:tcW w:w="660" w:type="dxa"/>
            <w:tcBorders>
              <w:top w:val="nil"/>
              <w:left w:val="nil"/>
              <w:bottom w:val="single" w:sz="4" w:space="0" w:color="auto"/>
              <w:right w:val="single" w:sz="4" w:space="0" w:color="auto"/>
            </w:tcBorders>
            <w:shd w:val="clear" w:color="auto" w:fill="auto"/>
            <w:noWrap/>
            <w:vAlign w:val="center"/>
            <w:hideMark/>
          </w:tcPr>
          <w:p w14:paraId="3711D7A0"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26600</w:t>
            </w:r>
          </w:p>
        </w:tc>
        <w:tc>
          <w:tcPr>
            <w:tcW w:w="879" w:type="dxa"/>
            <w:tcBorders>
              <w:top w:val="nil"/>
              <w:left w:val="nil"/>
              <w:bottom w:val="single" w:sz="4" w:space="0" w:color="auto"/>
              <w:right w:val="single" w:sz="4" w:space="0" w:color="auto"/>
            </w:tcBorders>
            <w:shd w:val="clear" w:color="auto" w:fill="auto"/>
            <w:noWrap/>
            <w:vAlign w:val="center"/>
            <w:hideMark/>
          </w:tcPr>
          <w:p w14:paraId="4289F93B"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900531210</w:t>
            </w:r>
          </w:p>
        </w:tc>
        <w:tc>
          <w:tcPr>
            <w:tcW w:w="3913" w:type="dxa"/>
            <w:tcBorders>
              <w:top w:val="nil"/>
              <w:left w:val="nil"/>
              <w:bottom w:val="single" w:sz="4" w:space="0" w:color="auto"/>
              <w:right w:val="single" w:sz="4" w:space="0" w:color="auto"/>
            </w:tcBorders>
            <w:shd w:val="clear" w:color="auto" w:fill="auto"/>
            <w:vAlign w:val="center"/>
            <w:hideMark/>
          </w:tcPr>
          <w:p w14:paraId="422B19AF"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CENIT TRANSPORTE Y LOGISTICA DE HIDROCARBUROS S.A.S</w:t>
            </w:r>
          </w:p>
        </w:tc>
        <w:tc>
          <w:tcPr>
            <w:tcW w:w="1602" w:type="dxa"/>
            <w:tcBorders>
              <w:top w:val="nil"/>
              <w:left w:val="nil"/>
              <w:bottom w:val="single" w:sz="4" w:space="0" w:color="auto"/>
              <w:right w:val="single" w:sz="4" w:space="0" w:color="auto"/>
            </w:tcBorders>
            <w:shd w:val="clear" w:color="auto" w:fill="auto"/>
            <w:noWrap/>
            <w:vAlign w:val="center"/>
            <w:hideMark/>
          </w:tcPr>
          <w:p w14:paraId="0A8532D5" w14:textId="06A31098"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404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471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943 </w:t>
            </w:r>
          </w:p>
        </w:tc>
        <w:tc>
          <w:tcPr>
            <w:tcW w:w="1418" w:type="dxa"/>
            <w:tcBorders>
              <w:top w:val="nil"/>
              <w:left w:val="nil"/>
              <w:bottom w:val="single" w:sz="4" w:space="0" w:color="auto"/>
              <w:right w:val="single" w:sz="4" w:space="0" w:color="auto"/>
            </w:tcBorders>
            <w:shd w:val="clear" w:color="auto" w:fill="auto"/>
            <w:noWrap/>
            <w:vAlign w:val="center"/>
            <w:hideMark/>
          </w:tcPr>
          <w:p w14:paraId="32FBCA34" w14:textId="38C0452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044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719 </w:t>
            </w:r>
          </w:p>
        </w:tc>
      </w:tr>
      <w:tr w:rsidR="009A21D7" w:rsidRPr="00374360" w14:paraId="78F9299E"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42761DB"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26</w:t>
            </w:r>
          </w:p>
        </w:tc>
        <w:tc>
          <w:tcPr>
            <w:tcW w:w="660" w:type="dxa"/>
            <w:tcBorders>
              <w:top w:val="nil"/>
              <w:left w:val="nil"/>
              <w:bottom w:val="single" w:sz="4" w:space="0" w:color="auto"/>
              <w:right w:val="single" w:sz="4" w:space="0" w:color="auto"/>
            </w:tcBorders>
            <w:shd w:val="clear" w:color="auto" w:fill="auto"/>
            <w:noWrap/>
            <w:vAlign w:val="center"/>
            <w:hideMark/>
          </w:tcPr>
          <w:p w14:paraId="15E1E388"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26677</w:t>
            </w:r>
          </w:p>
        </w:tc>
        <w:tc>
          <w:tcPr>
            <w:tcW w:w="879" w:type="dxa"/>
            <w:tcBorders>
              <w:top w:val="nil"/>
              <w:left w:val="nil"/>
              <w:bottom w:val="single" w:sz="4" w:space="0" w:color="auto"/>
              <w:right w:val="single" w:sz="4" w:space="0" w:color="auto"/>
            </w:tcBorders>
            <w:shd w:val="clear" w:color="auto" w:fill="auto"/>
            <w:noWrap/>
            <w:vAlign w:val="center"/>
            <w:hideMark/>
          </w:tcPr>
          <w:p w14:paraId="15E296A3"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900643166</w:t>
            </w:r>
          </w:p>
        </w:tc>
        <w:tc>
          <w:tcPr>
            <w:tcW w:w="3913" w:type="dxa"/>
            <w:tcBorders>
              <w:top w:val="nil"/>
              <w:left w:val="nil"/>
              <w:bottom w:val="single" w:sz="4" w:space="0" w:color="auto"/>
              <w:right w:val="single" w:sz="4" w:space="0" w:color="auto"/>
            </w:tcBorders>
            <w:shd w:val="clear" w:color="auto" w:fill="auto"/>
            <w:vAlign w:val="center"/>
            <w:hideMark/>
          </w:tcPr>
          <w:p w14:paraId="30B9AC37"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CENTRAL DE HIDROCARBUROS GC SAS ESP</w:t>
            </w:r>
          </w:p>
        </w:tc>
        <w:tc>
          <w:tcPr>
            <w:tcW w:w="1602" w:type="dxa"/>
            <w:tcBorders>
              <w:top w:val="nil"/>
              <w:left w:val="nil"/>
              <w:bottom w:val="single" w:sz="4" w:space="0" w:color="auto"/>
              <w:right w:val="single" w:sz="4" w:space="0" w:color="auto"/>
            </w:tcBorders>
            <w:shd w:val="clear" w:color="auto" w:fill="auto"/>
            <w:noWrap/>
            <w:vAlign w:val="center"/>
            <w:hideMark/>
          </w:tcPr>
          <w:p w14:paraId="5E1096A1" w14:textId="6D4134DA"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111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759</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078 </w:t>
            </w:r>
          </w:p>
        </w:tc>
        <w:tc>
          <w:tcPr>
            <w:tcW w:w="1418" w:type="dxa"/>
            <w:tcBorders>
              <w:top w:val="nil"/>
              <w:left w:val="nil"/>
              <w:bottom w:val="single" w:sz="4" w:space="0" w:color="auto"/>
              <w:right w:val="single" w:sz="4" w:space="0" w:color="auto"/>
            </w:tcBorders>
            <w:shd w:val="clear" w:color="auto" w:fill="auto"/>
            <w:noWrap/>
            <w:vAlign w:val="center"/>
            <w:hideMark/>
          </w:tcPr>
          <w:p w14:paraId="3D6F7C1D" w14:textId="0FF9626A"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117</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591 </w:t>
            </w:r>
          </w:p>
        </w:tc>
      </w:tr>
      <w:tr w:rsidR="009A21D7" w:rsidRPr="00374360" w14:paraId="5112127D" w14:textId="77777777" w:rsidTr="00C734CF">
        <w:trPr>
          <w:trHeight w:val="4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9BE7E60"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27</w:t>
            </w:r>
          </w:p>
        </w:tc>
        <w:tc>
          <w:tcPr>
            <w:tcW w:w="660" w:type="dxa"/>
            <w:tcBorders>
              <w:top w:val="nil"/>
              <w:left w:val="nil"/>
              <w:bottom w:val="single" w:sz="4" w:space="0" w:color="auto"/>
              <w:right w:val="single" w:sz="4" w:space="0" w:color="auto"/>
            </w:tcBorders>
            <w:shd w:val="clear" w:color="auto" w:fill="auto"/>
            <w:noWrap/>
            <w:vAlign w:val="center"/>
            <w:hideMark/>
          </w:tcPr>
          <w:p w14:paraId="6C02D29C"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30431</w:t>
            </w:r>
          </w:p>
        </w:tc>
        <w:tc>
          <w:tcPr>
            <w:tcW w:w="879" w:type="dxa"/>
            <w:tcBorders>
              <w:top w:val="nil"/>
              <w:left w:val="nil"/>
              <w:bottom w:val="single" w:sz="4" w:space="0" w:color="auto"/>
              <w:right w:val="single" w:sz="4" w:space="0" w:color="auto"/>
            </w:tcBorders>
            <w:shd w:val="clear" w:color="auto" w:fill="auto"/>
            <w:noWrap/>
            <w:vAlign w:val="center"/>
            <w:hideMark/>
          </w:tcPr>
          <w:p w14:paraId="43568B2E"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900759883</w:t>
            </w:r>
          </w:p>
        </w:tc>
        <w:tc>
          <w:tcPr>
            <w:tcW w:w="3913" w:type="dxa"/>
            <w:tcBorders>
              <w:top w:val="nil"/>
              <w:left w:val="nil"/>
              <w:bottom w:val="single" w:sz="4" w:space="0" w:color="auto"/>
              <w:right w:val="single" w:sz="4" w:space="0" w:color="auto"/>
            </w:tcBorders>
            <w:shd w:val="clear" w:color="auto" w:fill="auto"/>
            <w:vAlign w:val="center"/>
            <w:hideMark/>
          </w:tcPr>
          <w:p w14:paraId="6A263BC0"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CENTRAL HIDROELÉCTRICA CONCORDIA SAS ESP </w:t>
            </w:r>
          </w:p>
        </w:tc>
        <w:tc>
          <w:tcPr>
            <w:tcW w:w="1602" w:type="dxa"/>
            <w:tcBorders>
              <w:top w:val="nil"/>
              <w:left w:val="nil"/>
              <w:bottom w:val="single" w:sz="4" w:space="0" w:color="auto"/>
              <w:right w:val="single" w:sz="4" w:space="0" w:color="auto"/>
            </w:tcBorders>
            <w:shd w:val="clear" w:color="auto" w:fill="auto"/>
            <w:noWrap/>
            <w:vAlign w:val="center"/>
            <w:hideMark/>
          </w:tcPr>
          <w:p w14:paraId="57CF1EFF" w14:textId="79957FCF"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902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797</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036 </w:t>
            </w:r>
          </w:p>
        </w:tc>
        <w:tc>
          <w:tcPr>
            <w:tcW w:w="1418" w:type="dxa"/>
            <w:tcBorders>
              <w:top w:val="nil"/>
              <w:left w:val="nil"/>
              <w:bottom w:val="single" w:sz="4" w:space="0" w:color="auto"/>
              <w:right w:val="single" w:sz="4" w:space="0" w:color="auto"/>
            </w:tcBorders>
            <w:shd w:val="clear" w:color="auto" w:fill="auto"/>
            <w:noWrap/>
            <w:vAlign w:val="center"/>
            <w:hideMark/>
          </w:tcPr>
          <w:p w14:paraId="3FE50C35" w14:textId="56EED228"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19</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027</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970 </w:t>
            </w:r>
          </w:p>
        </w:tc>
      </w:tr>
      <w:tr w:rsidR="009A21D7" w:rsidRPr="00374360" w14:paraId="5CA70885" w14:textId="77777777" w:rsidTr="00C734CF">
        <w:trPr>
          <w:trHeight w:val="2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D5C18F5"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28</w:t>
            </w:r>
          </w:p>
        </w:tc>
        <w:tc>
          <w:tcPr>
            <w:tcW w:w="660" w:type="dxa"/>
            <w:tcBorders>
              <w:top w:val="nil"/>
              <w:left w:val="nil"/>
              <w:bottom w:val="single" w:sz="4" w:space="0" w:color="auto"/>
              <w:right w:val="single" w:sz="4" w:space="0" w:color="auto"/>
            </w:tcBorders>
            <w:shd w:val="clear" w:color="auto" w:fill="auto"/>
            <w:noWrap/>
            <w:vAlign w:val="center"/>
            <w:hideMark/>
          </w:tcPr>
          <w:p w14:paraId="113636CA"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502</w:t>
            </w:r>
          </w:p>
        </w:tc>
        <w:tc>
          <w:tcPr>
            <w:tcW w:w="879" w:type="dxa"/>
            <w:tcBorders>
              <w:top w:val="nil"/>
              <w:left w:val="nil"/>
              <w:bottom w:val="single" w:sz="4" w:space="0" w:color="auto"/>
              <w:right w:val="single" w:sz="4" w:space="0" w:color="auto"/>
            </w:tcBorders>
            <w:shd w:val="clear" w:color="auto" w:fill="auto"/>
            <w:noWrap/>
            <w:vAlign w:val="center"/>
            <w:hideMark/>
          </w:tcPr>
          <w:p w14:paraId="67E0974E"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890800128</w:t>
            </w:r>
          </w:p>
        </w:tc>
        <w:tc>
          <w:tcPr>
            <w:tcW w:w="3913" w:type="dxa"/>
            <w:tcBorders>
              <w:top w:val="nil"/>
              <w:left w:val="nil"/>
              <w:bottom w:val="single" w:sz="4" w:space="0" w:color="auto"/>
              <w:right w:val="single" w:sz="4" w:space="0" w:color="auto"/>
            </w:tcBorders>
            <w:shd w:val="clear" w:color="auto" w:fill="auto"/>
            <w:vAlign w:val="center"/>
            <w:hideMark/>
          </w:tcPr>
          <w:p w14:paraId="2E1986D2"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CENTRAL HIDROELECTRICA DE CALDAS S.A. E.S.P.</w:t>
            </w:r>
          </w:p>
        </w:tc>
        <w:tc>
          <w:tcPr>
            <w:tcW w:w="1602" w:type="dxa"/>
            <w:tcBorders>
              <w:top w:val="nil"/>
              <w:left w:val="nil"/>
              <w:bottom w:val="single" w:sz="4" w:space="0" w:color="auto"/>
              <w:right w:val="single" w:sz="4" w:space="0" w:color="auto"/>
            </w:tcBorders>
            <w:shd w:val="clear" w:color="auto" w:fill="auto"/>
            <w:noWrap/>
            <w:vAlign w:val="center"/>
            <w:hideMark/>
          </w:tcPr>
          <w:p w14:paraId="2455E6F4" w14:textId="775528B3"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46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188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984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039 </w:t>
            </w:r>
          </w:p>
        </w:tc>
        <w:tc>
          <w:tcPr>
            <w:tcW w:w="1418" w:type="dxa"/>
            <w:tcBorders>
              <w:top w:val="nil"/>
              <w:left w:val="nil"/>
              <w:bottom w:val="single" w:sz="4" w:space="0" w:color="auto"/>
              <w:right w:val="single" w:sz="4" w:space="0" w:color="auto"/>
            </w:tcBorders>
            <w:shd w:val="clear" w:color="auto" w:fill="auto"/>
            <w:noWrap/>
            <w:vAlign w:val="center"/>
            <w:hideMark/>
          </w:tcPr>
          <w:p w14:paraId="0E89EF1E" w14:textId="7028F0C4"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461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889</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840 </w:t>
            </w:r>
          </w:p>
        </w:tc>
      </w:tr>
      <w:tr w:rsidR="009A21D7" w:rsidRPr="00374360" w14:paraId="5EDE9D0D" w14:textId="77777777" w:rsidTr="00C734CF">
        <w:trPr>
          <w:trHeight w:val="4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EFEC01E"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29</w:t>
            </w:r>
          </w:p>
        </w:tc>
        <w:tc>
          <w:tcPr>
            <w:tcW w:w="660" w:type="dxa"/>
            <w:tcBorders>
              <w:top w:val="nil"/>
              <w:left w:val="nil"/>
              <w:bottom w:val="single" w:sz="4" w:space="0" w:color="auto"/>
              <w:right w:val="single" w:sz="4" w:space="0" w:color="auto"/>
            </w:tcBorders>
            <w:shd w:val="clear" w:color="auto" w:fill="auto"/>
            <w:noWrap/>
            <w:vAlign w:val="center"/>
            <w:hideMark/>
          </w:tcPr>
          <w:p w14:paraId="5E1D04A8"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28632</w:t>
            </w:r>
          </w:p>
        </w:tc>
        <w:tc>
          <w:tcPr>
            <w:tcW w:w="879" w:type="dxa"/>
            <w:tcBorders>
              <w:top w:val="nil"/>
              <w:left w:val="nil"/>
              <w:bottom w:val="single" w:sz="4" w:space="0" w:color="auto"/>
              <w:right w:val="single" w:sz="4" w:space="0" w:color="auto"/>
            </w:tcBorders>
            <w:shd w:val="clear" w:color="auto" w:fill="auto"/>
            <w:noWrap/>
            <w:vAlign w:val="center"/>
            <w:hideMark/>
          </w:tcPr>
          <w:p w14:paraId="1A487EFE"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900448956</w:t>
            </w:r>
          </w:p>
        </w:tc>
        <w:tc>
          <w:tcPr>
            <w:tcW w:w="3913" w:type="dxa"/>
            <w:tcBorders>
              <w:top w:val="nil"/>
              <w:left w:val="nil"/>
              <w:bottom w:val="single" w:sz="4" w:space="0" w:color="auto"/>
              <w:right w:val="single" w:sz="4" w:space="0" w:color="auto"/>
            </w:tcBorders>
            <w:shd w:val="clear" w:color="auto" w:fill="auto"/>
            <w:vAlign w:val="center"/>
            <w:hideMark/>
          </w:tcPr>
          <w:p w14:paraId="6A3CA792"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CENTRAL HIDROELÉCTRICA EL EDÉN S.A.S. E.S.P</w:t>
            </w:r>
          </w:p>
        </w:tc>
        <w:tc>
          <w:tcPr>
            <w:tcW w:w="1602" w:type="dxa"/>
            <w:tcBorders>
              <w:top w:val="nil"/>
              <w:left w:val="nil"/>
              <w:bottom w:val="single" w:sz="4" w:space="0" w:color="auto"/>
              <w:right w:val="single" w:sz="4" w:space="0" w:color="auto"/>
            </w:tcBorders>
            <w:shd w:val="clear" w:color="auto" w:fill="auto"/>
            <w:noWrap/>
            <w:vAlign w:val="center"/>
            <w:hideMark/>
          </w:tcPr>
          <w:p w14:paraId="33F568F4" w14:textId="190748A6"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143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323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922 </w:t>
            </w:r>
          </w:p>
        </w:tc>
        <w:tc>
          <w:tcPr>
            <w:tcW w:w="1418" w:type="dxa"/>
            <w:tcBorders>
              <w:top w:val="nil"/>
              <w:left w:val="nil"/>
              <w:bottom w:val="single" w:sz="4" w:space="0" w:color="auto"/>
              <w:right w:val="single" w:sz="4" w:space="0" w:color="auto"/>
            </w:tcBorders>
            <w:shd w:val="clear" w:color="auto" w:fill="auto"/>
            <w:noWrap/>
            <w:vAlign w:val="center"/>
            <w:hideMark/>
          </w:tcPr>
          <w:p w14:paraId="68C8151B" w14:textId="6DA97780"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433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239 </w:t>
            </w:r>
          </w:p>
        </w:tc>
      </w:tr>
      <w:tr w:rsidR="009A21D7" w:rsidRPr="00374360" w14:paraId="620D6B07" w14:textId="77777777" w:rsidTr="00C734CF">
        <w:trPr>
          <w:trHeight w:val="4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D3BD94F"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30</w:t>
            </w:r>
          </w:p>
        </w:tc>
        <w:tc>
          <w:tcPr>
            <w:tcW w:w="660" w:type="dxa"/>
            <w:tcBorders>
              <w:top w:val="nil"/>
              <w:left w:val="nil"/>
              <w:bottom w:val="single" w:sz="4" w:space="0" w:color="auto"/>
              <w:right w:val="single" w:sz="4" w:space="0" w:color="auto"/>
            </w:tcBorders>
            <w:shd w:val="clear" w:color="auto" w:fill="auto"/>
            <w:noWrap/>
            <w:vAlign w:val="center"/>
            <w:hideMark/>
          </w:tcPr>
          <w:p w14:paraId="1C0C8085"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24975</w:t>
            </w:r>
          </w:p>
        </w:tc>
        <w:tc>
          <w:tcPr>
            <w:tcW w:w="879" w:type="dxa"/>
            <w:tcBorders>
              <w:top w:val="nil"/>
              <w:left w:val="nil"/>
              <w:bottom w:val="single" w:sz="4" w:space="0" w:color="auto"/>
              <w:right w:val="single" w:sz="4" w:space="0" w:color="auto"/>
            </w:tcBorders>
            <w:shd w:val="clear" w:color="auto" w:fill="auto"/>
            <w:noWrap/>
            <w:vAlign w:val="center"/>
            <w:hideMark/>
          </w:tcPr>
          <w:p w14:paraId="26AB3979"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900038232</w:t>
            </w:r>
          </w:p>
        </w:tc>
        <w:tc>
          <w:tcPr>
            <w:tcW w:w="3913" w:type="dxa"/>
            <w:tcBorders>
              <w:top w:val="nil"/>
              <w:left w:val="nil"/>
              <w:bottom w:val="single" w:sz="4" w:space="0" w:color="auto"/>
              <w:right w:val="single" w:sz="4" w:space="0" w:color="auto"/>
            </w:tcBorders>
            <w:shd w:val="clear" w:color="auto" w:fill="auto"/>
            <w:vAlign w:val="center"/>
            <w:hideMark/>
          </w:tcPr>
          <w:p w14:paraId="11C8918E"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CENTRAL TERMOELECTRICA EL MORRO 2 SAS ESP</w:t>
            </w:r>
          </w:p>
        </w:tc>
        <w:tc>
          <w:tcPr>
            <w:tcW w:w="1602" w:type="dxa"/>
            <w:tcBorders>
              <w:top w:val="nil"/>
              <w:left w:val="nil"/>
              <w:bottom w:val="single" w:sz="4" w:space="0" w:color="auto"/>
              <w:right w:val="single" w:sz="4" w:space="0" w:color="auto"/>
            </w:tcBorders>
            <w:shd w:val="clear" w:color="auto" w:fill="auto"/>
            <w:noWrap/>
            <w:vAlign w:val="center"/>
            <w:hideMark/>
          </w:tcPr>
          <w:p w14:paraId="5684A9B6" w14:textId="477AD841"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288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158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169 </w:t>
            </w:r>
          </w:p>
        </w:tc>
        <w:tc>
          <w:tcPr>
            <w:tcW w:w="1418" w:type="dxa"/>
            <w:tcBorders>
              <w:top w:val="nil"/>
              <w:left w:val="nil"/>
              <w:bottom w:val="single" w:sz="4" w:space="0" w:color="auto"/>
              <w:right w:val="single" w:sz="4" w:space="0" w:color="auto"/>
            </w:tcBorders>
            <w:shd w:val="clear" w:color="auto" w:fill="auto"/>
            <w:noWrap/>
            <w:vAlign w:val="center"/>
            <w:hideMark/>
          </w:tcPr>
          <w:p w14:paraId="3A6F7CA4" w14:textId="6BA94F32"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881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582 </w:t>
            </w:r>
          </w:p>
        </w:tc>
      </w:tr>
      <w:tr w:rsidR="009A21D7" w:rsidRPr="00374360" w14:paraId="1A417706" w14:textId="77777777" w:rsidTr="00C734CF">
        <w:trPr>
          <w:trHeight w:val="4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7CFE860"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31</w:t>
            </w:r>
          </w:p>
        </w:tc>
        <w:tc>
          <w:tcPr>
            <w:tcW w:w="660" w:type="dxa"/>
            <w:tcBorders>
              <w:top w:val="nil"/>
              <w:left w:val="nil"/>
              <w:bottom w:val="single" w:sz="4" w:space="0" w:color="auto"/>
              <w:right w:val="single" w:sz="4" w:space="0" w:color="auto"/>
            </w:tcBorders>
            <w:shd w:val="clear" w:color="auto" w:fill="auto"/>
            <w:noWrap/>
            <w:vAlign w:val="center"/>
            <w:hideMark/>
          </w:tcPr>
          <w:p w14:paraId="3E1275E1"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520</w:t>
            </w:r>
          </w:p>
        </w:tc>
        <w:tc>
          <w:tcPr>
            <w:tcW w:w="879" w:type="dxa"/>
            <w:tcBorders>
              <w:top w:val="nil"/>
              <w:left w:val="nil"/>
              <w:bottom w:val="single" w:sz="4" w:space="0" w:color="auto"/>
              <w:right w:val="single" w:sz="4" w:space="0" w:color="auto"/>
            </w:tcBorders>
            <w:shd w:val="clear" w:color="auto" w:fill="auto"/>
            <w:noWrap/>
            <w:vAlign w:val="center"/>
            <w:hideMark/>
          </w:tcPr>
          <w:p w14:paraId="65410BC2"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891200200</w:t>
            </w:r>
          </w:p>
        </w:tc>
        <w:tc>
          <w:tcPr>
            <w:tcW w:w="3913" w:type="dxa"/>
            <w:tcBorders>
              <w:top w:val="nil"/>
              <w:left w:val="nil"/>
              <w:bottom w:val="single" w:sz="4" w:space="0" w:color="auto"/>
              <w:right w:val="single" w:sz="4" w:space="0" w:color="auto"/>
            </w:tcBorders>
            <w:shd w:val="clear" w:color="auto" w:fill="auto"/>
            <w:vAlign w:val="center"/>
            <w:hideMark/>
          </w:tcPr>
          <w:p w14:paraId="0B6CF536"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CENTRALES ELECTRICAS DE NARIÑO S.A. E.S.P.</w:t>
            </w:r>
          </w:p>
        </w:tc>
        <w:tc>
          <w:tcPr>
            <w:tcW w:w="1602" w:type="dxa"/>
            <w:tcBorders>
              <w:top w:val="nil"/>
              <w:left w:val="nil"/>
              <w:bottom w:val="single" w:sz="4" w:space="0" w:color="auto"/>
              <w:right w:val="single" w:sz="4" w:space="0" w:color="auto"/>
            </w:tcBorders>
            <w:shd w:val="clear" w:color="auto" w:fill="auto"/>
            <w:noWrap/>
            <w:vAlign w:val="center"/>
            <w:hideMark/>
          </w:tcPr>
          <w:p w14:paraId="6E07C306" w14:textId="4EC7082F"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20</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680</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667</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227 </w:t>
            </w:r>
          </w:p>
        </w:tc>
        <w:tc>
          <w:tcPr>
            <w:tcW w:w="1418" w:type="dxa"/>
            <w:tcBorders>
              <w:top w:val="nil"/>
              <w:left w:val="nil"/>
              <w:bottom w:val="single" w:sz="4" w:space="0" w:color="auto"/>
              <w:right w:val="single" w:sz="4" w:space="0" w:color="auto"/>
            </w:tcBorders>
            <w:shd w:val="clear" w:color="auto" w:fill="auto"/>
            <w:noWrap/>
            <w:vAlign w:val="center"/>
            <w:hideMark/>
          </w:tcPr>
          <w:p w14:paraId="3AD1B60A" w14:textId="11E725FE"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206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806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672 </w:t>
            </w:r>
          </w:p>
        </w:tc>
      </w:tr>
      <w:tr w:rsidR="009A21D7" w:rsidRPr="00374360" w14:paraId="104F43DF" w14:textId="77777777" w:rsidTr="00C734CF">
        <w:trPr>
          <w:trHeight w:val="4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C7FEF67"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32</w:t>
            </w:r>
          </w:p>
        </w:tc>
        <w:tc>
          <w:tcPr>
            <w:tcW w:w="660" w:type="dxa"/>
            <w:tcBorders>
              <w:top w:val="nil"/>
              <w:left w:val="nil"/>
              <w:bottom w:val="single" w:sz="4" w:space="0" w:color="auto"/>
              <w:right w:val="single" w:sz="4" w:space="0" w:color="auto"/>
            </w:tcBorders>
            <w:shd w:val="clear" w:color="auto" w:fill="auto"/>
            <w:noWrap/>
            <w:vAlign w:val="center"/>
            <w:hideMark/>
          </w:tcPr>
          <w:p w14:paraId="33103489"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604</w:t>
            </w:r>
          </w:p>
        </w:tc>
        <w:tc>
          <w:tcPr>
            <w:tcW w:w="879" w:type="dxa"/>
            <w:tcBorders>
              <w:top w:val="nil"/>
              <w:left w:val="nil"/>
              <w:bottom w:val="single" w:sz="4" w:space="0" w:color="auto"/>
              <w:right w:val="single" w:sz="4" w:space="0" w:color="auto"/>
            </w:tcBorders>
            <w:shd w:val="clear" w:color="auto" w:fill="auto"/>
            <w:noWrap/>
            <w:vAlign w:val="center"/>
            <w:hideMark/>
          </w:tcPr>
          <w:p w14:paraId="0FBC37C0"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890500514</w:t>
            </w:r>
          </w:p>
        </w:tc>
        <w:tc>
          <w:tcPr>
            <w:tcW w:w="3913" w:type="dxa"/>
            <w:tcBorders>
              <w:top w:val="nil"/>
              <w:left w:val="nil"/>
              <w:bottom w:val="single" w:sz="4" w:space="0" w:color="auto"/>
              <w:right w:val="single" w:sz="4" w:space="0" w:color="auto"/>
            </w:tcBorders>
            <w:shd w:val="clear" w:color="auto" w:fill="auto"/>
            <w:vAlign w:val="center"/>
            <w:hideMark/>
          </w:tcPr>
          <w:p w14:paraId="42B37B45"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CENTRALES ELECTRICAS DEL NORTE DE SANTANDER S.A. ESP</w:t>
            </w:r>
          </w:p>
        </w:tc>
        <w:tc>
          <w:tcPr>
            <w:tcW w:w="1602" w:type="dxa"/>
            <w:tcBorders>
              <w:top w:val="nil"/>
              <w:left w:val="nil"/>
              <w:bottom w:val="single" w:sz="4" w:space="0" w:color="auto"/>
              <w:right w:val="single" w:sz="4" w:space="0" w:color="auto"/>
            </w:tcBorders>
            <w:shd w:val="clear" w:color="auto" w:fill="auto"/>
            <w:noWrap/>
            <w:vAlign w:val="center"/>
            <w:hideMark/>
          </w:tcPr>
          <w:p w14:paraId="7A8CDA95" w14:textId="4491D35B"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48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670</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173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231 </w:t>
            </w:r>
          </w:p>
        </w:tc>
        <w:tc>
          <w:tcPr>
            <w:tcW w:w="1418" w:type="dxa"/>
            <w:tcBorders>
              <w:top w:val="nil"/>
              <w:left w:val="nil"/>
              <w:bottom w:val="single" w:sz="4" w:space="0" w:color="auto"/>
              <w:right w:val="single" w:sz="4" w:space="0" w:color="auto"/>
            </w:tcBorders>
            <w:shd w:val="clear" w:color="auto" w:fill="auto"/>
            <w:noWrap/>
            <w:vAlign w:val="center"/>
            <w:hideMark/>
          </w:tcPr>
          <w:p w14:paraId="08AA8224" w14:textId="67BE7DA6"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486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701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732 </w:t>
            </w:r>
          </w:p>
        </w:tc>
      </w:tr>
      <w:tr w:rsidR="009A21D7" w:rsidRPr="00374360" w14:paraId="37EB6034"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BEB7C9B"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33</w:t>
            </w:r>
          </w:p>
        </w:tc>
        <w:tc>
          <w:tcPr>
            <w:tcW w:w="660" w:type="dxa"/>
            <w:tcBorders>
              <w:top w:val="nil"/>
              <w:left w:val="nil"/>
              <w:bottom w:val="single" w:sz="4" w:space="0" w:color="auto"/>
              <w:right w:val="single" w:sz="4" w:space="0" w:color="auto"/>
            </w:tcBorders>
            <w:shd w:val="clear" w:color="auto" w:fill="auto"/>
            <w:noWrap/>
            <w:vAlign w:val="center"/>
            <w:hideMark/>
          </w:tcPr>
          <w:p w14:paraId="241821CC"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32197</w:t>
            </w:r>
          </w:p>
        </w:tc>
        <w:tc>
          <w:tcPr>
            <w:tcW w:w="879" w:type="dxa"/>
            <w:tcBorders>
              <w:top w:val="nil"/>
              <w:left w:val="nil"/>
              <w:bottom w:val="single" w:sz="4" w:space="0" w:color="auto"/>
              <w:right w:val="single" w:sz="4" w:space="0" w:color="auto"/>
            </w:tcBorders>
            <w:shd w:val="clear" w:color="auto" w:fill="auto"/>
            <w:noWrap/>
            <w:vAlign w:val="center"/>
            <w:hideMark/>
          </w:tcPr>
          <w:p w14:paraId="4CD560A2"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900460429</w:t>
            </w:r>
          </w:p>
        </w:tc>
        <w:tc>
          <w:tcPr>
            <w:tcW w:w="3913" w:type="dxa"/>
            <w:tcBorders>
              <w:top w:val="nil"/>
              <w:left w:val="nil"/>
              <w:bottom w:val="single" w:sz="4" w:space="0" w:color="auto"/>
              <w:right w:val="single" w:sz="4" w:space="0" w:color="auto"/>
            </w:tcBorders>
            <w:shd w:val="clear" w:color="auto" w:fill="auto"/>
            <w:vAlign w:val="center"/>
            <w:hideMark/>
          </w:tcPr>
          <w:p w14:paraId="30E8F24E"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CH SAN MIGUEL SAS ESP</w:t>
            </w:r>
          </w:p>
        </w:tc>
        <w:tc>
          <w:tcPr>
            <w:tcW w:w="1602" w:type="dxa"/>
            <w:tcBorders>
              <w:top w:val="nil"/>
              <w:left w:val="nil"/>
              <w:bottom w:val="single" w:sz="4" w:space="0" w:color="auto"/>
              <w:right w:val="single" w:sz="4" w:space="0" w:color="auto"/>
            </w:tcBorders>
            <w:shd w:val="clear" w:color="auto" w:fill="auto"/>
            <w:noWrap/>
            <w:vAlign w:val="center"/>
            <w:hideMark/>
          </w:tcPr>
          <w:p w14:paraId="73A470CD" w14:textId="2966338F"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506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526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207 </w:t>
            </w:r>
          </w:p>
        </w:tc>
        <w:tc>
          <w:tcPr>
            <w:tcW w:w="1418" w:type="dxa"/>
            <w:tcBorders>
              <w:top w:val="nil"/>
              <w:left w:val="nil"/>
              <w:bottom w:val="single" w:sz="4" w:space="0" w:color="auto"/>
              <w:right w:val="single" w:sz="4" w:space="0" w:color="auto"/>
            </w:tcBorders>
            <w:shd w:val="clear" w:color="auto" w:fill="auto"/>
            <w:noWrap/>
            <w:vAlign w:val="center"/>
            <w:hideMark/>
          </w:tcPr>
          <w:p w14:paraId="068859D8" w14:textId="076FD156"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15</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065</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262 </w:t>
            </w:r>
          </w:p>
        </w:tc>
      </w:tr>
      <w:tr w:rsidR="009A21D7" w:rsidRPr="00374360" w14:paraId="6C818240" w14:textId="77777777" w:rsidTr="00C734CF">
        <w:trPr>
          <w:trHeight w:val="4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BD66F39"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34</w:t>
            </w:r>
          </w:p>
        </w:tc>
        <w:tc>
          <w:tcPr>
            <w:tcW w:w="660" w:type="dxa"/>
            <w:tcBorders>
              <w:top w:val="nil"/>
              <w:left w:val="nil"/>
              <w:bottom w:val="single" w:sz="4" w:space="0" w:color="auto"/>
              <w:right w:val="single" w:sz="4" w:space="0" w:color="auto"/>
            </w:tcBorders>
            <w:shd w:val="clear" w:color="auto" w:fill="auto"/>
            <w:noWrap/>
            <w:vAlign w:val="center"/>
            <w:hideMark/>
          </w:tcPr>
          <w:p w14:paraId="4C75D0B9"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24869</w:t>
            </w:r>
          </w:p>
        </w:tc>
        <w:tc>
          <w:tcPr>
            <w:tcW w:w="879" w:type="dxa"/>
            <w:tcBorders>
              <w:top w:val="nil"/>
              <w:left w:val="nil"/>
              <w:bottom w:val="single" w:sz="4" w:space="0" w:color="auto"/>
              <w:right w:val="single" w:sz="4" w:space="0" w:color="auto"/>
            </w:tcBorders>
            <w:shd w:val="clear" w:color="auto" w:fill="auto"/>
            <w:noWrap/>
            <w:vAlign w:val="center"/>
            <w:hideMark/>
          </w:tcPr>
          <w:p w14:paraId="5ED51C13"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900396759</w:t>
            </w:r>
          </w:p>
        </w:tc>
        <w:tc>
          <w:tcPr>
            <w:tcW w:w="3913" w:type="dxa"/>
            <w:tcBorders>
              <w:top w:val="nil"/>
              <w:left w:val="nil"/>
              <w:bottom w:val="single" w:sz="4" w:space="0" w:color="auto"/>
              <w:right w:val="single" w:sz="4" w:space="0" w:color="auto"/>
            </w:tcBorders>
            <w:shd w:val="clear" w:color="auto" w:fill="auto"/>
            <w:vAlign w:val="center"/>
            <w:hideMark/>
          </w:tcPr>
          <w:p w14:paraId="30A3010F"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CHILCO DISTRIBUIDORA DE GAS Y ENERGIA SAS ESP</w:t>
            </w:r>
          </w:p>
        </w:tc>
        <w:tc>
          <w:tcPr>
            <w:tcW w:w="1602" w:type="dxa"/>
            <w:tcBorders>
              <w:top w:val="nil"/>
              <w:left w:val="nil"/>
              <w:bottom w:val="single" w:sz="4" w:space="0" w:color="auto"/>
              <w:right w:val="single" w:sz="4" w:space="0" w:color="auto"/>
            </w:tcBorders>
            <w:shd w:val="clear" w:color="auto" w:fill="auto"/>
            <w:noWrap/>
            <w:vAlign w:val="center"/>
            <w:hideMark/>
          </w:tcPr>
          <w:p w14:paraId="786C7576" w14:textId="50D4C532"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7</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202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386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392 </w:t>
            </w:r>
          </w:p>
        </w:tc>
        <w:tc>
          <w:tcPr>
            <w:tcW w:w="1418" w:type="dxa"/>
            <w:tcBorders>
              <w:top w:val="nil"/>
              <w:left w:val="nil"/>
              <w:bottom w:val="single" w:sz="4" w:space="0" w:color="auto"/>
              <w:right w:val="single" w:sz="4" w:space="0" w:color="auto"/>
            </w:tcBorders>
            <w:shd w:val="clear" w:color="auto" w:fill="auto"/>
            <w:noWrap/>
            <w:vAlign w:val="center"/>
            <w:hideMark/>
          </w:tcPr>
          <w:p w14:paraId="73E327F9" w14:textId="62B2FBB9"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72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023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864 </w:t>
            </w:r>
          </w:p>
        </w:tc>
      </w:tr>
      <w:tr w:rsidR="009A21D7" w:rsidRPr="00374360" w14:paraId="2C16ED91"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F6EC8C3"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35</w:t>
            </w:r>
          </w:p>
        </w:tc>
        <w:tc>
          <w:tcPr>
            <w:tcW w:w="660" w:type="dxa"/>
            <w:tcBorders>
              <w:top w:val="nil"/>
              <w:left w:val="nil"/>
              <w:bottom w:val="single" w:sz="4" w:space="0" w:color="auto"/>
              <w:right w:val="single" w:sz="4" w:space="0" w:color="auto"/>
            </w:tcBorders>
            <w:shd w:val="clear" w:color="auto" w:fill="auto"/>
            <w:noWrap/>
            <w:vAlign w:val="center"/>
            <w:hideMark/>
          </w:tcPr>
          <w:p w14:paraId="1818AFE4"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29131</w:t>
            </w:r>
          </w:p>
        </w:tc>
        <w:tc>
          <w:tcPr>
            <w:tcW w:w="879" w:type="dxa"/>
            <w:tcBorders>
              <w:top w:val="nil"/>
              <w:left w:val="nil"/>
              <w:bottom w:val="single" w:sz="4" w:space="0" w:color="auto"/>
              <w:right w:val="single" w:sz="4" w:space="0" w:color="auto"/>
            </w:tcBorders>
            <w:shd w:val="clear" w:color="auto" w:fill="auto"/>
            <w:noWrap/>
            <w:vAlign w:val="center"/>
            <w:hideMark/>
          </w:tcPr>
          <w:p w14:paraId="06208982"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900808884</w:t>
            </w:r>
          </w:p>
        </w:tc>
        <w:tc>
          <w:tcPr>
            <w:tcW w:w="3913" w:type="dxa"/>
            <w:tcBorders>
              <w:top w:val="nil"/>
              <w:left w:val="nil"/>
              <w:bottom w:val="single" w:sz="4" w:space="0" w:color="auto"/>
              <w:right w:val="single" w:sz="4" w:space="0" w:color="auto"/>
            </w:tcBorders>
            <w:shd w:val="clear" w:color="auto" w:fill="auto"/>
            <w:vAlign w:val="center"/>
            <w:hideMark/>
          </w:tcPr>
          <w:p w14:paraId="2948053D"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CHIPALO ENERGY TRADING SAS ESP</w:t>
            </w:r>
          </w:p>
        </w:tc>
        <w:tc>
          <w:tcPr>
            <w:tcW w:w="1602" w:type="dxa"/>
            <w:tcBorders>
              <w:top w:val="nil"/>
              <w:left w:val="nil"/>
              <w:bottom w:val="single" w:sz="4" w:space="0" w:color="auto"/>
              <w:right w:val="single" w:sz="4" w:space="0" w:color="auto"/>
            </w:tcBorders>
            <w:shd w:val="clear" w:color="auto" w:fill="auto"/>
            <w:noWrap/>
            <w:vAlign w:val="center"/>
            <w:hideMark/>
          </w:tcPr>
          <w:p w14:paraId="4AFDB3CD" w14:textId="0D9DFD9D"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394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720 </w:t>
            </w:r>
          </w:p>
        </w:tc>
        <w:tc>
          <w:tcPr>
            <w:tcW w:w="1418" w:type="dxa"/>
            <w:tcBorders>
              <w:top w:val="nil"/>
              <w:left w:val="nil"/>
              <w:bottom w:val="single" w:sz="4" w:space="0" w:color="auto"/>
              <w:right w:val="single" w:sz="4" w:space="0" w:color="auto"/>
            </w:tcBorders>
            <w:shd w:val="clear" w:color="auto" w:fill="auto"/>
            <w:noWrap/>
            <w:vAlign w:val="center"/>
            <w:hideMark/>
          </w:tcPr>
          <w:p w14:paraId="01E7939F" w14:textId="09281B7B"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323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947 </w:t>
            </w:r>
          </w:p>
        </w:tc>
      </w:tr>
      <w:tr w:rsidR="009A21D7" w:rsidRPr="00374360" w14:paraId="248A1387"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6A48D01"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36</w:t>
            </w:r>
          </w:p>
        </w:tc>
        <w:tc>
          <w:tcPr>
            <w:tcW w:w="660" w:type="dxa"/>
            <w:tcBorders>
              <w:top w:val="nil"/>
              <w:left w:val="nil"/>
              <w:bottom w:val="single" w:sz="4" w:space="0" w:color="auto"/>
              <w:right w:val="single" w:sz="4" w:space="0" w:color="auto"/>
            </w:tcBorders>
            <w:shd w:val="clear" w:color="auto" w:fill="auto"/>
            <w:noWrap/>
            <w:vAlign w:val="center"/>
            <w:hideMark/>
          </w:tcPr>
          <w:p w14:paraId="71C201C1"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20510</w:t>
            </w:r>
          </w:p>
        </w:tc>
        <w:tc>
          <w:tcPr>
            <w:tcW w:w="879" w:type="dxa"/>
            <w:tcBorders>
              <w:top w:val="nil"/>
              <w:left w:val="nil"/>
              <w:bottom w:val="single" w:sz="4" w:space="0" w:color="auto"/>
              <w:right w:val="single" w:sz="4" w:space="0" w:color="auto"/>
            </w:tcBorders>
            <w:shd w:val="clear" w:color="auto" w:fill="auto"/>
            <w:noWrap/>
            <w:vAlign w:val="center"/>
            <w:hideMark/>
          </w:tcPr>
          <w:p w14:paraId="3ACA3144"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900052841</w:t>
            </w:r>
          </w:p>
        </w:tc>
        <w:tc>
          <w:tcPr>
            <w:tcW w:w="3913" w:type="dxa"/>
            <w:tcBorders>
              <w:top w:val="nil"/>
              <w:left w:val="nil"/>
              <w:bottom w:val="single" w:sz="4" w:space="0" w:color="auto"/>
              <w:right w:val="single" w:sz="4" w:space="0" w:color="auto"/>
            </w:tcBorders>
            <w:shd w:val="clear" w:color="auto" w:fill="auto"/>
            <w:vAlign w:val="center"/>
            <w:hideMark/>
          </w:tcPr>
          <w:p w14:paraId="79D0C3C2"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CITYGAS COLOMBIA S.A. ESP.</w:t>
            </w:r>
          </w:p>
        </w:tc>
        <w:tc>
          <w:tcPr>
            <w:tcW w:w="1602" w:type="dxa"/>
            <w:tcBorders>
              <w:top w:val="nil"/>
              <w:left w:val="nil"/>
              <w:bottom w:val="single" w:sz="4" w:space="0" w:color="auto"/>
              <w:right w:val="single" w:sz="4" w:space="0" w:color="auto"/>
            </w:tcBorders>
            <w:shd w:val="clear" w:color="auto" w:fill="auto"/>
            <w:noWrap/>
            <w:vAlign w:val="center"/>
            <w:hideMark/>
          </w:tcPr>
          <w:p w14:paraId="58F2E34F" w14:textId="0117197A"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697</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672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785 </w:t>
            </w:r>
          </w:p>
        </w:tc>
        <w:tc>
          <w:tcPr>
            <w:tcW w:w="1418" w:type="dxa"/>
            <w:tcBorders>
              <w:top w:val="nil"/>
              <w:left w:val="nil"/>
              <w:bottom w:val="single" w:sz="4" w:space="0" w:color="auto"/>
              <w:right w:val="single" w:sz="4" w:space="0" w:color="auto"/>
            </w:tcBorders>
            <w:shd w:val="clear" w:color="auto" w:fill="auto"/>
            <w:noWrap/>
            <w:vAlign w:val="center"/>
            <w:hideMark/>
          </w:tcPr>
          <w:p w14:paraId="79073506" w14:textId="47F7D160"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976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728 </w:t>
            </w:r>
          </w:p>
        </w:tc>
      </w:tr>
      <w:tr w:rsidR="009A21D7" w:rsidRPr="00374360" w14:paraId="215C3D23"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01BEEB1"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37</w:t>
            </w:r>
          </w:p>
        </w:tc>
        <w:tc>
          <w:tcPr>
            <w:tcW w:w="660" w:type="dxa"/>
            <w:tcBorders>
              <w:top w:val="nil"/>
              <w:left w:val="nil"/>
              <w:bottom w:val="single" w:sz="4" w:space="0" w:color="auto"/>
              <w:right w:val="single" w:sz="4" w:space="0" w:color="auto"/>
            </w:tcBorders>
            <w:shd w:val="clear" w:color="auto" w:fill="auto"/>
            <w:noWrap/>
            <w:vAlign w:val="center"/>
            <w:hideMark/>
          </w:tcPr>
          <w:p w14:paraId="2AA0F589"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25939</w:t>
            </w:r>
          </w:p>
        </w:tc>
        <w:tc>
          <w:tcPr>
            <w:tcW w:w="879" w:type="dxa"/>
            <w:tcBorders>
              <w:top w:val="nil"/>
              <w:left w:val="nil"/>
              <w:bottom w:val="single" w:sz="4" w:space="0" w:color="auto"/>
              <w:right w:val="single" w:sz="4" w:space="0" w:color="auto"/>
            </w:tcBorders>
            <w:shd w:val="clear" w:color="auto" w:fill="auto"/>
            <w:noWrap/>
            <w:vAlign w:val="center"/>
            <w:hideMark/>
          </w:tcPr>
          <w:p w14:paraId="7BF85E8F"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900453463</w:t>
            </w:r>
          </w:p>
        </w:tc>
        <w:tc>
          <w:tcPr>
            <w:tcW w:w="3913" w:type="dxa"/>
            <w:tcBorders>
              <w:top w:val="nil"/>
              <w:left w:val="nil"/>
              <w:bottom w:val="single" w:sz="4" w:space="0" w:color="auto"/>
              <w:right w:val="single" w:sz="4" w:space="0" w:color="auto"/>
            </w:tcBorders>
            <w:shd w:val="clear" w:color="auto" w:fill="auto"/>
            <w:vAlign w:val="center"/>
            <w:hideMark/>
          </w:tcPr>
          <w:p w14:paraId="02509355"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CITYGAS DISTRIBUIDORA S.A.S. E.S.P</w:t>
            </w:r>
          </w:p>
        </w:tc>
        <w:tc>
          <w:tcPr>
            <w:tcW w:w="1602" w:type="dxa"/>
            <w:tcBorders>
              <w:top w:val="nil"/>
              <w:left w:val="nil"/>
              <w:bottom w:val="single" w:sz="4" w:space="0" w:color="auto"/>
              <w:right w:val="single" w:sz="4" w:space="0" w:color="auto"/>
            </w:tcBorders>
            <w:shd w:val="clear" w:color="auto" w:fill="auto"/>
            <w:noWrap/>
            <w:vAlign w:val="center"/>
            <w:hideMark/>
          </w:tcPr>
          <w:p w14:paraId="6830CF43" w14:textId="1E66559B"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278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140</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011 </w:t>
            </w:r>
          </w:p>
        </w:tc>
        <w:tc>
          <w:tcPr>
            <w:tcW w:w="1418" w:type="dxa"/>
            <w:tcBorders>
              <w:top w:val="nil"/>
              <w:left w:val="nil"/>
              <w:bottom w:val="single" w:sz="4" w:space="0" w:color="auto"/>
              <w:right w:val="single" w:sz="4" w:space="0" w:color="auto"/>
            </w:tcBorders>
            <w:shd w:val="clear" w:color="auto" w:fill="auto"/>
            <w:noWrap/>
            <w:vAlign w:val="center"/>
            <w:hideMark/>
          </w:tcPr>
          <w:p w14:paraId="338C1DB3" w14:textId="2EB3EF80"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781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400 </w:t>
            </w:r>
          </w:p>
        </w:tc>
      </w:tr>
      <w:tr w:rsidR="009A21D7" w:rsidRPr="00374360" w14:paraId="79138006"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AA22AC6"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38</w:t>
            </w:r>
          </w:p>
        </w:tc>
        <w:tc>
          <w:tcPr>
            <w:tcW w:w="660" w:type="dxa"/>
            <w:tcBorders>
              <w:top w:val="nil"/>
              <w:left w:val="nil"/>
              <w:bottom w:val="single" w:sz="4" w:space="0" w:color="auto"/>
              <w:right w:val="single" w:sz="4" w:space="0" w:color="auto"/>
            </w:tcBorders>
            <w:shd w:val="clear" w:color="auto" w:fill="auto"/>
            <w:noWrap/>
            <w:vAlign w:val="center"/>
            <w:hideMark/>
          </w:tcPr>
          <w:p w14:paraId="6A4FDD92"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31493</w:t>
            </w:r>
          </w:p>
        </w:tc>
        <w:tc>
          <w:tcPr>
            <w:tcW w:w="879" w:type="dxa"/>
            <w:tcBorders>
              <w:top w:val="nil"/>
              <w:left w:val="nil"/>
              <w:bottom w:val="single" w:sz="4" w:space="0" w:color="auto"/>
              <w:right w:val="single" w:sz="4" w:space="0" w:color="auto"/>
            </w:tcBorders>
            <w:shd w:val="clear" w:color="auto" w:fill="auto"/>
            <w:noWrap/>
            <w:vAlign w:val="center"/>
            <w:hideMark/>
          </w:tcPr>
          <w:p w14:paraId="14F41C9B"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900713658</w:t>
            </w:r>
          </w:p>
        </w:tc>
        <w:tc>
          <w:tcPr>
            <w:tcW w:w="3913" w:type="dxa"/>
            <w:tcBorders>
              <w:top w:val="nil"/>
              <w:left w:val="nil"/>
              <w:bottom w:val="single" w:sz="4" w:space="0" w:color="auto"/>
              <w:right w:val="single" w:sz="4" w:space="0" w:color="auto"/>
            </w:tcBorders>
            <w:shd w:val="clear" w:color="auto" w:fill="auto"/>
            <w:vAlign w:val="center"/>
            <w:hideMark/>
          </w:tcPr>
          <w:p w14:paraId="73FA35BB"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CNE OIL &amp; GAS SAS</w:t>
            </w:r>
          </w:p>
        </w:tc>
        <w:tc>
          <w:tcPr>
            <w:tcW w:w="1602" w:type="dxa"/>
            <w:tcBorders>
              <w:top w:val="nil"/>
              <w:left w:val="nil"/>
              <w:bottom w:val="single" w:sz="4" w:space="0" w:color="auto"/>
              <w:right w:val="single" w:sz="4" w:space="0" w:color="auto"/>
            </w:tcBorders>
            <w:shd w:val="clear" w:color="auto" w:fill="auto"/>
            <w:noWrap/>
            <w:vAlign w:val="center"/>
            <w:hideMark/>
          </w:tcPr>
          <w:p w14:paraId="60EC3573" w14:textId="6828F878"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40</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462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841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725 </w:t>
            </w:r>
          </w:p>
        </w:tc>
        <w:tc>
          <w:tcPr>
            <w:tcW w:w="1418" w:type="dxa"/>
            <w:tcBorders>
              <w:top w:val="nil"/>
              <w:left w:val="nil"/>
              <w:bottom w:val="single" w:sz="4" w:space="0" w:color="auto"/>
              <w:right w:val="single" w:sz="4" w:space="0" w:color="auto"/>
            </w:tcBorders>
            <w:shd w:val="clear" w:color="auto" w:fill="auto"/>
            <w:noWrap/>
            <w:vAlign w:val="center"/>
            <w:hideMark/>
          </w:tcPr>
          <w:p w14:paraId="60CB79FB" w14:textId="055B28CE"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404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628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417 </w:t>
            </w:r>
          </w:p>
        </w:tc>
      </w:tr>
      <w:tr w:rsidR="009A21D7" w:rsidRPr="00374360" w14:paraId="5B8AA8D8"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C237151"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39</w:t>
            </w:r>
          </w:p>
        </w:tc>
        <w:tc>
          <w:tcPr>
            <w:tcW w:w="660" w:type="dxa"/>
            <w:tcBorders>
              <w:top w:val="nil"/>
              <w:left w:val="nil"/>
              <w:bottom w:val="single" w:sz="4" w:space="0" w:color="auto"/>
              <w:right w:val="single" w:sz="4" w:space="0" w:color="auto"/>
            </w:tcBorders>
            <w:shd w:val="clear" w:color="auto" w:fill="auto"/>
            <w:noWrap/>
            <w:vAlign w:val="center"/>
            <w:hideMark/>
          </w:tcPr>
          <w:p w14:paraId="76BF3C77"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2103</w:t>
            </w:r>
          </w:p>
        </w:tc>
        <w:tc>
          <w:tcPr>
            <w:tcW w:w="879" w:type="dxa"/>
            <w:tcBorders>
              <w:top w:val="nil"/>
              <w:left w:val="nil"/>
              <w:bottom w:val="single" w:sz="4" w:space="0" w:color="auto"/>
              <w:right w:val="single" w:sz="4" w:space="0" w:color="auto"/>
            </w:tcBorders>
            <w:shd w:val="clear" w:color="auto" w:fill="auto"/>
            <w:noWrap/>
            <w:vAlign w:val="center"/>
            <w:hideMark/>
          </w:tcPr>
          <w:p w14:paraId="217F8DCE"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830037248</w:t>
            </w:r>
          </w:p>
        </w:tc>
        <w:tc>
          <w:tcPr>
            <w:tcW w:w="3913" w:type="dxa"/>
            <w:tcBorders>
              <w:top w:val="nil"/>
              <w:left w:val="nil"/>
              <w:bottom w:val="single" w:sz="4" w:space="0" w:color="auto"/>
              <w:right w:val="single" w:sz="4" w:space="0" w:color="auto"/>
            </w:tcBorders>
            <w:shd w:val="clear" w:color="auto" w:fill="auto"/>
            <w:vAlign w:val="center"/>
            <w:hideMark/>
          </w:tcPr>
          <w:p w14:paraId="356FD2F5"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CODENSA S.A. ESP</w:t>
            </w:r>
          </w:p>
        </w:tc>
        <w:tc>
          <w:tcPr>
            <w:tcW w:w="1602" w:type="dxa"/>
            <w:tcBorders>
              <w:top w:val="nil"/>
              <w:left w:val="nil"/>
              <w:bottom w:val="single" w:sz="4" w:space="0" w:color="auto"/>
              <w:right w:val="single" w:sz="4" w:space="0" w:color="auto"/>
            </w:tcBorders>
            <w:shd w:val="clear" w:color="auto" w:fill="auto"/>
            <w:noWrap/>
            <w:vAlign w:val="center"/>
            <w:hideMark/>
          </w:tcPr>
          <w:p w14:paraId="1DFCC08C" w14:textId="0E773F5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123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721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523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844 </w:t>
            </w:r>
          </w:p>
        </w:tc>
        <w:tc>
          <w:tcPr>
            <w:tcW w:w="1418" w:type="dxa"/>
            <w:tcBorders>
              <w:top w:val="nil"/>
              <w:left w:val="nil"/>
              <w:bottom w:val="single" w:sz="4" w:space="0" w:color="auto"/>
              <w:right w:val="single" w:sz="4" w:space="0" w:color="auto"/>
            </w:tcBorders>
            <w:shd w:val="clear" w:color="auto" w:fill="auto"/>
            <w:noWrap/>
            <w:vAlign w:val="center"/>
            <w:hideMark/>
          </w:tcPr>
          <w:p w14:paraId="04736F8A" w14:textId="21AD99E9"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237</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215</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238 </w:t>
            </w:r>
          </w:p>
        </w:tc>
      </w:tr>
      <w:tr w:rsidR="009A21D7" w:rsidRPr="00374360" w14:paraId="6B701546"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17C4AA5"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40</w:t>
            </w:r>
          </w:p>
        </w:tc>
        <w:tc>
          <w:tcPr>
            <w:tcW w:w="660" w:type="dxa"/>
            <w:tcBorders>
              <w:top w:val="nil"/>
              <w:left w:val="nil"/>
              <w:bottom w:val="single" w:sz="4" w:space="0" w:color="auto"/>
              <w:right w:val="single" w:sz="4" w:space="0" w:color="auto"/>
            </w:tcBorders>
            <w:shd w:val="clear" w:color="auto" w:fill="auto"/>
            <w:noWrap/>
            <w:vAlign w:val="center"/>
            <w:hideMark/>
          </w:tcPr>
          <w:p w14:paraId="48489686"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20612</w:t>
            </w:r>
          </w:p>
        </w:tc>
        <w:tc>
          <w:tcPr>
            <w:tcW w:w="879" w:type="dxa"/>
            <w:tcBorders>
              <w:top w:val="nil"/>
              <w:left w:val="nil"/>
              <w:bottom w:val="single" w:sz="4" w:space="0" w:color="auto"/>
              <w:right w:val="single" w:sz="4" w:space="0" w:color="auto"/>
            </w:tcBorders>
            <w:shd w:val="clear" w:color="auto" w:fill="auto"/>
            <w:noWrap/>
            <w:vAlign w:val="center"/>
            <w:hideMark/>
          </w:tcPr>
          <w:p w14:paraId="23C372D1"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900076284</w:t>
            </w:r>
          </w:p>
        </w:tc>
        <w:tc>
          <w:tcPr>
            <w:tcW w:w="3913" w:type="dxa"/>
            <w:tcBorders>
              <w:top w:val="nil"/>
              <w:left w:val="nil"/>
              <w:bottom w:val="single" w:sz="4" w:space="0" w:color="auto"/>
              <w:right w:val="single" w:sz="4" w:space="0" w:color="auto"/>
            </w:tcBorders>
            <w:shd w:val="clear" w:color="auto" w:fill="auto"/>
            <w:vAlign w:val="center"/>
            <w:hideMark/>
          </w:tcPr>
          <w:p w14:paraId="1C187121"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COENERSA S.A.S E.S.P.</w:t>
            </w:r>
          </w:p>
        </w:tc>
        <w:tc>
          <w:tcPr>
            <w:tcW w:w="1602" w:type="dxa"/>
            <w:tcBorders>
              <w:top w:val="nil"/>
              <w:left w:val="nil"/>
              <w:bottom w:val="single" w:sz="4" w:space="0" w:color="auto"/>
              <w:right w:val="single" w:sz="4" w:space="0" w:color="auto"/>
            </w:tcBorders>
            <w:shd w:val="clear" w:color="auto" w:fill="auto"/>
            <w:noWrap/>
            <w:vAlign w:val="center"/>
            <w:hideMark/>
          </w:tcPr>
          <w:p w14:paraId="70B8B11D" w14:textId="1AB2F562"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159</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287</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404 </w:t>
            </w:r>
          </w:p>
        </w:tc>
        <w:tc>
          <w:tcPr>
            <w:tcW w:w="1418" w:type="dxa"/>
            <w:tcBorders>
              <w:top w:val="nil"/>
              <w:left w:val="nil"/>
              <w:bottom w:val="single" w:sz="4" w:space="0" w:color="auto"/>
              <w:right w:val="single" w:sz="4" w:space="0" w:color="auto"/>
            </w:tcBorders>
            <w:shd w:val="clear" w:color="auto" w:fill="auto"/>
            <w:noWrap/>
            <w:vAlign w:val="center"/>
            <w:hideMark/>
          </w:tcPr>
          <w:p w14:paraId="786F933A" w14:textId="0A131FAD"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592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874 </w:t>
            </w:r>
          </w:p>
        </w:tc>
      </w:tr>
      <w:tr w:rsidR="009A21D7" w:rsidRPr="00374360" w14:paraId="23A7C349"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5ED0C59"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41</w:t>
            </w:r>
          </w:p>
        </w:tc>
        <w:tc>
          <w:tcPr>
            <w:tcW w:w="660" w:type="dxa"/>
            <w:tcBorders>
              <w:top w:val="nil"/>
              <w:left w:val="nil"/>
              <w:bottom w:val="single" w:sz="4" w:space="0" w:color="auto"/>
              <w:right w:val="single" w:sz="4" w:space="0" w:color="auto"/>
            </w:tcBorders>
            <w:shd w:val="clear" w:color="auto" w:fill="auto"/>
            <w:noWrap/>
            <w:vAlign w:val="center"/>
            <w:hideMark/>
          </w:tcPr>
          <w:p w14:paraId="31FF9E28"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21002</w:t>
            </w:r>
          </w:p>
        </w:tc>
        <w:tc>
          <w:tcPr>
            <w:tcW w:w="879" w:type="dxa"/>
            <w:tcBorders>
              <w:top w:val="nil"/>
              <w:left w:val="nil"/>
              <w:bottom w:val="single" w:sz="4" w:space="0" w:color="auto"/>
              <w:right w:val="single" w:sz="4" w:space="0" w:color="auto"/>
            </w:tcBorders>
            <w:shd w:val="clear" w:color="auto" w:fill="auto"/>
            <w:noWrap/>
            <w:vAlign w:val="center"/>
            <w:hideMark/>
          </w:tcPr>
          <w:p w14:paraId="3663269E"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900100553</w:t>
            </w:r>
          </w:p>
        </w:tc>
        <w:tc>
          <w:tcPr>
            <w:tcW w:w="3913" w:type="dxa"/>
            <w:tcBorders>
              <w:top w:val="nil"/>
              <w:left w:val="nil"/>
              <w:bottom w:val="single" w:sz="4" w:space="0" w:color="auto"/>
              <w:right w:val="single" w:sz="4" w:space="0" w:color="auto"/>
            </w:tcBorders>
            <w:shd w:val="clear" w:color="auto" w:fill="auto"/>
            <w:vAlign w:val="center"/>
            <w:hideMark/>
          </w:tcPr>
          <w:p w14:paraId="14CD5D2F"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COINOBRAS GAS S.A. ESP</w:t>
            </w:r>
          </w:p>
        </w:tc>
        <w:tc>
          <w:tcPr>
            <w:tcW w:w="1602" w:type="dxa"/>
            <w:tcBorders>
              <w:top w:val="nil"/>
              <w:left w:val="nil"/>
              <w:bottom w:val="single" w:sz="4" w:space="0" w:color="auto"/>
              <w:right w:val="single" w:sz="4" w:space="0" w:color="auto"/>
            </w:tcBorders>
            <w:shd w:val="clear" w:color="auto" w:fill="auto"/>
            <w:noWrap/>
            <w:vAlign w:val="center"/>
            <w:hideMark/>
          </w:tcPr>
          <w:p w14:paraId="257C8920" w14:textId="74745462"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647</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873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488 </w:t>
            </w:r>
          </w:p>
        </w:tc>
        <w:tc>
          <w:tcPr>
            <w:tcW w:w="1418" w:type="dxa"/>
            <w:tcBorders>
              <w:top w:val="nil"/>
              <w:left w:val="nil"/>
              <w:bottom w:val="single" w:sz="4" w:space="0" w:color="auto"/>
              <w:right w:val="single" w:sz="4" w:space="0" w:color="auto"/>
            </w:tcBorders>
            <w:shd w:val="clear" w:color="auto" w:fill="auto"/>
            <w:noWrap/>
            <w:vAlign w:val="center"/>
            <w:hideMark/>
          </w:tcPr>
          <w:p w14:paraId="35A55B2E" w14:textId="2DD61C94"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478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735 </w:t>
            </w:r>
          </w:p>
        </w:tc>
      </w:tr>
      <w:tr w:rsidR="009A21D7" w:rsidRPr="00374360" w14:paraId="3F3F0282"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5FB9D9C"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lastRenderedPageBreak/>
              <w:t>42</w:t>
            </w:r>
          </w:p>
        </w:tc>
        <w:tc>
          <w:tcPr>
            <w:tcW w:w="660" w:type="dxa"/>
            <w:tcBorders>
              <w:top w:val="nil"/>
              <w:left w:val="nil"/>
              <w:bottom w:val="single" w:sz="4" w:space="0" w:color="auto"/>
              <w:right w:val="single" w:sz="4" w:space="0" w:color="auto"/>
            </w:tcBorders>
            <w:shd w:val="clear" w:color="auto" w:fill="auto"/>
            <w:noWrap/>
            <w:vAlign w:val="center"/>
            <w:hideMark/>
          </w:tcPr>
          <w:p w14:paraId="50DA5E8F"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23390</w:t>
            </w:r>
          </w:p>
        </w:tc>
        <w:tc>
          <w:tcPr>
            <w:tcW w:w="879" w:type="dxa"/>
            <w:tcBorders>
              <w:top w:val="nil"/>
              <w:left w:val="nil"/>
              <w:bottom w:val="single" w:sz="4" w:space="0" w:color="auto"/>
              <w:right w:val="single" w:sz="4" w:space="0" w:color="auto"/>
            </w:tcBorders>
            <w:shd w:val="clear" w:color="auto" w:fill="auto"/>
            <w:noWrap/>
            <w:vAlign w:val="center"/>
            <w:hideMark/>
          </w:tcPr>
          <w:p w14:paraId="646A7B93"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900282813</w:t>
            </w:r>
          </w:p>
        </w:tc>
        <w:tc>
          <w:tcPr>
            <w:tcW w:w="3913" w:type="dxa"/>
            <w:tcBorders>
              <w:top w:val="nil"/>
              <w:left w:val="nil"/>
              <w:bottom w:val="single" w:sz="4" w:space="0" w:color="auto"/>
              <w:right w:val="single" w:sz="4" w:space="0" w:color="auto"/>
            </w:tcBorders>
            <w:shd w:val="clear" w:color="auto" w:fill="auto"/>
            <w:vAlign w:val="center"/>
            <w:hideMark/>
          </w:tcPr>
          <w:p w14:paraId="64139842"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COLENERGIA S.A.  ESP</w:t>
            </w:r>
          </w:p>
        </w:tc>
        <w:tc>
          <w:tcPr>
            <w:tcW w:w="1602" w:type="dxa"/>
            <w:tcBorders>
              <w:top w:val="nil"/>
              <w:left w:val="nil"/>
              <w:bottom w:val="single" w:sz="4" w:space="0" w:color="auto"/>
              <w:right w:val="single" w:sz="4" w:space="0" w:color="auto"/>
            </w:tcBorders>
            <w:shd w:val="clear" w:color="auto" w:fill="auto"/>
            <w:noWrap/>
            <w:vAlign w:val="center"/>
            <w:hideMark/>
          </w:tcPr>
          <w:p w14:paraId="5EC4FE5B" w14:textId="61F0F859"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372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995</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663 </w:t>
            </w:r>
          </w:p>
        </w:tc>
        <w:tc>
          <w:tcPr>
            <w:tcW w:w="1418" w:type="dxa"/>
            <w:tcBorders>
              <w:top w:val="nil"/>
              <w:left w:val="nil"/>
              <w:bottom w:val="single" w:sz="4" w:space="0" w:color="auto"/>
              <w:right w:val="single" w:sz="4" w:space="0" w:color="auto"/>
            </w:tcBorders>
            <w:shd w:val="clear" w:color="auto" w:fill="auto"/>
            <w:noWrap/>
            <w:vAlign w:val="center"/>
            <w:hideMark/>
          </w:tcPr>
          <w:p w14:paraId="465ED5DB" w14:textId="19796A55"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729</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957 </w:t>
            </w:r>
          </w:p>
        </w:tc>
      </w:tr>
      <w:tr w:rsidR="009A21D7" w:rsidRPr="00374360" w14:paraId="5DC7A97E" w14:textId="77777777" w:rsidTr="00C734CF">
        <w:trPr>
          <w:trHeight w:val="4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F5007CC"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43</w:t>
            </w:r>
          </w:p>
        </w:tc>
        <w:tc>
          <w:tcPr>
            <w:tcW w:w="660" w:type="dxa"/>
            <w:tcBorders>
              <w:top w:val="nil"/>
              <w:left w:val="nil"/>
              <w:bottom w:val="single" w:sz="4" w:space="0" w:color="auto"/>
              <w:right w:val="single" w:sz="4" w:space="0" w:color="auto"/>
            </w:tcBorders>
            <w:shd w:val="clear" w:color="auto" w:fill="auto"/>
            <w:noWrap/>
            <w:vAlign w:val="center"/>
            <w:hideMark/>
          </w:tcPr>
          <w:p w14:paraId="6C47FD64"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37354</w:t>
            </w:r>
          </w:p>
        </w:tc>
        <w:tc>
          <w:tcPr>
            <w:tcW w:w="879" w:type="dxa"/>
            <w:tcBorders>
              <w:top w:val="nil"/>
              <w:left w:val="nil"/>
              <w:bottom w:val="single" w:sz="4" w:space="0" w:color="auto"/>
              <w:right w:val="single" w:sz="4" w:space="0" w:color="auto"/>
            </w:tcBorders>
            <w:shd w:val="clear" w:color="auto" w:fill="auto"/>
            <w:noWrap/>
            <w:vAlign w:val="center"/>
            <w:hideMark/>
          </w:tcPr>
          <w:p w14:paraId="20D0CEE8"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900716459</w:t>
            </w:r>
          </w:p>
        </w:tc>
        <w:tc>
          <w:tcPr>
            <w:tcW w:w="3913" w:type="dxa"/>
            <w:tcBorders>
              <w:top w:val="nil"/>
              <w:left w:val="nil"/>
              <w:bottom w:val="single" w:sz="4" w:space="0" w:color="auto"/>
              <w:right w:val="single" w:sz="4" w:space="0" w:color="auto"/>
            </w:tcBorders>
            <w:shd w:val="clear" w:color="auto" w:fill="auto"/>
            <w:vAlign w:val="center"/>
            <w:hideMark/>
          </w:tcPr>
          <w:p w14:paraId="059E4B37"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COLOMBIANA DE SERVICIOS PÚBLICOS SOSTENIBLES S.A E.S.P</w:t>
            </w:r>
          </w:p>
        </w:tc>
        <w:tc>
          <w:tcPr>
            <w:tcW w:w="1602" w:type="dxa"/>
            <w:tcBorders>
              <w:top w:val="nil"/>
              <w:left w:val="nil"/>
              <w:bottom w:val="single" w:sz="4" w:space="0" w:color="auto"/>
              <w:right w:val="single" w:sz="4" w:space="0" w:color="auto"/>
            </w:tcBorders>
            <w:shd w:val="clear" w:color="auto" w:fill="auto"/>
            <w:noWrap/>
            <w:vAlign w:val="center"/>
            <w:hideMark/>
          </w:tcPr>
          <w:p w14:paraId="24B8218C" w14:textId="51775C71"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144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986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003 </w:t>
            </w:r>
          </w:p>
        </w:tc>
        <w:tc>
          <w:tcPr>
            <w:tcW w:w="1418" w:type="dxa"/>
            <w:tcBorders>
              <w:top w:val="nil"/>
              <w:left w:val="nil"/>
              <w:bottom w:val="single" w:sz="4" w:space="0" w:color="auto"/>
              <w:right w:val="single" w:sz="4" w:space="0" w:color="auto"/>
            </w:tcBorders>
            <w:shd w:val="clear" w:color="auto" w:fill="auto"/>
            <w:noWrap/>
            <w:vAlign w:val="center"/>
            <w:hideMark/>
          </w:tcPr>
          <w:p w14:paraId="46EBC3E9" w14:textId="6B222F31"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449</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860 </w:t>
            </w:r>
          </w:p>
        </w:tc>
      </w:tr>
      <w:tr w:rsidR="009A21D7" w:rsidRPr="00374360" w14:paraId="6F4B56FA"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FBE3D89"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44</w:t>
            </w:r>
          </w:p>
        </w:tc>
        <w:tc>
          <w:tcPr>
            <w:tcW w:w="660" w:type="dxa"/>
            <w:tcBorders>
              <w:top w:val="nil"/>
              <w:left w:val="nil"/>
              <w:bottom w:val="single" w:sz="4" w:space="0" w:color="auto"/>
              <w:right w:val="single" w:sz="4" w:space="0" w:color="auto"/>
            </w:tcBorders>
            <w:shd w:val="clear" w:color="auto" w:fill="auto"/>
            <w:noWrap/>
            <w:vAlign w:val="center"/>
            <w:hideMark/>
          </w:tcPr>
          <w:p w14:paraId="504B86C9"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32793</w:t>
            </w:r>
          </w:p>
        </w:tc>
        <w:tc>
          <w:tcPr>
            <w:tcW w:w="879" w:type="dxa"/>
            <w:tcBorders>
              <w:top w:val="nil"/>
              <w:left w:val="nil"/>
              <w:bottom w:val="single" w:sz="4" w:space="0" w:color="auto"/>
              <w:right w:val="single" w:sz="4" w:space="0" w:color="auto"/>
            </w:tcBorders>
            <w:shd w:val="clear" w:color="auto" w:fill="auto"/>
            <w:noWrap/>
            <w:vAlign w:val="center"/>
            <w:hideMark/>
          </w:tcPr>
          <w:p w14:paraId="7C7EBAF0"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900863649</w:t>
            </w:r>
          </w:p>
        </w:tc>
        <w:tc>
          <w:tcPr>
            <w:tcW w:w="3913" w:type="dxa"/>
            <w:tcBorders>
              <w:top w:val="nil"/>
              <w:left w:val="nil"/>
              <w:bottom w:val="single" w:sz="4" w:space="0" w:color="auto"/>
              <w:right w:val="single" w:sz="4" w:space="0" w:color="auto"/>
            </w:tcBorders>
            <w:shd w:val="clear" w:color="auto" w:fill="auto"/>
            <w:vAlign w:val="center"/>
            <w:hideMark/>
          </w:tcPr>
          <w:p w14:paraId="24D674F0"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COLOMBOGAS S.A.S. E.S.P.</w:t>
            </w:r>
          </w:p>
        </w:tc>
        <w:tc>
          <w:tcPr>
            <w:tcW w:w="1602" w:type="dxa"/>
            <w:tcBorders>
              <w:top w:val="nil"/>
              <w:left w:val="nil"/>
              <w:bottom w:val="single" w:sz="4" w:space="0" w:color="auto"/>
              <w:right w:val="single" w:sz="4" w:space="0" w:color="auto"/>
            </w:tcBorders>
            <w:shd w:val="clear" w:color="auto" w:fill="auto"/>
            <w:noWrap/>
            <w:vAlign w:val="center"/>
            <w:hideMark/>
          </w:tcPr>
          <w:p w14:paraId="5250D674" w14:textId="77FA1EAA"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204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110</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364 </w:t>
            </w:r>
          </w:p>
        </w:tc>
        <w:tc>
          <w:tcPr>
            <w:tcW w:w="1418" w:type="dxa"/>
            <w:tcBorders>
              <w:top w:val="nil"/>
              <w:left w:val="nil"/>
              <w:bottom w:val="single" w:sz="4" w:space="0" w:color="auto"/>
              <w:right w:val="single" w:sz="4" w:space="0" w:color="auto"/>
            </w:tcBorders>
            <w:shd w:val="clear" w:color="auto" w:fill="auto"/>
            <w:noWrap/>
            <w:vAlign w:val="center"/>
            <w:hideMark/>
          </w:tcPr>
          <w:p w14:paraId="024013FC" w14:textId="01FA3CC6"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041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104 </w:t>
            </w:r>
          </w:p>
        </w:tc>
      </w:tr>
      <w:tr w:rsidR="009A21D7" w:rsidRPr="00374360" w14:paraId="2FB02834" w14:textId="77777777" w:rsidTr="00C734CF">
        <w:trPr>
          <w:trHeight w:val="4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854AA03"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45</w:t>
            </w:r>
          </w:p>
        </w:tc>
        <w:tc>
          <w:tcPr>
            <w:tcW w:w="660" w:type="dxa"/>
            <w:tcBorders>
              <w:top w:val="nil"/>
              <w:left w:val="nil"/>
              <w:bottom w:val="single" w:sz="4" w:space="0" w:color="auto"/>
              <w:right w:val="single" w:sz="4" w:space="0" w:color="auto"/>
            </w:tcBorders>
            <w:shd w:val="clear" w:color="auto" w:fill="auto"/>
            <w:noWrap/>
            <w:vAlign w:val="center"/>
            <w:hideMark/>
          </w:tcPr>
          <w:p w14:paraId="230B02F1"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22818</w:t>
            </w:r>
          </w:p>
        </w:tc>
        <w:tc>
          <w:tcPr>
            <w:tcW w:w="879" w:type="dxa"/>
            <w:tcBorders>
              <w:top w:val="nil"/>
              <w:left w:val="nil"/>
              <w:bottom w:val="single" w:sz="4" w:space="0" w:color="auto"/>
              <w:right w:val="single" w:sz="4" w:space="0" w:color="auto"/>
            </w:tcBorders>
            <w:shd w:val="clear" w:color="auto" w:fill="auto"/>
            <w:noWrap/>
            <w:vAlign w:val="center"/>
            <w:hideMark/>
          </w:tcPr>
          <w:p w14:paraId="787CA6D2"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900175830</w:t>
            </w:r>
          </w:p>
        </w:tc>
        <w:tc>
          <w:tcPr>
            <w:tcW w:w="3913" w:type="dxa"/>
            <w:tcBorders>
              <w:top w:val="nil"/>
              <w:left w:val="nil"/>
              <w:bottom w:val="single" w:sz="4" w:space="0" w:color="auto"/>
              <w:right w:val="single" w:sz="4" w:space="0" w:color="auto"/>
            </w:tcBorders>
            <w:shd w:val="clear" w:color="auto" w:fill="auto"/>
            <w:vAlign w:val="center"/>
            <w:hideMark/>
          </w:tcPr>
          <w:p w14:paraId="6118CD3C"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COMBUSTIBLES LÍQUIDOS DE COLOMBIA S.A. E.S.P. </w:t>
            </w:r>
          </w:p>
        </w:tc>
        <w:tc>
          <w:tcPr>
            <w:tcW w:w="1602" w:type="dxa"/>
            <w:tcBorders>
              <w:top w:val="nil"/>
              <w:left w:val="nil"/>
              <w:bottom w:val="single" w:sz="4" w:space="0" w:color="auto"/>
              <w:right w:val="single" w:sz="4" w:space="0" w:color="auto"/>
            </w:tcBorders>
            <w:shd w:val="clear" w:color="auto" w:fill="auto"/>
            <w:noWrap/>
            <w:vAlign w:val="center"/>
            <w:hideMark/>
          </w:tcPr>
          <w:p w14:paraId="0F8655E2" w14:textId="6CD0F7B5"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141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706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214 </w:t>
            </w:r>
          </w:p>
        </w:tc>
        <w:tc>
          <w:tcPr>
            <w:tcW w:w="1418" w:type="dxa"/>
            <w:tcBorders>
              <w:top w:val="nil"/>
              <w:left w:val="nil"/>
              <w:bottom w:val="single" w:sz="4" w:space="0" w:color="auto"/>
              <w:right w:val="single" w:sz="4" w:space="0" w:color="auto"/>
            </w:tcBorders>
            <w:shd w:val="clear" w:color="auto" w:fill="auto"/>
            <w:noWrap/>
            <w:vAlign w:val="center"/>
            <w:hideMark/>
          </w:tcPr>
          <w:p w14:paraId="2F9985D6" w14:textId="1D35AA24"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417</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062 </w:t>
            </w:r>
          </w:p>
        </w:tc>
      </w:tr>
      <w:tr w:rsidR="009A21D7" w:rsidRPr="00374360" w14:paraId="0CEF658C" w14:textId="77777777" w:rsidTr="00C734CF">
        <w:trPr>
          <w:trHeight w:val="4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40314FB"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46</w:t>
            </w:r>
          </w:p>
        </w:tc>
        <w:tc>
          <w:tcPr>
            <w:tcW w:w="660" w:type="dxa"/>
            <w:tcBorders>
              <w:top w:val="nil"/>
              <w:left w:val="nil"/>
              <w:bottom w:val="single" w:sz="4" w:space="0" w:color="auto"/>
              <w:right w:val="single" w:sz="4" w:space="0" w:color="auto"/>
            </w:tcBorders>
            <w:shd w:val="clear" w:color="auto" w:fill="auto"/>
            <w:noWrap/>
            <w:vAlign w:val="center"/>
            <w:hideMark/>
          </w:tcPr>
          <w:p w14:paraId="55489C9A"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26857</w:t>
            </w:r>
          </w:p>
        </w:tc>
        <w:tc>
          <w:tcPr>
            <w:tcW w:w="879" w:type="dxa"/>
            <w:tcBorders>
              <w:top w:val="nil"/>
              <w:left w:val="nil"/>
              <w:bottom w:val="single" w:sz="4" w:space="0" w:color="auto"/>
              <w:right w:val="single" w:sz="4" w:space="0" w:color="auto"/>
            </w:tcBorders>
            <w:shd w:val="clear" w:color="auto" w:fill="auto"/>
            <w:noWrap/>
            <w:vAlign w:val="center"/>
            <w:hideMark/>
          </w:tcPr>
          <w:p w14:paraId="5DAC9B5B"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900716800</w:t>
            </w:r>
          </w:p>
        </w:tc>
        <w:tc>
          <w:tcPr>
            <w:tcW w:w="3913" w:type="dxa"/>
            <w:tcBorders>
              <w:top w:val="nil"/>
              <w:left w:val="nil"/>
              <w:bottom w:val="single" w:sz="4" w:space="0" w:color="auto"/>
              <w:right w:val="single" w:sz="4" w:space="0" w:color="auto"/>
            </w:tcBorders>
            <w:shd w:val="clear" w:color="auto" w:fill="auto"/>
            <w:vAlign w:val="center"/>
            <w:hideMark/>
          </w:tcPr>
          <w:p w14:paraId="41D0E2FA"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COMERCIALIZADORA CENTRO ORIENTE S.A. E.S.P.</w:t>
            </w:r>
          </w:p>
        </w:tc>
        <w:tc>
          <w:tcPr>
            <w:tcW w:w="1602" w:type="dxa"/>
            <w:tcBorders>
              <w:top w:val="nil"/>
              <w:left w:val="nil"/>
              <w:bottom w:val="single" w:sz="4" w:space="0" w:color="auto"/>
              <w:right w:val="single" w:sz="4" w:space="0" w:color="auto"/>
            </w:tcBorders>
            <w:shd w:val="clear" w:color="auto" w:fill="auto"/>
            <w:noWrap/>
            <w:vAlign w:val="center"/>
            <w:hideMark/>
          </w:tcPr>
          <w:p w14:paraId="05A06066" w14:textId="73F8BB1A"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344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576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170 </w:t>
            </w:r>
          </w:p>
        </w:tc>
        <w:tc>
          <w:tcPr>
            <w:tcW w:w="1418" w:type="dxa"/>
            <w:tcBorders>
              <w:top w:val="nil"/>
              <w:left w:val="nil"/>
              <w:bottom w:val="single" w:sz="4" w:space="0" w:color="auto"/>
              <w:right w:val="single" w:sz="4" w:space="0" w:color="auto"/>
            </w:tcBorders>
            <w:shd w:val="clear" w:color="auto" w:fill="auto"/>
            <w:noWrap/>
            <w:vAlign w:val="center"/>
            <w:hideMark/>
          </w:tcPr>
          <w:p w14:paraId="749ED8C8" w14:textId="59502DC5"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445</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762 </w:t>
            </w:r>
          </w:p>
        </w:tc>
      </w:tr>
      <w:tr w:rsidR="009A21D7" w:rsidRPr="00374360" w14:paraId="31295411" w14:textId="77777777" w:rsidTr="00C734CF">
        <w:trPr>
          <w:trHeight w:val="4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7176D1F"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47</w:t>
            </w:r>
          </w:p>
        </w:tc>
        <w:tc>
          <w:tcPr>
            <w:tcW w:w="660" w:type="dxa"/>
            <w:tcBorders>
              <w:top w:val="nil"/>
              <w:left w:val="nil"/>
              <w:bottom w:val="single" w:sz="4" w:space="0" w:color="auto"/>
              <w:right w:val="single" w:sz="4" w:space="0" w:color="auto"/>
            </w:tcBorders>
            <w:shd w:val="clear" w:color="auto" w:fill="auto"/>
            <w:noWrap/>
            <w:vAlign w:val="center"/>
            <w:hideMark/>
          </w:tcPr>
          <w:p w14:paraId="38C2201E"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26237</w:t>
            </w:r>
          </w:p>
        </w:tc>
        <w:tc>
          <w:tcPr>
            <w:tcW w:w="879" w:type="dxa"/>
            <w:tcBorders>
              <w:top w:val="nil"/>
              <w:left w:val="nil"/>
              <w:bottom w:val="single" w:sz="4" w:space="0" w:color="auto"/>
              <w:right w:val="single" w:sz="4" w:space="0" w:color="auto"/>
            </w:tcBorders>
            <w:shd w:val="clear" w:color="auto" w:fill="auto"/>
            <w:noWrap/>
            <w:vAlign w:val="center"/>
            <w:hideMark/>
          </w:tcPr>
          <w:p w14:paraId="0A570148"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900572958</w:t>
            </w:r>
          </w:p>
        </w:tc>
        <w:tc>
          <w:tcPr>
            <w:tcW w:w="3913" w:type="dxa"/>
            <w:tcBorders>
              <w:top w:val="nil"/>
              <w:left w:val="nil"/>
              <w:bottom w:val="single" w:sz="4" w:space="0" w:color="auto"/>
              <w:right w:val="single" w:sz="4" w:space="0" w:color="auto"/>
            </w:tcBorders>
            <w:shd w:val="clear" w:color="auto" w:fill="auto"/>
            <w:vAlign w:val="center"/>
            <w:hideMark/>
          </w:tcPr>
          <w:p w14:paraId="46D8ED97"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COMERCIALIZADORA DE COMBUSTIBLES, ENERGIA Y GAS S.A.S.  E.S.P.</w:t>
            </w:r>
          </w:p>
        </w:tc>
        <w:tc>
          <w:tcPr>
            <w:tcW w:w="1602" w:type="dxa"/>
            <w:tcBorders>
              <w:top w:val="nil"/>
              <w:left w:val="nil"/>
              <w:bottom w:val="single" w:sz="4" w:space="0" w:color="auto"/>
              <w:right w:val="single" w:sz="4" w:space="0" w:color="auto"/>
            </w:tcBorders>
            <w:shd w:val="clear" w:color="auto" w:fill="auto"/>
            <w:noWrap/>
            <w:vAlign w:val="center"/>
            <w:hideMark/>
          </w:tcPr>
          <w:p w14:paraId="0B1F89CF" w14:textId="282EBACD"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294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902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242 </w:t>
            </w:r>
          </w:p>
        </w:tc>
        <w:tc>
          <w:tcPr>
            <w:tcW w:w="1418" w:type="dxa"/>
            <w:tcBorders>
              <w:top w:val="nil"/>
              <w:left w:val="nil"/>
              <w:bottom w:val="single" w:sz="4" w:space="0" w:color="auto"/>
              <w:right w:val="single" w:sz="4" w:space="0" w:color="auto"/>
            </w:tcBorders>
            <w:shd w:val="clear" w:color="auto" w:fill="auto"/>
            <w:noWrap/>
            <w:vAlign w:val="center"/>
            <w:hideMark/>
          </w:tcPr>
          <w:p w14:paraId="53F67668" w14:textId="2BC6BAD5"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949</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022 </w:t>
            </w:r>
          </w:p>
        </w:tc>
      </w:tr>
      <w:tr w:rsidR="009A21D7" w:rsidRPr="00374360" w14:paraId="25A4543E" w14:textId="77777777" w:rsidTr="00C734CF">
        <w:trPr>
          <w:trHeight w:val="4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98AD350"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48</w:t>
            </w:r>
          </w:p>
        </w:tc>
        <w:tc>
          <w:tcPr>
            <w:tcW w:w="660" w:type="dxa"/>
            <w:tcBorders>
              <w:top w:val="nil"/>
              <w:left w:val="nil"/>
              <w:bottom w:val="single" w:sz="4" w:space="0" w:color="auto"/>
              <w:right w:val="single" w:sz="4" w:space="0" w:color="auto"/>
            </w:tcBorders>
            <w:shd w:val="clear" w:color="auto" w:fill="auto"/>
            <w:noWrap/>
            <w:vAlign w:val="center"/>
            <w:hideMark/>
          </w:tcPr>
          <w:p w14:paraId="7DD9744F"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32253</w:t>
            </w:r>
          </w:p>
        </w:tc>
        <w:tc>
          <w:tcPr>
            <w:tcW w:w="879" w:type="dxa"/>
            <w:tcBorders>
              <w:top w:val="nil"/>
              <w:left w:val="nil"/>
              <w:bottom w:val="single" w:sz="4" w:space="0" w:color="auto"/>
              <w:right w:val="single" w:sz="4" w:space="0" w:color="auto"/>
            </w:tcBorders>
            <w:shd w:val="clear" w:color="auto" w:fill="auto"/>
            <w:noWrap/>
            <w:vAlign w:val="center"/>
            <w:hideMark/>
          </w:tcPr>
          <w:p w14:paraId="1A4FE925"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900689029</w:t>
            </w:r>
          </w:p>
        </w:tc>
        <w:tc>
          <w:tcPr>
            <w:tcW w:w="3913" w:type="dxa"/>
            <w:tcBorders>
              <w:top w:val="nil"/>
              <w:left w:val="nil"/>
              <w:bottom w:val="single" w:sz="4" w:space="0" w:color="auto"/>
              <w:right w:val="single" w:sz="4" w:space="0" w:color="auto"/>
            </w:tcBorders>
            <w:shd w:val="clear" w:color="auto" w:fill="auto"/>
            <w:vAlign w:val="center"/>
            <w:hideMark/>
          </w:tcPr>
          <w:p w14:paraId="06B00065"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COMERCIALIZADORA DE GAS CASANARE S.A.S. E.S.P.</w:t>
            </w:r>
          </w:p>
        </w:tc>
        <w:tc>
          <w:tcPr>
            <w:tcW w:w="1602" w:type="dxa"/>
            <w:tcBorders>
              <w:top w:val="nil"/>
              <w:left w:val="nil"/>
              <w:bottom w:val="single" w:sz="4" w:space="0" w:color="auto"/>
              <w:right w:val="single" w:sz="4" w:space="0" w:color="auto"/>
            </w:tcBorders>
            <w:shd w:val="clear" w:color="auto" w:fill="auto"/>
            <w:noWrap/>
            <w:vAlign w:val="center"/>
            <w:hideMark/>
          </w:tcPr>
          <w:p w14:paraId="290BCEE7" w14:textId="23C102BF"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97</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175</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819 </w:t>
            </w:r>
          </w:p>
        </w:tc>
        <w:tc>
          <w:tcPr>
            <w:tcW w:w="1418" w:type="dxa"/>
            <w:tcBorders>
              <w:top w:val="nil"/>
              <w:left w:val="nil"/>
              <w:bottom w:val="single" w:sz="4" w:space="0" w:color="auto"/>
              <w:right w:val="single" w:sz="4" w:space="0" w:color="auto"/>
            </w:tcBorders>
            <w:shd w:val="clear" w:color="auto" w:fill="auto"/>
            <w:noWrap/>
            <w:vAlign w:val="center"/>
            <w:hideMark/>
          </w:tcPr>
          <w:p w14:paraId="450D2DD6" w14:textId="7F8E3A6A"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971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758 </w:t>
            </w:r>
          </w:p>
        </w:tc>
      </w:tr>
      <w:tr w:rsidR="009A21D7" w:rsidRPr="00374360" w14:paraId="10DFF58F" w14:textId="77777777" w:rsidTr="00C734CF">
        <w:trPr>
          <w:trHeight w:val="4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C409EC6"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49</w:t>
            </w:r>
          </w:p>
        </w:tc>
        <w:tc>
          <w:tcPr>
            <w:tcW w:w="660" w:type="dxa"/>
            <w:tcBorders>
              <w:top w:val="nil"/>
              <w:left w:val="nil"/>
              <w:bottom w:val="single" w:sz="4" w:space="0" w:color="auto"/>
              <w:right w:val="single" w:sz="4" w:space="0" w:color="auto"/>
            </w:tcBorders>
            <w:shd w:val="clear" w:color="auto" w:fill="auto"/>
            <w:noWrap/>
            <w:vAlign w:val="center"/>
            <w:hideMark/>
          </w:tcPr>
          <w:p w14:paraId="4617DA03"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25164</w:t>
            </w:r>
          </w:p>
        </w:tc>
        <w:tc>
          <w:tcPr>
            <w:tcW w:w="879" w:type="dxa"/>
            <w:tcBorders>
              <w:top w:val="nil"/>
              <w:left w:val="nil"/>
              <w:bottom w:val="single" w:sz="4" w:space="0" w:color="auto"/>
              <w:right w:val="single" w:sz="4" w:space="0" w:color="auto"/>
            </w:tcBorders>
            <w:shd w:val="clear" w:color="auto" w:fill="auto"/>
            <w:noWrap/>
            <w:vAlign w:val="center"/>
            <w:hideMark/>
          </w:tcPr>
          <w:p w14:paraId="1C1374E4"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900321520</w:t>
            </w:r>
          </w:p>
        </w:tc>
        <w:tc>
          <w:tcPr>
            <w:tcW w:w="3913" w:type="dxa"/>
            <w:tcBorders>
              <w:top w:val="nil"/>
              <w:left w:val="nil"/>
              <w:bottom w:val="single" w:sz="4" w:space="0" w:color="auto"/>
              <w:right w:val="single" w:sz="4" w:space="0" w:color="auto"/>
            </w:tcBorders>
            <w:shd w:val="clear" w:color="auto" w:fill="auto"/>
            <w:vAlign w:val="center"/>
            <w:hideMark/>
          </w:tcPr>
          <w:p w14:paraId="31781377"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COMERCIALIZADORA DE GASES NATURALES SAS ESP</w:t>
            </w:r>
          </w:p>
        </w:tc>
        <w:tc>
          <w:tcPr>
            <w:tcW w:w="1602" w:type="dxa"/>
            <w:tcBorders>
              <w:top w:val="nil"/>
              <w:left w:val="nil"/>
              <w:bottom w:val="single" w:sz="4" w:space="0" w:color="auto"/>
              <w:right w:val="single" w:sz="4" w:space="0" w:color="auto"/>
            </w:tcBorders>
            <w:shd w:val="clear" w:color="auto" w:fill="auto"/>
            <w:noWrap/>
            <w:vAlign w:val="center"/>
            <w:hideMark/>
          </w:tcPr>
          <w:p w14:paraId="668F7E64" w14:textId="3E931CAC"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835</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885</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384 </w:t>
            </w:r>
          </w:p>
        </w:tc>
        <w:tc>
          <w:tcPr>
            <w:tcW w:w="1418" w:type="dxa"/>
            <w:tcBorders>
              <w:top w:val="nil"/>
              <w:left w:val="nil"/>
              <w:bottom w:val="single" w:sz="4" w:space="0" w:color="auto"/>
              <w:right w:val="single" w:sz="4" w:space="0" w:color="auto"/>
            </w:tcBorders>
            <w:shd w:val="clear" w:color="auto" w:fill="auto"/>
            <w:noWrap/>
            <w:vAlign w:val="center"/>
            <w:hideMark/>
          </w:tcPr>
          <w:p w14:paraId="29F0AB14" w14:textId="50704EDC"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358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854 </w:t>
            </w:r>
          </w:p>
        </w:tc>
      </w:tr>
      <w:tr w:rsidR="009A21D7" w:rsidRPr="00374360" w14:paraId="3A7E76B3"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ADC39E0"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50</w:t>
            </w:r>
          </w:p>
        </w:tc>
        <w:tc>
          <w:tcPr>
            <w:tcW w:w="660" w:type="dxa"/>
            <w:tcBorders>
              <w:top w:val="nil"/>
              <w:left w:val="nil"/>
              <w:bottom w:val="single" w:sz="4" w:space="0" w:color="auto"/>
              <w:right w:val="single" w:sz="4" w:space="0" w:color="auto"/>
            </w:tcBorders>
            <w:shd w:val="clear" w:color="auto" w:fill="auto"/>
            <w:noWrap/>
            <w:vAlign w:val="center"/>
            <w:hideMark/>
          </w:tcPr>
          <w:p w14:paraId="6DA538CA"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20156</w:t>
            </w:r>
          </w:p>
        </w:tc>
        <w:tc>
          <w:tcPr>
            <w:tcW w:w="879" w:type="dxa"/>
            <w:tcBorders>
              <w:top w:val="nil"/>
              <w:left w:val="nil"/>
              <w:bottom w:val="single" w:sz="4" w:space="0" w:color="auto"/>
              <w:right w:val="single" w:sz="4" w:space="0" w:color="auto"/>
            </w:tcBorders>
            <w:shd w:val="clear" w:color="auto" w:fill="auto"/>
            <w:noWrap/>
            <w:vAlign w:val="center"/>
            <w:hideMark/>
          </w:tcPr>
          <w:p w14:paraId="7680854E"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830147341</w:t>
            </w:r>
          </w:p>
        </w:tc>
        <w:tc>
          <w:tcPr>
            <w:tcW w:w="3913" w:type="dxa"/>
            <w:tcBorders>
              <w:top w:val="nil"/>
              <w:left w:val="nil"/>
              <w:bottom w:val="single" w:sz="4" w:space="0" w:color="auto"/>
              <w:right w:val="single" w:sz="4" w:space="0" w:color="auto"/>
            </w:tcBorders>
            <w:shd w:val="clear" w:color="auto" w:fill="auto"/>
            <w:vAlign w:val="center"/>
            <w:hideMark/>
          </w:tcPr>
          <w:p w14:paraId="3B86FF24"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COMERCIALIZADORA DEL CAFE S.A.S. E.S.P.</w:t>
            </w:r>
          </w:p>
        </w:tc>
        <w:tc>
          <w:tcPr>
            <w:tcW w:w="1602" w:type="dxa"/>
            <w:tcBorders>
              <w:top w:val="nil"/>
              <w:left w:val="nil"/>
              <w:bottom w:val="single" w:sz="4" w:space="0" w:color="auto"/>
              <w:right w:val="single" w:sz="4" w:space="0" w:color="auto"/>
            </w:tcBorders>
            <w:shd w:val="clear" w:color="auto" w:fill="auto"/>
            <w:noWrap/>
            <w:vAlign w:val="center"/>
            <w:hideMark/>
          </w:tcPr>
          <w:p w14:paraId="44F6E105" w14:textId="2CBFD0AC"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62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441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316 </w:t>
            </w:r>
          </w:p>
        </w:tc>
        <w:tc>
          <w:tcPr>
            <w:tcW w:w="1418" w:type="dxa"/>
            <w:tcBorders>
              <w:top w:val="nil"/>
              <w:left w:val="nil"/>
              <w:bottom w:val="single" w:sz="4" w:space="0" w:color="auto"/>
              <w:right w:val="single" w:sz="4" w:space="0" w:color="auto"/>
            </w:tcBorders>
            <w:shd w:val="clear" w:color="auto" w:fill="auto"/>
            <w:noWrap/>
            <w:vAlign w:val="center"/>
            <w:hideMark/>
          </w:tcPr>
          <w:p w14:paraId="4E234798" w14:textId="19403CFC"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624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413 </w:t>
            </w:r>
          </w:p>
        </w:tc>
      </w:tr>
      <w:tr w:rsidR="009A21D7" w:rsidRPr="00374360" w14:paraId="3AD996B8" w14:textId="77777777" w:rsidTr="00C734CF">
        <w:trPr>
          <w:trHeight w:val="4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09C7AC2"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51</w:t>
            </w:r>
          </w:p>
        </w:tc>
        <w:tc>
          <w:tcPr>
            <w:tcW w:w="660" w:type="dxa"/>
            <w:tcBorders>
              <w:top w:val="nil"/>
              <w:left w:val="nil"/>
              <w:bottom w:val="single" w:sz="4" w:space="0" w:color="auto"/>
              <w:right w:val="single" w:sz="4" w:space="0" w:color="auto"/>
            </w:tcBorders>
            <w:shd w:val="clear" w:color="auto" w:fill="auto"/>
            <w:noWrap/>
            <w:vAlign w:val="center"/>
            <w:hideMark/>
          </w:tcPr>
          <w:p w14:paraId="2E1E3420"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41616</w:t>
            </w:r>
          </w:p>
        </w:tc>
        <w:tc>
          <w:tcPr>
            <w:tcW w:w="879" w:type="dxa"/>
            <w:tcBorders>
              <w:top w:val="nil"/>
              <w:left w:val="nil"/>
              <w:bottom w:val="single" w:sz="4" w:space="0" w:color="auto"/>
              <w:right w:val="single" w:sz="4" w:space="0" w:color="auto"/>
            </w:tcBorders>
            <w:shd w:val="clear" w:color="auto" w:fill="auto"/>
            <w:noWrap/>
            <w:vAlign w:val="center"/>
            <w:hideMark/>
          </w:tcPr>
          <w:p w14:paraId="57C28CAF"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901070018</w:t>
            </w:r>
          </w:p>
        </w:tc>
        <w:tc>
          <w:tcPr>
            <w:tcW w:w="3913" w:type="dxa"/>
            <w:tcBorders>
              <w:top w:val="nil"/>
              <w:left w:val="nil"/>
              <w:bottom w:val="single" w:sz="4" w:space="0" w:color="auto"/>
              <w:right w:val="single" w:sz="4" w:space="0" w:color="auto"/>
            </w:tcBorders>
            <w:shd w:val="clear" w:color="auto" w:fill="auto"/>
            <w:vAlign w:val="center"/>
            <w:hideMark/>
          </w:tcPr>
          <w:p w14:paraId="5D9C0657"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COMPAÑIA COMERCIALIZADORA DE RECURSOS ENERGETICOS E.S.P SAS</w:t>
            </w:r>
          </w:p>
        </w:tc>
        <w:tc>
          <w:tcPr>
            <w:tcW w:w="1602" w:type="dxa"/>
            <w:tcBorders>
              <w:top w:val="nil"/>
              <w:left w:val="nil"/>
              <w:bottom w:val="single" w:sz="4" w:space="0" w:color="auto"/>
              <w:right w:val="single" w:sz="4" w:space="0" w:color="auto"/>
            </w:tcBorders>
            <w:shd w:val="clear" w:color="auto" w:fill="auto"/>
            <w:noWrap/>
            <w:vAlign w:val="center"/>
            <w:hideMark/>
          </w:tcPr>
          <w:p w14:paraId="45AC1F9B" w14:textId="55B51653"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497</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454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123 </w:t>
            </w:r>
          </w:p>
        </w:tc>
        <w:tc>
          <w:tcPr>
            <w:tcW w:w="1418" w:type="dxa"/>
            <w:tcBorders>
              <w:top w:val="nil"/>
              <w:left w:val="nil"/>
              <w:bottom w:val="single" w:sz="4" w:space="0" w:color="auto"/>
              <w:right w:val="single" w:sz="4" w:space="0" w:color="auto"/>
            </w:tcBorders>
            <w:shd w:val="clear" w:color="auto" w:fill="auto"/>
            <w:noWrap/>
            <w:vAlign w:val="center"/>
            <w:hideMark/>
          </w:tcPr>
          <w:p w14:paraId="77455BA4" w14:textId="1F263EB4"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974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541 </w:t>
            </w:r>
          </w:p>
        </w:tc>
      </w:tr>
      <w:tr w:rsidR="009A21D7" w:rsidRPr="00374360" w14:paraId="0453FF81" w14:textId="77777777" w:rsidTr="00C734CF">
        <w:trPr>
          <w:trHeight w:val="4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877D94D"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52</w:t>
            </w:r>
          </w:p>
        </w:tc>
        <w:tc>
          <w:tcPr>
            <w:tcW w:w="660" w:type="dxa"/>
            <w:tcBorders>
              <w:top w:val="nil"/>
              <w:left w:val="nil"/>
              <w:bottom w:val="single" w:sz="4" w:space="0" w:color="auto"/>
              <w:right w:val="single" w:sz="4" w:space="0" w:color="auto"/>
            </w:tcBorders>
            <w:shd w:val="clear" w:color="auto" w:fill="auto"/>
            <w:noWrap/>
            <w:vAlign w:val="center"/>
            <w:hideMark/>
          </w:tcPr>
          <w:p w14:paraId="38D82B40"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1638</w:t>
            </w:r>
          </w:p>
        </w:tc>
        <w:tc>
          <w:tcPr>
            <w:tcW w:w="879" w:type="dxa"/>
            <w:tcBorders>
              <w:top w:val="nil"/>
              <w:left w:val="nil"/>
              <w:bottom w:val="single" w:sz="4" w:space="0" w:color="auto"/>
              <w:right w:val="single" w:sz="4" w:space="0" w:color="auto"/>
            </w:tcBorders>
            <w:shd w:val="clear" w:color="auto" w:fill="auto"/>
            <w:noWrap/>
            <w:vAlign w:val="center"/>
            <w:hideMark/>
          </w:tcPr>
          <w:p w14:paraId="58000CA4"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860508892</w:t>
            </w:r>
          </w:p>
        </w:tc>
        <w:tc>
          <w:tcPr>
            <w:tcW w:w="3913" w:type="dxa"/>
            <w:tcBorders>
              <w:top w:val="nil"/>
              <w:left w:val="nil"/>
              <w:bottom w:val="single" w:sz="4" w:space="0" w:color="auto"/>
              <w:right w:val="single" w:sz="4" w:space="0" w:color="auto"/>
            </w:tcBorders>
            <w:shd w:val="clear" w:color="auto" w:fill="auto"/>
            <w:vAlign w:val="center"/>
            <w:hideMark/>
          </w:tcPr>
          <w:p w14:paraId="14F1D9FB"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COMPAÑIA DE ALMACENAMIENTO DE GAS S.A. ESP</w:t>
            </w:r>
          </w:p>
        </w:tc>
        <w:tc>
          <w:tcPr>
            <w:tcW w:w="1602" w:type="dxa"/>
            <w:tcBorders>
              <w:top w:val="nil"/>
              <w:left w:val="nil"/>
              <w:bottom w:val="single" w:sz="4" w:space="0" w:color="auto"/>
              <w:right w:val="single" w:sz="4" w:space="0" w:color="auto"/>
            </w:tcBorders>
            <w:shd w:val="clear" w:color="auto" w:fill="auto"/>
            <w:noWrap/>
            <w:vAlign w:val="center"/>
            <w:hideMark/>
          </w:tcPr>
          <w:p w14:paraId="1D4422F7" w14:textId="326F3E66"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079</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115</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980 </w:t>
            </w:r>
          </w:p>
        </w:tc>
        <w:tc>
          <w:tcPr>
            <w:tcW w:w="1418" w:type="dxa"/>
            <w:tcBorders>
              <w:top w:val="nil"/>
              <w:left w:val="nil"/>
              <w:bottom w:val="single" w:sz="4" w:space="0" w:color="auto"/>
              <w:right w:val="single" w:sz="4" w:space="0" w:color="auto"/>
            </w:tcBorders>
            <w:shd w:val="clear" w:color="auto" w:fill="auto"/>
            <w:noWrap/>
            <w:vAlign w:val="center"/>
            <w:hideMark/>
          </w:tcPr>
          <w:p w14:paraId="59FE1AB9" w14:textId="04045030"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20</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791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160 </w:t>
            </w:r>
          </w:p>
        </w:tc>
      </w:tr>
      <w:tr w:rsidR="009A21D7" w:rsidRPr="00374360" w14:paraId="61DB4F14" w14:textId="77777777" w:rsidTr="00C734CF">
        <w:trPr>
          <w:trHeight w:val="4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57DB89A"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53</w:t>
            </w:r>
          </w:p>
        </w:tc>
        <w:tc>
          <w:tcPr>
            <w:tcW w:w="660" w:type="dxa"/>
            <w:tcBorders>
              <w:top w:val="nil"/>
              <w:left w:val="nil"/>
              <w:bottom w:val="single" w:sz="4" w:space="0" w:color="auto"/>
              <w:right w:val="single" w:sz="4" w:space="0" w:color="auto"/>
            </w:tcBorders>
            <w:shd w:val="clear" w:color="auto" w:fill="auto"/>
            <w:noWrap/>
            <w:vAlign w:val="center"/>
            <w:hideMark/>
          </w:tcPr>
          <w:p w14:paraId="631FC363"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637</w:t>
            </w:r>
          </w:p>
        </w:tc>
        <w:tc>
          <w:tcPr>
            <w:tcW w:w="879" w:type="dxa"/>
            <w:tcBorders>
              <w:top w:val="nil"/>
              <w:left w:val="nil"/>
              <w:bottom w:val="single" w:sz="4" w:space="0" w:color="auto"/>
              <w:right w:val="single" w:sz="4" w:space="0" w:color="auto"/>
            </w:tcBorders>
            <w:shd w:val="clear" w:color="auto" w:fill="auto"/>
            <w:noWrap/>
            <w:vAlign w:val="center"/>
            <w:hideMark/>
          </w:tcPr>
          <w:p w14:paraId="549785D4"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891900101</w:t>
            </w:r>
          </w:p>
        </w:tc>
        <w:tc>
          <w:tcPr>
            <w:tcW w:w="3913" w:type="dxa"/>
            <w:tcBorders>
              <w:top w:val="nil"/>
              <w:left w:val="nil"/>
              <w:bottom w:val="single" w:sz="4" w:space="0" w:color="auto"/>
              <w:right w:val="single" w:sz="4" w:space="0" w:color="auto"/>
            </w:tcBorders>
            <w:shd w:val="clear" w:color="auto" w:fill="auto"/>
            <w:vAlign w:val="center"/>
            <w:hideMark/>
          </w:tcPr>
          <w:p w14:paraId="53F60030"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COMPAÑÍA DE ELECTRICIDAD DE TULUÁ S.A. E.S.P.</w:t>
            </w:r>
          </w:p>
        </w:tc>
        <w:tc>
          <w:tcPr>
            <w:tcW w:w="1602" w:type="dxa"/>
            <w:tcBorders>
              <w:top w:val="nil"/>
              <w:left w:val="nil"/>
              <w:bottom w:val="single" w:sz="4" w:space="0" w:color="auto"/>
              <w:right w:val="single" w:sz="4" w:space="0" w:color="auto"/>
            </w:tcBorders>
            <w:shd w:val="clear" w:color="auto" w:fill="auto"/>
            <w:noWrap/>
            <w:vAlign w:val="center"/>
            <w:hideMark/>
          </w:tcPr>
          <w:p w14:paraId="1F721A0A" w14:textId="1BD3842D"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629</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794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092 </w:t>
            </w:r>
          </w:p>
        </w:tc>
        <w:tc>
          <w:tcPr>
            <w:tcW w:w="1418" w:type="dxa"/>
            <w:tcBorders>
              <w:top w:val="nil"/>
              <w:left w:val="nil"/>
              <w:bottom w:val="single" w:sz="4" w:space="0" w:color="auto"/>
              <w:right w:val="single" w:sz="4" w:space="0" w:color="auto"/>
            </w:tcBorders>
            <w:shd w:val="clear" w:color="auto" w:fill="auto"/>
            <w:noWrap/>
            <w:vAlign w:val="center"/>
            <w:hideMark/>
          </w:tcPr>
          <w:p w14:paraId="775DBAFC" w14:textId="4EF5D33A"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26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297</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941 </w:t>
            </w:r>
          </w:p>
        </w:tc>
      </w:tr>
      <w:tr w:rsidR="009A21D7" w:rsidRPr="00374360" w14:paraId="7FAD9266" w14:textId="77777777" w:rsidTr="00C734CF">
        <w:trPr>
          <w:trHeight w:val="4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575A415"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54</w:t>
            </w:r>
          </w:p>
        </w:tc>
        <w:tc>
          <w:tcPr>
            <w:tcW w:w="660" w:type="dxa"/>
            <w:tcBorders>
              <w:top w:val="nil"/>
              <w:left w:val="nil"/>
              <w:bottom w:val="single" w:sz="4" w:space="0" w:color="auto"/>
              <w:right w:val="single" w:sz="4" w:space="0" w:color="auto"/>
            </w:tcBorders>
            <w:shd w:val="clear" w:color="auto" w:fill="auto"/>
            <w:noWrap/>
            <w:vAlign w:val="center"/>
            <w:hideMark/>
          </w:tcPr>
          <w:p w14:paraId="7D249018"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26083</w:t>
            </w:r>
          </w:p>
        </w:tc>
        <w:tc>
          <w:tcPr>
            <w:tcW w:w="879" w:type="dxa"/>
            <w:tcBorders>
              <w:top w:val="nil"/>
              <w:left w:val="nil"/>
              <w:bottom w:val="single" w:sz="4" w:space="0" w:color="auto"/>
              <w:right w:val="single" w:sz="4" w:space="0" w:color="auto"/>
            </w:tcBorders>
            <w:shd w:val="clear" w:color="auto" w:fill="auto"/>
            <w:noWrap/>
            <w:vAlign w:val="center"/>
            <w:hideMark/>
          </w:tcPr>
          <w:p w14:paraId="7EB8DA15"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900519539</w:t>
            </w:r>
          </w:p>
        </w:tc>
        <w:tc>
          <w:tcPr>
            <w:tcW w:w="3913" w:type="dxa"/>
            <w:tcBorders>
              <w:top w:val="nil"/>
              <w:left w:val="nil"/>
              <w:bottom w:val="single" w:sz="4" w:space="0" w:color="auto"/>
              <w:right w:val="single" w:sz="4" w:space="0" w:color="auto"/>
            </w:tcBorders>
            <w:shd w:val="clear" w:color="auto" w:fill="auto"/>
            <w:vAlign w:val="center"/>
            <w:hideMark/>
          </w:tcPr>
          <w:p w14:paraId="14935117"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COMPAÑIA DE SERVICIOS PUBLICOS DOMICILIARIOS DE BOJAYA S.A E.S.P.</w:t>
            </w:r>
          </w:p>
        </w:tc>
        <w:tc>
          <w:tcPr>
            <w:tcW w:w="1602" w:type="dxa"/>
            <w:tcBorders>
              <w:top w:val="nil"/>
              <w:left w:val="nil"/>
              <w:bottom w:val="single" w:sz="4" w:space="0" w:color="auto"/>
              <w:right w:val="single" w:sz="4" w:space="0" w:color="auto"/>
            </w:tcBorders>
            <w:shd w:val="clear" w:color="auto" w:fill="auto"/>
            <w:noWrap/>
            <w:vAlign w:val="center"/>
            <w:hideMark/>
          </w:tcPr>
          <w:p w14:paraId="729AA3C3" w14:textId="4EA4337E"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39</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771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980 </w:t>
            </w:r>
          </w:p>
        </w:tc>
        <w:tc>
          <w:tcPr>
            <w:tcW w:w="1418" w:type="dxa"/>
            <w:tcBorders>
              <w:top w:val="nil"/>
              <w:left w:val="nil"/>
              <w:bottom w:val="single" w:sz="4" w:space="0" w:color="auto"/>
              <w:right w:val="single" w:sz="4" w:space="0" w:color="auto"/>
            </w:tcBorders>
            <w:shd w:val="clear" w:color="auto" w:fill="auto"/>
            <w:noWrap/>
            <w:vAlign w:val="center"/>
            <w:hideMark/>
          </w:tcPr>
          <w:p w14:paraId="318969D3" w14:textId="312E50A4"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397</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720 </w:t>
            </w:r>
          </w:p>
        </w:tc>
      </w:tr>
      <w:tr w:rsidR="009A21D7" w:rsidRPr="00374360" w14:paraId="0622E816"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0D64F96"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55</w:t>
            </w:r>
          </w:p>
        </w:tc>
        <w:tc>
          <w:tcPr>
            <w:tcW w:w="660" w:type="dxa"/>
            <w:tcBorders>
              <w:top w:val="nil"/>
              <w:left w:val="nil"/>
              <w:bottom w:val="single" w:sz="4" w:space="0" w:color="auto"/>
              <w:right w:val="single" w:sz="4" w:space="0" w:color="auto"/>
            </w:tcBorders>
            <w:shd w:val="clear" w:color="auto" w:fill="auto"/>
            <w:noWrap/>
            <w:vAlign w:val="center"/>
            <w:hideMark/>
          </w:tcPr>
          <w:p w14:paraId="78B80322"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3358</w:t>
            </w:r>
          </w:p>
        </w:tc>
        <w:tc>
          <w:tcPr>
            <w:tcW w:w="879" w:type="dxa"/>
            <w:tcBorders>
              <w:top w:val="nil"/>
              <w:left w:val="nil"/>
              <w:bottom w:val="single" w:sz="4" w:space="0" w:color="auto"/>
              <w:right w:val="single" w:sz="4" w:space="0" w:color="auto"/>
            </w:tcBorders>
            <w:shd w:val="clear" w:color="auto" w:fill="auto"/>
            <w:noWrap/>
            <w:vAlign w:val="center"/>
            <w:hideMark/>
          </w:tcPr>
          <w:p w14:paraId="465D20CB"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830130648</w:t>
            </w:r>
          </w:p>
        </w:tc>
        <w:tc>
          <w:tcPr>
            <w:tcW w:w="3913" w:type="dxa"/>
            <w:tcBorders>
              <w:top w:val="nil"/>
              <w:left w:val="nil"/>
              <w:bottom w:val="single" w:sz="4" w:space="0" w:color="auto"/>
              <w:right w:val="single" w:sz="4" w:space="0" w:color="auto"/>
            </w:tcBorders>
            <w:shd w:val="clear" w:color="auto" w:fill="auto"/>
            <w:vAlign w:val="center"/>
            <w:hideMark/>
          </w:tcPr>
          <w:p w14:paraId="7DBFE5E2"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COMPAÑIA DE SERVICIOS PUBLICOS S.A E.S.P</w:t>
            </w:r>
          </w:p>
        </w:tc>
        <w:tc>
          <w:tcPr>
            <w:tcW w:w="1602" w:type="dxa"/>
            <w:tcBorders>
              <w:top w:val="nil"/>
              <w:left w:val="nil"/>
              <w:bottom w:val="single" w:sz="4" w:space="0" w:color="auto"/>
              <w:right w:val="single" w:sz="4" w:space="0" w:color="auto"/>
            </w:tcBorders>
            <w:shd w:val="clear" w:color="auto" w:fill="auto"/>
            <w:noWrap/>
            <w:vAlign w:val="center"/>
            <w:hideMark/>
          </w:tcPr>
          <w:p w14:paraId="45E2FCA6" w14:textId="46171ADB"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38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289</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766 </w:t>
            </w:r>
          </w:p>
        </w:tc>
        <w:tc>
          <w:tcPr>
            <w:tcW w:w="1418" w:type="dxa"/>
            <w:tcBorders>
              <w:top w:val="nil"/>
              <w:left w:val="nil"/>
              <w:bottom w:val="single" w:sz="4" w:space="0" w:color="auto"/>
              <w:right w:val="single" w:sz="4" w:space="0" w:color="auto"/>
            </w:tcBorders>
            <w:shd w:val="clear" w:color="auto" w:fill="auto"/>
            <w:noWrap/>
            <w:vAlign w:val="center"/>
            <w:hideMark/>
          </w:tcPr>
          <w:p w14:paraId="3003355C" w14:textId="405ECD39"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382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898 </w:t>
            </w:r>
          </w:p>
        </w:tc>
      </w:tr>
      <w:tr w:rsidR="009A21D7" w:rsidRPr="00374360" w14:paraId="732F16EC" w14:textId="77777777" w:rsidTr="00C734CF">
        <w:trPr>
          <w:trHeight w:val="4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42E496C"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56</w:t>
            </w:r>
          </w:p>
        </w:tc>
        <w:tc>
          <w:tcPr>
            <w:tcW w:w="660" w:type="dxa"/>
            <w:tcBorders>
              <w:top w:val="nil"/>
              <w:left w:val="nil"/>
              <w:bottom w:val="single" w:sz="4" w:space="0" w:color="auto"/>
              <w:right w:val="single" w:sz="4" w:space="0" w:color="auto"/>
            </w:tcBorders>
            <w:shd w:val="clear" w:color="auto" w:fill="auto"/>
            <w:noWrap/>
            <w:vAlign w:val="center"/>
            <w:hideMark/>
          </w:tcPr>
          <w:p w14:paraId="7EC354E6"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1058</w:t>
            </w:r>
          </w:p>
        </w:tc>
        <w:tc>
          <w:tcPr>
            <w:tcW w:w="879" w:type="dxa"/>
            <w:tcBorders>
              <w:top w:val="nil"/>
              <w:left w:val="nil"/>
              <w:bottom w:val="single" w:sz="4" w:space="0" w:color="auto"/>
              <w:right w:val="single" w:sz="4" w:space="0" w:color="auto"/>
            </w:tcBorders>
            <w:shd w:val="clear" w:color="auto" w:fill="auto"/>
            <w:noWrap/>
            <w:vAlign w:val="center"/>
            <w:hideMark/>
          </w:tcPr>
          <w:p w14:paraId="269D0340"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800219925</w:t>
            </w:r>
          </w:p>
        </w:tc>
        <w:tc>
          <w:tcPr>
            <w:tcW w:w="3913" w:type="dxa"/>
            <w:tcBorders>
              <w:top w:val="nil"/>
              <w:left w:val="nil"/>
              <w:bottom w:val="single" w:sz="4" w:space="0" w:color="auto"/>
              <w:right w:val="single" w:sz="4" w:space="0" w:color="auto"/>
            </w:tcBorders>
            <w:shd w:val="clear" w:color="auto" w:fill="auto"/>
            <w:vAlign w:val="center"/>
            <w:hideMark/>
          </w:tcPr>
          <w:p w14:paraId="7092864A"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COMPAÑIA ELECTRICA DE SOCHAGOTA S.A. E.S.P.</w:t>
            </w:r>
          </w:p>
        </w:tc>
        <w:tc>
          <w:tcPr>
            <w:tcW w:w="1602" w:type="dxa"/>
            <w:tcBorders>
              <w:top w:val="nil"/>
              <w:left w:val="nil"/>
              <w:bottom w:val="single" w:sz="4" w:space="0" w:color="auto"/>
              <w:right w:val="single" w:sz="4" w:space="0" w:color="auto"/>
            </w:tcBorders>
            <w:shd w:val="clear" w:color="auto" w:fill="auto"/>
            <w:noWrap/>
            <w:vAlign w:val="center"/>
            <w:hideMark/>
          </w:tcPr>
          <w:p w14:paraId="4036AF22" w14:textId="56B29964"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5</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230</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964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240 </w:t>
            </w:r>
          </w:p>
        </w:tc>
        <w:tc>
          <w:tcPr>
            <w:tcW w:w="1418" w:type="dxa"/>
            <w:tcBorders>
              <w:top w:val="nil"/>
              <w:left w:val="nil"/>
              <w:bottom w:val="single" w:sz="4" w:space="0" w:color="auto"/>
              <w:right w:val="single" w:sz="4" w:space="0" w:color="auto"/>
            </w:tcBorders>
            <w:shd w:val="clear" w:color="auto" w:fill="auto"/>
            <w:noWrap/>
            <w:vAlign w:val="center"/>
            <w:hideMark/>
          </w:tcPr>
          <w:p w14:paraId="0CE974B6" w14:textId="68420A4C"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52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309</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642 </w:t>
            </w:r>
          </w:p>
        </w:tc>
      </w:tr>
      <w:tr w:rsidR="009A21D7" w:rsidRPr="00374360" w14:paraId="31865EDE" w14:textId="77777777" w:rsidTr="00C734CF">
        <w:trPr>
          <w:trHeight w:val="4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08F4D66"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57</w:t>
            </w:r>
          </w:p>
        </w:tc>
        <w:tc>
          <w:tcPr>
            <w:tcW w:w="660" w:type="dxa"/>
            <w:tcBorders>
              <w:top w:val="nil"/>
              <w:left w:val="nil"/>
              <w:bottom w:val="single" w:sz="4" w:space="0" w:color="auto"/>
              <w:right w:val="single" w:sz="4" w:space="0" w:color="auto"/>
            </w:tcBorders>
            <w:shd w:val="clear" w:color="auto" w:fill="auto"/>
            <w:noWrap/>
            <w:vAlign w:val="center"/>
            <w:hideMark/>
          </w:tcPr>
          <w:p w14:paraId="44993106"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23442</w:t>
            </w:r>
          </w:p>
        </w:tc>
        <w:tc>
          <w:tcPr>
            <w:tcW w:w="879" w:type="dxa"/>
            <w:tcBorders>
              <w:top w:val="nil"/>
              <w:left w:val="nil"/>
              <w:bottom w:val="single" w:sz="4" w:space="0" w:color="auto"/>
              <w:right w:val="single" w:sz="4" w:space="0" w:color="auto"/>
            </w:tcBorders>
            <w:shd w:val="clear" w:color="auto" w:fill="auto"/>
            <w:noWrap/>
            <w:vAlign w:val="center"/>
            <w:hideMark/>
          </w:tcPr>
          <w:p w14:paraId="43FA8D78"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900366010</w:t>
            </w:r>
          </w:p>
        </w:tc>
        <w:tc>
          <w:tcPr>
            <w:tcW w:w="3913" w:type="dxa"/>
            <w:tcBorders>
              <w:top w:val="nil"/>
              <w:left w:val="nil"/>
              <w:bottom w:val="single" w:sz="4" w:space="0" w:color="auto"/>
              <w:right w:val="single" w:sz="4" w:space="0" w:color="auto"/>
            </w:tcBorders>
            <w:shd w:val="clear" w:color="auto" w:fill="auto"/>
            <w:vAlign w:val="center"/>
            <w:hideMark/>
          </w:tcPr>
          <w:p w14:paraId="7E1209B5"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COMPAÑIA ENERGETICA DE OCCIDENTE S.A.S.  E.S.P.</w:t>
            </w:r>
          </w:p>
        </w:tc>
        <w:tc>
          <w:tcPr>
            <w:tcW w:w="1602" w:type="dxa"/>
            <w:tcBorders>
              <w:top w:val="nil"/>
              <w:left w:val="nil"/>
              <w:bottom w:val="single" w:sz="4" w:space="0" w:color="auto"/>
              <w:right w:val="single" w:sz="4" w:space="0" w:color="auto"/>
            </w:tcBorders>
            <w:shd w:val="clear" w:color="auto" w:fill="auto"/>
            <w:noWrap/>
            <w:vAlign w:val="center"/>
            <w:hideMark/>
          </w:tcPr>
          <w:p w14:paraId="150B7226" w14:textId="339DCC20"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22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579</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117</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407 </w:t>
            </w:r>
          </w:p>
        </w:tc>
        <w:tc>
          <w:tcPr>
            <w:tcW w:w="1418" w:type="dxa"/>
            <w:tcBorders>
              <w:top w:val="nil"/>
              <w:left w:val="nil"/>
              <w:bottom w:val="single" w:sz="4" w:space="0" w:color="auto"/>
              <w:right w:val="single" w:sz="4" w:space="0" w:color="auto"/>
            </w:tcBorders>
            <w:shd w:val="clear" w:color="auto" w:fill="auto"/>
            <w:noWrap/>
            <w:vAlign w:val="center"/>
            <w:hideMark/>
          </w:tcPr>
          <w:p w14:paraId="7326C5FD" w14:textId="271C71FC"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225</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791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174 </w:t>
            </w:r>
          </w:p>
        </w:tc>
      </w:tr>
      <w:tr w:rsidR="009A21D7" w:rsidRPr="00374360" w14:paraId="098A123D"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AF22A1E"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58</w:t>
            </w:r>
          </w:p>
        </w:tc>
        <w:tc>
          <w:tcPr>
            <w:tcW w:w="660" w:type="dxa"/>
            <w:tcBorders>
              <w:top w:val="nil"/>
              <w:left w:val="nil"/>
              <w:bottom w:val="single" w:sz="4" w:space="0" w:color="auto"/>
              <w:right w:val="single" w:sz="4" w:space="0" w:color="auto"/>
            </w:tcBorders>
            <w:shd w:val="clear" w:color="auto" w:fill="auto"/>
            <w:noWrap/>
            <w:vAlign w:val="center"/>
            <w:hideMark/>
          </w:tcPr>
          <w:p w14:paraId="07466E9C"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36033</w:t>
            </w:r>
          </w:p>
        </w:tc>
        <w:tc>
          <w:tcPr>
            <w:tcW w:w="879" w:type="dxa"/>
            <w:tcBorders>
              <w:top w:val="nil"/>
              <w:left w:val="nil"/>
              <w:bottom w:val="single" w:sz="4" w:space="0" w:color="auto"/>
              <w:right w:val="single" w:sz="4" w:space="0" w:color="auto"/>
            </w:tcBorders>
            <w:shd w:val="clear" w:color="auto" w:fill="auto"/>
            <w:noWrap/>
            <w:vAlign w:val="center"/>
            <w:hideMark/>
          </w:tcPr>
          <w:p w14:paraId="340E0282"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901020967</w:t>
            </w:r>
          </w:p>
        </w:tc>
        <w:tc>
          <w:tcPr>
            <w:tcW w:w="3913" w:type="dxa"/>
            <w:tcBorders>
              <w:top w:val="nil"/>
              <w:left w:val="nil"/>
              <w:bottom w:val="single" w:sz="4" w:space="0" w:color="auto"/>
              <w:right w:val="single" w:sz="4" w:space="0" w:color="auto"/>
            </w:tcBorders>
            <w:shd w:val="clear" w:color="auto" w:fill="auto"/>
            <w:vAlign w:val="center"/>
            <w:hideMark/>
          </w:tcPr>
          <w:p w14:paraId="1882F2AC"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COMPRIGAS S.A.S.  E.S.P.</w:t>
            </w:r>
          </w:p>
        </w:tc>
        <w:tc>
          <w:tcPr>
            <w:tcW w:w="1602" w:type="dxa"/>
            <w:tcBorders>
              <w:top w:val="nil"/>
              <w:left w:val="nil"/>
              <w:bottom w:val="single" w:sz="4" w:space="0" w:color="auto"/>
              <w:right w:val="single" w:sz="4" w:space="0" w:color="auto"/>
            </w:tcBorders>
            <w:shd w:val="clear" w:color="auto" w:fill="auto"/>
            <w:noWrap/>
            <w:vAlign w:val="center"/>
            <w:hideMark/>
          </w:tcPr>
          <w:p w14:paraId="72A461DC" w14:textId="44C7AFA1"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886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433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068 </w:t>
            </w:r>
          </w:p>
        </w:tc>
        <w:tc>
          <w:tcPr>
            <w:tcW w:w="1418" w:type="dxa"/>
            <w:tcBorders>
              <w:top w:val="nil"/>
              <w:left w:val="nil"/>
              <w:bottom w:val="single" w:sz="4" w:space="0" w:color="auto"/>
              <w:right w:val="single" w:sz="4" w:space="0" w:color="auto"/>
            </w:tcBorders>
            <w:shd w:val="clear" w:color="auto" w:fill="auto"/>
            <w:noWrap/>
            <w:vAlign w:val="center"/>
            <w:hideMark/>
          </w:tcPr>
          <w:p w14:paraId="274B29A9" w14:textId="26848ADA"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864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331 </w:t>
            </w:r>
          </w:p>
        </w:tc>
      </w:tr>
      <w:tr w:rsidR="009A21D7" w:rsidRPr="00374360" w14:paraId="77E9F011" w14:textId="77777777" w:rsidTr="00C734CF">
        <w:trPr>
          <w:trHeight w:val="4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0EA5979"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59</w:t>
            </w:r>
          </w:p>
        </w:tc>
        <w:tc>
          <w:tcPr>
            <w:tcW w:w="660" w:type="dxa"/>
            <w:tcBorders>
              <w:top w:val="nil"/>
              <w:left w:val="nil"/>
              <w:bottom w:val="single" w:sz="4" w:space="0" w:color="auto"/>
              <w:right w:val="single" w:sz="4" w:space="0" w:color="auto"/>
            </w:tcBorders>
            <w:shd w:val="clear" w:color="auto" w:fill="auto"/>
            <w:noWrap/>
            <w:vAlign w:val="center"/>
            <w:hideMark/>
          </w:tcPr>
          <w:p w14:paraId="097729FD"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26226</w:t>
            </w:r>
          </w:p>
        </w:tc>
        <w:tc>
          <w:tcPr>
            <w:tcW w:w="879" w:type="dxa"/>
            <w:tcBorders>
              <w:top w:val="nil"/>
              <w:left w:val="nil"/>
              <w:bottom w:val="single" w:sz="4" w:space="0" w:color="auto"/>
              <w:right w:val="single" w:sz="4" w:space="0" w:color="auto"/>
            </w:tcBorders>
            <w:shd w:val="clear" w:color="auto" w:fill="auto"/>
            <w:noWrap/>
            <w:vAlign w:val="center"/>
            <w:hideMark/>
          </w:tcPr>
          <w:p w14:paraId="3B9276C6"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900565871</w:t>
            </w:r>
          </w:p>
        </w:tc>
        <w:tc>
          <w:tcPr>
            <w:tcW w:w="3913" w:type="dxa"/>
            <w:tcBorders>
              <w:top w:val="nil"/>
              <w:left w:val="nil"/>
              <w:bottom w:val="single" w:sz="4" w:space="0" w:color="auto"/>
              <w:right w:val="single" w:sz="4" w:space="0" w:color="auto"/>
            </w:tcBorders>
            <w:shd w:val="clear" w:color="auto" w:fill="auto"/>
            <w:vAlign w:val="center"/>
            <w:hideMark/>
          </w:tcPr>
          <w:p w14:paraId="7CE355AE"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COMPROPANO SOCIEDAD POR ACCIONES SIMPLIFICADA E.S.P</w:t>
            </w:r>
          </w:p>
        </w:tc>
        <w:tc>
          <w:tcPr>
            <w:tcW w:w="1602" w:type="dxa"/>
            <w:tcBorders>
              <w:top w:val="nil"/>
              <w:left w:val="nil"/>
              <w:bottom w:val="single" w:sz="4" w:space="0" w:color="auto"/>
              <w:right w:val="single" w:sz="4" w:space="0" w:color="auto"/>
            </w:tcBorders>
            <w:shd w:val="clear" w:color="auto" w:fill="auto"/>
            <w:noWrap/>
            <w:vAlign w:val="center"/>
            <w:hideMark/>
          </w:tcPr>
          <w:p w14:paraId="385AE68D" w14:textId="1035B00D"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120</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583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934 </w:t>
            </w:r>
          </w:p>
        </w:tc>
        <w:tc>
          <w:tcPr>
            <w:tcW w:w="1418" w:type="dxa"/>
            <w:tcBorders>
              <w:top w:val="nil"/>
              <w:left w:val="nil"/>
              <w:bottom w:val="single" w:sz="4" w:space="0" w:color="auto"/>
              <w:right w:val="single" w:sz="4" w:space="0" w:color="auto"/>
            </w:tcBorders>
            <w:shd w:val="clear" w:color="auto" w:fill="auto"/>
            <w:noWrap/>
            <w:vAlign w:val="center"/>
            <w:hideMark/>
          </w:tcPr>
          <w:p w14:paraId="124B9042" w14:textId="209EF409"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205</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839 </w:t>
            </w:r>
          </w:p>
        </w:tc>
      </w:tr>
      <w:tr w:rsidR="009A21D7" w:rsidRPr="00374360" w14:paraId="2CFDE710"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4ABAFF0"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60</w:t>
            </w:r>
          </w:p>
        </w:tc>
        <w:tc>
          <w:tcPr>
            <w:tcW w:w="660" w:type="dxa"/>
            <w:tcBorders>
              <w:top w:val="nil"/>
              <w:left w:val="nil"/>
              <w:bottom w:val="single" w:sz="4" w:space="0" w:color="auto"/>
              <w:right w:val="single" w:sz="4" w:space="0" w:color="auto"/>
            </w:tcBorders>
            <w:shd w:val="clear" w:color="auto" w:fill="auto"/>
            <w:noWrap/>
            <w:vAlign w:val="center"/>
            <w:hideMark/>
          </w:tcPr>
          <w:p w14:paraId="29897C74"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30111</w:t>
            </w:r>
          </w:p>
        </w:tc>
        <w:tc>
          <w:tcPr>
            <w:tcW w:w="879" w:type="dxa"/>
            <w:tcBorders>
              <w:top w:val="nil"/>
              <w:left w:val="nil"/>
              <w:bottom w:val="single" w:sz="4" w:space="0" w:color="auto"/>
              <w:right w:val="single" w:sz="4" w:space="0" w:color="auto"/>
            </w:tcBorders>
            <w:shd w:val="clear" w:color="auto" w:fill="auto"/>
            <w:noWrap/>
            <w:vAlign w:val="center"/>
            <w:hideMark/>
          </w:tcPr>
          <w:p w14:paraId="1A78480F"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900879149</w:t>
            </w:r>
          </w:p>
        </w:tc>
        <w:tc>
          <w:tcPr>
            <w:tcW w:w="3913" w:type="dxa"/>
            <w:tcBorders>
              <w:top w:val="nil"/>
              <w:left w:val="nil"/>
              <w:bottom w:val="single" w:sz="4" w:space="0" w:color="auto"/>
              <w:right w:val="single" w:sz="4" w:space="0" w:color="auto"/>
            </w:tcBorders>
            <w:shd w:val="clear" w:color="auto" w:fill="auto"/>
            <w:vAlign w:val="center"/>
            <w:hideMark/>
          </w:tcPr>
          <w:p w14:paraId="137119BB"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CONELCA  S.A.S.  E.S.P.</w:t>
            </w:r>
          </w:p>
        </w:tc>
        <w:tc>
          <w:tcPr>
            <w:tcW w:w="1602" w:type="dxa"/>
            <w:tcBorders>
              <w:top w:val="nil"/>
              <w:left w:val="nil"/>
              <w:bottom w:val="single" w:sz="4" w:space="0" w:color="auto"/>
              <w:right w:val="single" w:sz="4" w:space="0" w:color="auto"/>
            </w:tcBorders>
            <w:shd w:val="clear" w:color="auto" w:fill="auto"/>
            <w:noWrap/>
            <w:vAlign w:val="center"/>
            <w:hideMark/>
          </w:tcPr>
          <w:p w14:paraId="74F4C9D6" w14:textId="417553FA"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553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822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909 </w:t>
            </w:r>
          </w:p>
        </w:tc>
        <w:tc>
          <w:tcPr>
            <w:tcW w:w="1418" w:type="dxa"/>
            <w:tcBorders>
              <w:top w:val="nil"/>
              <w:left w:val="nil"/>
              <w:bottom w:val="single" w:sz="4" w:space="0" w:color="auto"/>
              <w:right w:val="single" w:sz="4" w:space="0" w:color="auto"/>
            </w:tcBorders>
            <w:shd w:val="clear" w:color="auto" w:fill="auto"/>
            <w:noWrap/>
            <w:vAlign w:val="center"/>
            <w:hideMark/>
          </w:tcPr>
          <w:p w14:paraId="6DF00BB4" w14:textId="301B936A"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5</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538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229 </w:t>
            </w:r>
          </w:p>
        </w:tc>
      </w:tr>
      <w:tr w:rsidR="009A21D7" w:rsidRPr="00374360" w14:paraId="6D3D2A05" w14:textId="77777777" w:rsidTr="00C734CF">
        <w:trPr>
          <w:trHeight w:val="4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3960F3B"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61</w:t>
            </w:r>
          </w:p>
        </w:tc>
        <w:tc>
          <w:tcPr>
            <w:tcW w:w="660" w:type="dxa"/>
            <w:tcBorders>
              <w:top w:val="nil"/>
              <w:left w:val="nil"/>
              <w:bottom w:val="single" w:sz="4" w:space="0" w:color="auto"/>
              <w:right w:val="single" w:sz="4" w:space="0" w:color="auto"/>
            </w:tcBorders>
            <w:shd w:val="clear" w:color="auto" w:fill="auto"/>
            <w:noWrap/>
            <w:vAlign w:val="center"/>
            <w:hideMark/>
          </w:tcPr>
          <w:p w14:paraId="4ED309AC"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21597</w:t>
            </w:r>
          </w:p>
        </w:tc>
        <w:tc>
          <w:tcPr>
            <w:tcW w:w="879" w:type="dxa"/>
            <w:tcBorders>
              <w:top w:val="nil"/>
              <w:left w:val="nil"/>
              <w:bottom w:val="single" w:sz="4" w:space="0" w:color="auto"/>
              <w:right w:val="single" w:sz="4" w:space="0" w:color="auto"/>
            </w:tcBorders>
            <w:shd w:val="clear" w:color="auto" w:fill="auto"/>
            <w:noWrap/>
            <w:vAlign w:val="center"/>
            <w:hideMark/>
          </w:tcPr>
          <w:p w14:paraId="1126F104"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900122435</w:t>
            </w:r>
          </w:p>
        </w:tc>
        <w:tc>
          <w:tcPr>
            <w:tcW w:w="3913" w:type="dxa"/>
            <w:tcBorders>
              <w:top w:val="nil"/>
              <w:left w:val="nil"/>
              <w:bottom w:val="single" w:sz="4" w:space="0" w:color="auto"/>
              <w:right w:val="single" w:sz="4" w:space="0" w:color="auto"/>
            </w:tcBorders>
            <w:shd w:val="clear" w:color="auto" w:fill="auto"/>
            <w:vAlign w:val="center"/>
            <w:hideMark/>
          </w:tcPr>
          <w:p w14:paraId="1DF8DEA7"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COOPERATIVA DE SERVICIOS PÚBLICOS DE LÓPEZ DE MICAY</w:t>
            </w:r>
          </w:p>
        </w:tc>
        <w:tc>
          <w:tcPr>
            <w:tcW w:w="1602" w:type="dxa"/>
            <w:tcBorders>
              <w:top w:val="nil"/>
              <w:left w:val="nil"/>
              <w:bottom w:val="single" w:sz="4" w:space="0" w:color="auto"/>
              <w:right w:val="single" w:sz="4" w:space="0" w:color="auto"/>
            </w:tcBorders>
            <w:shd w:val="clear" w:color="auto" w:fill="auto"/>
            <w:noWrap/>
            <w:vAlign w:val="center"/>
            <w:hideMark/>
          </w:tcPr>
          <w:p w14:paraId="6F8268FC" w14:textId="235087BB"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662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508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311 </w:t>
            </w:r>
          </w:p>
        </w:tc>
        <w:tc>
          <w:tcPr>
            <w:tcW w:w="1418" w:type="dxa"/>
            <w:tcBorders>
              <w:top w:val="nil"/>
              <w:left w:val="nil"/>
              <w:bottom w:val="single" w:sz="4" w:space="0" w:color="auto"/>
              <w:right w:val="single" w:sz="4" w:space="0" w:color="auto"/>
            </w:tcBorders>
            <w:shd w:val="clear" w:color="auto" w:fill="auto"/>
            <w:noWrap/>
            <w:vAlign w:val="center"/>
            <w:hideMark/>
          </w:tcPr>
          <w:p w14:paraId="79026DDA" w14:textId="7DD1EFB2"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625</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083 </w:t>
            </w:r>
          </w:p>
        </w:tc>
      </w:tr>
      <w:tr w:rsidR="009A21D7" w:rsidRPr="00374360" w14:paraId="4EFF81E7"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E81FC53"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62</w:t>
            </w:r>
          </w:p>
        </w:tc>
        <w:tc>
          <w:tcPr>
            <w:tcW w:w="660" w:type="dxa"/>
            <w:tcBorders>
              <w:top w:val="nil"/>
              <w:left w:val="nil"/>
              <w:bottom w:val="single" w:sz="4" w:space="0" w:color="auto"/>
              <w:right w:val="single" w:sz="4" w:space="0" w:color="auto"/>
            </w:tcBorders>
            <w:shd w:val="clear" w:color="auto" w:fill="auto"/>
            <w:noWrap/>
            <w:vAlign w:val="center"/>
            <w:hideMark/>
          </w:tcPr>
          <w:p w14:paraId="3BB9D564"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20214</w:t>
            </w:r>
          </w:p>
        </w:tc>
        <w:tc>
          <w:tcPr>
            <w:tcW w:w="879" w:type="dxa"/>
            <w:tcBorders>
              <w:top w:val="nil"/>
              <w:left w:val="nil"/>
              <w:bottom w:val="single" w:sz="4" w:space="0" w:color="auto"/>
              <w:right w:val="single" w:sz="4" w:space="0" w:color="auto"/>
            </w:tcBorders>
            <w:shd w:val="clear" w:color="auto" w:fill="auto"/>
            <w:noWrap/>
            <w:vAlign w:val="center"/>
            <w:hideMark/>
          </w:tcPr>
          <w:p w14:paraId="633C43FA"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845000021</w:t>
            </w:r>
          </w:p>
        </w:tc>
        <w:tc>
          <w:tcPr>
            <w:tcW w:w="3913" w:type="dxa"/>
            <w:tcBorders>
              <w:top w:val="nil"/>
              <w:left w:val="nil"/>
              <w:bottom w:val="single" w:sz="4" w:space="0" w:color="auto"/>
              <w:right w:val="single" w:sz="4" w:space="0" w:color="auto"/>
            </w:tcBorders>
            <w:shd w:val="clear" w:color="auto" w:fill="auto"/>
            <w:vAlign w:val="center"/>
            <w:hideMark/>
          </w:tcPr>
          <w:p w14:paraId="1A08C82E"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DEPARTAMENTO DEL VAUPES</w:t>
            </w:r>
          </w:p>
        </w:tc>
        <w:tc>
          <w:tcPr>
            <w:tcW w:w="1602" w:type="dxa"/>
            <w:tcBorders>
              <w:top w:val="nil"/>
              <w:left w:val="nil"/>
              <w:bottom w:val="single" w:sz="4" w:space="0" w:color="auto"/>
              <w:right w:val="single" w:sz="4" w:space="0" w:color="auto"/>
            </w:tcBorders>
            <w:shd w:val="clear" w:color="auto" w:fill="auto"/>
            <w:noWrap/>
            <w:vAlign w:val="center"/>
            <w:hideMark/>
          </w:tcPr>
          <w:p w14:paraId="5DF457F0" w14:textId="1A25CFBB"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427</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983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723 </w:t>
            </w:r>
          </w:p>
        </w:tc>
        <w:tc>
          <w:tcPr>
            <w:tcW w:w="1418" w:type="dxa"/>
            <w:tcBorders>
              <w:top w:val="nil"/>
              <w:left w:val="nil"/>
              <w:bottom w:val="single" w:sz="4" w:space="0" w:color="auto"/>
              <w:right w:val="single" w:sz="4" w:space="0" w:color="auto"/>
            </w:tcBorders>
            <w:shd w:val="clear" w:color="auto" w:fill="auto"/>
            <w:noWrap/>
            <w:vAlign w:val="center"/>
            <w:hideMark/>
          </w:tcPr>
          <w:p w14:paraId="01DE7A1E" w14:textId="57E2201F"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279</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837 </w:t>
            </w:r>
          </w:p>
        </w:tc>
      </w:tr>
      <w:tr w:rsidR="009A21D7" w:rsidRPr="00374360" w14:paraId="6AF53B80"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B274CD1"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63</w:t>
            </w:r>
          </w:p>
        </w:tc>
        <w:tc>
          <w:tcPr>
            <w:tcW w:w="660" w:type="dxa"/>
            <w:tcBorders>
              <w:top w:val="nil"/>
              <w:left w:val="nil"/>
              <w:bottom w:val="single" w:sz="4" w:space="0" w:color="auto"/>
              <w:right w:val="single" w:sz="4" w:space="0" w:color="auto"/>
            </w:tcBorders>
            <w:shd w:val="clear" w:color="auto" w:fill="auto"/>
            <w:noWrap/>
            <w:vAlign w:val="center"/>
            <w:hideMark/>
          </w:tcPr>
          <w:p w14:paraId="6DBACCDC"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45317</w:t>
            </w:r>
          </w:p>
        </w:tc>
        <w:tc>
          <w:tcPr>
            <w:tcW w:w="879" w:type="dxa"/>
            <w:tcBorders>
              <w:top w:val="nil"/>
              <w:left w:val="nil"/>
              <w:bottom w:val="single" w:sz="4" w:space="0" w:color="auto"/>
              <w:right w:val="single" w:sz="4" w:space="0" w:color="auto"/>
            </w:tcBorders>
            <w:shd w:val="clear" w:color="auto" w:fill="auto"/>
            <w:noWrap/>
            <w:vAlign w:val="center"/>
            <w:hideMark/>
          </w:tcPr>
          <w:p w14:paraId="3251F315"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901288781</w:t>
            </w:r>
          </w:p>
        </w:tc>
        <w:tc>
          <w:tcPr>
            <w:tcW w:w="3913" w:type="dxa"/>
            <w:tcBorders>
              <w:top w:val="nil"/>
              <w:left w:val="nil"/>
              <w:bottom w:val="single" w:sz="4" w:space="0" w:color="auto"/>
              <w:right w:val="single" w:sz="4" w:space="0" w:color="auto"/>
            </w:tcBorders>
            <w:shd w:val="clear" w:color="auto" w:fill="auto"/>
            <w:vAlign w:val="center"/>
            <w:hideMark/>
          </w:tcPr>
          <w:p w14:paraId="0CE73A7C"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DEPI ENERGY S.A.S. E.S.P.</w:t>
            </w:r>
          </w:p>
        </w:tc>
        <w:tc>
          <w:tcPr>
            <w:tcW w:w="1602" w:type="dxa"/>
            <w:tcBorders>
              <w:top w:val="nil"/>
              <w:left w:val="nil"/>
              <w:bottom w:val="single" w:sz="4" w:space="0" w:color="auto"/>
              <w:right w:val="single" w:sz="4" w:space="0" w:color="auto"/>
            </w:tcBorders>
            <w:shd w:val="clear" w:color="auto" w:fill="auto"/>
            <w:noWrap/>
            <w:vAlign w:val="center"/>
            <w:hideMark/>
          </w:tcPr>
          <w:p w14:paraId="1DBB4FF6" w14:textId="766CB276"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320</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664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027 </w:t>
            </w:r>
          </w:p>
        </w:tc>
        <w:tc>
          <w:tcPr>
            <w:tcW w:w="1418" w:type="dxa"/>
            <w:tcBorders>
              <w:top w:val="nil"/>
              <w:left w:val="nil"/>
              <w:bottom w:val="single" w:sz="4" w:space="0" w:color="auto"/>
              <w:right w:val="single" w:sz="4" w:space="0" w:color="auto"/>
            </w:tcBorders>
            <w:shd w:val="clear" w:color="auto" w:fill="auto"/>
            <w:noWrap/>
            <w:vAlign w:val="center"/>
            <w:hideMark/>
          </w:tcPr>
          <w:p w14:paraId="35F74A96" w14:textId="3982FE20"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206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640 </w:t>
            </w:r>
          </w:p>
        </w:tc>
      </w:tr>
      <w:tr w:rsidR="009A21D7" w:rsidRPr="00374360" w14:paraId="16F1BC0F"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CF883A0"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64</w:t>
            </w:r>
          </w:p>
        </w:tc>
        <w:tc>
          <w:tcPr>
            <w:tcW w:w="660" w:type="dxa"/>
            <w:tcBorders>
              <w:top w:val="nil"/>
              <w:left w:val="nil"/>
              <w:bottom w:val="single" w:sz="4" w:space="0" w:color="auto"/>
              <w:right w:val="single" w:sz="4" w:space="0" w:color="auto"/>
            </w:tcBorders>
            <w:shd w:val="clear" w:color="auto" w:fill="auto"/>
            <w:noWrap/>
            <w:vAlign w:val="center"/>
            <w:hideMark/>
          </w:tcPr>
          <w:p w14:paraId="44DE8125"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2378</w:t>
            </w:r>
          </w:p>
        </w:tc>
        <w:tc>
          <w:tcPr>
            <w:tcW w:w="879" w:type="dxa"/>
            <w:tcBorders>
              <w:top w:val="nil"/>
              <w:left w:val="nil"/>
              <w:bottom w:val="single" w:sz="4" w:space="0" w:color="auto"/>
              <w:right w:val="single" w:sz="4" w:space="0" w:color="auto"/>
            </w:tcBorders>
            <w:shd w:val="clear" w:color="auto" w:fill="auto"/>
            <w:noWrap/>
            <w:vAlign w:val="center"/>
            <w:hideMark/>
          </w:tcPr>
          <w:p w14:paraId="270D3120"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815001901</w:t>
            </w:r>
          </w:p>
        </w:tc>
        <w:tc>
          <w:tcPr>
            <w:tcW w:w="3913" w:type="dxa"/>
            <w:tcBorders>
              <w:top w:val="nil"/>
              <w:left w:val="nil"/>
              <w:bottom w:val="single" w:sz="4" w:space="0" w:color="auto"/>
              <w:right w:val="single" w:sz="4" w:space="0" w:color="auto"/>
            </w:tcBorders>
            <w:shd w:val="clear" w:color="auto" w:fill="auto"/>
            <w:vAlign w:val="center"/>
            <w:hideMark/>
          </w:tcPr>
          <w:p w14:paraId="40225372"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DICELER S.A E.S.P.</w:t>
            </w:r>
          </w:p>
        </w:tc>
        <w:tc>
          <w:tcPr>
            <w:tcW w:w="1602" w:type="dxa"/>
            <w:tcBorders>
              <w:top w:val="nil"/>
              <w:left w:val="nil"/>
              <w:bottom w:val="single" w:sz="4" w:space="0" w:color="auto"/>
              <w:right w:val="single" w:sz="4" w:space="0" w:color="auto"/>
            </w:tcBorders>
            <w:shd w:val="clear" w:color="auto" w:fill="auto"/>
            <w:noWrap/>
            <w:vAlign w:val="center"/>
            <w:hideMark/>
          </w:tcPr>
          <w:p w14:paraId="7FE80671" w14:textId="483309FA"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364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017</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883 </w:t>
            </w:r>
          </w:p>
        </w:tc>
        <w:tc>
          <w:tcPr>
            <w:tcW w:w="1418" w:type="dxa"/>
            <w:tcBorders>
              <w:top w:val="nil"/>
              <w:left w:val="nil"/>
              <w:bottom w:val="single" w:sz="4" w:space="0" w:color="auto"/>
              <w:right w:val="single" w:sz="4" w:space="0" w:color="auto"/>
            </w:tcBorders>
            <w:shd w:val="clear" w:color="auto" w:fill="auto"/>
            <w:noWrap/>
            <w:vAlign w:val="center"/>
            <w:hideMark/>
          </w:tcPr>
          <w:p w14:paraId="034C0894" w14:textId="054CC5BF"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640</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179 </w:t>
            </w:r>
          </w:p>
        </w:tc>
      </w:tr>
      <w:tr w:rsidR="009A21D7" w:rsidRPr="00374360" w14:paraId="1DBB2B4E"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2C837F5"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65</w:t>
            </w:r>
          </w:p>
        </w:tc>
        <w:tc>
          <w:tcPr>
            <w:tcW w:w="660" w:type="dxa"/>
            <w:tcBorders>
              <w:top w:val="nil"/>
              <w:left w:val="nil"/>
              <w:bottom w:val="single" w:sz="4" w:space="0" w:color="auto"/>
              <w:right w:val="single" w:sz="4" w:space="0" w:color="auto"/>
            </w:tcBorders>
            <w:shd w:val="clear" w:color="auto" w:fill="auto"/>
            <w:noWrap/>
            <w:vAlign w:val="center"/>
            <w:hideMark/>
          </w:tcPr>
          <w:p w14:paraId="66179ECC"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3151</w:t>
            </w:r>
          </w:p>
        </w:tc>
        <w:tc>
          <w:tcPr>
            <w:tcW w:w="879" w:type="dxa"/>
            <w:tcBorders>
              <w:top w:val="nil"/>
              <w:left w:val="nil"/>
              <w:bottom w:val="single" w:sz="4" w:space="0" w:color="auto"/>
              <w:right w:val="single" w:sz="4" w:space="0" w:color="auto"/>
            </w:tcBorders>
            <w:shd w:val="clear" w:color="auto" w:fill="auto"/>
            <w:noWrap/>
            <w:vAlign w:val="center"/>
            <w:hideMark/>
          </w:tcPr>
          <w:p w14:paraId="3333EE6C"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830055402</w:t>
            </w:r>
          </w:p>
        </w:tc>
        <w:tc>
          <w:tcPr>
            <w:tcW w:w="3913" w:type="dxa"/>
            <w:tcBorders>
              <w:top w:val="nil"/>
              <w:left w:val="nil"/>
              <w:bottom w:val="single" w:sz="4" w:space="0" w:color="auto"/>
              <w:right w:val="single" w:sz="4" w:space="0" w:color="auto"/>
            </w:tcBorders>
            <w:shd w:val="clear" w:color="auto" w:fill="auto"/>
            <w:vAlign w:val="center"/>
            <w:hideMark/>
          </w:tcPr>
          <w:p w14:paraId="6A4E77CE"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DINAGAS S.A. E.S.P.</w:t>
            </w:r>
          </w:p>
        </w:tc>
        <w:tc>
          <w:tcPr>
            <w:tcW w:w="1602" w:type="dxa"/>
            <w:tcBorders>
              <w:top w:val="nil"/>
              <w:left w:val="nil"/>
              <w:bottom w:val="single" w:sz="4" w:space="0" w:color="auto"/>
              <w:right w:val="single" w:sz="4" w:space="0" w:color="auto"/>
            </w:tcBorders>
            <w:shd w:val="clear" w:color="auto" w:fill="auto"/>
            <w:noWrap/>
            <w:vAlign w:val="center"/>
            <w:hideMark/>
          </w:tcPr>
          <w:p w14:paraId="5F56FA1E" w14:textId="7E940411"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612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895</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240 </w:t>
            </w:r>
          </w:p>
        </w:tc>
        <w:tc>
          <w:tcPr>
            <w:tcW w:w="1418" w:type="dxa"/>
            <w:tcBorders>
              <w:top w:val="nil"/>
              <w:left w:val="nil"/>
              <w:bottom w:val="single" w:sz="4" w:space="0" w:color="auto"/>
              <w:right w:val="single" w:sz="4" w:space="0" w:color="auto"/>
            </w:tcBorders>
            <w:shd w:val="clear" w:color="auto" w:fill="auto"/>
            <w:noWrap/>
            <w:vAlign w:val="center"/>
            <w:hideMark/>
          </w:tcPr>
          <w:p w14:paraId="26C63A66" w14:textId="26ECCD9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36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128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952 </w:t>
            </w:r>
          </w:p>
        </w:tc>
      </w:tr>
      <w:tr w:rsidR="009A21D7" w:rsidRPr="00374360" w14:paraId="274D78C7"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079176B"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lastRenderedPageBreak/>
              <w:t>66</w:t>
            </w:r>
          </w:p>
        </w:tc>
        <w:tc>
          <w:tcPr>
            <w:tcW w:w="660" w:type="dxa"/>
            <w:tcBorders>
              <w:top w:val="nil"/>
              <w:left w:val="nil"/>
              <w:bottom w:val="single" w:sz="4" w:space="0" w:color="auto"/>
              <w:right w:val="single" w:sz="4" w:space="0" w:color="auto"/>
            </w:tcBorders>
            <w:shd w:val="clear" w:color="auto" w:fill="auto"/>
            <w:noWrap/>
            <w:vAlign w:val="center"/>
            <w:hideMark/>
          </w:tcPr>
          <w:p w14:paraId="308433AC"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2081</w:t>
            </w:r>
          </w:p>
        </w:tc>
        <w:tc>
          <w:tcPr>
            <w:tcW w:w="879" w:type="dxa"/>
            <w:tcBorders>
              <w:top w:val="nil"/>
              <w:left w:val="nil"/>
              <w:bottom w:val="single" w:sz="4" w:space="0" w:color="auto"/>
              <w:right w:val="single" w:sz="4" w:space="0" w:color="auto"/>
            </w:tcBorders>
            <w:shd w:val="clear" w:color="auto" w:fill="auto"/>
            <w:noWrap/>
            <w:vAlign w:val="center"/>
            <w:hideMark/>
          </w:tcPr>
          <w:p w14:paraId="5ABF121E"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807001845</w:t>
            </w:r>
          </w:p>
        </w:tc>
        <w:tc>
          <w:tcPr>
            <w:tcW w:w="3913" w:type="dxa"/>
            <w:tcBorders>
              <w:top w:val="nil"/>
              <w:left w:val="nil"/>
              <w:bottom w:val="single" w:sz="4" w:space="0" w:color="auto"/>
              <w:right w:val="single" w:sz="4" w:space="0" w:color="auto"/>
            </w:tcBorders>
            <w:shd w:val="clear" w:color="auto" w:fill="auto"/>
            <w:vAlign w:val="center"/>
            <w:hideMark/>
          </w:tcPr>
          <w:p w14:paraId="6F26F16C"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DISTASA S.A. E.S.P.</w:t>
            </w:r>
          </w:p>
        </w:tc>
        <w:tc>
          <w:tcPr>
            <w:tcW w:w="1602" w:type="dxa"/>
            <w:tcBorders>
              <w:top w:val="nil"/>
              <w:left w:val="nil"/>
              <w:bottom w:val="single" w:sz="4" w:space="0" w:color="auto"/>
              <w:right w:val="single" w:sz="4" w:space="0" w:color="auto"/>
            </w:tcBorders>
            <w:shd w:val="clear" w:color="auto" w:fill="auto"/>
            <w:noWrap/>
            <w:vAlign w:val="center"/>
            <w:hideMark/>
          </w:tcPr>
          <w:p w14:paraId="4408A4FC" w14:textId="5E02D55E"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199</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389</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071 </w:t>
            </w:r>
          </w:p>
        </w:tc>
        <w:tc>
          <w:tcPr>
            <w:tcW w:w="1418" w:type="dxa"/>
            <w:tcBorders>
              <w:top w:val="nil"/>
              <w:left w:val="nil"/>
              <w:bottom w:val="single" w:sz="4" w:space="0" w:color="auto"/>
              <w:right w:val="single" w:sz="4" w:space="0" w:color="auto"/>
            </w:tcBorders>
            <w:shd w:val="clear" w:color="auto" w:fill="auto"/>
            <w:noWrap/>
            <w:vAlign w:val="center"/>
            <w:hideMark/>
          </w:tcPr>
          <w:p w14:paraId="1AAE2EFE" w14:textId="378B61E8"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21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993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891 </w:t>
            </w:r>
          </w:p>
        </w:tc>
      </w:tr>
      <w:tr w:rsidR="009A21D7" w:rsidRPr="00374360" w14:paraId="4C11A228"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21F2E1A"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67</w:t>
            </w:r>
          </w:p>
        </w:tc>
        <w:tc>
          <w:tcPr>
            <w:tcW w:w="660" w:type="dxa"/>
            <w:tcBorders>
              <w:top w:val="nil"/>
              <w:left w:val="nil"/>
              <w:bottom w:val="single" w:sz="4" w:space="0" w:color="auto"/>
              <w:right w:val="single" w:sz="4" w:space="0" w:color="auto"/>
            </w:tcBorders>
            <w:shd w:val="clear" w:color="auto" w:fill="auto"/>
            <w:noWrap/>
            <w:vAlign w:val="center"/>
            <w:hideMark/>
          </w:tcPr>
          <w:p w14:paraId="6138840B"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26201</w:t>
            </w:r>
          </w:p>
        </w:tc>
        <w:tc>
          <w:tcPr>
            <w:tcW w:w="879" w:type="dxa"/>
            <w:tcBorders>
              <w:top w:val="nil"/>
              <w:left w:val="nil"/>
              <w:bottom w:val="single" w:sz="4" w:space="0" w:color="auto"/>
              <w:right w:val="single" w:sz="4" w:space="0" w:color="auto"/>
            </w:tcBorders>
            <w:shd w:val="clear" w:color="auto" w:fill="auto"/>
            <w:noWrap/>
            <w:vAlign w:val="center"/>
            <w:hideMark/>
          </w:tcPr>
          <w:p w14:paraId="502E89B7"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900563448</w:t>
            </w:r>
          </w:p>
        </w:tc>
        <w:tc>
          <w:tcPr>
            <w:tcW w:w="3913" w:type="dxa"/>
            <w:tcBorders>
              <w:top w:val="nil"/>
              <w:left w:val="nil"/>
              <w:bottom w:val="single" w:sz="4" w:space="0" w:color="auto"/>
              <w:right w:val="single" w:sz="4" w:space="0" w:color="auto"/>
            </w:tcBorders>
            <w:shd w:val="clear" w:color="auto" w:fill="auto"/>
            <w:vAlign w:val="center"/>
            <w:hideMark/>
          </w:tcPr>
          <w:p w14:paraId="246604A7"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DISTICON SAS ESP</w:t>
            </w:r>
          </w:p>
        </w:tc>
        <w:tc>
          <w:tcPr>
            <w:tcW w:w="1602" w:type="dxa"/>
            <w:tcBorders>
              <w:top w:val="nil"/>
              <w:left w:val="nil"/>
              <w:bottom w:val="single" w:sz="4" w:space="0" w:color="auto"/>
              <w:right w:val="single" w:sz="4" w:space="0" w:color="auto"/>
            </w:tcBorders>
            <w:shd w:val="clear" w:color="auto" w:fill="auto"/>
            <w:noWrap/>
            <w:vAlign w:val="center"/>
            <w:hideMark/>
          </w:tcPr>
          <w:p w14:paraId="78CD45F8" w14:textId="47B8714A"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291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499</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478 </w:t>
            </w:r>
          </w:p>
        </w:tc>
        <w:tc>
          <w:tcPr>
            <w:tcW w:w="1418" w:type="dxa"/>
            <w:tcBorders>
              <w:top w:val="nil"/>
              <w:left w:val="nil"/>
              <w:bottom w:val="single" w:sz="4" w:space="0" w:color="auto"/>
              <w:right w:val="single" w:sz="4" w:space="0" w:color="auto"/>
            </w:tcBorders>
            <w:shd w:val="clear" w:color="auto" w:fill="auto"/>
            <w:noWrap/>
            <w:vAlign w:val="center"/>
            <w:hideMark/>
          </w:tcPr>
          <w:p w14:paraId="760229FC" w14:textId="1320A8D3"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914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995 </w:t>
            </w:r>
          </w:p>
        </w:tc>
      </w:tr>
      <w:tr w:rsidR="009A21D7" w:rsidRPr="00374360" w14:paraId="59E0D030"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B86AAE0"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68</w:t>
            </w:r>
          </w:p>
        </w:tc>
        <w:tc>
          <w:tcPr>
            <w:tcW w:w="660" w:type="dxa"/>
            <w:tcBorders>
              <w:top w:val="nil"/>
              <w:left w:val="nil"/>
              <w:bottom w:val="single" w:sz="4" w:space="0" w:color="auto"/>
              <w:right w:val="single" w:sz="4" w:space="0" w:color="auto"/>
            </w:tcBorders>
            <w:shd w:val="clear" w:color="auto" w:fill="auto"/>
            <w:noWrap/>
            <w:vAlign w:val="center"/>
            <w:hideMark/>
          </w:tcPr>
          <w:p w14:paraId="5856451D"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1604</w:t>
            </w:r>
          </w:p>
        </w:tc>
        <w:tc>
          <w:tcPr>
            <w:tcW w:w="879" w:type="dxa"/>
            <w:tcBorders>
              <w:top w:val="nil"/>
              <w:left w:val="nil"/>
              <w:bottom w:val="single" w:sz="4" w:space="0" w:color="auto"/>
              <w:right w:val="single" w:sz="4" w:space="0" w:color="auto"/>
            </w:tcBorders>
            <w:shd w:val="clear" w:color="auto" w:fill="auto"/>
            <w:noWrap/>
            <w:vAlign w:val="center"/>
            <w:hideMark/>
          </w:tcPr>
          <w:p w14:paraId="00A65F67"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830046209</w:t>
            </w:r>
          </w:p>
        </w:tc>
        <w:tc>
          <w:tcPr>
            <w:tcW w:w="3913" w:type="dxa"/>
            <w:tcBorders>
              <w:top w:val="nil"/>
              <w:left w:val="nil"/>
              <w:bottom w:val="single" w:sz="4" w:space="0" w:color="auto"/>
              <w:right w:val="single" w:sz="4" w:space="0" w:color="auto"/>
            </w:tcBorders>
            <w:shd w:val="clear" w:color="auto" w:fill="auto"/>
            <w:vAlign w:val="center"/>
            <w:hideMark/>
          </w:tcPr>
          <w:p w14:paraId="09A69B2F"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DISTRIBUIDORA CENTRAL DE GAS SA ESP</w:t>
            </w:r>
          </w:p>
        </w:tc>
        <w:tc>
          <w:tcPr>
            <w:tcW w:w="1602" w:type="dxa"/>
            <w:tcBorders>
              <w:top w:val="nil"/>
              <w:left w:val="nil"/>
              <w:bottom w:val="single" w:sz="4" w:space="0" w:color="auto"/>
              <w:right w:val="single" w:sz="4" w:space="0" w:color="auto"/>
            </w:tcBorders>
            <w:shd w:val="clear" w:color="auto" w:fill="auto"/>
            <w:noWrap/>
            <w:vAlign w:val="center"/>
            <w:hideMark/>
          </w:tcPr>
          <w:p w14:paraId="579C065B" w14:textId="5B826B8D"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477</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631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913 </w:t>
            </w:r>
          </w:p>
        </w:tc>
        <w:tc>
          <w:tcPr>
            <w:tcW w:w="1418" w:type="dxa"/>
            <w:tcBorders>
              <w:top w:val="nil"/>
              <w:left w:val="nil"/>
              <w:bottom w:val="single" w:sz="4" w:space="0" w:color="auto"/>
              <w:right w:val="single" w:sz="4" w:space="0" w:color="auto"/>
            </w:tcBorders>
            <w:shd w:val="clear" w:color="auto" w:fill="auto"/>
            <w:noWrap/>
            <w:vAlign w:val="center"/>
            <w:hideMark/>
          </w:tcPr>
          <w:p w14:paraId="17ACC3D0" w14:textId="0BF90B0B"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776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319 </w:t>
            </w:r>
          </w:p>
        </w:tc>
      </w:tr>
      <w:tr w:rsidR="009A21D7" w:rsidRPr="00374360" w14:paraId="04EAF065" w14:textId="77777777" w:rsidTr="00C734CF">
        <w:trPr>
          <w:trHeight w:val="9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09FA22C"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69</w:t>
            </w:r>
          </w:p>
        </w:tc>
        <w:tc>
          <w:tcPr>
            <w:tcW w:w="660" w:type="dxa"/>
            <w:tcBorders>
              <w:top w:val="nil"/>
              <w:left w:val="nil"/>
              <w:bottom w:val="single" w:sz="4" w:space="0" w:color="auto"/>
              <w:right w:val="single" w:sz="4" w:space="0" w:color="auto"/>
            </w:tcBorders>
            <w:shd w:val="clear" w:color="auto" w:fill="auto"/>
            <w:noWrap/>
            <w:vAlign w:val="center"/>
            <w:hideMark/>
          </w:tcPr>
          <w:p w14:paraId="271D3892"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36695</w:t>
            </w:r>
          </w:p>
        </w:tc>
        <w:tc>
          <w:tcPr>
            <w:tcW w:w="879" w:type="dxa"/>
            <w:tcBorders>
              <w:top w:val="nil"/>
              <w:left w:val="nil"/>
              <w:bottom w:val="single" w:sz="4" w:space="0" w:color="auto"/>
              <w:right w:val="single" w:sz="4" w:space="0" w:color="auto"/>
            </w:tcBorders>
            <w:shd w:val="clear" w:color="auto" w:fill="auto"/>
            <w:noWrap/>
            <w:vAlign w:val="center"/>
            <w:hideMark/>
          </w:tcPr>
          <w:p w14:paraId="270FF090"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900883057</w:t>
            </w:r>
          </w:p>
        </w:tc>
        <w:tc>
          <w:tcPr>
            <w:tcW w:w="3913" w:type="dxa"/>
            <w:tcBorders>
              <w:top w:val="nil"/>
              <w:left w:val="nil"/>
              <w:bottom w:val="single" w:sz="4" w:space="0" w:color="auto"/>
              <w:right w:val="single" w:sz="4" w:space="0" w:color="auto"/>
            </w:tcBorders>
            <w:shd w:val="clear" w:color="auto" w:fill="auto"/>
            <w:vAlign w:val="center"/>
            <w:hideMark/>
          </w:tcPr>
          <w:p w14:paraId="298C8EA5"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DISTRIBUIDORA DE GAS DEL FONCE SOCIEDAD POR ACCIONES SIMPLIFICADA EMPRESA DE SERVICIO PUBLICOS DOMICILIARIOS S.A.S. E.S.P.</w:t>
            </w:r>
          </w:p>
        </w:tc>
        <w:tc>
          <w:tcPr>
            <w:tcW w:w="1602" w:type="dxa"/>
            <w:tcBorders>
              <w:top w:val="nil"/>
              <w:left w:val="nil"/>
              <w:bottom w:val="single" w:sz="4" w:space="0" w:color="auto"/>
              <w:right w:val="single" w:sz="4" w:space="0" w:color="auto"/>
            </w:tcBorders>
            <w:shd w:val="clear" w:color="auto" w:fill="auto"/>
            <w:noWrap/>
            <w:vAlign w:val="center"/>
            <w:hideMark/>
          </w:tcPr>
          <w:p w14:paraId="10490A9D" w14:textId="646966BC"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63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596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855 </w:t>
            </w:r>
          </w:p>
        </w:tc>
        <w:tc>
          <w:tcPr>
            <w:tcW w:w="1418" w:type="dxa"/>
            <w:tcBorders>
              <w:top w:val="nil"/>
              <w:left w:val="nil"/>
              <w:bottom w:val="single" w:sz="4" w:space="0" w:color="auto"/>
              <w:right w:val="single" w:sz="4" w:space="0" w:color="auto"/>
            </w:tcBorders>
            <w:shd w:val="clear" w:color="auto" w:fill="auto"/>
            <w:noWrap/>
            <w:vAlign w:val="center"/>
            <w:hideMark/>
          </w:tcPr>
          <w:p w14:paraId="5D28E520" w14:textId="552AE380"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635</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969 </w:t>
            </w:r>
          </w:p>
        </w:tc>
      </w:tr>
      <w:tr w:rsidR="009A21D7" w:rsidRPr="00374360" w14:paraId="7DAAD5F7" w14:textId="77777777" w:rsidTr="00C734CF">
        <w:trPr>
          <w:trHeight w:val="4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414F828"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70</w:t>
            </w:r>
          </w:p>
        </w:tc>
        <w:tc>
          <w:tcPr>
            <w:tcW w:w="660" w:type="dxa"/>
            <w:tcBorders>
              <w:top w:val="nil"/>
              <w:left w:val="nil"/>
              <w:bottom w:val="single" w:sz="4" w:space="0" w:color="auto"/>
              <w:right w:val="single" w:sz="4" w:space="0" w:color="auto"/>
            </w:tcBorders>
            <w:shd w:val="clear" w:color="auto" w:fill="auto"/>
            <w:noWrap/>
            <w:vAlign w:val="center"/>
            <w:hideMark/>
          </w:tcPr>
          <w:p w14:paraId="7380E979"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25954</w:t>
            </w:r>
          </w:p>
        </w:tc>
        <w:tc>
          <w:tcPr>
            <w:tcW w:w="879" w:type="dxa"/>
            <w:tcBorders>
              <w:top w:val="nil"/>
              <w:left w:val="nil"/>
              <w:bottom w:val="single" w:sz="4" w:space="0" w:color="auto"/>
              <w:right w:val="single" w:sz="4" w:space="0" w:color="auto"/>
            </w:tcBorders>
            <w:shd w:val="clear" w:color="auto" w:fill="auto"/>
            <w:noWrap/>
            <w:vAlign w:val="center"/>
            <w:hideMark/>
          </w:tcPr>
          <w:p w14:paraId="3389CA15"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900428208</w:t>
            </w:r>
          </w:p>
        </w:tc>
        <w:tc>
          <w:tcPr>
            <w:tcW w:w="3913" w:type="dxa"/>
            <w:tcBorders>
              <w:top w:val="nil"/>
              <w:left w:val="nil"/>
              <w:bottom w:val="single" w:sz="4" w:space="0" w:color="auto"/>
              <w:right w:val="single" w:sz="4" w:space="0" w:color="auto"/>
            </w:tcBorders>
            <w:shd w:val="clear" w:color="auto" w:fill="auto"/>
            <w:vAlign w:val="center"/>
            <w:hideMark/>
          </w:tcPr>
          <w:p w14:paraId="481A5CAC"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DISTRIBUIDORA DE GAS DEL PACIFICO DIGAS SAS ESP</w:t>
            </w:r>
          </w:p>
        </w:tc>
        <w:tc>
          <w:tcPr>
            <w:tcW w:w="1602" w:type="dxa"/>
            <w:tcBorders>
              <w:top w:val="nil"/>
              <w:left w:val="nil"/>
              <w:bottom w:val="single" w:sz="4" w:space="0" w:color="auto"/>
              <w:right w:val="single" w:sz="4" w:space="0" w:color="auto"/>
            </w:tcBorders>
            <w:shd w:val="clear" w:color="auto" w:fill="auto"/>
            <w:noWrap/>
            <w:vAlign w:val="center"/>
            <w:hideMark/>
          </w:tcPr>
          <w:p w14:paraId="3662128B" w14:textId="4930F636"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314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385</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813 </w:t>
            </w:r>
          </w:p>
        </w:tc>
        <w:tc>
          <w:tcPr>
            <w:tcW w:w="1418" w:type="dxa"/>
            <w:tcBorders>
              <w:top w:val="nil"/>
              <w:left w:val="nil"/>
              <w:bottom w:val="single" w:sz="4" w:space="0" w:color="auto"/>
              <w:right w:val="single" w:sz="4" w:space="0" w:color="auto"/>
            </w:tcBorders>
            <w:shd w:val="clear" w:color="auto" w:fill="auto"/>
            <w:noWrap/>
            <w:vAlign w:val="center"/>
            <w:hideMark/>
          </w:tcPr>
          <w:p w14:paraId="6B6E3316" w14:textId="4E0BB756"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143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858 </w:t>
            </w:r>
          </w:p>
        </w:tc>
      </w:tr>
      <w:tr w:rsidR="009A21D7" w:rsidRPr="00374360" w14:paraId="1CCA2F92" w14:textId="77777777" w:rsidTr="00C734CF">
        <w:trPr>
          <w:trHeight w:val="4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DDF520E"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71</w:t>
            </w:r>
          </w:p>
        </w:tc>
        <w:tc>
          <w:tcPr>
            <w:tcW w:w="660" w:type="dxa"/>
            <w:tcBorders>
              <w:top w:val="nil"/>
              <w:left w:val="nil"/>
              <w:bottom w:val="single" w:sz="4" w:space="0" w:color="auto"/>
              <w:right w:val="single" w:sz="4" w:space="0" w:color="auto"/>
            </w:tcBorders>
            <w:shd w:val="clear" w:color="auto" w:fill="auto"/>
            <w:noWrap/>
            <w:vAlign w:val="center"/>
            <w:hideMark/>
          </w:tcPr>
          <w:p w14:paraId="1B5B972A"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2923</w:t>
            </w:r>
          </w:p>
        </w:tc>
        <w:tc>
          <w:tcPr>
            <w:tcW w:w="879" w:type="dxa"/>
            <w:tcBorders>
              <w:top w:val="nil"/>
              <w:left w:val="nil"/>
              <w:bottom w:val="single" w:sz="4" w:space="0" w:color="auto"/>
              <w:right w:val="single" w:sz="4" w:space="0" w:color="auto"/>
            </w:tcBorders>
            <w:shd w:val="clear" w:color="auto" w:fill="auto"/>
            <w:noWrap/>
            <w:vAlign w:val="center"/>
            <w:hideMark/>
          </w:tcPr>
          <w:p w14:paraId="23C2E2F4"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834001051</w:t>
            </w:r>
          </w:p>
        </w:tc>
        <w:tc>
          <w:tcPr>
            <w:tcW w:w="3913" w:type="dxa"/>
            <w:tcBorders>
              <w:top w:val="nil"/>
              <w:left w:val="nil"/>
              <w:bottom w:val="single" w:sz="4" w:space="0" w:color="auto"/>
              <w:right w:val="single" w:sz="4" w:space="0" w:color="auto"/>
            </w:tcBorders>
            <w:shd w:val="clear" w:color="auto" w:fill="auto"/>
            <w:vAlign w:val="center"/>
            <w:hideMark/>
          </w:tcPr>
          <w:p w14:paraId="06896311"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DISTRIBUIDORA DE GAS MONZAGAS S.A. E.S.P.</w:t>
            </w:r>
          </w:p>
        </w:tc>
        <w:tc>
          <w:tcPr>
            <w:tcW w:w="1602" w:type="dxa"/>
            <w:tcBorders>
              <w:top w:val="nil"/>
              <w:left w:val="nil"/>
              <w:bottom w:val="single" w:sz="4" w:space="0" w:color="auto"/>
              <w:right w:val="single" w:sz="4" w:space="0" w:color="auto"/>
            </w:tcBorders>
            <w:shd w:val="clear" w:color="auto" w:fill="auto"/>
            <w:noWrap/>
            <w:vAlign w:val="center"/>
            <w:hideMark/>
          </w:tcPr>
          <w:p w14:paraId="5FAA2E08" w14:textId="6C4EB0B1"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107</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360</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188 </w:t>
            </w:r>
          </w:p>
        </w:tc>
        <w:tc>
          <w:tcPr>
            <w:tcW w:w="1418" w:type="dxa"/>
            <w:tcBorders>
              <w:top w:val="nil"/>
              <w:left w:val="nil"/>
              <w:bottom w:val="single" w:sz="4" w:space="0" w:color="auto"/>
              <w:right w:val="single" w:sz="4" w:space="0" w:color="auto"/>
            </w:tcBorders>
            <w:shd w:val="clear" w:color="auto" w:fill="auto"/>
            <w:noWrap/>
            <w:vAlign w:val="center"/>
            <w:hideMark/>
          </w:tcPr>
          <w:p w14:paraId="1EB4E537" w14:textId="5931922D"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073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602 </w:t>
            </w:r>
          </w:p>
        </w:tc>
      </w:tr>
      <w:tr w:rsidR="009A21D7" w:rsidRPr="00374360" w14:paraId="3AEE0533" w14:textId="77777777" w:rsidTr="00C734CF">
        <w:trPr>
          <w:trHeight w:val="4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38FBD8C"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72</w:t>
            </w:r>
          </w:p>
        </w:tc>
        <w:tc>
          <w:tcPr>
            <w:tcW w:w="660" w:type="dxa"/>
            <w:tcBorders>
              <w:top w:val="nil"/>
              <w:left w:val="nil"/>
              <w:bottom w:val="single" w:sz="4" w:space="0" w:color="auto"/>
              <w:right w:val="single" w:sz="4" w:space="0" w:color="auto"/>
            </w:tcBorders>
            <w:shd w:val="clear" w:color="auto" w:fill="auto"/>
            <w:noWrap/>
            <w:vAlign w:val="center"/>
            <w:hideMark/>
          </w:tcPr>
          <w:p w14:paraId="0C675E9B"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2020</w:t>
            </w:r>
          </w:p>
        </w:tc>
        <w:tc>
          <w:tcPr>
            <w:tcW w:w="879" w:type="dxa"/>
            <w:tcBorders>
              <w:top w:val="nil"/>
              <w:left w:val="nil"/>
              <w:bottom w:val="single" w:sz="4" w:space="0" w:color="auto"/>
              <w:right w:val="single" w:sz="4" w:space="0" w:color="auto"/>
            </w:tcBorders>
            <w:shd w:val="clear" w:color="auto" w:fill="auto"/>
            <w:noWrap/>
            <w:vAlign w:val="center"/>
            <w:hideMark/>
          </w:tcPr>
          <w:p w14:paraId="74A5235E"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815000896</w:t>
            </w:r>
          </w:p>
        </w:tc>
        <w:tc>
          <w:tcPr>
            <w:tcW w:w="3913" w:type="dxa"/>
            <w:tcBorders>
              <w:top w:val="nil"/>
              <w:left w:val="nil"/>
              <w:bottom w:val="single" w:sz="4" w:space="0" w:color="auto"/>
              <w:right w:val="single" w:sz="4" w:space="0" w:color="auto"/>
            </w:tcBorders>
            <w:shd w:val="clear" w:color="auto" w:fill="auto"/>
            <w:vAlign w:val="center"/>
            <w:hideMark/>
          </w:tcPr>
          <w:p w14:paraId="7E4ABCCA"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DISTRIBUIDORA Y COMERCIALIZADORA DE ENERGIA ELECTRICA S.A. E.S.P.</w:t>
            </w:r>
          </w:p>
        </w:tc>
        <w:tc>
          <w:tcPr>
            <w:tcW w:w="1602" w:type="dxa"/>
            <w:tcBorders>
              <w:top w:val="nil"/>
              <w:left w:val="nil"/>
              <w:bottom w:val="single" w:sz="4" w:space="0" w:color="auto"/>
              <w:right w:val="single" w:sz="4" w:space="0" w:color="auto"/>
            </w:tcBorders>
            <w:shd w:val="clear" w:color="auto" w:fill="auto"/>
            <w:noWrap/>
            <w:vAlign w:val="center"/>
            <w:hideMark/>
          </w:tcPr>
          <w:p w14:paraId="1439841A" w14:textId="1C28F5A9"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442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966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700 </w:t>
            </w:r>
          </w:p>
        </w:tc>
        <w:tc>
          <w:tcPr>
            <w:tcW w:w="1418" w:type="dxa"/>
            <w:tcBorders>
              <w:top w:val="nil"/>
              <w:left w:val="nil"/>
              <w:bottom w:val="single" w:sz="4" w:space="0" w:color="auto"/>
              <w:right w:val="single" w:sz="4" w:space="0" w:color="auto"/>
            </w:tcBorders>
            <w:shd w:val="clear" w:color="auto" w:fill="auto"/>
            <w:noWrap/>
            <w:vAlign w:val="center"/>
            <w:hideMark/>
          </w:tcPr>
          <w:p w14:paraId="7D8D9084" w14:textId="67DDA3EE"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34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429</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667 </w:t>
            </w:r>
          </w:p>
        </w:tc>
      </w:tr>
      <w:tr w:rsidR="009A21D7" w:rsidRPr="00374360" w14:paraId="6C981B73"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84A4912"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73</w:t>
            </w:r>
          </w:p>
        </w:tc>
        <w:tc>
          <w:tcPr>
            <w:tcW w:w="660" w:type="dxa"/>
            <w:tcBorders>
              <w:top w:val="nil"/>
              <w:left w:val="nil"/>
              <w:bottom w:val="single" w:sz="4" w:space="0" w:color="auto"/>
              <w:right w:val="single" w:sz="4" w:space="0" w:color="auto"/>
            </w:tcBorders>
            <w:shd w:val="clear" w:color="auto" w:fill="auto"/>
            <w:noWrap/>
            <w:vAlign w:val="center"/>
            <w:hideMark/>
          </w:tcPr>
          <w:p w14:paraId="34E225AF"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50523</w:t>
            </w:r>
          </w:p>
        </w:tc>
        <w:tc>
          <w:tcPr>
            <w:tcW w:w="879" w:type="dxa"/>
            <w:tcBorders>
              <w:top w:val="nil"/>
              <w:left w:val="nil"/>
              <w:bottom w:val="single" w:sz="4" w:space="0" w:color="auto"/>
              <w:right w:val="single" w:sz="4" w:space="0" w:color="auto"/>
            </w:tcBorders>
            <w:shd w:val="clear" w:color="auto" w:fill="auto"/>
            <w:noWrap/>
            <w:vAlign w:val="center"/>
            <w:hideMark/>
          </w:tcPr>
          <w:p w14:paraId="62CC84DC"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901105119</w:t>
            </w:r>
          </w:p>
        </w:tc>
        <w:tc>
          <w:tcPr>
            <w:tcW w:w="3913" w:type="dxa"/>
            <w:tcBorders>
              <w:top w:val="nil"/>
              <w:left w:val="nil"/>
              <w:bottom w:val="single" w:sz="4" w:space="0" w:color="auto"/>
              <w:right w:val="single" w:sz="4" w:space="0" w:color="auto"/>
            </w:tcBorders>
            <w:shd w:val="clear" w:color="auto" w:fill="auto"/>
            <w:vAlign w:val="center"/>
            <w:hideMark/>
          </w:tcPr>
          <w:p w14:paraId="5B11E767"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DUTMY S.A. Sucursal Colombia</w:t>
            </w:r>
          </w:p>
        </w:tc>
        <w:tc>
          <w:tcPr>
            <w:tcW w:w="1602" w:type="dxa"/>
            <w:tcBorders>
              <w:top w:val="nil"/>
              <w:left w:val="nil"/>
              <w:bottom w:val="single" w:sz="4" w:space="0" w:color="auto"/>
              <w:right w:val="single" w:sz="4" w:space="0" w:color="auto"/>
            </w:tcBorders>
            <w:shd w:val="clear" w:color="auto" w:fill="auto"/>
            <w:noWrap/>
            <w:vAlign w:val="center"/>
            <w:hideMark/>
          </w:tcPr>
          <w:p w14:paraId="58E74171" w14:textId="3BC4D9EF"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625</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655</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843 </w:t>
            </w:r>
          </w:p>
        </w:tc>
        <w:tc>
          <w:tcPr>
            <w:tcW w:w="1418" w:type="dxa"/>
            <w:tcBorders>
              <w:top w:val="nil"/>
              <w:left w:val="nil"/>
              <w:bottom w:val="single" w:sz="4" w:space="0" w:color="auto"/>
              <w:right w:val="single" w:sz="4" w:space="0" w:color="auto"/>
            </w:tcBorders>
            <w:shd w:val="clear" w:color="auto" w:fill="auto"/>
            <w:noWrap/>
            <w:vAlign w:val="center"/>
            <w:hideMark/>
          </w:tcPr>
          <w:p w14:paraId="3AC682E3" w14:textId="228BA989"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36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256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558 </w:t>
            </w:r>
          </w:p>
        </w:tc>
      </w:tr>
      <w:tr w:rsidR="009A21D7" w:rsidRPr="00374360" w14:paraId="2AEF14E0" w14:textId="77777777" w:rsidTr="00C734CF">
        <w:trPr>
          <w:trHeight w:val="4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261F494"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74</w:t>
            </w:r>
          </w:p>
        </w:tc>
        <w:tc>
          <w:tcPr>
            <w:tcW w:w="660" w:type="dxa"/>
            <w:tcBorders>
              <w:top w:val="nil"/>
              <w:left w:val="nil"/>
              <w:bottom w:val="single" w:sz="4" w:space="0" w:color="auto"/>
              <w:right w:val="single" w:sz="4" w:space="0" w:color="auto"/>
            </w:tcBorders>
            <w:shd w:val="clear" w:color="auto" w:fill="auto"/>
            <w:noWrap/>
            <w:vAlign w:val="center"/>
            <w:hideMark/>
          </w:tcPr>
          <w:p w14:paraId="22F09787"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1811</w:t>
            </w:r>
          </w:p>
        </w:tc>
        <w:tc>
          <w:tcPr>
            <w:tcW w:w="879" w:type="dxa"/>
            <w:tcBorders>
              <w:top w:val="nil"/>
              <w:left w:val="nil"/>
              <w:bottom w:val="single" w:sz="4" w:space="0" w:color="auto"/>
              <w:right w:val="single" w:sz="4" w:space="0" w:color="auto"/>
            </w:tcBorders>
            <w:shd w:val="clear" w:color="auto" w:fill="auto"/>
            <w:noWrap/>
            <w:vAlign w:val="center"/>
            <w:hideMark/>
          </w:tcPr>
          <w:p w14:paraId="02F1CDA5"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818000202</w:t>
            </w:r>
          </w:p>
        </w:tc>
        <w:tc>
          <w:tcPr>
            <w:tcW w:w="3913" w:type="dxa"/>
            <w:tcBorders>
              <w:top w:val="nil"/>
              <w:left w:val="nil"/>
              <w:bottom w:val="single" w:sz="4" w:space="0" w:color="auto"/>
              <w:right w:val="single" w:sz="4" w:space="0" w:color="auto"/>
            </w:tcBorders>
            <w:shd w:val="clear" w:color="auto" w:fill="auto"/>
            <w:vAlign w:val="center"/>
            <w:hideMark/>
          </w:tcPr>
          <w:p w14:paraId="116ADDE1"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E. S. P. DE ENERGIA ELECTRICA DE BAJO BAUDO PIZARRO S.A.</w:t>
            </w:r>
          </w:p>
        </w:tc>
        <w:tc>
          <w:tcPr>
            <w:tcW w:w="1602" w:type="dxa"/>
            <w:tcBorders>
              <w:top w:val="nil"/>
              <w:left w:val="nil"/>
              <w:bottom w:val="single" w:sz="4" w:space="0" w:color="auto"/>
              <w:right w:val="single" w:sz="4" w:space="0" w:color="auto"/>
            </w:tcBorders>
            <w:shd w:val="clear" w:color="auto" w:fill="auto"/>
            <w:noWrap/>
            <w:vAlign w:val="center"/>
            <w:hideMark/>
          </w:tcPr>
          <w:p w14:paraId="4BCEB74A" w14:textId="5B341F6E"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115</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024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524 </w:t>
            </w:r>
          </w:p>
        </w:tc>
        <w:tc>
          <w:tcPr>
            <w:tcW w:w="1418" w:type="dxa"/>
            <w:tcBorders>
              <w:top w:val="nil"/>
              <w:left w:val="nil"/>
              <w:bottom w:val="single" w:sz="4" w:space="0" w:color="auto"/>
              <w:right w:val="single" w:sz="4" w:space="0" w:color="auto"/>
            </w:tcBorders>
            <w:shd w:val="clear" w:color="auto" w:fill="auto"/>
            <w:noWrap/>
            <w:vAlign w:val="center"/>
            <w:hideMark/>
          </w:tcPr>
          <w:p w14:paraId="545A655A" w14:textId="1994DA39"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150</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245 </w:t>
            </w:r>
          </w:p>
        </w:tc>
      </w:tr>
      <w:tr w:rsidR="009A21D7" w:rsidRPr="00374360" w14:paraId="0FDE065E" w14:textId="77777777" w:rsidTr="00C734CF">
        <w:trPr>
          <w:trHeight w:val="4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1008D6C"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75</w:t>
            </w:r>
          </w:p>
        </w:tc>
        <w:tc>
          <w:tcPr>
            <w:tcW w:w="660" w:type="dxa"/>
            <w:tcBorders>
              <w:top w:val="nil"/>
              <w:left w:val="nil"/>
              <w:bottom w:val="single" w:sz="4" w:space="0" w:color="auto"/>
              <w:right w:val="single" w:sz="4" w:space="0" w:color="auto"/>
            </w:tcBorders>
            <w:shd w:val="clear" w:color="auto" w:fill="auto"/>
            <w:noWrap/>
            <w:vAlign w:val="center"/>
            <w:hideMark/>
          </w:tcPr>
          <w:p w14:paraId="7D3E3CFA"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38851</w:t>
            </w:r>
          </w:p>
        </w:tc>
        <w:tc>
          <w:tcPr>
            <w:tcW w:w="879" w:type="dxa"/>
            <w:tcBorders>
              <w:top w:val="nil"/>
              <w:left w:val="nil"/>
              <w:bottom w:val="single" w:sz="4" w:space="0" w:color="auto"/>
              <w:right w:val="single" w:sz="4" w:space="0" w:color="auto"/>
            </w:tcBorders>
            <w:shd w:val="clear" w:color="auto" w:fill="auto"/>
            <w:noWrap/>
            <w:vAlign w:val="center"/>
            <w:hideMark/>
          </w:tcPr>
          <w:p w14:paraId="57B62D5E"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901094262</w:t>
            </w:r>
          </w:p>
        </w:tc>
        <w:tc>
          <w:tcPr>
            <w:tcW w:w="3913" w:type="dxa"/>
            <w:tcBorders>
              <w:top w:val="nil"/>
              <w:left w:val="nil"/>
              <w:bottom w:val="single" w:sz="4" w:space="0" w:color="auto"/>
              <w:right w:val="single" w:sz="4" w:space="0" w:color="auto"/>
            </w:tcBorders>
            <w:shd w:val="clear" w:color="auto" w:fill="auto"/>
            <w:vAlign w:val="center"/>
            <w:hideMark/>
          </w:tcPr>
          <w:p w14:paraId="02F75461"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E..A. T. ELECTRIFICADORA DE LA ZONA FRONTERA Y RURAL DE TUMACO</w:t>
            </w:r>
          </w:p>
        </w:tc>
        <w:tc>
          <w:tcPr>
            <w:tcW w:w="1602" w:type="dxa"/>
            <w:tcBorders>
              <w:top w:val="nil"/>
              <w:left w:val="nil"/>
              <w:bottom w:val="single" w:sz="4" w:space="0" w:color="auto"/>
              <w:right w:val="single" w:sz="4" w:space="0" w:color="auto"/>
            </w:tcBorders>
            <w:shd w:val="clear" w:color="auto" w:fill="auto"/>
            <w:noWrap/>
            <w:vAlign w:val="center"/>
            <w:hideMark/>
          </w:tcPr>
          <w:p w14:paraId="656CCFEC" w14:textId="4BE7090E"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119</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578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416 </w:t>
            </w:r>
          </w:p>
        </w:tc>
        <w:tc>
          <w:tcPr>
            <w:tcW w:w="1418" w:type="dxa"/>
            <w:tcBorders>
              <w:top w:val="nil"/>
              <w:left w:val="nil"/>
              <w:bottom w:val="single" w:sz="4" w:space="0" w:color="auto"/>
              <w:right w:val="single" w:sz="4" w:space="0" w:color="auto"/>
            </w:tcBorders>
            <w:shd w:val="clear" w:color="auto" w:fill="auto"/>
            <w:noWrap/>
            <w:vAlign w:val="center"/>
            <w:hideMark/>
          </w:tcPr>
          <w:p w14:paraId="1A7183E7" w14:textId="529E3245"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195</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784 </w:t>
            </w:r>
          </w:p>
        </w:tc>
      </w:tr>
      <w:tr w:rsidR="009A21D7" w:rsidRPr="00374360" w14:paraId="3822E3B2" w14:textId="77777777" w:rsidTr="00C734CF">
        <w:trPr>
          <w:trHeight w:val="9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3A708A2"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76</w:t>
            </w:r>
          </w:p>
        </w:tc>
        <w:tc>
          <w:tcPr>
            <w:tcW w:w="660" w:type="dxa"/>
            <w:tcBorders>
              <w:top w:val="nil"/>
              <w:left w:val="nil"/>
              <w:bottom w:val="single" w:sz="4" w:space="0" w:color="auto"/>
              <w:right w:val="single" w:sz="4" w:space="0" w:color="auto"/>
            </w:tcBorders>
            <w:shd w:val="clear" w:color="auto" w:fill="auto"/>
            <w:noWrap/>
            <w:vAlign w:val="center"/>
            <w:hideMark/>
          </w:tcPr>
          <w:p w14:paraId="4A030971"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21608</w:t>
            </w:r>
          </w:p>
        </w:tc>
        <w:tc>
          <w:tcPr>
            <w:tcW w:w="879" w:type="dxa"/>
            <w:tcBorders>
              <w:top w:val="nil"/>
              <w:left w:val="nil"/>
              <w:bottom w:val="single" w:sz="4" w:space="0" w:color="auto"/>
              <w:right w:val="single" w:sz="4" w:space="0" w:color="auto"/>
            </w:tcBorders>
            <w:shd w:val="clear" w:color="auto" w:fill="auto"/>
            <w:noWrap/>
            <w:vAlign w:val="center"/>
            <w:hideMark/>
          </w:tcPr>
          <w:p w14:paraId="718DFEAD"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900129275</w:t>
            </w:r>
          </w:p>
        </w:tc>
        <w:tc>
          <w:tcPr>
            <w:tcW w:w="3913" w:type="dxa"/>
            <w:tcBorders>
              <w:top w:val="nil"/>
              <w:left w:val="nil"/>
              <w:bottom w:val="single" w:sz="4" w:space="0" w:color="auto"/>
              <w:right w:val="single" w:sz="4" w:space="0" w:color="auto"/>
            </w:tcBorders>
            <w:shd w:val="clear" w:color="auto" w:fill="auto"/>
            <w:vAlign w:val="center"/>
            <w:hideMark/>
          </w:tcPr>
          <w:p w14:paraId="6F702FC0"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E.A.T. ELECTRIFICADORA  DE ENERGIA ELECTRICA DE LA ZONA RURAL DE LOS CONCEJOS COMUNITARIOS DEL MUNICIPIO DE OLAYA HERRERA </w:t>
            </w:r>
          </w:p>
        </w:tc>
        <w:tc>
          <w:tcPr>
            <w:tcW w:w="1602" w:type="dxa"/>
            <w:tcBorders>
              <w:top w:val="nil"/>
              <w:left w:val="nil"/>
              <w:bottom w:val="single" w:sz="4" w:space="0" w:color="auto"/>
              <w:right w:val="single" w:sz="4" w:space="0" w:color="auto"/>
            </w:tcBorders>
            <w:shd w:val="clear" w:color="auto" w:fill="auto"/>
            <w:noWrap/>
            <w:vAlign w:val="center"/>
            <w:hideMark/>
          </w:tcPr>
          <w:p w14:paraId="3DE4D129" w14:textId="2D277462"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34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878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652 </w:t>
            </w:r>
          </w:p>
        </w:tc>
        <w:tc>
          <w:tcPr>
            <w:tcW w:w="1418" w:type="dxa"/>
            <w:tcBorders>
              <w:top w:val="nil"/>
              <w:left w:val="nil"/>
              <w:bottom w:val="single" w:sz="4" w:space="0" w:color="auto"/>
              <w:right w:val="single" w:sz="4" w:space="0" w:color="auto"/>
            </w:tcBorders>
            <w:shd w:val="clear" w:color="auto" w:fill="auto"/>
            <w:noWrap/>
            <w:vAlign w:val="center"/>
            <w:hideMark/>
          </w:tcPr>
          <w:p w14:paraId="0E38E7D7" w14:textId="277AC31C"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348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787 </w:t>
            </w:r>
          </w:p>
        </w:tc>
      </w:tr>
      <w:tr w:rsidR="009A21D7" w:rsidRPr="00374360" w14:paraId="2C3AF82C"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D85ED2C"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77</w:t>
            </w:r>
          </w:p>
        </w:tc>
        <w:tc>
          <w:tcPr>
            <w:tcW w:w="660" w:type="dxa"/>
            <w:tcBorders>
              <w:top w:val="nil"/>
              <w:left w:val="nil"/>
              <w:bottom w:val="single" w:sz="4" w:space="0" w:color="auto"/>
              <w:right w:val="single" w:sz="4" w:space="0" w:color="auto"/>
            </w:tcBorders>
            <w:shd w:val="clear" w:color="auto" w:fill="auto"/>
            <w:noWrap/>
            <w:vAlign w:val="center"/>
            <w:hideMark/>
          </w:tcPr>
          <w:p w14:paraId="05E86BBB"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20256</w:t>
            </w:r>
          </w:p>
        </w:tc>
        <w:tc>
          <w:tcPr>
            <w:tcW w:w="879" w:type="dxa"/>
            <w:tcBorders>
              <w:top w:val="nil"/>
              <w:left w:val="nil"/>
              <w:bottom w:val="single" w:sz="4" w:space="0" w:color="auto"/>
              <w:right w:val="single" w:sz="4" w:space="0" w:color="auto"/>
            </w:tcBorders>
            <w:shd w:val="clear" w:color="auto" w:fill="auto"/>
            <w:noWrap/>
            <w:vAlign w:val="center"/>
            <w:hideMark/>
          </w:tcPr>
          <w:p w14:paraId="4079A7FF"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802025052</w:t>
            </w:r>
          </w:p>
        </w:tc>
        <w:tc>
          <w:tcPr>
            <w:tcW w:w="3913" w:type="dxa"/>
            <w:tcBorders>
              <w:top w:val="nil"/>
              <w:left w:val="nil"/>
              <w:bottom w:val="single" w:sz="4" w:space="0" w:color="auto"/>
              <w:right w:val="single" w:sz="4" w:space="0" w:color="auto"/>
            </w:tcBorders>
            <w:shd w:val="clear" w:color="auto" w:fill="auto"/>
            <w:vAlign w:val="center"/>
            <w:hideMark/>
          </w:tcPr>
          <w:p w14:paraId="162EAAEB"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E2 ENERGIA EFICIENTE S.A. E.S.P.</w:t>
            </w:r>
          </w:p>
        </w:tc>
        <w:tc>
          <w:tcPr>
            <w:tcW w:w="1602" w:type="dxa"/>
            <w:tcBorders>
              <w:top w:val="nil"/>
              <w:left w:val="nil"/>
              <w:bottom w:val="single" w:sz="4" w:space="0" w:color="auto"/>
              <w:right w:val="single" w:sz="4" w:space="0" w:color="auto"/>
            </w:tcBorders>
            <w:shd w:val="clear" w:color="auto" w:fill="auto"/>
            <w:noWrap/>
            <w:vAlign w:val="center"/>
            <w:hideMark/>
          </w:tcPr>
          <w:p w14:paraId="175FC593" w14:textId="14341F49"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228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454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313 </w:t>
            </w:r>
          </w:p>
        </w:tc>
        <w:tc>
          <w:tcPr>
            <w:tcW w:w="1418" w:type="dxa"/>
            <w:tcBorders>
              <w:top w:val="nil"/>
              <w:left w:val="nil"/>
              <w:bottom w:val="single" w:sz="4" w:space="0" w:color="auto"/>
              <w:right w:val="single" w:sz="4" w:space="0" w:color="auto"/>
            </w:tcBorders>
            <w:shd w:val="clear" w:color="auto" w:fill="auto"/>
            <w:noWrap/>
            <w:vAlign w:val="center"/>
            <w:hideMark/>
          </w:tcPr>
          <w:p w14:paraId="502B67D3" w14:textId="0C80923C"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22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284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543 </w:t>
            </w:r>
          </w:p>
        </w:tc>
      </w:tr>
      <w:tr w:rsidR="009A21D7" w:rsidRPr="00374360" w14:paraId="077FFEE4" w14:textId="77777777" w:rsidTr="00C734CF">
        <w:trPr>
          <w:trHeight w:val="4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D4F86C0"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78</w:t>
            </w:r>
          </w:p>
        </w:tc>
        <w:tc>
          <w:tcPr>
            <w:tcW w:w="660" w:type="dxa"/>
            <w:tcBorders>
              <w:top w:val="nil"/>
              <w:left w:val="nil"/>
              <w:bottom w:val="single" w:sz="4" w:space="0" w:color="auto"/>
              <w:right w:val="single" w:sz="4" w:space="0" w:color="auto"/>
            </w:tcBorders>
            <w:shd w:val="clear" w:color="auto" w:fill="auto"/>
            <w:noWrap/>
            <w:vAlign w:val="center"/>
            <w:hideMark/>
          </w:tcPr>
          <w:p w14:paraId="1EF15AA1"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20067</w:t>
            </w:r>
          </w:p>
        </w:tc>
        <w:tc>
          <w:tcPr>
            <w:tcW w:w="879" w:type="dxa"/>
            <w:tcBorders>
              <w:top w:val="nil"/>
              <w:left w:val="nil"/>
              <w:bottom w:val="single" w:sz="4" w:space="0" w:color="auto"/>
              <w:right w:val="single" w:sz="4" w:space="0" w:color="auto"/>
            </w:tcBorders>
            <w:shd w:val="clear" w:color="auto" w:fill="auto"/>
            <w:noWrap/>
            <w:vAlign w:val="center"/>
            <w:hideMark/>
          </w:tcPr>
          <w:p w14:paraId="2C2E951A"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840000937</w:t>
            </w:r>
          </w:p>
        </w:tc>
        <w:tc>
          <w:tcPr>
            <w:tcW w:w="3913" w:type="dxa"/>
            <w:tcBorders>
              <w:top w:val="nil"/>
              <w:left w:val="nil"/>
              <w:bottom w:val="single" w:sz="4" w:space="0" w:color="auto"/>
              <w:right w:val="single" w:sz="4" w:space="0" w:color="auto"/>
            </w:tcBorders>
            <w:shd w:val="clear" w:color="auto" w:fill="auto"/>
            <w:vAlign w:val="center"/>
            <w:hideMark/>
          </w:tcPr>
          <w:p w14:paraId="121ACC48"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EAT ELECTRIFICADORA DE LA ZONA RURAL DE TUMACO</w:t>
            </w:r>
          </w:p>
        </w:tc>
        <w:tc>
          <w:tcPr>
            <w:tcW w:w="1602" w:type="dxa"/>
            <w:tcBorders>
              <w:top w:val="nil"/>
              <w:left w:val="nil"/>
              <w:bottom w:val="single" w:sz="4" w:space="0" w:color="auto"/>
              <w:right w:val="single" w:sz="4" w:space="0" w:color="auto"/>
            </w:tcBorders>
            <w:shd w:val="clear" w:color="auto" w:fill="auto"/>
            <w:noWrap/>
            <w:vAlign w:val="center"/>
            <w:hideMark/>
          </w:tcPr>
          <w:p w14:paraId="291BA4B9" w14:textId="11E0863D"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235</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678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299 </w:t>
            </w:r>
          </w:p>
        </w:tc>
        <w:tc>
          <w:tcPr>
            <w:tcW w:w="1418" w:type="dxa"/>
            <w:tcBorders>
              <w:top w:val="nil"/>
              <w:left w:val="nil"/>
              <w:bottom w:val="single" w:sz="4" w:space="0" w:color="auto"/>
              <w:right w:val="single" w:sz="4" w:space="0" w:color="auto"/>
            </w:tcBorders>
            <w:shd w:val="clear" w:color="auto" w:fill="auto"/>
            <w:noWrap/>
            <w:vAlign w:val="center"/>
            <w:hideMark/>
          </w:tcPr>
          <w:p w14:paraId="248B1A63" w14:textId="44D42C19"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356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783 </w:t>
            </w:r>
          </w:p>
        </w:tc>
      </w:tr>
      <w:tr w:rsidR="009A21D7" w:rsidRPr="00374360" w14:paraId="4458BF23"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46229C6"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79</w:t>
            </w:r>
          </w:p>
        </w:tc>
        <w:tc>
          <w:tcPr>
            <w:tcW w:w="660" w:type="dxa"/>
            <w:tcBorders>
              <w:top w:val="nil"/>
              <w:left w:val="nil"/>
              <w:bottom w:val="single" w:sz="4" w:space="0" w:color="auto"/>
              <w:right w:val="single" w:sz="4" w:space="0" w:color="auto"/>
            </w:tcBorders>
            <w:shd w:val="clear" w:color="auto" w:fill="auto"/>
            <w:noWrap/>
            <w:vAlign w:val="center"/>
            <w:hideMark/>
          </w:tcPr>
          <w:p w14:paraId="54E96C91"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26653</w:t>
            </w:r>
          </w:p>
        </w:tc>
        <w:tc>
          <w:tcPr>
            <w:tcW w:w="879" w:type="dxa"/>
            <w:tcBorders>
              <w:top w:val="nil"/>
              <w:left w:val="nil"/>
              <w:bottom w:val="single" w:sz="4" w:space="0" w:color="auto"/>
              <w:right w:val="single" w:sz="4" w:space="0" w:color="auto"/>
            </w:tcBorders>
            <w:shd w:val="clear" w:color="auto" w:fill="auto"/>
            <w:noWrap/>
            <w:vAlign w:val="center"/>
            <w:hideMark/>
          </w:tcPr>
          <w:p w14:paraId="19F6D623"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900499252</w:t>
            </w:r>
          </w:p>
        </w:tc>
        <w:tc>
          <w:tcPr>
            <w:tcW w:w="3913" w:type="dxa"/>
            <w:tcBorders>
              <w:top w:val="nil"/>
              <w:left w:val="nil"/>
              <w:bottom w:val="single" w:sz="4" w:space="0" w:color="auto"/>
              <w:right w:val="single" w:sz="4" w:space="0" w:color="auto"/>
            </w:tcBorders>
            <w:shd w:val="clear" w:color="auto" w:fill="auto"/>
            <w:vAlign w:val="center"/>
            <w:hideMark/>
          </w:tcPr>
          <w:p w14:paraId="2D81BFED"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ECOMMERCIAL SAS ESP</w:t>
            </w:r>
          </w:p>
        </w:tc>
        <w:tc>
          <w:tcPr>
            <w:tcW w:w="1602" w:type="dxa"/>
            <w:tcBorders>
              <w:top w:val="nil"/>
              <w:left w:val="nil"/>
              <w:bottom w:val="single" w:sz="4" w:space="0" w:color="auto"/>
              <w:right w:val="single" w:sz="4" w:space="0" w:color="auto"/>
            </w:tcBorders>
            <w:shd w:val="clear" w:color="auto" w:fill="auto"/>
            <w:noWrap/>
            <w:vAlign w:val="center"/>
            <w:hideMark/>
          </w:tcPr>
          <w:p w14:paraId="65ACBE50" w14:textId="33CDBF5D"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778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112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489 </w:t>
            </w:r>
          </w:p>
        </w:tc>
        <w:tc>
          <w:tcPr>
            <w:tcW w:w="1418" w:type="dxa"/>
            <w:tcBorders>
              <w:top w:val="nil"/>
              <w:left w:val="nil"/>
              <w:bottom w:val="single" w:sz="4" w:space="0" w:color="auto"/>
              <w:right w:val="single" w:sz="4" w:space="0" w:color="auto"/>
            </w:tcBorders>
            <w:shd w:val="clear" w:color="auto" w:fill="auto"/>
            <w:noWrap/>
            <w:vAlign w:val="center"/>
            <w:hideMark/>
          </w:tcPr>
          <w:p w14:paraId="2F0DED63" w14:textId="2E6E3F7C"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7</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781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125 </w:t>
            </w:r>
          </w:p>
        </w:tc>
      </w:tr>
      <w:tr w:rsidR="009A21D7" w:rsidRPr="00374360" w14:paraId="6D4A1539"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BA98931"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80</w:t>
            </w:r>
          </w:p>
        </w:tc>
        <w:tc>
          <w:tcPr>
            <w:tcW w:w="660" w:type="dxa"/>
            <w:tcBorders>
              <w:top w:val="nil"/>
              <w:left w:val="nil"/>
              <w:bottom w:val="single" w:sz="4" w:space="0" w:color="auto"/>
              <w:right w:val="single" w:sz="4" w:space="0" w:color="auto"/>
            </w:tcBorders>
            <w:shd w:val="clear" w:color="auto" w:fill="auto"/>
            <w:noWrap/>
            <w:vAlign w:val="center"/>
            <w:hideMark/>
          </w:tcPr>
          <w:p w14:paraId="5200F0B8"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41335</w:t>
            </w:r>
          </w:p>
        </w:tc>
        <w:tc>
          <w:tcPr>
            <w:tcW w:w="879" w:type="dxa"/>
            <w:tcBorders>
              <w:top w:val="nil"/>
              <w:left w:val="nil"/>
              <w:bottom w:val="single" w:sz="4" w:space="0" w:color="auto"/>
              <w:right w:val="single" w:sz="4" w:space="0" w:color="auto"/>
            </w:tcBorders>
            <w:shd w:val="clear" w:color="auto" w:fill="auto"/>
            <w:noWrap/>
            <w:vAlign w:val="center"/>
            <w:hideMark/>
          </w:tcPr>
          <w:p w14:paraId="091FAD78"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901165502</w:t>
            </w:r>
          </w:p>
        </w:tc>
        <w:tc>
          <w:tcPr>
            <w:tcW w:w="3913" w:type="dxa"/>
            <w:tcBorders>
              <w:top w:val="nil"/>
              <w:left w:val="nil"/>
              <w:bottom w:val="single" w:sz="4" w:space="0" w:color="auto"/>
              <w:right w:val="single" w:sz="4" w:space="0" w:color="auto"/>
            </w:tcBorders>
            <w:shd w:val="clear" w:color="auto" w:fill="auto"/>
            <w:vAlign w:val="center"/>
            <w:hideMark/>
          </w:tcPr>
          <w:p w14:paraId="1F4E9A48"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ECOPETROL ENERGÍA S.A.S. E.S.P.</w:t>
            </w:r>
          </w:p>
        </w:tc>
        <w:tc>
          <w:tcPr>
            <w:tcW w:w="1602" w:type="dxa"/>
            <w:tcBorders>
              <w:top w:val="nil"/>
              <w:left w:val="nil"/>
              <w:bottom w:val="single" w:sz="4" w:space="0" w:color="auto"/>
              <w:right w:val="single" w:sz="4" w:space="0" w:color="auto"/>
            </w:tcBorders>
            <w:shd w:val="clear" w:color="auto" w:fill="auto"/>
            <w:noWrap/>
            <w:vAlign w:val="center"/>
            <w:hideMark/>
          </w:tcPr>
          <w:p w14:paraId="25816CC9" w14:textId="144A3E66"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5</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299</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843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314 </w:t>
            </w:r>
          </w:p>
        </w:tc>
        <w:tc>
          <w:tcPr>
            <w:tcW w:w="1418" w:type="dxa"/>
            <w:tcBorders>
              <w:top w:val="nil"/>
              <w:left w:val="nil"/>
              <w:bottom w:val="single" w:sz="4" w:space="0" w:color="auto"/>
              <w:right w:val="single" w:sz="4" w:space="0" w:color="auto"/>
            </w:tcBorders>
            <w:shd w:val="clear" w:color="auto" w:fill="auto"/>
            <w:noWrap/>
            <w:vAlign w:val="center"/>
            <w:hideMark/>
          </w:tcPr>
          <w:p w14:paraId="7137306F" w14:textId="0B6230DA"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52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998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433 </w:t>
            </w:r>
          </w:p>
        </w:tc>
      </w:tr>
      <w:tr w:rsidR="009A21D7" w:rsidRPr="00374360" w14:paraId="60EAAFC5"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E1D1222"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81</w:t>
            </w:r>
          </w:p>
        </w:tc>
        <w:tc>
          <w:tcPr>
            <w:tcW w:w="660" w:type="dxa"/>
            <w:tcBorders>
              <w:top w:val="nil"/>
              <w:left w:val="nil"/>
              <w:bottom w:val="single" w:sz="4" w:space="0" w:color="auto"/>
              <w:right w:val="single" w:sz="4" w:space="0" w:color="auto"/>
            </w:tcBorders>
            <w:shd w:val="clear" w:color="auto" w:fill="auto"/>
            <w:noWrap/>
            <w:vAlign w:val="center"/>
            <w:hideMark/>
          </w:tcPr>
          <w:p w14:paraId="4C4D87E1"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3206</w:t>
            </w:r>
          </w:p>
        </w:tc>
        <w:tc>
          <w:tcPr>
            <w:tcW w:w="879" w:type="dxa"/>
            <w:tcBorders>
              <w:top w:val="nil"/>
              <w:left w:val="nil"/>
              <w:bottom w:val="single" w:sz="4" w:space="0" w:color="auto"/>
              <w:right w:val="single" w:sz="4" w:space="0" w:color="auto"/>
            </w:tcBorders>
            <w:shd w:val="clear" w:color="auto" w:fill="auto"/>
            <w:noWrap/>
            <w:vAlign w:val="center"/>
            <w:hideMark/>
          </w:tcPr>
          <w:p w14:paraId="5562A14C"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899999068</w:t>
            </w:r>
          </w:p>
        </w:tc>
        <w:tc>
          <w:tcPr>
            <w:tcW w:w="3913" w:type="dxa"/>
            <w:tcBorders>
              <w:top w:val="nil"/>
              <w:left w:val="nil"/>
              <w:bottom w:val="single" w:sz="4" w:space="0" w:color="auto"/>
              <w:right w:val="single" w:sz="4" w:space="0" w:color="auto"/>
            </w:tcBorders>
            <w:shd w:val="clear" w:color="auto" w:fill="auto"/>
            <w:vAlign w:val="center"/>
            <w:hideMark/>
          </w:tcPr>
          <w:p w14:paraId="43D2C34A"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ECOPETROL S.A.</w:t>
            </w:r>
          </w:p>
        </w:tc>
        <w:tc>
          <w:tcPr>
            <w:tcW w:w="1602" w:type="dxa"/>
            <w:tcBorders>
              <w:top w:val="nil"/>
              <w:left w:val="nil"/>
              <w:bottom w:val="single" w:sz="4" w:space="0" w:color="auto"/>
              <w:right w:val="single" w:sz="4" w:space="0" w:color="auto"/>
            </w:tcBorders>
            <w:shd w:val="clear" w:color="auto" w:fill="auto"/>
            <w:noWrap/>
            <w:vAlign w:val="center"/>
            <w:hideMark/>
          </w:tcPr>
          <w:p w14:paraId="079AD031" w14:textId="3F852D2C"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248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491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209</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176 </w:t>
            </w:r>
          </w:p>
        </w:tc>
        <w:tc>
          <w:tcPr>
            <w:tcW w:w="1418" w:type="dxa"/>
            <w:tcBorders>
              <w:top w:val="nil"/>
              <w:left w:val="nil"/>
              <w:bottom w:val="single" w:sz="4" w:space="0" w:color="auto"/>
              <w:right w:val="single" w:sz="4" w:space="0" w:color="auto"/>
            </w:tcBorders>
            <w:shd w:val="clear" w:color="auto" w:fill="auto"/>
            <w:noWrap/>
            <w:vAlign w:val="center"/>
            <w:hideMark/>
          </w:tcPr>
          <w:p w14:paraId="5931A744" w14:textId="26FCF0C6"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484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912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092 </w:t>
            </w:r>
          </w:p>
        </w:tc>
      </w:tr>
      <w:tr w:rsidR="009A21D7" w:rsidRPr="00374360" w14:paraId="2FFFF3BB"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6661121"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82</w:t>
            </w:r>
          </w:p>
        </w:tc>
        <w:tc>
          <w:tcPr>
            <w:tcW w:w="660" w:type="dxa"/>
            <w:tcBorders>
              <w:top w:val="nil"/>
              <w:left w:val="nil"/>
              <w:bottom w:val="single" w:sz="4" w:space="0" w:color="auto"/>
              <w:right w:val="single" w:sz="4" w:space="0" w:color="auto"/>
            </w:tcBorders>
            <w:shd w:val="clear" w:color="auto" w:fill="auto"/>
            <w:noWrap/>
            <w:vAlign w:val="center"/>
            <w:hideMark/>
          </w:tcPr>
          <w:p w14:paraId="34ABDC6E"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1887</w:t>
            </w:r>
          </w:p>
        </w:tc>
        <w:tc>
          <w:tcPr>
            <w:tcW w:w="879" w:type="dxa"/>
            <w:tcBorders>
              <w:top w:val="nil"/>
              <w:left w:val="nil"/>
              <w:bottom w:val="single" w:sz="4" w:space="0" w:color="auto"/>
              <w:right w:val="single" w:sz="4" w:space="0" w:color="auto"/>
            </w:tcBorders>
            <w:shd w:val="clear" w:color="auto" w:fill="auto"/>
            <w:noWrap/>
            <w:vAlign w:val="center"/>
            <w:hideMark/>
          </w:tcPr>
          <w:p w14:paraId="40343FB4"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800202395</w:t>
            </w:r>
          </w:p>
        </w:tc>
        <w:tc>
          <w:tcPr>
            <w:tcW w:w="3913" w:type="dxa"/>
            <w:tcBorders>
              <w:top w:val="nil"/>
              <w:left w:val="nil"/>
              <w:bottom w:val="single" w:sz="4" w:space="0" w:color="auto"/>
              <w:right w:val="single" w:sz="4" w:space="0" w:color="auto"/>
            </w:tcBorders>
            <w:shd w:val="clear" w:color="auto" w:fill="auto"/>
            <w:vAlign w:val="center"/>
            <w:hideMark/>
          </w:tcPr>
          <w:p w14:paraId="2F7CAAC4"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EFIGAS GAS NATURAL S.A E.S.P </w:t>
            </w:r>
          </w:p>
        </w:tc>
        <w:tc>
          <w:tcPr>
            <w:tcW w:w="1602" w:type="dxa"/>
            <w:tcBorders>
              <w:top w:val="nil"/>
              <w:left w:val="nil"/>
              <w:bottom w:val="single" w:sz="4" w:space="0" w:color="auto"/>
              <w:right w:val="single" w:sz="4" w:space="0" w:color="auto"/>
            </w:tcBorders>
            <w:shd w:val="clear" w:color="auto" w:fill="auto"/>
            <w:noWrap/>
            <w:vAlign w:val="center"/>
            <w:hideMark/>
          </w:tcPr>
          <w:p w14:paraId="5CAFFAE4" w14:textId="389839FF"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912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669</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524 </w:t>
            </w:r>
          </w:p>
        </w:tc>
        <w:tc>
          <w:tcPr>
            <w:tcW w:w="1418" w:type="dxa"/>
            <w:tcBorders>
              <w:top w:val="nil"/>
              <w:left w:val="nil"/>
              <w:bottom w:val="single" w:sz="4" w:space="0" w:color="auto"/>
              <w:right w:val="single" w:sz="4" w:space="0" w:color="auto"/>
            </w:tcBorders>
            <w:shd w:val="clear" w:color="auto" w:fill="auto"/>
            <w:noWrap/>
            <w:vAlign w:val="center"/>
            <w:hideMark/>
          </w:tcPr>
          <w:p w14:paraId="6638E6ED" w14:textId="4F90216B"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129</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126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695 </w:t>
            </w:r>
          </w:p>
        </w:tc>
      </w:tr>
      <w:tr w:rsidR="009A21D7" w:rsidRPr="00374360" w14:paraId="2A2197EA"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9361A6A"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83</w:t>
            </w:r>
          </w:p>
        </w:tc>
        <w:tc>
          <w:tcPr>
            <w:tcW w:w="660" w:type="dxa"/>
            <w:tcBorders>
              <w:top w:val="nil"/>
              <w:left w:val="nil"/>
              <w:bottom w:val="single" w:sz="4" w:space="0" w:color="auto"/>
              <w:right w:val="single" w:sz="4" w:space="0" w:color="auto"/>
            </w:tcBorders>
            <w:shd w:val="clear" w:color="auto" w:fill="auto"/>
            <w:noWrap/>
            <w:vAlign w:val="center"/>
            <w:hideMark/>
          </w:tcPr>
          <w:p w14:paraId="7BA000F0"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44176</w:t>
            </w:r>
          </w:p>
        </w:tc>
        <w:tc>
          <w:tcPr>
            <w:tcW w:w="879" w:type="dxa"/>
            <w:tcBorders>
              <w:top w:val="nil"/>
              <w:left w:val="nil"/>
              <w:bottom w:val="single" w:sz="4" w:space="0" w:color="auto"/>
              <w:right w:val="single" w:sz="4" w:space="0" w:color="auto"/>
            </w:tcBorders>
            <w:shd w:val="clear" w:color="auto" w:fill="auto"/>
            <w:noWrap/>
            <w:vAlign w:val="center"/>
            <w:hideMark/>
          </w:tcPr>
          <w:p w14:paraId="4450EC60"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901100124</w:t>
            </w:r>
          </w:p>
        </w:tc>
        <w:tc>
          <w:tcPr>
            <w:tcW w:w="3913" w:type="dxa"/>
            <w:tcBorders>
              <w:top w:val="nil"/>
              <w:left w:val="nil"/>
              <w:bottom w:val="single" w:sz="4" w:space="0" w:color="auto"/>
              <w:right w:val="single" w:sz="4" w:space="0" w:color="auto"/>
            </w:tcBorders>
            <w:shd w:val="clear" w:color="auto" w:fill="auto"/>
            <w:vAlign w:val="center"/>
            <w:hideMark/>
          </w:tcPr>
          <w:p w14:paraId="6F88FC02"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EL PASO SOLAR S.A.S. E.S.P</w:t>
            </w:r>
          </w:p>
        </w:tc>
        <w:tc>
          <w:tcPr>
            <w:tcW w:w="1602" w:type="dxa"/>
            <w:tcBorders>
              <w:top w:val="nil"/>
              <w:left w:val="nil"/>
              <w:bottom w:val="single" w:sz="4" w:space="0" w:color="auto"/>
              <w:right w:val="single" w:sz="4" w:space="0" w:color="auto"/>
            </w:tcBorders>
            <w:shd w:val="clear" w:color="auto" w:fill="auto"/>
            <w:noWrap/>
            <w:vAlign w:val="center"/>
            <w:hideMark/>
          </w:tcPr>
          <w:p w14:paraId="7538D076" w14:textId="3FD0C734"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600</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818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788 </w:t>
            </w:r>
          </w:p>
        </w:tc>
        <w:tc>
          <w:tcPr>
            <w:tcW w:w="1418" w:type="dxa"/>
            <w:tcBorders>
              <w:top w:val="nil"/>
              <w:left w:val="nil"/>
              <w:bottom w:val="single" w:sz="4" w:space="0" w:color="auto"/>
              <w:right w:val="single" w:sz="4" w:space="0" w:color="auto"/>
            </w:tcBorders>
            <w:shd w:val="clear" w:color="auto" w:fill="auto"/>
            <w:noWrap/>
            <w:vAlign w:val="center"/>
            <w:hideMark/>
          </w:tcPr>
          <w:p w14:paraId="1FA222E6" w14:textId="5F8437BE"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008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188 </w:t>
            </w:r>
          </w:p>
        </w:tc>
      </w:tr>
      <w:tr w:rsidR="009A21D7" w:rsidRPr="00374360" w14:paraId="5631876D"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5CDB4FC"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84</w:t>
            </w:r>
          </w:p>
        </w:tc>
        <w:tc>
          <w:tcPr>
            <w:tcW w:w="660" w:type="dxa"/>
            <w:tcBorders>
              <w:top w:val="nil"/>
              <w:left w:val="nil"/>
              <w:bottom w:val="single" w:sz="4" w:space="0" w:color="auto"/>
              <w:right w:val="single" w:sz="4" w:space="0" w:color="auto"/>
            </w:tcBorders>
            <w:shd w:val="clear" w:color="auto" w:fill="auto"/>
            <w:noWrap/>
            <w:vAlign w:val="center"/>
            <w:hideMark/>
          </w:tcPr>
          <w:p w14:paraId="1FA5249B"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25680</w:t>
            </w:r>
          </w:p>
        </w:tc>
        <w:tc>
          <w:tcPr>
            <w:tcW w:w="879" w:type="dxa"/>
            <w:tcBorders>
              <w:top w:val="nil"/>
              <w:left w:val="nil"/>
              <w:bottom w:val="single" w:sz="4" w:space="0" w:color="auto"/>
              <w:right w:val="single" w:sz="4" w:space="0" w:color="auto"/>
            </w:tcBorders>
            <w:shd w:val="clear" w:color="auto" w:fill="auto"/>
            <w:noWrap/>
            <w:vAlign w:val="center"/>
            <w:hideMark/>
          </w:tcPr>
          <w:p w14:paraId="1D7A07DB"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900432368</w:t>
            </w:r>
          </w:p>
        </w:tc>
        <w:tc>
          <w:tcPr>
            <w:tcW w:w="3913" w:type="dxa"/>
            <w:tcBorders>
              <w:top w:val="nil"/>
              <w:left w:val="nil"/>
              <w:bottom w:val="single" w:sz="4" w:space="0" w:color="auto"/>
              <w:right w:val="single" w:sz="4" w:space="0" w:color="auto"/>
            </w:tcBorders>
            <w:shd w:val="clear" w:color="auto" w:fill="auto"/>
            <w:vAlign w:val="center"/>
            <w:hideMark/>
          </w:tcPr>
          <w:p w14:paraId="6D8C2337"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ELECTRIFICADORA DE MAPIRIPÁN S.A. E.S.P.</w:t>
            </w:r>
          </w:p>
        </w:tc>
        <w:tc>
          <w:tcPr>
            <w:tcW w:w="1602" w:type="dxa"/>
            <w:tcBorders>
              <w:top w:val="nil"/>
              <w:left w:val="nil"/>
              <w:bottom w:val="single" w:sz="4" w:space="0" w:color="auto"/>
              <w:right w:val="single" w:sz="4" w:space="0" w:color="auto"/>
            </w:tcBorders>
            <w:shd w:val="clear" w:color="auto" w:fill="auto"/>
            <w:noWrap/>
            <w:vAlign w:val="center"/>
            <w:hideMark/>
          </w:tcPr>
          <w:p w14:paraId="342FD9D6" w14:textId="564886BE"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192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248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979 </w:t>
            </w:r>
          </w:p>
        </w:tc>
        <w:tc>
          <w:tcPr>
            <w:tcW w:w="1418" w:type="dxa"/>
            <w:tcBorders>
              <w:top w:val="nil"/>
              <w:left w:val="nil"/>
              <w:bottom w:val="single" w:sz="4" w:space="0" w:color="auto"/>
              <w:right w:val="single" w:sz="4" w:space="0" w:color="auto"/>
            </w:tcBorders>
            <w:shd w:val="clear" w:color="auto" w:fill="auto"/>
            <w:noWrap/>
            <w:vAlign w:val="center"/>
            <w:hideMark/>
          </w:tcPr>
          <w:p w14:paraId="2AC4AD1A" w14:textId="052AB5AC"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922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490 </w:t>
            </w:r>
          </w:p>
        </w:tc>
      </w:tr>
      <w:tr w:rsidR="009A21D7" w:rsidRPr="00374360" w14:paraId="16B936B3"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525374A"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85</w:t>
            </w:r>
          </w:p>
        </w:tc>
        <w:tc>
          <w:tcPr>
            <w:tcW w:w="660" w:type="dxa"/>
            <w:tcBorders>
              <w:top w:val="nil"/>
              <w:left w:val="nil"/>
              <w:bottom w:val="single" w:sz="4" w:space="0" w:color="auto"/>
              <w:right w:val="single" w:sz="4" w:space="0" w:color="auto"/>
            </w:tcBorders>
            <w:shd w:val="clear" w:color="auto" w:fill="auto"/>
            <w:noWrap/>
            <w:vAlign w:val="center"/>
            <w:hideMark/>
          </w:tcPr>
          <w:p w14:paraId="3FC6F1CB"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37833</w:t>
            </w:r>
          </w:p>
        </w:tc>
        <w:tc>
          <w:tcPr>
            <w:tcW w:w="879" w:type="dxa"/>
            <w:tcBorders>
              <w:top w:val="nil"/>
              <w:left w:val="nil"/>
              <w:bottom w:val="single" w:sz="4" w:space="0" w:color="auto"/>
              <w:right w:val="single" w:sz="4" w:space="0" w:color="auto"/>
            </w:tcBorders>
            <w:shd w:val="clear" w:color="auto" w:fill="auto"/>
            <w:noWrap/>
            <w:vAlign w:val="center"/>
            <w:hideMark/>
          </w:tcPr>
          <w:p w14:paraId="4E36BF67"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901061072</w:t>
            </w:r>
          </w:p>
        </w:tc>
        <w:tc>
          <w:tcPr>
            <w:tcW w:w="3913" w:type="dxa"/>
            <w:tcBorders>
              <w:top w:val="nil"/>
              <w:left w:val="nil"/>
              <w:bottom w:val="single" w:sz="4" w:space="0" w:color="auto"/>
              <w:right w:val="single" w:sz="4" w:space="0" w:color="auto"/>
            </w:tcBorders>
            <w:shd w:val="clear" w:color="auto" w:fill="auto"/>
            <w:vAlign w:val="center"/>
            <w:hideMark/>
          </w:tcPr>
          <w:p w14:paraId="2559B746"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ELECTRIFICADORA DE NARIÑO SUR E.A.T.</w:t>
            </w:r>
          </w:p>
        </w:tc>
        <w:tc>
          <w:tcPr>
            <w:tcW w:w="1602" w:type="dxa"/>
            <w:tcBorders>
              <w:top w:val="nil"/>
              <w:left w:val="nil"/>
              <w:bottom w:val="single" w:sz="4" w:space="0" w:color="auto"/>
              <w:right w:val="single" w:sz="4" w:space="0" w:color="auto"/>
            </w:tcBorders>
            <w:shd w:val="clear" w:color="auto" w:fill="auto"/>
            <w:noWrap/>
            <w:vAlign w:val="center"/>
            <w:hideMark/>
          </w:tcPr>
          <w:p w14:paraId="7DD8BEA2" w14:textId="4F8FA774"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127</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966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192 </w:t>
            </w:r>
          </w:p>
        </w:tc>
        <w:tc>
          <w:tcPr>
            <w:tcW w:w="1418" w:type="dxa"/>
            <w:tcBorders>
              <w:top w:val="nil"/>
              <w:left w:val="nil"/>
              <w:bottom w:val="single" w:sz="4" w:space="0" w:color="auto"/>
              <w:right w:val="single" w:sz="4" w:space="0" w:color="auto"/>
            </w:tcBorders>
            <w:shd w:val="clear" w:color="auto" w:fill="auto"/>
            <w:noWrap/>
            <w:vAlign w:val="center"/>
            <w:hideMark/>
          </w:tcPr>
          <w:p w14:paraId="7F16549E" w14:textId="350073BD"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279</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662 </w:t>
            </w:r>
          </w:p>
        </w:tc>
      </w:tr>
      <w:tr w:rsidR="009A21D7" w:rsidRPr="00374360" w14:paraId="3FAE741D"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A7429E6"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86</w:t>
            </w:r>
          </w:p>
        </w:tc>
        <w:tc>
          <w:tcPr>
            <w:tcW w:w="660" w:type="dxa"/>
            <w:tcBorders>
              <w:top w:val="nil"/>
              <w:left w:val="nil"/>
              <w:bottom w:val="single" w:sz="4" w:space="0" w:color="auto"/>
              <w:right w:val="single" w:sz="4" w:space="0" w:color="auto"/>
            </w:tcBorders>
            <w:shd w:val="clear" w:color="auto" w:fill="auto"/>
            <w:noWrap/>
            <w:vAlign w:val="center"/>
            <w:hideMark/>
          </w:tcPr>
          <w:p w14:paraId="3578313A"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524</w:t>
            </w:r>
          </w:p>
        </w:tc>
        <w:tc>
          <w:tcPr>
            <w:tcW w:w="879" w:type="dxa"/>
            <w:tcBorders>
              <w:top w:val="nil"/>
              <w:left w:val="nil"/>
              <w:bottom w:val="single" w:sz="4" w:space="0" w:color="auto"/>
              <w:right w:val="single" w:sz="4" w:space="0" w:color="auto"/>
            </w:tcBorders>
            <w:shd w:val="clear" w:color="auto" w:fill="auto"/>
            <w:noWrap/>
            <w:vAlign w:val="center"/>
            <w:hideMark/>
          </w:tcPr>
          <w:p w14:paraId="5F053B49"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890201230</w:t>
            </w:r>
          </w:p>
        </w:tc>
        <w:tc>
          <w:tcPr>
            <w:tcW w:w="3913" w:type="dxa"/>
            <w:tcBorders>
              <w:top w:val="nil"/>
              <w:left w:val="nil"/>
              <w:bottom w:val="single" w:sz="4" w:space="0" w:color="auto"/>
              <w:right w:val="single" w:sz="4" w:space="0" w:color="auto"/>
            </w:tcBorders>
            <w:shd w:val="clear" w:color="auto" w:fill="auto"/>
            <w:vAlign w:val="center"/>
            <w:hideMark/>
          </w:tcPr>
          <w:p w14:paraId="66C048B8"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ELECTRIFICADORA DE SANTANDER S.A. E.S.P.</w:t>
            </w:r>
          </w:p>
        </w:tc>
        <w:tc>
          <w:tcPr>
            <w:tcW w:w="1602" w:type="dxa"/>
            <w:tcBorders>
              <w:top w:val="nil"/>
              <w:left w:val="nil"/>
              <w:bottom w:val="single" w:sz="4" w:space="0" w:color="auto"/>
              <w:right w:val="single" w:sz="4" w:space="0" w:color="auto"/>
            </w:tcBorders>
            <w:shd w:val="clear" w:color="auto" w:fill="auto"/>
            <w:noWrap/>
            <w:vAlign w:val="center"/>
            <w:hideMark/>
          </w:tcPr>
          <w:p w14:paraId="79B29594" w14:textId="45435CE2"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54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544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507</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375 </w:t>
            </w:r>
          </w:p>
        </w:tc>
        <w:tc>
          <w:tcPr>
            <w:tcW w:w="1418" w:type="dxa"/>
            <w:tcBorders>
              <w:top w:val="nil"/>
              <w:left w:val="nil"/>
              <w:bottom w:val="single" w:sz="4" w:space="0" w:color="auto"/>
              <w:right w:val="single" w:sz="4" w:space="0" w:color="auto"/>
            </w:tcBorders>
            <w:shd w:val="clear" w:color="auto" w:fill="auto"/>
            <w:noWrap/>
            <w:vAlign w:val="center"/>
            <w:hideMark/>
          </w:tcPr>
          <w:p w14:paraId="53214DB1" w14:textId="349F53AD"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545</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445</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074 </w:t>
            </w:r>
          </w:p>
        </w:tc>
      </w:tr>
      <w:tr w:rsidR="009A21D7" w:rsidRPr="00374360" w14:paraId="44CAC5AD"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2A95D32"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87</w:t>
            </w:r>
          </w:p>
        </w:tc>
        <w:tc>
          <w:tcPr>
            <w:tcW w:w="660" w:type="dxa"/>
            <w:tcBorders>
              <w:top w:val="nil"/>
              <w:left w:val="nil"/>
              <w:bottom w:val="single" w:sz="4" w:space="0" w:color="auto"/>
              <w:right w:val="single" w:sz="4" w:space="0" w:color="auto"/>
            </w:tcBorders>
            <w:shd w:val="clear" w:color="auto" w:fill="auto"/>
            <w:noWrap/>
            <w:vAlign w:val="center"/>
            <w:hideMark/>
          </w:tcPr>
          <w:p w14:paraId="566906C7"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1032</w:t>
            </w:r>
          </w:p>
        </w:tc>
        <w:tc>
          <w:tcPr>
            <w:tcW w:w="879" w:type="dxa"/>
            <w:tcBorders>
              <w:top w:val="nil"/>
              <w:left w:val="nil"/>
              <w:bottom w:val="single" w:sz="4" w:space="0" w:color="auto"/>
              <w:right w:val="single" w:sz="4" w:space="0" w:color="auto"/>
            </w:tcBorders>
            <w:shd w:val="clear" w:color="auto" w:fill="auto"/>
            <w:noWrap/>
            <w:vAlign w:val="center"/>
            <w:hideMark/>
          </w:tcPr>
          <w:p w14:paraId="1635E24D"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891190127</w:t>
            </w:r>
          </w:p>
        </w:tc>
        <w:tc>
          <w:tcPr>
            <w:tcW w:w="3913" w:type="dxa"/>
            <w:tcBorders>
              <w:top w:val="nil"/>
              <w:left w:val="nil"/>
              <w:bottom w:val="single" w:sz="4" w:space="0" w:color="auto"/>
              <w:right w:val="single" w:sz="4" w:space="0" w:color="auto"/>
            </w:tcBorders>
            <w:shd w:val="clear" w:color="auto" w:fill="auto"/>
            <w:vAlign w:val="center"/>
            <w:hideMark/>
          </w:tcPr>
          <w:p w14:paraId="2C376DEE"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ELECTRIFICADORA DEL CAQUETA S.A. ESP</w:t>
            </w:r>
          </w:p>
        </w:tc>
        <w:tc>
          <w:tcPr>
            <w:tcW w:w="1602" w:type="dxa"/>
            <w:tcBorders>
              <w:top w:val="nil"/>
              <w:left w:val="nil"/>
              <w:bottom w:val="single" w:sz="4" w:space="0" w:color="auto"/>
              <w:right w:val="single" w:sz="4" w:space="0" w:color="auto"/>
            </w:tcBorders>
            <w:shd w:val="clear" w:color="auto" w:fill="auto"/>
            <w:noWrap/>
            <w:vAlign w:val="center"/>
            <w:hideMark/>
          </w:tcPr>
          <w:p w14:paraId="658101A6" w14:textId="3A94B25A"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545</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045</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012 </w:t>
            </w:r>
          </w:p>
        </w:tc>
        <w:tc>
          <w:tcPr>
            <w:tcW w:w="1418" w:type="dxa"/>
            <w:tcBorders>
              <w:top w:val="nil"/>
              <w:left w:val="nil"/>
              <w:bottom w:val="single" w:sz="4" w:space="0" w:color="auto"/>
              <w:right w:val="single" w:sz="4" w:space="0" w:color="auto"/>
            </w:tcBorders>
            <w:shd w:val="clear" w:color="auto" w:fill="auto"/>
            <w:noWrap/>
            <w:vAlign w:val="center"/>
            <w:hideMark/>
          </w:tcPr>
          <w:p w14:paraId="2129345E" w14:textId="2E5357A4"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65</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450</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450 </w:t>
            </w:r>
          </w:p>
        </w:tc>
      </w:tr>
      <w:tr w:rsidR="009A21D7" w:rsidRPr="00374360" w14:paraId="1C18F00D"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20E5B49"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lastRenderedPageBreak/>
              <w:t>88</w:t>
            </w:r>
          </w:p>
        </w:tc>
        <w:tc>
          <w:tcPr>
            <w:tcW w:w="660" w:type="dxa"/>
            <w:tcBorders>
              <w:top w:val="nil"/>
              <w:left w:val="nil"/>
              <w:bottom w:val="single" w:sz="4" w:space="0" w:color="auto"/>
              <w:right w:val="single" w:sz="4" w:space="0" w:color="auto"/>
            </w:tcBorders>
            <w:shd w:val="clear" w:color="auto" w:fill="auto"/>
            <w:noWrap/>
            <w:vAlign w:val="center"/>
            <w:hideMark/>
          </w:tcPr>
          <w:p w14:paraId="6BD0C666"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1014</w:t>
            </w:r>
          </w:p>
        </w:tc>
        <w:tc>
          <w:tcPr>
            <w:tcW w:w="879" w:type="dxa"/>
            <w:tcBorders>
              <w:top w:val="nil"/>
              <w:left w:val="nil"/>
              <w:bottom w:val="single" w:sz="4" w:space="0" w:color="auto"/>
              <w:right w:val="single" w:sz="4" w:space="0" w:color="auto"/>
            </w:tcBorders>
            <w:shd w:val="clear" w:color="auto" w:fill="auto"/>
            <w:noWrap/>
            <w:vAlign w:val="center"/>
            <w:hideMark/>
          </w:tcPr>
          <w:p w14:paraId="435830D0"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891180001</w:t>
            </w:r>
          </w:p>
        </w:tc>
        <w:tc>
          <w:tcPr>
            <w:tcW w:w="3913" w:type="dxa"/>
            <w:tcBorders>
              <w:top w:val="nil"/>
              <w:left w:val="nil"/>
              <w:bottom w:val="single" w:sz="4" w:space="0" w:color="auto"/>
              <w:right w:val="single" w:sz="4" w:space="0" w:color="auto"/>
            </w:tcBorders>
            <w:shd w:val="clear" w:color="auto" w:fill="auto"/>
            <w:vAlign w:val="center"/>
            <w:hideMark/>
          </w:tcPr>
          <w:p w14:paraId="29557BD9"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ELECTRIFICADORA DEL HUILA S.A. E.S.P.</w:t>
            </w:r>
          </w:p>
        </w:tc>
        <w:tc>
          <w:tcPr>
            <w:tcW w:w="1602" w:type="dxa"/>
            <w:tcBorders>
              <w:top w:val="nil"/>
              <w:left w:val="nil"/>
              <w:bottom w:val="single" w:sz="4" w:space="0" w:color="auto"/>
              <w:right w:val="single" w:sz="4" w:space="0" w:color="auto"/>
            </w:tcBorders>
            <w:shd w:val="clear" w:color="auto" w:fill="auto"/>
            <w:noWrap/>
            <w:vAlign w:val="center"/>
            <w:hideMark/>
          </w:tcPr>
          <w:p w14:paraId="4F7CF6F8" w14:textId="4A1BD3EC"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25</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248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238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233 </w:t>
            </w:r>
          </w:p>
        </w:tc>
        <w:tc>
          <w:tcPr>
            <w:tcW w:w="1418" w:type="dxa"/>
            <w:tcBorders>
              <w:top w:val="nil"/>
              <w:left w:val="nil"/>
              <w:bottom w:val="single" w:sz="4" w:space="0" w:color="auto"/>
              <w:right w:val="single" w:sz="4" w:space="0" w:color="auto"/>
            </w:tcBorders>
            <w:shd w:val="clear" w:color="auto" w:fill="auto"/>
            <w:noWrap/>
            <w:vAlign w:val="center"/>
            <w:hideMark/>
          </w:tcPr>
          <w:p w14:paraId="081B5858" w14:textId="71556EE2"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252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482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382 </w:t>
            </w:r>
          </w:p>
        </w:tc>
      </w:tr>
      <w:tr w:rsidR="009A21D7" w:rsidRPr="00374360" w14:paraId="70891D9C"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3BDF286"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89</w:t>
            </w:r>
          </w:p>
        </w:tc>
        <w:tc>
          <w:tcPr>
            <w:tcW w:w="660" w:type="dxa"/>
            <w:tcBorders>
              <w:top w:val="nil"/>
              <w:left w:val="nil"/>
              <w:bottom w:val="single" w:sz="4" w:space="0" w:color="auto"/>
              <w:right w:val="single" w:sz="4" w:space="0" w:color="auto"/>
            </w:tcBorders>
            <w:shd w:val="clear" w:color="auto" w:fill="auto"/>
            <w:noWrap/>
            <w:vAlign w:val="center"/>
            <w:hideMark/>
          </w:tcPr>
          <w:p w14:paraId="290DC351"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600</w:t>
            </w:r>
          </w:p>
        </w:tc>
        <w:tc>
          <w:tcPr>
            <w:tcW w:w="879" w:type="dxa"/>
            <w:tcBorders>
              <w:top w:val="nil"/>
              <w:left w:val="nil"/>
              <w:bottom w:val="single" w:sz="4" w:space="0" w:color="auto"/>
              <w:right w:val="single" w:sz="4" w:space="0" w:color="auto"/>
            </w:tcBorders>
            <w:shd w:val="clear" w:color="auto" w:fill="auto"/>
            <w:noWrap/>
            <w:vAlign w:val="center"/>
            <w:hideMark/>
          </w:tcPr>
          <w:p w14:paraId="100ABC97"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892002210</w:t>
            </w:r>
          </w:p>
        </w:tc>
        <w:tc>
          <w:tcPr>
            <w:tcW w:w="3913" w:type="dxa"/>
            <w:tcBorders>
              <w:top w:val="nil"/>
              <w:left w:val="nil"/>
              <w:bottom w:val="single" w:sz="4" w:space="0" w:color="auto"/>
              <w:right w:val="single" w:sz="4" w:space="0" w:color="auto"/>
            </w:tcBorders>
            <w:shd w:val="clear" w:color="auto" w:fill="auto"/>
            <w:vAlign w:val="center"/>
            <w:hideMark/>
          </w:tcPr>
          <w:p w14:paraId="06F1AF3F"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ELECTRIFICADORA DEL META S.A. E.S.P.</w:t>
            </w:r>
          </w:p>
        </w:tc>
        <w:tc>
          <w:tcPr>
            <w:tcW w:w="1602" w:type="dxa"/>
            <w:tcBorders>
              <w:top w:val="nil"/>
              <w:left w:val="nil"/>
              <w:bottom w:val="single" w:sz="4" w:space="0" w:color="auto"/>
              <w:right w:val="single" w:sz="4" w:space="0" w:color="auto"/>
            </w:tcBorders>
            <w:shd w:val="clear" w:color="auto" w:fill="auto"/>
            <w:noWrap/>
            <w:vAlign w:val="center"/>
            <w:hideMark/>
          </w:tcPr>
          <w:p w14:paraId="00DCB4D2" w14:textId="19B7D68C"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17</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516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464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368 </w:t>
            </w:r>
          </w:p>
        </w:tc>
        <w:tc>
          <w:tcPr>
            <w:tcW w:w="1418" w:type="dxa"/>
            <w:tcBorders>
              <w:top w:val="nil"/>
              <w:left w:val="nil"/>
              <w:bottom w:val="single" w:sz="4" w:space="0" w:color="auto"/>
              <w:right w:val="single" w:sz="4" w:space="0" w:color="auto"/>
            </w:tcBorders>
            <w:shd w:val="clear" w:color="auto" w:fill="auto"/>
            <w:noWrap/>
            <w:vAlign w:val="center"/>
            <w:hideMark/>
          </w:tcPr>
          <w:p w14:paraId="2E1180DB" w14:textId="20DBD8BB"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175</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164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644 </w:t>
            </w:r>
          </w:p>
        </w:tc>
      </w:tr>
      <w:tr w:rsidR="009A21D7" w:rsidRPr="00374360" w14:paraId="729C754D" w14:textId="77777777" w:rsidTr="00C734CF">
        <w:trPr>
          <w:trHeight w:val="4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741DD06"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w:t>
            </w:r>
          </w:p>
        </w:tc>
        <w:tc>
          <w:tcPr>
            <w:tcW w:w="660" w:type="dxa"/>
            <w:tcBorders>
              <w:top w:val="nil"/>
              <w:left w:val="nil"/>
              <w:bottom w:val="single" w:sz="4" w:space="0" w:color="auto"/>
              <w:right w:val="single" w:sz="4" w:space="0" w:color="auto"/>
            </w:tcBorders>
            <w:shd w:val="clear" w:color="auto" w:fill="auto"/>
            <w:noWrap/>
            <w:vAlign w:val="center"/>
            <w:hideMark/>
          </w:tcPr>
          <w:p w14:paraId="14C90E44"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1817</w:t>
            </w:r>
          </w:p>
        </w:tc>
        <w:tc>
          <w:tcPr>
            <w:tcW w:w="879" w:type="dxa"/>
            <w:tcBorders>
              <w:top w:val="nil"/>
              <w:left w:val="nil"/>
              <w:bottom w:val="single" w:sz="4" w:space="0" w:color="auto"/>
              <w:right w:val="single" w:sz="4" w:space="0" w:color="auto"/>
            </w:tcBorders>
            <w:shd w:val="clear" w:color="auto" w:fill="auto"/>
            <w:noWrap/>
            <w:vAlign w:val="center"/>
            <w:hideMark/>
          </w:tcPr>
          <w:p w14:paraId="00350D71"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818000192</w:t>
            </w:r>
          </w:p>
        </w:tc>
        <w:tc>
          <w:tcPr>
            <w:tcW w:w="3913" w:type="dxa"/>
            <w:tcBorders>
              <w:top w:val="nil"/>
              <w:left w:val="nil"/>
              <w:bottom w:val="single" w:sz="4" w:space="0" w:color="auto"/>
              <w:right w:val="single" w:sz="4" w:space="0" w:color="auto"/>
            </w:tcBorders>
            <w:shd w:val="clear" w:color="auto" w:fill="auto"/>
            <w:vAlign w:val="center"/>
            <w:hideMark/>
          </w:tcPr>
          <w:p w14:paraId="0E514726"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ELECTRIFICADORA DEL MUNICIPIO DE RIOSUCIO CHOCO S.A. E.S.P.</w:t>
            </w:r>
          </w:p>
        </w:tc>
        <w:tc>
          <w:tcPr>
            <w:tcW w:w="1602" w:type="dxa"/>
            <w:tcBorders>
              <w:top w:val="nil"/>
              <w:left w:val="nil"/>
              <w:bottom w:val="single" w:sz="4" w:space="0" w:color="auto"/>
              <w:right w:val="single" w:sz="4" w:space="0" w:color="auto"/>
            </w:tcBorders>
            <w:shd w:val="clear" w:color="auto" w:fill="auto"/>
            <w:noWrap/>
            <w:vAlign w:val="center"/>
            <w:hideMark/>
          </w:tcPr>
          <w:p w14:paraId="5F233EE4" w14:textId="3501AA78"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683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268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594 </w:t>
            </w:r>
          </w:p>
        </w:tc>
        <w:tc>
          <w:tcPr>
            <w:tcW w:w="1418" w:type="dxa"/>
            <w:tcBorders>
              <w:top w:val="nil"/>
              <w:left w:val="nil"/>
              <w:bottom w:val="single" w:sz="4" w:space="0" w:color="auto"/>
              <w:right w:val="single" w:sz="4" w:space="0" w:color="auto"/>
            </w:tcBorders>
            <w:shd w:val="clear" w:color="auto" w:fill="auto"/>
            <w:noWrap/>
            <w:vAlign w:val="center"/>
            <w:hideMark/>
          </w:tcPr>
          <w:p w14:paraId="6630A0FA" w14:textId="4A485205"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832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686 </w:t>
            </w:r>
          </w:p>
        </w:tc>
      </w:tr>
      <w:tr w:rsidR="009A21D7" w:rsidRPr="00374360" w14:paraId="21792ABE"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74D0D0C"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91</w:t>
            </w:r>
          </w:p>
        </w:tc>
        <w:tc>
          <w:tcPr>
            <w:tcW w:w="660" w:type="dxa"/>
            <w:tcBorders>
              <w:top w:val="nil"/>
              <w:left w:val="nil"/>
              <w:bottom w:val="single" w:sz="4" w:space="0" w:color="auto"/>
              <w:right w:val="single" w:sz="4" w:space="0" w:color="auto"/>
            </w:tcBorders>
            <w:shd w:val="clear" w:color="auto" w:fill="auto"/>
            <w:noWrap/>
            <w:vAlign w:val="center"/>
            <w:hideMark/>
          </w:tcPr>
          <w:p w14:paraId="61FA6BC9"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44997</w:t>
            </w:r>
          </w:p>
        </w:tc>
        <w:tc>
          <w:tcPr>
            <w:tcW w:w="879" w:type="dxa"/>
            <w:tcBorders>
              <w:top w:val="nil"/>
              <w:left w:val="nil"/>
              <w:bottom w:val="single" w:sz="4" w:space="0" w:color="auto"/>
              <w:right w:val="single" w:sz="4" w:space="0" w:color="auto"/>
            </w:tcBorders>
            <w:shd w:val="clear" w:color="auto" w:fill="auto"/>
            <w:noWrap/>
            <w:vAlign w:val="center"/>
            <w:hideMark/>
          </w:tcPr>
          <w:p w14:paraId="5F05E38C"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901296315</w:t>
            </w:r>
          </w:p>
        </w:tc>
        <w:tc>
          <w:tcPr>
            <w:tcW w:w="3913" w:type="dxa"/>
            <w:tcBorders>
              <w:top w:val="nil"/>
              <w:left w:val="nil"/>
              <w:bottom w:val="single" w:sz="4" w:space="0" w:color="auto"/>
              <w:right w:val="single" w:sz="4" w:space="0" w:color="auto"/>
            </w:tcBorders>
            <w:shd w:val="clear" w:color="auto" w:fill="auto"/>
            <w:vAlign w:val="center"/>
            <w:hideMark/>
          </w:tcPr>
          <w:p w14:paraId="7FF7506A"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ELECTRIFICADORA ENTRE RIOS S.A.S</w:t>
            </w:r>
          </w:p>
        </w:tc>
        <w:tc>
          <w:tcPr>
            <w:tcW w:w="1602" w:type="dxa"/>
            <w:tcBorders>
              <w:top w:val="nil"/>
              <w:left w:val="nil"/>
              <w:bottom w:val="single" w:sz="4" w:space="0" w:color="auto"/>
              <w:right w:val="single" w:sz="4" w:space="0" w:color="auto"/>
            </w:tcBorders>
            <w:shd w:val="clear" w:color="auto" w:fill="auto"/>
            <w:noWrap/>
            <w:vAlign w:val="center"/>
            <w:hideMark/>
          </w:tcPr>
          <w:p w14:paraId="4DD4FB8D" w14:textId="496119AE"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69</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811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316 </w:t>
            </w:r>
          </w:p>
        </w:tc>
        <w:tc>
          <w:tcPr>
            <w:tcW w:w="1418" w:type="dxa"/>
            <w:tcBorders>
              <w:top w:val="nil"/>
              <w:left w:val="nil"/>
              <w:bottom w:val="single" w:sz="4" w:space="0" w:color="auto"/>
              <w:right w:val="single" w:sz="4" w:space="0" w:color="auto"/>
            </w:tcBorders>
            <w:shd w:val="clear" w:color="auto" w:fill="auto"/>
            <w:noWrap/>
            <w:vAlign w:val="center"/>
            <w:hideMark/>
          </w:tcPr>
          <w:p w14:paraId="7EC3329A" w14:textId="31F30B54"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698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113 </w:t>
            </w:r>
          </w:p>
        </w:tc>
      </w:tr>
      <w:tr w:rsidR="009A21D7" w:rsidRPr="00374360" w14:paraId="3B36ED50"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0698AF9"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92</w:t>
            </w:r>
          </w:p>
        </w:tc>
        <w:tc>
          <w:tcPr>
            <w:tcW w:w="660" w:type="dxa"/>
            <w:tcBorders>
              <w:top w:val="nil"/>
              <w:left w:val="nil"/>
              <w:bottom w:val="single" w:sz="4" w:space="0" w:color="auto"/>
              <w:right w:val="single" w:sz="4" w:space="0" w:color="auto"/>
            </w:tcBorders>
            <w:shd w:val="clear" w:color="auto" w:fill="auto"/>
            <w:noWrap/>
            <w:vAlign w:val="center"/>
            <w:hideMark/>
          </w:tcPr>
          <w:p w14:paraId="2C054508"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1564</w:t>
            </w:r>
          </w:p>
        </w:tc>
        <w:tc>
          <w:tcPr>
            <w:tcW w:w="879" w:type="dxa"/>
            <w:tcBorders>
              <w:top w:val="nil"/>
              <w:left w:val="nil"/>
              <w:bottom w:val="single" w:sz="4" w:space="0" w:color="auto"/>
              <w:right w:val="single" w:sz="4" w:space="0" w:color="auto"/>
            </w:tcBorders>
            <w:shd w:val="clear" w:color="auto" w:fill="auto"/>
            <w:noWrap/>
            <w:vAlign w:val="center"/>
            <w:hideMark/>
          </w:tcPr>
          <w:p w14:paraId="6135FDD3"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891400900</w:t>
            </w:r>
          </w:p>
        </w:tc>
        <w:tc>
          <w:tcPr>
            <w:tcW w:w="3913" w:type="dxa"/>
            <w:tcBorders>
              <w:top w:val="nil"/>
              <w:left w:val="nil"/>
              <w:bottom w:val="single" w:sz="4" w:space="0" w:color="auto"/>
              <w:right w:val="single" w:sz="4" w:space="0" w:color="auto"/>
            </w:tcBorders>
            <w:shd w:val="clear" w:color="auto" w:fill="auto"/>
            <w:vAlign w:val="center"/>
            <w:hideMark/>
          </w:tcPr>
          <w:p w14:paraId="6F577126"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ELECTROGAS SA ESP</w:t>
            </w:r>
          </w:p>
        </w:tc>
        <w:tc>
          <w:tcPr>
            <w:tcW w:w="1602" w:type="dxa"/>
            <w:tcBorders>
              <w:top w:val="nil"/>
              <w:left w:val="nil"/>
              <w:bottom w:val="single" w:sz="4" w:space="0" w:color="auto"/>
              <w:right w:val="single" w:sz="4" w:space="0" w:color="auto"/>
            </w:tcBorders>
            <w:shd w:val="clear" w:color="auto" w:fill="auto"/>
            <w:noWrap/>
            <w:vAlign w:val="center"/>
            <w:hideMark/>
          </w:tcPr>
          <w:p w14:paraId="089CB56B" w14:textId="462A4465"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368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265</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554 </w:t>
            </w:r>
          </w:p>
        </w:tc>
        <w:tc>
          <w:tcPr>
            <w:tcW w:w="1418" w:type="dxa"/>
            <w:tcBorders>
              <w:top w:val="nil"/>
              <w:left w:val="nil"/>
              <w:bottom w:val="single" w:sz="4" w:space="0" w:color="auto"/>
              <w:right w:val="single" w:sz="4" w:space="0" w:color="auto"/>
            </w:tcBorders>
            <w:shd w:val="clear" w:color="auto" w:fill="auto"/>
            <w:noWrap/>
            <w:vAlign w:val="center"/>
            <w:hideMark/>
          </w:tcPr>
          <w:p w14:paraId="7EE89206" w14:textId="0B79CDE4"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682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656 </w:t>
            </w:r>
          </w:p>
        </w:tc>
      </w:tr>
      <w:tr w:rsidR="009A21D7" w:rsidRPr="00374360" w14:paraId="6EDC8BDE"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53AD6BA"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93</w:t>
            </w:r>
          </w:p>
        </w:tc>
        <w:tc>
          <w:tcPr>
            <w:tcW w:w="660" w:type="dxa"/>
            <w:tcBorders>
              <w:top w:val="nil"/>
              <w:left w:val="nil"/>
              <w:bottom w:val="single" w:sz="4" w:space="0" w:color="auto"/>
              <w:right w:val="single" w:sz="4" w:space="0" w:color="auto"/>
            </w:tcBorders>
            <w:shd w:val="clear" w:color="auto" w:fill="auto"/>
            <w:noWrap/>
            <w:vAlign w:val="center"/>
            <w:hideMark/>
          </w:tcPr>
          <w:p w14:paraId="7D4C6E0A"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43739</w:t>
            </w:r>
          </w:p>
        </w:tc>
        <w:tc>
          <w:tcPr>
            <w:tcW w:w="879" w:type="dxa"/>
            <w:tcBorders>
              <w:top w:val="nil"/>
              <w:left w:val="nil"/>
              <w:bottom w:val="single" w:sz="4" w:space="0" w:color="auto"/>
              <w:right w:val="single" w:sz="4" w:space="0" w:color="auto"/>
            </w:tcBorders>
            <w:shd w:val="clear" w:color="auto" w:fill="auto"/>
            <w:noWrap/>
            <w:vAlign w:val="center"/>
            <w:hideMark/>
          </w:tcPr>
          <w:p w14:paraId="782678FB"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901236609</w:t>
            </w:r>
          </w:p>
        </w:tc>
        <w:tc>
          <w:tcPr>
            <w:tcW w:w="3913" w:type="dxa"/>
            <w:tcBorders>
              <w:top w:val="nil"/>
              <w:left w:val="nil"/>
              <w:bottom w:val="single" w:sz="4" w:space="0" w:color="auto"/>
              <w:right w:val="single" w:sz="4" w:space="0" w:color="auto"/>
            </w:tcBorders>
            <w:shd w:val="clear" w:color="auto" w:fill="auto"/>
            <w:vAlign w:val="center"/>
            <w:hideMark/>
          </w:tcPr>
          <w:p w14:paraId="76FC1F0E"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EMCOLEN S.A.S. E.S.P.</w:t>
            </w:r>
          </w:p>
        </w:tc>
        <w:tc>
          <w:tcPr>
            <w:tcW w:w="1602" w:type="dxa"/>
            <w:tcBorders>
              <w:top w:val="nil"/>
              <w:left w:val="nil"/>
              <w:bottom w:val="single" w:sz="4" w:space="0" w:color="auto"/>
              <w:right w:val="single" w:sz="4" w:space="0" w:color="auto"/>
            </w:tcBorders>
            <w:shd w:val="clear" w:color="auto" w:fill="auto"/>
            <w:noWrap/>
            <w:vAlign w:val="center"/>
            <w:hideMark/>
          </w:tcPr>
          <w:p w14:paraId="41404F40" w14:textId="6DAC0090"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186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957</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605 </w:t>
            </w:r>
          </w:p>
        </w:tc>
        <w:tc>
          <w:tcPr>
            <w:tcW w:w="1418" w:type="dxa"/>
            <w:tcBorders>
              <w:top w:val="nil"/>
              <w:left w:val="nil"/>
              <w:bottom w:val="single" w:sz="4" w:space="0" w:color="auto"/>
              <w:right w:val="single" w:sz="4" w:space="0" w:color="auto"/>
            </w:tcBorders>
            <w:shd w:val="clear" w:color="auto" w:fill="auto"/>
            <w:noWrap/>
            <w:vAlign w:val="center"/>
            <w:hideMark/>
          </w:tcPr>
          <w:p w14:paraId="5B2D2B22" w14:textId="4A09C643"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869</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576 </w:t>
            </w:r>
          </w:p>
        </w:tc>
      </w:tr>
      <w:tr w:rsidR="009A21D7" w:rsidRPr="00374360" w14:paraId="71FC2332"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DEEBFA8"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94</w:t>
            </w:r>
          </w:p>
        </w:tc>
        <w:tc>
          <w:tcPr>
            <w:tcW w:w="660" w:type="dxa"/>
            <w:tcBorders>
              <w:top w:val="nil"/>
              <w:left w:val="nil"/>
              <w:bottom w:val="single" w:sz="4" w:space="0" w:color="auto"/>
              <w:right w:val="single" w:sz="4" w:space="0" w:color="auto"/>
            </w:tcBorders>
            <w:shd w:val="clear" w:color="auto" w:fill="auto"/>
            <w:noWrap/>
            <w:vAlign w:val="center"/>
            <w:hideMark/>
          </w:tcPr>
          <w:p w14:paraId="6B3B5B2F"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597</w:t>
            </w:r>
          </w:p>
        </w:tc>
        <w:tc>
          <w:tcPr>
            <w:tcW w:w="879" w:type="dxa"/>
            <w:tcBorders>
              <w:top w:val="nil"/>
              <w:left w:val="nil"/>
              <w:bottom w:val="single" w:sz="4" w:space="0" w:color="auto"/>
              <w:right w:val="single" w:sz="4" w:space="0" w:color="auto"/>
            </w:tcBorders>
            <w:shd w:val="clear" w:color="auto" w:fill="auto"/>
            <w:noWrap/>
            <w:vAlign w:val="center"/>
            <w:hideMark/>
          </w:tcPr>
          <w:p w14:paraId="5F25FB08"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860063875</w:t>
            </w:r>
          </w:p>
        </w:tc>
        <w:tc>
          <w:tcPr>
            <w:tcW w:w="3913" w:type="dxa"/>
            <w:tcBorders>
              <w:top w:val="nil"/>
              <w:left w:val="nil"/>
              <w:bottom w:val="single" w:sz="4" w:space="0" w:color="auto"/>
              <w:right w:val="single" w:sz="4" w:space="0" w:color="auto"/>
            </w:tcBorders>
            <w:shd w:val="clear" w:color="auto" w:fill="auto"/>
            <w:vAlign w:val="center"/>
            <w:hideMark/>
          </w:tcPr>
          <w:p w14:paraId="4F1C3D8B"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EMGESA S.A. E.S.P.</w:t>
            </w:r>
          </w:p>
        </w:tc>
        <w:tc>
          <w:tcPr>
            <w:tcW w:w="1602" w:type="dxa"/>
            <w:tcBorders>
              <w:top w:val="nil"/>
              <w:left w:val="nil"/>
              <w:bottom w:val="single" w:sz="4" w:space="0" w:color="auto"/>
              <w:right w:val="single" w:sz="4" w:space="0" w:color="auto"/>
            </w:tcBorders>
            <w:shd w:val="clear" w:color="auto" w:fill="auto"/>
            <w:noWrap/>
            <w:vAlign w:val="center"/>
            <w:hideMark/>
          </w:tcPr>
          <w:p w14:paraId="0971DCF5" w14:textId="3A3E6EEA"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84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874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206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049 </w:t>
            </w:r>
          </w:p>
        </w:tc>
        <w:tc>
          <w:tcPr>
            <w:tcW w:w="1418" w:type="dxa"/>
            <w:tcBorders>
              <w:top w:val="nil"/>
              <w:left w:val="nil"/>
              <w:bottom w:val="single" w:sz="4" w:space="0" w:color="auto"/>
              <w:right w:val="single" w:sz="4" w:space="0" w:color="auto"/>
            </w:tcBorders>
            <w:shd w:val="clear" w:color="auto" w:fill="auto"/>
            <w:noWrap/>
            <w:vAlign w:val="center"/>
            <w:hideMark/>
          </w:tcPr>
          <w:p w14:paraId="70366636" w14:textId="746AB818"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848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742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060 </w:t>
            </w:r>
          </w:p>
        </w:tc>
      </w:tr>
      <w:tr w:rsidR="009A21D7" w:rsidRPr="00374360" w14:paraId="1A306B79" w14:textId="77777777" w:rsidTr="00C734CF">
        <w:trPr>
          <w:trHeight w:val="4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0DF1F7C"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95</w:t>
            </w:r>
          </w:p>
        </w:tc>
        <w:tc>
          <w:tcPr>
            <w:tcW w:w="660" w:type="dxa"/>
            <w:tcBorders>
              <w:top w:val="nil"/>
              <w:left w:val="nil"/>
              <w:bottom w:val="single" w:sz="4" w:space="0" w:color="auto"/>
              <w:right w:val="single" w:sz="4" w:space="0" w:color="auto"/>
            </w:tcBorders>
            <w:shd w:val="clear" w:color="auto" w:fill="auto"/>
            <w:noWrap/>
            <w:vAlign w:val="center"/>
            <w:hideMark/>
          </w:tcPr>
          <w:p w14:paraId="3AC7CEA9"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1759</w:t>
            </w:r>
          </w:p>
        </w:tc>
        <w:tc>
          <w:tcPr>
            <w:tcW w:w="879" w:type="dxa"/>
            <w:tcBorders>
              <w:top w:val="nil"/>
              <w:left w:val="nil"/>
              <w:bottom w:val="single" w:sz="4" w:space="0" w:color="auto"/>
              <w:right w:val="single" w:sz="4" w:space="0" w:color="auto"/>
            </w:tcBorders>
            <w:shd w:val="clear" w:color="auto" w:fill="auto"/>
            <w:noWrap/>
            <w:vAlign w:val="center"/>
            <w:hideMark/>
          </w:tcPr>
          <w:p w14:paraId="1E4FF18E"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846000021</w:t>
            </w:r>
          </w:p>
        </w:tc>
        <w:tc>
          <w:tcPr>
            <w:tcW w:w="3913" w:type="dxa"/>
            <w:tcBorders>
              <w:top w:val="nil"/>
              <w:left w:val="nil"/>
              <w:bottom w:val="single" w:sz="4" w:space="0" w:color="auto"/>
              <w:right w:val="single" w:sz="4" w:space="0" w:color="auto"/>
            </w:tcBorders>
            <w:shd w:val="clear" w:color="auto" w:fill="auto"/>
            <w:vAlign w:val="center"/>
            <w:hideMark/>
          </w:tcPr>
          <w:p w14:paraId="7BF284FC"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EMPRESA  DE SERVICIOS PUBLICOS DE LEGUIZAMO</w:t>
            </w:r>
          </w:p>
        </w:tc>
        <w:tc>
          <w:tcPr>
            <w:tcW w:w="1602" w:type="dxa"/>
            <w:tcBorders>
              <w:top w:val="nil"/>
              <w:left w:val="nil"/>
              <w:bottom w:val="single" w:sz="4" w:space="0" w:color="auto"/>
              <w:right w:val="single" w:sz="4" w:space="0" w:color="auto"/>
            </w:tcBorders>
            <w:shd w:val="clear" w:color="auto" w:fill="auto"/>
            <w:noWrap/>
            <w:vAlign w:val="center"/>
            <w:hideMark/>
          </w:tcPr>
          <w:p w14:paraId="21E4C4CA" w14:textId="315777AB"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266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775</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371 </w:t>
            </w:r>
          </w:p>
        </w:tc>
        <w:tc>
          <w:tcPr>
            <w:tcW w:w="1418" w:type="dxa"/>
            <w:tcBorders>
              <w:top w:val="nil"/>
              <w:left w:val="nil"/>
              <w:bottom w:val="single" w:sz="4" w:space="0" w:color="auto"/>
              <w:right w:val="single" w:sz="4" w:space="0" w:color="auto"/>
            </w:tcBorders>
            <w:shd w:val="clear" w:color="auto" w:fill="auto"/>
            <w:noWrap/>
            <w:vAlign w:val="center"/>
            <w:hideMark/>
          </w:tcPr>
          <w:p w14:paraId="605E3BFE" w14:textId="2433E9D8"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667</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754 </w:t>
            </w:r>
          </w:p>
        </w:tc>
      </w:tr>
      <w:tr w:rsidR="009A21D7" w:rsidRPr="00374360" w14:paraId="74E7EDF1" w14:textId="77777777" w:rsidTr="00C734CF">
        <w:trPr>
          <w:trHeight w:val="4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E97BF86"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96</w:t>
            </w:r>
          </w:p>
        </w:tc>
        <w:tc>
          <w:tcPr>
            <w:tcW w:w="660" w:type="dxa"/>
            <w:tcBorders>
              <w:top w:val="nil"/>
              <w:left w:val="nil"/>
              <w:bottom w:val="single" w:sz="4" w:space="0" w:color="auto"/>
              <w:right w:val="single" w:sz="4" w:space="0" w:color="auto"/>
            </w:tcBorders>
            <w:shd w:val="clear" w:color="auto" w:fill="auto"/>
            <w:noWrap/>
            <w:vAlign w:val="center"/>
            <w:hideMark/>
          </w:tcPr>
          <w:p w14:paraId="2E9B44DB"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28352</w:t>
            </w:r>
          </w:p>
        </w:tc>
        <w:tc>
          <w:tcPr>
            <w:tcW w:w="879" w:type="dxa"/>
            <w:tcBorders>
              <w:top w:val="nil"/>
              <w:left w:val="nil"/>
              <w:bottom w:val="single" w:sz="4" w:space="0" w:color="auto"/>
              <w:right w:val="single" w:sz="4" w:space="0" w:color="auto"/>
            </w:tcBorders>
            <w:shd w:val="clear" w:color="auto" w:fill="auto"/>
            <w:noWrap/>
            <w:vAlign w:val="center"/>
            <w:hideMark/>
          </w:tcPr>
          <w:p w14:paraId="15AD62D9"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900800144</w:t>
            </w:r>
          </w:p>
        </w:tc>
        <w:tc>
          <w:tcPr>
            <w:tcW w:w="3913" w:type="dxa"/>
            <w:tcBorders>
              <w:top w:val="nil"/>
              <w:left w:val="nil"/>
              <w:bottom w:val="single" w:sz="4" w:space="0" w:color="auto"/>
              <w:right w:val="single" w:sz="4" w:space="0" w:color="auto"/>
            </w:tcBorders>
            <w:shd w:val="clear" w:color="auto" w:fill="auto"/>
            <w:vAlign w:val="center"/>
            <w:hideMark/>
          </w:tcPr>
          <w:p w14:paraId="37B5D7C7"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EMPRESA ASOCIATIVA DE TRABAJO COMERCIALIZADORA SAN JOSE E.S.P.</w:t>
            </w:r>
          </w:p>
        </w:tc>
        <w:tc>
          <w:tcPr>
            <w:tcW w:w="1602" w:type="dxa"/>
            <w:tcBorders>
              <w:top w:val="nil"/>
              <w:left w:val="nil"/>
              <w:bottom w:val="single" w:sz="4" w:space="0" w:color="auto"/>
              <w:right w:val="single" w:sz="4" w:space="0" w:color="auto"/>
            </w:tcBorders>
            <w:shd w:val="clear" w:color="auto" w:fill="auto"/>
            <w:noWrap/>
            <w:vAlign w:val="center"/>
            <w:hideMark/>
          </w:tcPr>
          <w:p w14:paraId="5623C8EE" w14:textId="1F225288"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92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575</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832 </w:t>
            </w:r>
          </w:p>
        </w:tc>
        <w:tc>
          <w:tcPr>
            <w:tcW w:w="1418" w:type="dxa"/>
            <w:tcBorders>
              <w:top w:val="nil"/>
              <w:left w:val="nil"/>
              <w:bottom w:val="single" w:sz="4" w:space="0" w:color="auto"/>
              <w:right w:val="single" w:sz="4" w:space="0" w:color="auto"/>
            </w:tcBorders>
            <w:shd w:val="clear" w:color="auto" w:fill="auto"/>
            <w:noWrap/>
            <w:vAlign w:val="center"/>
            <w:hideMark/>
          </w:tcPr>
          <w:p w14:paraId="35E031EC" w14:textId="590B6EB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925</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758 </w:t>
            </w:r>
          </w:p>
        </w:tc>
      </w:tr>
      <w:tr w:rsidR="009A21D7" w:rsidRPr="00374360" w14:paraId="0CA492E1" w14:textId="77777777" w:rsidTr="00C734CF">
        <w:trPr>
          <w:trHeight w:val="6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0A03423"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97</w:t>
            </w:r>
          </w:p>
        </w:tc>
        <w:tc>
          <w:tcPr>
            <w:tcW w:w="660" w:type="dxa"/>
            <w:tcBorders>
              <w:top w:val="nil"/>
              <w:left w:val="nil"/>
              <w:bottom w:val="single" w:sz="4" w:space="0" w:color="auto"/>
              <w:right w:val="single" w:sz="4" w:space="0" w:color="auto"/>
            </w:tcBorders>
            <w:shd w:val="clear" w:color="auto" w:fill="auto"/>
            <w:noWrap/>
            <w:vAlign w:val="center"/>
            <w:hideMark/>
          </w:tcPr>
          <w:p w14:paraId="1CFCC050"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3027</w:t>
            </w:r>
          </w:p>
        </w:tc>
        <w:tc>
          <w:tcPr>
            <w:tcW w:w="879" w:type="dxa"/>
            <w:tcBorders>
              <w:top w:val="nil"/>
              <w:left w:val="nil"/>
              <w:bottom w:val="single" w:sz="4" w:space="0" w:color="auto"/>
              <w:right w:val="single" w:sz="4" w:space="0" w:color="auto"/>
            </w:tcBorders>
            <w:shd w:val="clear" w:color="auto" w:fill="auto"/>
            <w:noWrap/>
            <w:vAlign w:val="center"/>
            <w:hideMark/>
          </w:tcPr>
          <w:p w14:paraId="276A8D3D"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840000620</w:t>
            </w:r>
          </w:p>
        </w:tc>
        <w:tc>
          <w:tcPr>
            <w:tcW w:w="3913" w:type="dxa"/>
            <w:tcBorders>
              <w:top w:val="nil"/>
              <w:left w:val="nil"/>
              <w:bottom w:val="single" w:sz="4" w:space="0" w:color="auto"/>
              <w:right w:val="single" w:sz="4" w:space="0" w:color="auto"/>
            </w:tcBorders>
            <w:shd w:val="clear" w:color="auto" w:fill="auto"/>
            <w:vAlign w:val="center"/>
            <w:hideMark/>
          </w:tcPr>
          <w:p w14:paraId="3DB929C6"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EMPRESA ASOCIATIVA DE TRABAJO ELECTRIFICADORA  DE  SAN JUAN DE LA COSTA E.S.P. </w:t>
            </w:r>
          </w:p>
        </w:tc>
        <w:tc>
          <w:tcPr>
            <w:tcW w:w="1602" w:type="dxa"/>
            <w:tcBorders>
              <w:top w:val="nil"/>
              <w:left w:val="nil"/>
              <w:bottom w:val="single" w:sz="4" w:space="0" w:color="auto"/>
              <w:right w:val="single" w:sz="4" w:space="0" w:color="auto"/>
            </w:tcBorders>
            <w:shd w:val="clear" w:color="auto" w:fill="auto"/>
            <w:noWrap/>
            <w:vAlign w:val="center"/>
            <w:hideMark/>
          </w:tcPr>
          <w:p w14:paraId="03847380" w14:textId="07FC2E6A"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37</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413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111 </w:t>
            </w:r>
          </w:p>
        </w:tc>
        <w:tc>
          <w:tcPr>
            <w:tcW w:w="1418" w:type="dxa"/>
            <w:tcBorders>
              <w:top w:val="nil"/>
              <w:left w:val="nil"/>
              <w:bottom w:val="single" w:sz="4" w:space="0" w:color="auto"/>
              <w:right w:val="single" w:sz="4" w:space="0" w:color="auto"/>
            </w:tcBorders>
            <w:shd w:val="clear" w:color="auto" w:fill="auto"/>
            <w:noWrap/>
            <w:vAlign w:val="center"/>
            <w:hideMark/>
          </w:tcPr>
          <w:p w14:paraId="0B4FBA23" w14:textId="774158DF"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374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131 </w:t>
            </w:r>
          </w:p>
        </w:tc>
      </w:tr>
      <w:tr w:rsidR="009A21D7" w:rsidRPr="00374360" w14:paraId="11C04919" w14:textId="77777777" w:rsidTr="00C734CF">
        <w:trPr>
          <w:trHeight w:val="4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0A38421"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98</w:t>
            </w:r>
          </w:p>
        </w:tc>
        <w:tc>
          <w:tcPr>
            <w:tcW w:w="660" w:type="dxa"/>
            <w:tcBorders>
              <w:top w:val="nil"/>
              <w:left w:val="nil"/>
              <w:bottom w:val="single" w:sz="4" w:space="0" w:color="auto"/>
              <w:right w:val="single" w:sz="4" w:space="0" w:color="auto"/>
            </w:tcBorders>
            <w:shd w:val="clear" w:color="auto" w:fill="auto"/>
            <w:noWrap/>
            <w:vAlign w:val="center"/>
            <w:hideMark/>
          </w:tcPr>
          <w:p w14:paraId="3C1096EB"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34833</w:t>
            </w:r>
          </w:p>
        </w:tc>
        <w:tc>
          <w:tcPr>
            <w:tcW w:w="879" w:type="dxa"/>
            <w:tcBorders>
              <w:top w:val="nil"/>
              <w:left w:val="nil"/>
              <w:bottom w:val="single" w:sz="4" w:space="0" w:color="auto"/>
              <w:right w:val="single" w:sz="4" w:space="0" w:color="auto"/>
            </w:tcBorders>
            <w:shd w:val="clear" w:color="auto" w:fill="auto"/>
            <w:noWrap/>
            <w:vAlign w:val="center"/>
            <w:hideMark/>
          </w:tcPr>
          <w:p w14:paraId="637A804C"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900963765</w:t>
            </w:r>
          </w:p>
        </w:tc>
        <w:tc>
          <w:tcPr>
            <w:tcW w:w="3913" w:type="dxa"/>
            <w:tcBorders>
              <w:top w:val="nil"/>
              <w:left w:val="nil"/>
              <w:bottom w:val="single" w:sz="4" w:space="0" w:color="auto"/>
              <w:right w:val="single" w:sz="4" w:space="0" w:color="auto"/>
            </w:tcBorders>
            <w:shd w:val="clear" w:color="auto" w:fill="auto"/>
            <w:vAlign w:val="center"/>
            <w:hideMark/>
          </w:tcPr>
          <w:p w14:paraId="6D98D606"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EMPRESA ASOCIATIVA DE TRABAJO ELECTRIFICADORA DEL PACIFICO SUR</w:t>
            </w:r>
          </w:p>
        </w:tc>
        <w:tc>
          <w:tcPr>
            <w:tcW w:w="1602" w:type="dxa"/>
            <w:tcBorders>
              <w:top w:val="nil"/>
              <w:left w:val="nil"/>
              <w:bottom w:val="single" w:sz="4" w:space="0" w:color="auto"/>
              <w:right w:val="single" w:sz="4" w:space="0" w:color="auto"/>
            </w:tcBorders>
            <w:shd w:val="clear" w:color="auto" w:fill="auto"/>
            <w:noWrap/>
            <w:vAlign w:val="center"/>
            <w:hideMark/>
          </w:tcPr>
          <w:p w14:paraId="1B578C08" w14:textId="3BBDFEF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325</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348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327 </w:t>
            </w:r>
          </w:p>
        </w:tc>
        <w:tc>
          <w:tcPr>
            <w:tcW w:w="1418" w:type="dxa"/>
            <w:tcBorders>
              <w:top w:val="nil"/>
              <w:left w:val="nil"/>
              <w:bottom w:val="single" w:sz="4" w:space="0" w:color="auto"/>
              <w:right w:val="single" w:sz="4" w:space="0" w:color="auto"/>
            </w:tcBorders>
            <w:shd w:val="clear" w:color="auto" w:fill="auto"/>
            <w:noWrap/>
            <w:vAlign w:val="center"/>
            <w:hideMark/>
          </w:tcPr>
          <w:p w14:paraId="08A3DF75" w14:textId="6B597E9C"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253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483 </w:t>
            </w:r>
          </w:p>
        </w:tc>
      </w:tr>
      <w:tr w:rsidR="009A21D7" w:rsidRPr="00374360" w14:paraId="67E8FD9D" w14:textId="77777777" w:rsidTr="00C734CF">
        <w:trPr>
          <w:trHeight w:val="4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8C10366"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99</w:t>
            </w:r>
          </w:p>
        </w:tc>
        <w:tc>
          <w:tcPr>
            <w:tcW w:w="660" w:type="dxa"/>
            <w:tcBorders>
              <w:top w:val="nil"/>
              <w:left w:val="nil"/>
              <w:bottom w:val="single" w:sz="4" w:space="0" w:color="auto"/>
              <w:right w:val="single" w:sz="4" w:space="0" w:color="auto"/>
            </w:tcBorders>
            <w:shd w:val="clear" w:color="auto" w:fill="auto"/>
            <w:noWrap/>
            <w:vAlign w:val="center"/>
            <w:hideMark/>
          </w:tcPr>
          <w:p w14:paraId="3FAC2630"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25965</w:t>
            </w:r>
          </w:p>
        </w:tc>
        <w:tc>
          <w:tcPr>
            <w:tcW w:w="879" w:type="dxa"/>
            <w:tcBorders>
              <w:top w:val="nil"/>
              <w:left w:val="nil"/>
              <w:bottom w:val="single" w:sz="4" w:space="0" w:color="auto"/>
              <w:right w:val="single" w:sz="4" w:space="0" w:color="auto"/>
            </w:tcBorders>
            <w:shd w:val="clear" w:color="auto" w:fill="auto"/>
            <w:noWrap/>
            <w:vAlign w:val="center"/>
            <w:hideMark/>
          </w:tcPr>
          <w:p w14:paraId="4A41D9E0"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900470256</w:t>
            </w:r>
          </w:p>
        </w:tc>
        <w:tc>
          <w:tcPr>
            <w:tcW w:w="3913" w:type="dxa"/>
            <w:tcBorders>
              <w:top w:val="nil"/>
              <w:left w:val="nil"/>
              <w:bottom w:val="single" w:sz="4" w:space="0" w:color="auto"/>
              <w:right w:val="single" w:sz="4" w:space="0" w:color="auto"/>
            </w:tcBorders>
            <w:shd w:val="clear" w:color="auto" w:fill="auto"/>
            <w:vAlign w:val="center"/>
            <w:hideMark/>
          </w:tcPr>
          <w:p w14:paraId="5B50496E"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EMPRESA ASOCIATIVA DE TRABAJO ELECTROSOLEDAD DE ISCUANDE </w:t>
            </w:r>
          </w:p>
        </w:tc>
        <w:tc>
          <w:tcPr>
            <w:tcW w:w="1602" w:type="dxa"/>
            <w:tcBorders>
              <w:top w:val="nil"/>
              <w:left w:val="nil"/>
              <w:bottom w:val="single" w:sz="4" w:space="0" w:color="auto"/>
              <w:right w:val="single" w:sz="4" w:space="0" w:color="auto"/>
            </w:tcBorders>
            <w:shd w:val="clear" w:color="auto" w:fill="auto"/>
            <w:noWrap/>
            <w:vAlign w:val="center"/>
            <w:hideMark/>
          </w:tcPr>
          <w:p w14:paraId="321DDFBF" w14:textId="0642F9A4"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49</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910</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260 </w:t>
            </w:r>
          </w:p>
        </w:tc>
        <w:tc>
          <w:tcPr>
            <w:tcW w:w="1418" w:type="dxa"/>
            <w:tcBorders>
              <w:top w:val="nil"/>
              <w:left w:val="nil"/>
              <w:bottom w:val="single" w:sz="4" w:space="0" w:color="auto"/>
              <w:right w:val="single" w:sz="4" w:space="0" w:color="auto"/>
            </w:tcBorders>
            <w:shd w:val="clear" w:color="auto" w:fill="auto"/>
            <w:noWrap/>
            <w:vAlign w:val="center"/>
            <w:hideMark/>
          </w:tcPr>
          <w:p w14:paraId="3F1D739C" w14:textId="2118B315"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499</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103 </w:t>
            </w:r>
          </w:p>
        </w:tc>
      </w:tr>
      <w:tr w:rsidR="009A21D7" w:rsidRPr="00374360" w14:paraId="4B767185" w14:textId="77777777" w:rsidTr="00C734CF">
        <w:trPr>
          <w:trHeight w:val="6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05656FC"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100</w:t>
            </w:r>
          </w:p>
        </w:tc>
        <w:tc>
          <w:tcPr>
            <w:tcW w:w="660" w:type="dxa"/>
            <w:tcBorders>
              <w:top w:val="nil"/>
              <w:left w:val="nil"/>
              <w:bottom w:val="single" w:sz="4" w:space="0" w:color="auto"/>
              <w:right w:val="single" w:sz="4" w:space="0" w:color="auto"/>
            </w:tcBorders>
            <w:shd w:val="clear" w:color="auto" w:fill="auto"/>
            <w:noWrap/>
            <w:vAlign w:val="center"/>
            <w:hideMark/>
          </w:tcPr>
          <w:p w14:paraId="3B53F16A"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26810</w:t>
            </w:r>
          </w:p>
        </w:tc>
        <w:tc>
          <w:tcPr>
            <w:tcW w:w="879" w:type="dxa"/>
            <w:tcBorders>
              <w:top w:val="nil"/>
              <w:left w:val="nil"/>
              <w:bottom w:val="single" w:sz="4" w:space="0" w:color="auto"/>
              <w:right w:val="single" w:sz="4" w:space="0" w:color="auto"/>
            </w:tcBorders>
            <w:shd w:val="clear" w:color="auto" w:fill="auto"/>
            <w:noWrap/>
            <w:vAlign w:val="center"/>
            <w:hideMark/>
          </w:tcPr>
          <w:p w14:paraId="1E6150B1"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900702684</w:t>
            </w:r>
          </w:p>
        </w:tc>
        <w:tc>
          <w:tcPr>
            <w:tcW w:w="3913" w:type="dxa"/>
            <w:tcBorders>
              <w:top w:val="nil"/>
              <w:left w:val="nil"/>
              <w:bottom w:val="single" w:sz="4" w:space="0" w:color="auto"/>
              <w:right w:val="single" w:sz="4" w:space="0" w:color="auto"/>
            </w:tcBorders>
            <w:shd w:val="clear" w:color="auto" w:fill="auto"/>
            <w:vAlign w:val="center"/>
            <w:hideMark/>
          </w:tcPr>
          <w:p w14:paraId="16616055"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EMPRESA ASOCIATIVA DE TRABAJO ENERGIA DE OLAYA HERRERA EAT ENEROLAYAHERRERA E.S.P.</w:t>
            </w:r>
          </w:p>
        </w:tc>
        <w:tc>
          <w:tcPr>
            <w:tcW w:w="1602" w:type="dxa"/>
            <w:tcBorders>
              <w:top w:val="nil"/>
              <w:left w:val="nil"/>
              <w:bottom w:val="single" w:sz="4" w:space="0" w:color="auto"/>
              <w:right w:val="single" w:sz="4" w:space="0" w:color="auto"/>
            </w:tcBorders>
            <w:shd w:val="clear" w:color="auto" w:fill="auto"/>
            <w:noWrap/>
            <w:vAlign w:val="center"/>
            <w:hideMark/>
          </w:tcPr>
          <w:p w14:paraId="30B9620A" w14:textId="2CF01975"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621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246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862 </w:t>
            </w:r>
          </w:p>
        </w:tc>
        <w:tc>
          <w:tcPr>
            <w:tcW w:w="1418" w:type="dxa"/>
            <w:tcBorders>
              <w:top w:val="nil"/>
              <w:left w:val="nil"/>
              <w:bottom w:val="single" w:sz="4" w:space="0" w:color="auto"/>
              <w:right w:val="single" w:sz="4" w:space="0" w:color="auto"/>
            </w:tcBorders>
            <w:shd w:val="clear" w:color="auto" w:fill="auto"/>
            <w:noWrap/>
            <w:vAlign w:val="center"/>
            <w:hideMark/>
          </w:tcPr>
          <w:p w14:paraId="52F2E635" w14:textId="56678B65"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212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469 </w:t>
            </w:r>
          </w:p>
        </w:tc>
      </w:tr>
      <w:tr w:rsidR="009A21D7" w:rsidRPr="00374360" w14:paraId="0A1A1963" w14:textId="77777777" w:rsidTr="00C734CF">
        <w:trPr>
          <w:trHeight w:val="4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9EDD53C"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101</w:t>
            </w:r>
          </w:p>
        </w:tc>
        <w:tc>
          <w:tcPr>
            <w:tcW w:w="660" w:type="dxa"/>
            <w:tcBorders>
              <w:top w:val="nil"/>
              <w:left w:val="nil"/>
              <w:bottom w:val="single" w:sz="4" w:space="0" w:color="auto"/>
              <w:right w:val="single" w:sz="4" w:space="0" w:color="auto"/>
            </w:tcBorders>
            <w:shd w:val="clear" w:color="auto" w:fill="auto"/>
            <w:noWrap/>
            <w:vAlign w:val="center"/>
            <w:hideMark/>
          </w:tcPr>
          <w:p w14:paraId="541A1113"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23423</w:t>
            </w:r>
          </w:p>
        </w:tc>
        <w:tc>
          <w:tcPr>
            <w:tcW w:w="879" w:type="dxa"/>
            <w:tcBorders>
              <w:top w:val="nil"/>
              <w:left w:val="nil"/>
              <w:bottom w:val="single" w:sz="4" w:space="0" w:color="auto"/>
              <w:right w:val="single" w:sz="4" w:space="0" w:color="auto"/>
            </w:tcBorders>
            <w:shd w:val="clear" w:color="auto" w:fill="auto"/>
            <w:noWrap/>
            <w:vAlign w:val="center"/>
            <w:hideMark/>
          </w:tcPr>
          <w:p w14:paraId="070DDB2D"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900352055</w:t>
            </w:r>
          </w:p>
        </w:tc>
        <w:tc>
          <w:tcPr>
            <w:tcW w:w="3913" w:type="dxa"/>
            <w:tcBorders>
              <w:top w:val="nil"/>
              <w:left w:val="nil"/>
              <w:bottom w:val="single" w:sz="4" w:space="0" w:color="auto"/>
              <w:right w:val="single" w:sz="4" w:space="0" w:color="auto"/>
            </w:tcBorders>
            <w:shd w:val="clear" w:color="auto" w:fill="auto"/>
            <w:vAlign w:val="center"/>
            <w:hideMark/>
          </w:tcPr>
          <w:p w14:paraId="399DF596"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EMPRESA ASOCIATIVA DE TRABAJO ENERGIA DEL SUR</w:t>
            </w:r>
          </w:p>
        </w:tc>
        <w:tc>
          <w:tcPr>
            <w:tcW w:w="1602" w:type="dxa"/>
            <w:tcBorders>
              <w:top w:val="nil"/>
              <w:left w:val="nil"/>
              <w:bottom w:val="single" w:sz="4" w:space="0" w:color="auto"/>
              <w:right w:val="single" w:sz="4" w:space="0" w:color="auto"/>
            </w:tcBorders>
            <w:shd w:val="clear" w:color="auto" w:fill="auto"/>
            <w:noWrap/>
            <w:vAlign w:val="center"/>
            <w:hideMark/>
          </w:tcPr>
          <w:p w14:paraId="7BE343B8" w14:textId="39E3D2B2"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182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676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641 </w:t>
            </w:r>
          </w:p>
        </w:tc>
        <w:tc>
          <w:tcPr>
            <w:tcW w:w="1418" w:type="dxa"/>
            <w:tcBorders>
              <w:top w:val="nil"/>
              <w:left w:val="nil"/>
              <w:bottom w:val="single" w:sz="4" w:space="0" w:color="auto"/>
              <w:right w:val="single" w:sz="4" w:space="0" w:color="auto"/>
            </w:tcBorders>
            <w:shd w:val="clear" w:color="auto" w:fill="auto"/>
            <w:noWrap/>
            <w:vAlign w:val="center"/>
            <w:hideMark/>
          </w:tcPr>
          <w:p w14:paraId="58A9EDF1" w14:textId="2120D323"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826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766 </w:t>
            </w:r>
          </w:p>
        </w:tc>
      </w:tr>
      <w:tr w:rsidR="009A21D7" w:rsidRPr="00374360" w14:paraId="1E7B7062" w14:textId="77777777" w:rsidTr="00C734CF">
        <w:trPr>
          <w:trHeight w:val="9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64C8E7C"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102</w:t>
            </w:r>
          </w:p>
        </w:tc>
        <w:tc>
          <w:tcPr>
            <w:tcW w:w="660" w:type="dxa"/>
            <w:tcBorders>
              <w:top w:val="nil"/>
              <w:left w:val="nil"/>
              <w:bottom w:val="single" w:sz="4" w:space="0" w:color="auto"/>
              <w:right w:val="single" w:sz="4" w:space="0" w:color="auto"/>
            </w:tcBorders>
            <w:shd w:val="clear" w:color="auto" w:fill="auto"/>
            <w:noWrap/>
            <w:vAlign w:val="center"/>
            <w:hideMark/>
          </w:tcPr>
          <w:p w14:paraId="6202E244"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38134</w:t>
            </w:r>
          </w:p>
        </w:tc>
        <w:tc>
          <w:tcPr>
            <w:tcW w:w="879" w:type="dxa"/>
            <w:tcBorders>
              <w:top w:val="nil"/>
              <w:left w:val="nil"/>
              <w:bottom w:val="single" w:sz="4" w:space="0" w:color="auto"/>
              <w:right w:val="single" w:sz="4" w:space="0" w:color="auto"/>
            </w:tcBorders>
            <w:shd w:val="clear" w:color="auto" w:fill="auto"/>
            <w:noWrap/>
            <w:vAlign w:val="center"/>
            <w:hideMark/>
          </w:tcPr>
          <w:p w14:paraId="23AF45E3"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901091586</w:t>
            </w:r>
          </w:p>
        </w:tc>
        <w:tc>
          <w:tcPr>
            <w:tcW w:w="3913" w:type="dxa"/>
            <w:tcBorders>
              <w:top w:val="nil"/>
              <w:left w:val="nil"/>
              <w:bottom w:val="single" w:sz="4" w:space="0" w:color="auto"/>
              <w:right w:val="single" w:sz="4" w:space="0" w:color="auto"/>
            </w:tcBorders>
            <w:shd w:val="clear" w:color="auto" w:fill="auto"/>
            <w:vAlign w:val="center"/>
            <w:hideMark/>
          </w:tcPr>
          <w:p w14:paraId="1618E09F"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EMPRESA ASOCIATIVA DE TRABAJO PARA LA PRESTACIÓN DE SERVICIOS DE ENERGÍA DEL PACIFICO MUNICIPIO DE SANTA BARBARA ISCUANDE</w:t>
            </w:r>
          </w:p>
        </w:tc>
        <w:tc>
          <w:tcPr>
            <w:tcW w:w="1602" w:type="dxa"/>
            <w:tcBorders>
              <w:top w:val="nil"/>
              <w:left w:val="nil"/>
              <w:bottom w:val="single" w:sz="4" w:space="0" w:color="auto"/>
              <w:right w:val="single" w:sz="4" w:space="0" w:color="auto"/>
            </w:tcBorders>
            <w:shd w:val="clear" w:color="auto" w:fill="auto"/>
            <w:noWrap/>
            <w:vAlign w:val="center"/>
            <w:hideMark/>
          </w:tcPr>
          <w:p w14:paraId="536DEE5B" w14:textId="575B9F0C"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505</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107</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240 </w:t>
            </w:r>
          </w:p>
        </w:tc>
        <w:tc>
          <w:tcPr>
            <w:tcW w:w="1418" w:type="dxa"/>
            <w:tcBorders>
              <w:top w:val="nil"/>
              <w:left w:val="nil"/>
              <w:bottom w:val="single" w:sz="4" w:space="0" w:color="auto"/>
              <w:right w:val="single" w:sz="4" w:space="0" w:color="auto"/>
            </w:tcBorders>
            <w:shd w:val="clear" w:color="auto" w:fill="auto"/>
            <w:noWrap/>
            <w:vAlign w:val="center"/>
            <w:hideMark/>
          </w:tcPr>
          <w:p w14:paraId="3B5DF48C" w14:textId="487CD144"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5</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051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072 </w:t>
            </w:r>
          </w:p>
        </w:tc>
      </w:tr>
      <w:tr w:rsidR="009A21D7" w:rsidRPr="00374360" w14:paraId="702338CD" w14:textId="77777777" w:rsidTr="00C734CF">
        <w:trPr>
          <w:trHeight w:val="9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0932B0F"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103</w:t>
            </w:r>
          </w:p>
        </w:tc>
        <w:tc>
          <w:tcPr>
            <w:tcW w:w="660" w:type="dxa"/>
            <w:tcBorders>
              <w:top w:val="nil"/>
              <w:left w:val="nil"/>
              <w:bottom w:val="single" w:sz="4" w:space="0" w:color="auto"/>
              <w:right w:val="single" w:sz="4" w:space="0" w:color="auto"/>
            </w:tcBorders>
            <w:shd w:val="clear" w:color="auto" w:fill="auto"/>
            <w:noWrap/>
            <w:vAlign w:val="center"/>
            <w:hideMark/>
          </w:tcPr>
          <w:p w14:paraId="28E78E8E"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43076</w:t>
            </w:r>
          </w:p>
        </w:tc>
        <w:tc>
          <w:tcPr>
            <w:tcW w:w="879" w:type="dxa"/>
            <w:tcBorders>
              <w:top w:val="nil"/>
              <w:left w:val="nil"/>
              <w:bottom w:val="single" w:sz="4" w:space="0" w:color="auto"/>
              <w:right w:val="single" w:sz="4" w:space="0" w:color="auto"/>
            </w:tcBorders>
            <w:shd w:val="clear" w:color="auto" w:fill="auto"/>
            <w:noWrap/>
            <w:vAlign w:val="center"/>
            <w:hideMark/>
          </w:tcPr>
          <w:p w14:paraId="5654A897"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901209425</w:t>
            </w:r>
          </w:p>
        </w:tc>
        <w:tc>
          <w:tcPr>
            <w:tcW w:w="3913" w:type="dxa"/>
            <w:tcBorders>
              <w:top w:val="nil"/>
              <w:left w:val="nil"/>
              <w:bottom w:val="single" w:sz="4" w:space="0" w:color="auto"/>
              <w:right w:val="single" w:sz="4" w:space="0" w:color="auto"/>
            </w:tcBorders>
            <w:shd w:val="clear" w:color="auto" w:fill="auto"/>
            <w:vAlign w:val="center"/>
            <w:hideMark/>
          </w:tcPr>
          <w:p w14:paraId="08D48762"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EMPRESA ASOCIATIVA DE TRABAJO Y LA PRESTACIÓN DEL SERVICIO DE ENERGÍA EN LA ZONA RURAL DEL MUNICIPIO DE LA TOLA NARIÑO</w:t>
            </w:r>
          </w:p>
        </w:tc>
        <w:tc>
          <w:tcPr>
            <w:tcW w:w="1602" w:type="dxa"/>
            <w:tcBorders>
              <w:top w:val="nil"/>
              <w:left w:val="nil"/>
              <w:bottom w:val="single" w:sz="4" w:space="0" w:color="auto"/>
              <w:right w:val="single" w:sz="4" w:space="0" w:color="auto"/>
            </w:tcBorders>
            <w:shd w:val="clear" w:color="auto" w:fill="auto"/>
            <w:noWrap/>
            <w:vAlign w:val="center"/>
            <w:hideMark/>
          </w:tcPr>
          <w:p w14:paraId="5C5A6037" w14:textId="2B98327F"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34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550</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794 </w:t>
            </w:r>
          </w:p>
        </w:tc>
        <w:tc>
          <w:tcPr>
            <w:tcW w:w="1418" w:type="dxa"/>
            <w:tcBorders>
              <w:top w:val="nil"/>
              <w:left w:val="nil"/>
              <w:bottom w:val="single" w:sz="4" w:space="0" w:color="auto"/>
              <w:right w:val="single" w:sz="4" w:space="0" w:color="auto"/>
            </w:tcBorders>
            <w:shd w:val="clear" w:color="auto" w:fill="auto"/>
            <w:noWrap/>
            <w:vAlign w:val="center"/>
            <w:hideMark/>
          </w:tcPr>
          <w:p w14:paraId="1229FEDE" w14:textId="1406E4FB"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345</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508 </w:t>
            </w:r>
          </w:p>
        </w:tc>
      </w:tr>
      <w:tr w:rsidR="009A21D7" w:rsidRPr="00374360" w14:paraId="140D7366"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2470C7B"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104</w:t>
            </w:r>
          </w:p>
        </w:tc>
        <w:tc>
          <w:tcPr>
            <w:tcW w:w="660" w:type="dxa"/>
            <w:tcBorders>
              <w:top w:val="nil"/>
              <w:left w:val="nil"/>
              <w:bottom w:val="single" w:sz="4" w:space="0" w:color="auto"/>
              <w:right w:val="single" w:sz="4" w:space="0" w:color="auto"/>
            </w:tcBorders>
            <w:shd w:val="clear" w:color="auto" w:fill="auto"/>
            <w:noWrap/>
            <w:vAlign w:val="center"/>
            <w:hideMark/>
          </w:tcPr>
          <w:p w14:paraId="4AB695D6"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1892</w:t>
            </w:r>
          </w:p>
        </w:tc>
        <w:tc>
          <w:tcPr>
            <w:tcW w:w="879" w:type="dxa"/>
            <w:tcBorders>
              <w:top w:val="nil"/>
              <w:left w:val="nil"/>
              <w:bottom w:val="single" w:sz="4" w:space="0" w:color="auto"/>
              <w:right w:val="single" w:sz="4" w:space="0" w:color="auto"/>
            </w:tcBorders>
            <w:shd w:val="clear" w:color="auto" w:fill="auto"/>
            <w:noWrap/>
            <w:vAlign w:val="center"/>
            <w:hideMark/>
          </w:tcPr>
          <w:p w14:paraId="599F13B3"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835000142</w:t>
            </w:r>
          </w:p>
        </w:tc>
        <w:tc>
          <w:tcPr>
            <w:tcW w:w="3913" w:type="dxa"/>
            <w:tcBorders>
              <w:top w:val="nil"/>
              <w:left w:val="nil"/>
              <w:bottom w:val="single" w:sz="4" w:space="0" w:color="auto"/>
              <w:right w:val="single" w:sz="4" w:space="0" w:color="auto"/>
            </w:tcBorders>
            <w:shd w:val="clear" w:color="auto" w:fill="auto"/>
            <w:vAlign w:val="center"/>
            <w:hideMark/>
          </w:tcPr>
          <w:p w14:paraId="46C39584"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EMPRESA DE  ENERGÍA  DE GUAPI  S.A. E.S.P.</w:t>
            </w:r>
          </w:p>
        </w:tc>
        <w:tc>
          <w:tcPr>
            <w:tcW w:w="1602" w:type="dxa"/>
            <w:tcBorders>
              <w:top w:val="nil"/>
              <w:left w:val="nil"/>
              <w:bottom w:val="single" w:sz="4" w:space="0" w:color="auto"/>
              <w:right w:val="single" w:sz="4" w:space="0" w:color="auto"/>
            </w:tcBorders>
            <w:shd w:val="clear" w:color="auto" w:fill="auto"/>
            <w:noWrap/>
            <w:vAlign w:val="center"/>
            <w:hideMark/>
          </w:tcPr>
          <w:p w14:paraId="584BBA79" w14:textId="5F290CC8"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842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995</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014 </w:t>
            </w:r>
          </w:p>
        </w:tc>
        <w:tc>
          <w:tcPr>
            <w:tcW w:w="1418" w:type="dxa"/>
            <w:tcBorders>
              <w:top w:val="nil"/>
              <w:left w:val="nil"/>
              <w:bottom w:val="single" w:sz="4" w:space="0" w:color="auto"/>
              <w:right w:val="single" w:sz="4" w:space="0" w:color="auto"/>
            </w:tcBorders>
            <w:shd w:val="clear" w:color="auto" w:fill="auto"/>
            <w:noWrap/>
            <w:vAlign w:val="center"/>
            <w:hideMark/>
          </w:tcPr>
          <w:p w14:paraId="6C3DA5C5" w14:textId="55D321C2"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429</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950 </w:t>
            </w:r>
          </w:p>
        </w:tc>
      </w:tr>
      <w:tr w:rsidR="009A21D7" w:rsidRPr="00374360" w14:paraId="5A9CB134" w14:textId="77777777" w:rsidTr="00C734CF">
        <w:trPr>
          <w:trHeight w:val="6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310DB35"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105</w:t>
            </w:r>
          </w:p>
        </w:tc>
        <w:tc>
          <w:tcPr>
            <w:tcW w:w="660" w:type="dxa"/>
            <w:tcBorders>
              <w:top w:val="nil"/>
              <w:left w:val="nil"/>
              <w:bottom w:val="single" w:sz="4" w:space="0" w:color="auto"/>
              <w:right w:val="single" w:sz="4" w:space="0" w:color="auto"/>
            </w:tcBorders>
            <w:shd w:val="clear" w:color="auto" w:fill="auto"/>
            <w:noWrap/>
            <w:vAlign w:val="center"/>
            <w:hideMark/>
          </w:tcPr>
          <w:p w14:paraId="18B66137"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27271</w:t>
            </w:r>
          </w:p>
        </w:tc>
        <w:tc>
          <w:tcPr>
            <w:tcW w:w="879" w:type="dxa"/>
            <w:tcBorders>
              <w:top w:val="nil"/>
              <w:left w:val="nil"/>
              <w:bottom w:val="single" w:sz="4" w:space="0" w:color="auto"/>
              <w:right w:val="single" w:sz="4" w:space="0" w:color="auto"/>
            </w:tcBorders>
            <w:shd w:val="clear" w:color="auto" w:fill="auto"/>
            <w:noWrap/>
            <w:vAlign w:val="center"/>
            <w:hideMark/>
          </w:tcPr>
          <w:p w14:paraId="27BC301B"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900715327</w:t>
            </w:r>
          </w:p>
        </w:tc>
        <w:tc>
          <w:tcPr>
            <w:tcW w:w="3913" w:type="dxa"/>
            <w:tcBorders>
              <w:top w:val="nil"/>
              <w:left w:val="nil"/>
              <w:bottom w:val="single" w:sz="4" w:space="0" w:color="auto"/>
              <w:right w:val="single" w:sz="4" w:space="0" w:color="auto"/>
            </w:tcBorders>
            <w:shd w:val="clear" w:color="auto" w:fill="auto"/>
            <w:vAlign w:val="center"/>
            <w:hideMark/>
          </w:tcPr>
          <w:p w14:paraId="798E4D54"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EMPRESA DE ACUEDUCTO, ALCANTARILLADO, ASEO Y ENERGIA (ZNI) DE PUERTO GUZMAN S.A ESP</w:t>
            </w:r>
          </w:p>
        </w:tc>
        <w:tc>
          <w:tcPr>
            <w:tcW w:w="1602" w:type="dxa"/>
            <w:tcBorders>
              <w:top w:val="nil"/>
              <w:left w:val="nil"/>
              <w:bottom w:val="single" w:sz="4" w:space="0" w:color="auto"/>
              <w:right w:val="single" w:sz="4" w:space="0" w:color="auto"/>
            </w:tcBorders>
            <w:shd w:val="clear" w:color="auto" w:fill="auto"/>
            <w:noWrap/>
            <w:vAlign w:val="center"/>
            <w:hideMark/>
          </w:tcPr>
          <w:p w14:paraId="63398154" w14:textId="3E9018AC"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264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511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145 </w:t>
            </w:r>
          </w:p>
        </w:tc>
        <w:tc>
          <w:tcPr>
            <w:tcW w:w="1418" w:type="dxa"/>
            <w:tcBorders>
              <w:top w:val="nil"/>
              <w:left w:val="nil"/>
              <w:bottom w:val="single" w:sz="4" w:space="0" w:color="auto"/>
              <w:right w:val="single" w:sz="4" w:space="0" w:color="auto"/>
            </w:tcBorders>
            <w:shd w:val="clear" w:color="auto" w:fill="auto"/>
            <w:noWrap/>
            <w:vAlign w:val="center"/>
            <w:hideMark/>
          </w:tcPr>
          <w:p w14:paraId="3023706C" w14:textId="1E62ED98"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645</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111 </w:t>
            </w:r>
          </w:p>
        </w:tc>
      </w:tr>
      <w:tr w:rsidR="009A21D7" w:rsidRPr="00374360" w14:paraId="70FA4C09"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8470D27"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106</w:t>
            </w:r>
          </w:p>
        </w:tc>
        <w:tc>
          <w:tcPr>
            <w:tcW w:w="660" w:type="dxa"/>
            <w:tcBorders>
              <w:top w:val="nil"/>
              <w:left w:val="nil"/>
              <w:bottom w:val="single" w:sz="4" w:space="0" w:color="auto"/>
              <w:right w:val="single" w:sz="4" w:space="0" w:color="auto"/>
            </w:tcBorders>
            <w:shd w:val="clear" w:color="auto" w:fill="auto"/>
            <w:noWrap/>
            <w:vAlign w:val="center"/>
            <w:hideMark/>
          </w:tcPr>
          <w:p w14:paraId="68D07545"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599</w:t>
            </w:r>
          </w:p>
        </w:tc>
        <w:tc>
          <w:tcPr>
            <w:tcW w:w="879" w:type="dxa"/>
            <w:tcBorders>
              <w:top w:val="nil"/>
              <w:left w:val="nil"/>
              <w:bottom w:val="single" w:sz="4" w:space="0" w:color="auto"/>
              <w:right w:val="single" w:sz="4" w:space="0" w:color="auto"/>
            </w:tcBorders>
            <w:shd w:val="clear" w:color="auto" w:fill="auto"/>
            <w:noWrap/>
            <w:vAlign w:val="center"/>
            <w:hideMark/>
          </w:tcPr>
          <w:p w14:paraId="202FCBAF"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892099499</w:t>
            </w:r>
          </w:p>
        </w:tc>
        <w:tc>
          <w:tcPr>
            <w:tcW w:w="3913" w:type="dxa"/>
            <w:tcBorders>
              <w:top w:val="nil"/>
              <w:left w:val="nil"/>
              <w:bottom w:val="single" w:sz="4" w:space="0" w:color="auto"/>
              <w:right w:val="single" w:sz="4" w:space="0" w:color="auto"/>
            </w:tcBorders>
            <w:shd w:val="clear" w:color="auto" w:fill="auto"/>
            <w:vAlign w:val="center"/>
            <w:hideMark/>
          </w:tcPr>
          <w:p w14:paraId="64A5B677"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EMPRESA DE ENERGIA DE ARAUCA</w:t>
            </w:r>
          </w:p>
        </w:tc>
        <w:tc>
          <w:tcPr>
            <w:tcW w:w="1602" w:type="dxa"/>
            <w:tcBorders>
              <w:top w:val="nil"/>
              <w:left w:val="nil"/>
              <w:bottom w:val="single" w:sz="4" w:space="0" w:color="auto"/>
              <w:right w:val="single" w:sz="4" w:space="0" w:color="auto"/>
            </w:tcBorders>
            <w:shd w:val="clear" w:color="auto" w:fill="auto"/>
            <w:noWrap/>
            <w:vAlign w:val="center"/>
            <w:hideMark/>
          </w:tcPr>
          <w:p w14:paraId="4455CE6B" w14:textId="40348CEE"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497</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722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953 </w:t>
            </w:r>
          </w:p>
        </w:tc>
        <w:tc>
          <w:tcPr>
            <w:tcW w:w="1418" w:type="dxa"/>
            <w:tcBorders>
              <w:top w:val="nil"/>
              <w:left w:val="nil"/>
              <w:bottom w:val="single" w:sz="4" w:space="0" w:color="auto"/>
              <w:right w:val="single" w:sz="4" w:space="0" w:color="auto"/>
            </w:tcBorders>
            <w:shd w:val="clear" w:color="auto" w:fill="auto"/>
            <w:noWrap/>
            <w:vAlign w:val="center"/>
            <w:hideMark/>
          </w:tcPr>
          <w:p w14:paraId="2ADCBAE2" w14:textId="2074B756"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84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977</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230 </w:t>
            </w:r>
          </w:p>
        </w:tc>
      </w:tr>
      <w:tr w:rsidR="009A21D7" w:rsidRPr="00374360" w14:paraId="334D0CD6"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D43F09A"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107</w:t>
            </w:r>
          </w:p>
        </w:tc>
        <w:tc>
          <w:tcPr>
            <w:tcW w:w="660" w:type="dxa"/>
            <w:tcBorders>
              <w:top w:val="nil"/>
              <w:left w:val="nil"/>
              <w:bottom w:val="single" w:sz="4" w:space="0" w:color="auto"/>
              <w:right w:val="single" w:sz="4" w:space="0" w:color="auto"/>
            </w:tcBorders>
            <w:shd w:val="clear" w:color="auto" w:fill="auto"/>
            <w:noWrap/>
            <w:vAlign w:val="center"/>
            <w:hideMark/>
          </w:tcPr>
          <w:p w14:paraId="42721D2F"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594</w:t>
            </w:r>
          </w:p>
        </w:tc>
        <w:tc>
          <w:tcPr>
            <w:tcW w:w="879" w:type="dxa"/>
            <w:tcBorders>
              <w:top w:val="nil"/>
              <w:left w:val="nil"/>
              <w:bottom w:val="single" w:sz="4" w:space="0" w:color="auto"/>
              <w:right w:val="single" w:sz="4" w:space="0" w:color="auto"/>
            </w:tcBorders>
            <w:shd w:val="clear" w:color="auto" w:fill="auto"/>
            <w:noWrap/>
            <w:vAlign w:val="center"/>
            <w:hideMark/>
          </w:tcPr>
          <w:p w14:paraId="2ED67ABA"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899999082</w:t>
            </w:r>
          </w:p>
        </w:tc>
        <w:tc>
          <w:tcPr>
            <w:tcW w:w="3913" w:type="dxa"/>
            <w:tcBorders>
              <w:top w:val="nil"/>
              <w:left w:val="nil"/>
              <w:bottom w:val="single" w:sz="4" w:space="0" w:color="auto"/>
              <w:right w:val="single" w:sz="4" w:space="0" w:color="auto"/>
            </w:tcBorders>
            <w:shd w:val="clear" w:color="auto" w:fill="auto"/>
            <w:vAlign w:val="center"/>
            <w:hideMark/>
          </w:tcPr>
          <w:p w14:paraId="752F0590"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EMPRESA DE ENERGIA DE BOGOTA S.A. ESP.</w:t>
            </w:r>
          </w:p>
        </w:tc>
        <w:tc>
          <w:tcPr>
            <w:tcW w:w="1602" w:type="dxa"/>
            <w:tcBorders>
              <w:top w:val="nil"/>
              <w:left w:val="nil"/>
              <w:bottom w:val="single" w:sz="4" w:space="0" w:color="auto"/>
              <w:right w:val="single" w:sz="4" w:space="0" w:color="auto"/>
            </w:tcBorders>
            <w:shd w:val="clear" w:color="auto" w:fill="auto"/>
            <w:noWrap/>
            <w:vAlign w:val="center"/>
            <w:hideMark/>
          </w:tcPr>
          <w:p w14:paraId="27F556E8" w14:textId="324EDB81"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25</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671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067</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957 </w:t>
            </w:r>
          </w:p>
        </w:tc>
        <w:tc>
          <w:tcPr>
            <w:tcW w:w="1418" w:type="dxa"/>
            <w:tcBorders>
              <w:top w:val="nil"/>
              <w:left w:val="nil"/>
              <w:bottom w:val="single" w:sz="4" w:space="0" w:color="auto"/>
              <w:right w:val="single" w:sz="4" w:space="0" w:color="auto"/>
            </w:tcBorders>
            <w:shd w:val="clear" w:color="auto" w:fill="auto"/>
            <w:noWrap/>
            <w:vAlign w:val="center"/>
            <w:hideMark/>
          </w:tcPr>
          <w:p w14:paraId="0A13C3D9" w14:textId="077A072E"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256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710</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680 </w:t>
            </w:r>
          </w:p>
        </w:tc>
      </w:tr>
      <w:tr w:rsidR="009A21D7" w:rsidRPr="00374360" w14:paraId="55035934"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DF23FA4"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lastRenderedPageBreak/>
              <w:t>108</w:t>
            </w:r>
          </w:p>
        </w:tc>
        <w:tc>
          <w:tcPr>
            <w:tcW w:w="660" w:type="dxa"/>
            <w:tcBorders>
              <w:top w:val="nil"/>
              <w:left w:val="nil"/>
              <w:bottom w:val="single" w:sz="4" w:space="0" w:color="auto"/>
              <w:right w:val="single" w:sz="4" w:space="0" w:color="auto"/>
            </w:tcBorders>
            <w:shd w:val="clear" w:color="auto" w:fill="auto"/>
            <w:noWrap/>
            <w:vAlign w:val="center"/>
            <w:hideMark/>
          </w:tcPr>
          <w:p w14:paraId="41803E82"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500</w:t>
            </w:r>
          </w:p>
        </w:tc>
        <w:tc>
          <w:tcPr>
            <w:tcW w:w="879" w:type="dxa"/>
            <w:tcBorders>
              <w:top w:val="nil"/>
              <w:left w:val="nil"/>
              <w:bottom w:val="single" w:sz="4" w:space="0" w:color="auto"/>
              <w:right w:val="single" w:sz="4" w:space="0" w:color="auto"/>
            </w:tcBorders>
            <w:shd w:val="clear" w:color="auto" w:fill="auto"/>
            <w:noWrap/>
            <w:vAlign w:val="center"/>
            <w:hideMark/>
          </w:tcPr>
          <w:p w14:paraId="6FEAE973"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891800219</w:t>
            </w:r>
          </w:p>
        </w:tc>
        <w:tc>
          <w:tcPr>
            <w:tcW w:w="3913" w:type="dxa"/>
            <w:tcBorders>
              <w:top w:val="nil"/>
              <w:left w:val="nil"/>
              <w:bottom w:val="single" w:sz="4" w:space="0" w:color="auto"/>
              <w:right w:val="single" w:sz="4" w:space="0" w:color="auto"/>
            </w:tcBorders>
            <w:shd w:val="clear" w:color="auto" w:fill="auto"/>
            <w:vAlign w:val="center"/>
            <w:hideMark/>
          </w:tcPr>
          <w:p w14:paraId="220AD405"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EMPRESA DE ENERGIA DE BOYACA S.A. ESP</w:t>
            </w:r>
          </w:p>
        </w:tc>
        <w:tc>
          <w:tcPr>
            <w:tcW w:w="1602" w:type="dxa"/>
            <w:tcBorders>
              <w:top w:val="nil"/>
              <w:left w:val="nil"/>
              <w:bottom w:val="single" w:sz="4" w:space="0" w:color="auto"/>
              <w:right w:val="single" w:sz="4" w:space="0" w:color="auto"/>
            </w:tcBorders>
            <w:shd w:val="clear" w:color="auto" w:fill="auto"/>
            <w:noWrap/>
            <w:vAlign w:val="center"/>
            <w:hideMark/>
          </w:tcPr>
          <w:p w14:paraId="14748562" w14:textId="723BA71B"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15</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818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412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988 </w:t>
            </w:r>
          </w:p>
        </w:tc>
        <w:tc>
          <w:tcPr>
            <w:tcW w:w="1418" w:type="dxa"/>
            <w:tcBorders>
              <w:top w:val="nil"/>
              <w:left w:val="nil"/>
              <w:bottom w:val="single" w:sz="4" w:space="0" w:color="auto"/>
              <w:right w:val="single" w:sz="4" w:space="0" w:color="auto"/>
            </w:tcBorders>
            <w:shd w:val="clear" w:color="auto" w:fill="auto"/>
            <w:noWrap/>
            <w:vAlign w:val="center"/>
            <w:hideMark/>
          </w:tcPr>
          <w:p w14:paraId="552DB19B" w14:textId="526480A4"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158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184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130 </w:t>
            </w:r>
          </w:p>
        </w:tc>
      </w:tr>
      <w:tr w:rsidR="009A21D7" w:rsidRPr="00374360" w14:paraId="7957FCE9"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C820E2F"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109</w:t>
            </w:r>
          </w:p>
        </w:tc>
        <w:tc>
          <w:tcPr>
            <w:tcW w:w="660" w:type="dxa"/>
            <w:tcBorders>
              <w:top w:val="nil"/>
              <w:left w:val="nil"/>
              <w:bottom w:val="single" w:sz="4" w:space="0" w:color="auto"/>
              <w:right w:val="single" w:sz="4" w:space="0" w:color="auto"/>
            </w:tcBorders>
            <w:shd w:val="clear" w:color="auto" w:fill="auto"/>
            <w:noWrap/>
            <w:vAlign w:val="center"/>
            <w:hideMark/>
          </w:tcPr>
          <w:p w14:paraId="2467094D"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3370</w:t>
            </w:r>
          </w:p>
        </w:tc>
        <w:tc>
          <w:tcPr>
            <w:tcW w:w="879" w:type="dxa"/>
            <w:tcBorders>
              <w:top w:val="nil"/>
              <w:left w:val="nil"/>
              <w:bottom w:val="single" w:sz="4" w:space="0" w:color="auto"/>
              <w:right w:val="single" w:sz="4" w:space="0" w:color="auto"/>
            </w:tcBorders>
            <w:shd w:val="clear" w:color="auto" w:fill="auto"/>
            <w:noWrap/>
            <w:vAlign w:val="center"/>
            <w:hideMark/>
          </w:tcPr>
          <w:p w14:paraId="1FDC9BED"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844004576</w:t>
            </w:r>
          </w:p>
        </w:tc>
        <w:tc>
          <w:tcPr>
            <w:tcW w:w="3913" w:type="dxa"/>
            <w:tcBorders>
              <w:top w:val="nil"/>
              <w:left w:val="nil"/>
              <w:bottom w:val="single" w:sz="4" w:space="0" w:color="auto"/>
              <w:right w:val="single" w:sz="4" w:space="0" w:color="auto"/>
            </w:tcBorders>
            <w:shd w:val="clear" w:color="auto" w:fill="auto"/>
            <w:vAlign w:val="center"/>
            <w:hideMark/>
          </w:tcPr>
          <w:p w14:paraId="6D569B7A"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EMPRESA DE ENERGIA DE CASANARE SA ESP</w:t>
            </w:r>
          </w:p>
        </w:tc>
        <w:tc>
          <w:tcPr>
            <w:tcW w:w="1602" w:type="dxa"/>
            <w:tcBorders>
              <w:top w:val="nil"/>
              <w:left w:val="nil"/>
              <w:bottom w:val="single" w:sz="4" w:space="0" w:color="auto"/>
              <w:right w:val="single" w:sz="4" w:space="0" w:color="auto"/>
            </w:tcBorders>
            <w:shd w:val="clear" w:color="auto" w:fill="auto"/>
            <w:noWrap/>
            <w:vAlign w:val="center"/>
            <w:hideMark/>
          </w:tcPr>
          <w:p w14:paraId="2E9782FE" w14:textId="700CF1E4"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956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423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644 </w:t>
            </w:r>
          </w:p>
        </w:tc>
        <w:tc>
          <w:tcPr>
            <w:tcW w:w="1418" w:type="dxa"/>
            <w:tcBorders>
              <w:top w:val="nil"/>
              <w:left w:val="nil"/>
              <w:bottom w:val="single" w:sz="4" w:space="0" w:color="auto"/>
              <w:right w:val="single" w:sz="4" w:space="0" w:color="auto"/>
            </w:tcBorders>
            <w:shd w:val="clear" w:color="auto" w:fill="auto"/>
            <w:noWrap/>
            <w:vAlign w:val="center"/>
            <w:hideMark/>
          </w:tcPr>
          <w:p w14:paraId="058924DE" w14:textId="18587A68"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49</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564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236 </w:t>
            </w:r>
          </w:p>
        </w:tc>
      </w:tr>
      <w:tr w:rsidR="009A21D7" w:rsidRPr="00374360" w14:paraId="6CDF2F8B" w14:textId="77777777" w:rsidTr="00C734CF">
        <w:trPr>
          <w:trHeight w:val="4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F8E738D"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110</w:t>
            </w:r>
          </w:p>
        </w:tc>
        <w:tc>
          <w:tcPr>
            <w:tcW w:w="660" w:type="dxa"/>
            <w:tcBorders>
              <w:top w:val="nil"/>
              <w:left w:val="nil"/>
              <w:bottom w:val="single" w:sz="4" w:space="0" w:color="auto"/>
              <w:right w:val="single" w:sz="4" w:space="0" w:color="auto"/>
            </w:tcBorders>
            <w:shd w:val="clear" w:color="auto" w:fill="auto"/>
            <w:noWrap/>
            <w:vAlign w:val="center"/>
            <w:hideMark/>
          </w:tcPr>
          <w:p w14:paraId="56F3BA45"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20081</w:t>
            </w:r>
          </w:p>
        </w:tc>
        <w:tc>
          <w:tcPr>
            <w:tcW w:w="879" w:type="dxa"/>
            <w:tcBorders>
              <w:top w:val="nil"/>
              <w:left w:val="nil"/>
              <w:bottom w:val="single" w:sz="4" w:space="0" w:color="auto"/>
              <w:right w:val="single" w:sz="4" w:space="0" w:color="auto"/>
            </w:tcBorders>
            <w:shd w:val="clear" w:color="auto" w:fill="auto"/>
            <w:noWrap/>
            <w:vAlign w:val="center"/>
            <w:hideMark/>
          </w:tcPr>
          <w:p w14:paraId="5F3DBEEF"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840000929</w:t>
            </w:r>
          </w:p>
        </w:tc>
        <w:tc>
          <w:tcPr>
            <w:tcW w:w="3913" w:type="dxa"/>
            <w:tcBorders>
              <w:top w:val="nil"/>
              <w:left w:val="nil"/>
              <w:bottom w:val="single" w:sz="4" w:space="0" w:color="auto"/>
              <w:right w:val="single" w:sz="4" w:space="0" w:color="auto"/>
            </w:tcBorders>
            <w:shd w:val="clear" w:color="auto" w:fill="auto"/>
            <w:vAlign w:val="center"/>
            <w:hideMark/>
          </w:tcPr>
          <w:p w14:paraId="5ED2B6CE"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EMPRESA DE ENERGIA DE MAGUI PAYAN S.A E.S.P</w:t>
            </w:r>
          </w:p>
        </w:tc>
        <w:tc>
          <w:tcPr>
            <w:tcW w:w="1602" w:type="dxa"/>
            <w:tcBorders>
              <w:top w:val="nil"/>
              <w:left w:val="nil"/>
              <w:bottom w:val="single" w:sz="4" w:space="0" w:color="auto"/>
              <w:right w:val="single" w:sz="4" w:space="0" w:color="auto"/>
            </w:tcBorders>
            <w:shd w:val="clear" w:color="auto" w:fill="auto"/>
            <w:noWrap/>
            <w:vAlign w:val="center"/>
            <w:hideMark/>
          </w:tcPr>
          <w:p w14:paraId="54BBF0D3" w14:textId="65ABAF72"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260</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743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428 </w:t>
            </w:r>
          </w:p>
        </w:tc>
        <w:tc>
          <w:tcPr>
            <w:tcW w:w="1418" w:type="dxa"/>
            <w:tcBorders>
              <w:top w:val="nil"/>
              <w:left w:val="nil"/>
              <w:bottom w:val="single" w:sz="4" w:space="0" w:color="auto"/>
              <w:right w:val="single" w:sz="4" w:space="0" w:color="auto"/>
            </w:tcBorders>
            <w:shd w:val="clear" w:color="auto" w:fill="auto"/>
            <w:noWrap/>
            <w:vAlign w:val="center"/>
            <w:hideMark/>
          </w:tcPr>
          <w:p w14:paraId="4912AF62" w14:textId="17EFC871"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607</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434 </w:t>
            </w:r>
          </w:p>
        </w:tc>
      </w:tr>
      <w:tr w:rsidR="009A21D7" w:rsidRPr="00374360" w14:paraId="0087E3FA"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92FEBBF"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111</w:t>
            </w:r>
          </w:p>
        </w:tc>
        <w:tc>
          <w:tcPr>
            <w:tcW w:w="660" w:type="dxa"/>
            <w:tcBorders>
              <w:top w:val="nil"/>
              <w:left w:val="nil"/>
              <w:bottom w:val="single" w:sz="4" w:space="0" w:color="auto"/>
              <w:right w:val="single" w:sz="4" w:space="0" w:color="auto"/>
            </w:tcBorders>
            <w:shd w:val="clear" w:color="auto" w:fill="auto"/>
            <w:noWrap/>
            <w:vAlign w:val="center"/>
            <w:hideMark/>
          </w:tcPr>
          <w:p w14:paraId="4E73C8CA"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2073</w:t>
            </w:r>
          </w:p>
        </w:tc>
        <w:tc>
          <w:tcPr>
            <w:tcW w:w="879" w:type="dxa"/>
            <w:tcBorders>
              <w:top w:val="nil"/>
              <w:left w:val="nil"/>
              <w:bottom w:val="single" w:sz="4" w:space="0" w:color="auto"/>
              <w:right w:val="single" w:sz="4" w:space="0" w:color="auto"/>
            </w:tcBorders>
            <w:shd w:val="clear" w:color="auto" w:fill="auto"/>
            <w:noWrap/>
            <w:vAlign w:val="center"/>
            <w:hideMark/>
          </w:tcPr>
          <w:p w14:paraId="4AEAD562"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816002019</w:t>
            </w:r>
          </w:p>
        </w:tc>
        <w:tc>
          <w:tcPr>
            <w:tcW w:w="3913" w:type="dxa"/>
            <w:tcBorders>
              <w:top w:val="nil"/>
              <w:left w:val="nil"/>
              <w:bottom w:val="single" w:sz="4" w:space="0" w:color="auto"/>
              <w:right w:val="single" w:sz="4" w:space="0" w:color="auto"/>
            </w:tcBorders>
            <w:shd w:val="clear" w:color="auto" w:fill="auto"/>
            <w:vAlign w:val="center"/>
            <w:hideMark/>
          </w:tcPr>
          <w:p w14:paraId="2E08EEF0"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EMPRESA DE ENERGÍA DE PEREIRA S.A. ESP.</w:t>
            </w:r>
          </w:p>
        </w:tc>
        <w:tc>
          <w:tcPr>
            <w:tcW w:w="1602" w:type="dxa"/>
            <w:tcBorders>
              <w:top w:val="nil"/>
              <w:left w:val="nil"/>
              <w:bottom w:val="single" w:sz="4" w:space="0" w:color="auto"/>
              <w:right w:val="single" w:sz="4" w:space="0" w:color="auto"/>
            </w:tcBorders>
            <w:shd w:val="clear" w:color="auto" w:fill="auto"/>
            <w:noWrap/>
            <w:vAlign w:val="center"/>
            <w:hideMark/>
          </w:tcPr>
          <w:p w14:paraId="27C33AF7" w14:textId="2CE043E0"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565</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176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452 </w:t>
            </w:r>
          </w:p>
        </w:tc>
        <w:tc>
          <w:tcPr>
            <w:tcW w:w="1418" w:type="dxa"/>
            <w:tcBorders>
              <w:top w:val="nil"/>
              <w:left w:val="nil"/>
              <w:bottom w:val="single" w:sz="4" w:space="0" w:color="auto"/>
              <w:right w:val="single" w:sz="4" w:space="0" w:color="auto"/>
            </w:tcBorders>
            <w:shd w:val="clear" w:color="auto" w:fill="auto"/>
            <w:noWrap/>
            <w:vAlign w:val="center"/>
            <w:hideMark/>
          </w:tcPr>
          <w:p w14:paraId="07B9DE0A" w14:textId="51C3FF6E"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115</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651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765 </w:t>
            </w:r>
          </w:p>
        </w:tc>
      </w:tr>
      <w:tr w:rsidR="009A21D7" w:rsidRPr="00374360" w14:paraId="5BB72160" w14:textId="77777777" w:rsidTr="00C734CF">
        <w:trPr>
          <w:trHeight w:val="4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841A617"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112</w:t>
            </w:r>
          </w:p>
        </w:tc>
        <w:tc>
          <w:tcPr>
            <w:tcW w:w="660" w:type="dxa"/>
            <w:tcBorders>
              <w:top w:val="nil"/>
              <w:left w:val="nil"/>
              <w:bottom w:val="single" w:sz="4" w:space="0" w:color="auto"/>
              <w:right w:val="single" w:sz="4" w:space="0" w:color="auto"/>
            </w:tcBorders>
            <w:shd w:val="clear" w:color="auto" w:fill="auto"/>
            <w:noWrap/>
            <w:vAlign w:val="center"/>
            <w:hideMark/>
          </w:tcPr>
          <w:p w14:paraId="098DAA02"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523</w:t>
            </w:r>
          </w:p>
        </w:tc>
        <w:tc>
          <w:tcPr>
            <w:tcW w:w="879" w:type="dxa"/>
            <w:tcBorders>
              <w:top w:val="nil"/>
              <w:left w:val="nil"/>
              <w:bottom w:val="single" w:sz="4" w:space="0" w:color="auto"/>
              <w:right w:val="single" w:sz="4" w:space="0" w:color="auto"/>
            </w:tcBorders>
            <w:shd w:val="clear" w:color="auto" w:fill="auto"/>
            <w:noWrap/>
            <w:vAlign w:val="center"/>
            <w:hideMark/>
          </w:tcPr>
          <w:p w14:paraId="1ABFD217"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800052640</w:t>
            </w:r>
          </w:p>
        </w:tc>
        <w:tc>
          <w:tcPr>
            <w:tcW w:w="3913" w:type="dxa"/>
            <w:tcBorders>
              <w:top w:val="nil"/>
              <w:left w:val="nil"/>
              <w:bottom w:val="single" w:sz="4" w:space="0" w:color="auto"/>
              <w:right w:val="single" w:sz="4" w:space="0" w:color="auto"/>
            </w:tcBorders>
            <w:shd w:val="clear" w:color="auto" w:fill="auto"/>
            <w:vAlign w:val="center"/>
            <w:hideMark/>
          </w:tcPr>
          <w:p w14:paraId="4BEB7B25"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EMPRESA DE ENERGIA DEL  QUINDIO S.A.E.S.P.</w:t>
            </w:r>
          </w:p>
        </w:tc>
        <w:tc>
          <w:tcPr>
            <w:tcW w:w="1602" w:type="dxa"/>
            <w:tcBorders>
              <w:top w:val="nil"/>
              <w:left w:val="nil"/>
              <w:bottom w:val="single" w:sz="4" w:space="0" w:color="auto"/>
              <w:right w:val="single" w:sz="4" w:space="0" w:color="auto"/>
            </w:tcBorders>
            <w:shd w:val="clear" w:color="auto" w:fill="auto"/>
            <w:noWrap/>
            <w:vAlign w:val="center"/>
            <w:hideMark/>
          </w:tcPr>
          <w:p w14:paraId="23E01C86" w14:textId="6A42638E"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19</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821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149</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310 </w:t>
            </w:r>
          </w:p>
        </w:tc>
        <w:tc>
          <w:tcPr>
            <w:tcW w:w="1418" w:type="dxa"/>
            <w:tcBorders>
              <w:top w:val="nil"/>
              <w:left w:val="nil"/>
              <w:bottom w:val="single" w:sz="4" w:space="0" w:color="auto"/>
              <w:right w:val="single" w:sz="4" w:space="0" w:color="auto"/>
            </w:tcBorders>
            <w:shd w:val="clear" w:color="auto" w:fill="auto"/>
            <w:noWrap/>
            <w:vAlign w:val="center"/>
            <w:hideMark/>
          </w:tcPr>
          <w:p w14:paraId="67B3119A" w14:textId="2AC4DEA2"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198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211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493 </w:t>
            </w:r>
          </w:p>
        </w:tc>
      </w:tr>
      <w:tr w:rsidR="009A21D7" w:rsidRPr="00374360" w14:paraId="441CD821" w14:textId="77777777" w:rsidTr="00C734CF">
        <w:trPr>
          <w:trHeight w:val="4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B885750"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113</w:t>
            </w:r>
          </w:p>
        </w:tc>
        <w:tc>
          <w:tcPr>
            <w:tcW w:w="660" w:type="dxa"/>
            <w:tcBorders>
              <w:top w:val="nil"/>
              <w:left w:val="nil"/>
              <w:bottom w:val="single" w:sz="4" w:space="0" w:color="auto"/>
              <w:right w:val="single" w:sz="4" w:space="0" w:color="auto"/>
            </w:tcBorders>
            <w:shd w:val="clear" w:color="auto" w:fill="auto"/>
            <w:noWrap/>
            <w:vAlign w:val="center"/>
            <w:hideMark/>
          </w:tcPr>
          <w:p w14:paraId="588A6011"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2371</w:t>
            </w:r>
          </w:p>
        </w:tc>
        <w:tc>
          <w:tcPr>
            <w:tcW w:w="879" w:type="dxa"/>
            <w:tcBorders>
              <w:top w:val="nil"/>
              <w:left w:val="nil"/>
              <w:bottom w:val="single" w:sz="4" w:space="0" w:color="auto"/>
              <w:right w:val="single" w:sz="4" w:space="0" w:color="auto"/>
            </w:tcBorders>
            <w:shd w:val="clear" w:color="auto" w:fill="auto"/>
            <w:noWrap/>
            <w:vAlign w:val="center"/>
            <w:hideMark/>
          </w:tcPr>
          <w:p w14:paraId="4F945B5E"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846000553</w:t>
            </w:r>
          </w:p>
        </w:tc>
        <w:tc>
          <w:tcPr>
            <w:tcW w:w="3913" w:type="dxa"/>
            <w:tcBorders>
              <w:top w:val="nil"/>
              <w:left w:val="nil"/>
              <w:bottom w:val="single" w:sz="4" w:space="0" w:color="auto"/>
              <w:right w:val="single" w:sz="4" w:space="0" w:color="auto"/>
            </w:tcBorders>
            <w:shd w:val="clear" w:color="auto" w:fill="auto"/>
            <w:vAlign w:val="center"/>
            <w:hideMark/>
          </w:tcPr>
          <w:p w14:paraId="09821445"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EMPRESA DE ENERGIA DEL BAJO PUTUMAYO  S.A.  E.S.P.</w:t>
            </w:r>
          </w:p>
        </w:tc>
        <w:tc>
          <w:tcPr>
            <w:tcW w:w="1602" w:type="dxa"/>
            <w:tcBorders>
              <w:top w:val="nil"/>
              <w:left w:val="nil"/>
              <w:bottom w:val="single" w:sz="4" w:space="0" w:color="auto"/>
              <w:right w:val="single" w:sz="4" w:space="0" w:color="auto"/>
            </w:tcBorders>
            <w:shd w:val="clear" w:color="auto" w:fill="auto"/>
            <w:noWrap/>
            <w:vAlign w:val="center"/>
            <w:hideMark/>
          </w:tcPr>
          <w:p w14:paraId="5E505CDA" w14:textId="3CD7AB96"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668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330</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055 </w:t>
            </w:r>
          </w:p>
        </w:tc>
        <w:tc>
          <w:tcPr>
            <w:tcW w:w="1418" w:type="dxa"/>
            <w:tcBorders>
              <w:top w:val="nil"/>
              <w:left w:val="nil"/>
              <w:bottom w:val="single" w:sz="4" w:space="0" w:color="auto"/>
              <w:right w:val="single" w:sz="4" w:space="0" w:color="auto"/>
            </w:tcBorders>
            <w:shd w:val="clear" w:color="auto" w:fill="auto"/>
            <w:noWrap/>
            <w:vAlign w:val="center"/>
            <w:hideMark/>
          </w:tcPr>
          <w:p w14:paraId="4C070377" w14:textId="750FD686"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36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683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301 </w:t>
            </w:r>
          </w:p>
        </w:tc>
      </w:tr>
      <w:tr w:rsidR="009A21D7" w:rsidRPr="00374360" w14:paraId="1AFD305C" w14:textId="77777777" w:rsidTr="00C734CF">
        <w:trPr>
          <w:trHeight w:val="4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19C330C"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114</w:t>
            </w:r>
          </w:p>
        </w:tc>
        <w:tc>
          <w:tcPr>
            <w:tcW w:w="660" w:type="dxa"/>
            <w:tcBorders>
              <w:top w:val="nil"/>
              <w:left w:val="nil"/>
              <w:bottom w:val="single" w:sz="4" w:space="0" w:color="auto"/>
              <w:right w:val="single" w:sz="4" w:space="0" w:color="auto"/>
            </w:tcBorders>
            <w:shd w:val="clear" w:color="auto" w:fill="auto"/>
            <w:noWrap/>
            <w:vAlign w:val="center"/>
            <w:hideMark/>
          </w:tcPr>
          <w:p w14:paraId="005F0AA9"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2331</w:t>
            </w:r>
          </w:p>
        </w:tc>
        <w:tc>
          <w:tcPr>
            <w:tcW w:w="879" w:type="dxa"/>
            <w:tcBorders>
              <w:top w:val="nil"/>
              <w:left w:val="nil"/>
              <w:bottom w:val="single" w:sz="4" w:space="0" w:color="auto"/>
              <w:right w:val="single" w:sz="4" w:space="0" w:color="auto"/>
            </w:tcBorders>
            <w:shd w:val="clear" w:color="auto" w:fill="auto"/>
            <w:noWrap/>
            <w:vAlign w:val="center"/>
            <w:hideMark/>
          </w:tcPr>
          <w:p w14:paraId="5928AAD1"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843000057</w:t>
            </w:r>
          </w:p>
        </w:tc>
        <w:tc>
          <w:tcPr>
            <w:tcW w:w="3913" w:type="dxa"/>
            <w:tcBorders>
              <w:top w:val="nil"/>
              <w:left w:val="nil"/>
              <w:bottom w:val="single" w:sz="4" w:space="0" w:color="auto"/>
              <w:right w:val="single" w:sz="4" w:space="0" w:color="auto"/>
            </w:tcBorders>
            <w:shd w:val="clear" w:color="auto" w:fill="auto"/>
            <w:vAlign w:val="center"/>
            <w:hideMark/>
          </w:tcPr>
          <w:p w14:paraId="082E0154"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EMPRESA DE ENERGIA DEL GUAINIA LA CEIBA S.A. E.S.P.</w:t>
            </w:r>
          </w:p>
        </w:tc>
        <w:tc>
          <w:tcPr>
            <w:tcW w:w="1602" w:type="dxa"/>
            <w:tcBorders>
              <w:top w:val="nil"/>
              <w:left w:val="nil"/>
              <w:bottom w:val="single" w:sz="4" w:space="0" w:color="auto"/>
              <w:right w:val="single" w:sz="4" w:space="0" w:color="auto"/>
            </w:tcBorders>
            <w:shd w:val="clear" w:color="auto" w:fill="auto"/>
            <w:noWrap/>
            <w:vAlign w:val="center"/>
            <w:hideMark/>
          </w:tcPr>
          <w:p w14:paraId="67F59681" w14:textId="180469CE"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042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238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916 </w:t>
            </w:r>
          </w:p>
        </w:tc>
        <w:tc>
          <w:tcPr>
            <w:tcW w:w="1418" w:type="dxa"/>
            <w:tcBorders>
              <w:top w:val="nil"/>
              <w:left w:val="nil"/>
              <w:bottom w:val="single" w:sz="4" w:space="0" w:color="auto"/>
              <w:right w:val="single" w:sz="4" w:space="0" w:color="auto"/>
            </w:tcBorders>
            <w:shd w:val="clear" w:color="auto" w:fill="auto"/>
            <w:noWrap/>
            <w:vAlign w:val="center"/>
            <w:hideMark/>
          </w:tcPr>
          <w:p w14:paraId="539BCC65" w14:textId="6B959A30"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10</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422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389 </w:t>
            </w:r>
          </w:p>
        </w:tc>
      </w:tr>
      <w:tr w:rsidR="009A21D7" w:rsidRPr="00374360" w14:paraId="7B5ECD7A" w14:textId="77777777" w:rsidTr="00C734CF">
        <w:trPr>
          <w:trHeight w:val="4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E3501F3"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115</w:t>
            </w:r>
          </w:p>
        </w:tc>
        <w:tc>
          <w:tcPr>
            <w:tcW w:w="660" w:type="dxa"/>
            <w:tcBorders>
              <w:top w:val="nil"/>
              <w:left w:val="nil"/>
              <w:bottom w:val="single" w:sz="4" w:space="0" w:color="auto"/>
              <w:right w:val="single" w:sz="4" w:space="0" w:color="auto"/>
            </w:tcBorders>
            <w:shd w:val="clear" w:color="auto" w:fill="auto"/>
            <w:noWrap/>
            <w:vAlign w:val="center"/>
            <w:hideMark/>
          </w:tcPr>
          <w:p w14:paraId="5298C0E3"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536</w:t>
            </w:r>
          </w:p>
        </w:tc>
        <w:tc>
          <w:tcPr>
            <w:tcW w:w="879" w:type="dxa"/>
            <w:tcBorders>
              <w:top w:val="nil"/>
              <w:left w:val="nil"/>
              <w:bottom w:val="single" w:sz="4" w:space="0" w:color="auto"/>
              <w:right w:val="single" w:sz="4" w:space="0" w:color="auto"/>
            </w:tcBorders>
            <w:shd w:val="clear" w:color="auto" w:fill="auto"/>
            <w:noWrap/>
            <w:vAlign w:val="center"/>
            <w:hideMark/>
          </w:tcPr>
          <w:p w14:paraId="492C96D0"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800249860</w:t>
            </w:r>
          </w:p>
        </w:tc>
        <w:tc>
          <w:tcPr>
            <w:tcW w:w="3913" w:type="dxa"/>
            <w:tcBorders>
              <w:top w:val="nil"/>
              <w:left w:val="nil"/>
              <w:bottom w:val="single" w:sz="4" w:space="0" w:color="auto"/>
              <w:right w:val="single" w:sz="4" w:space="0" w:color="auto"/>
            </w:tcBorders>
            <w:shd w:val="clear" w:color="auto" w:fill="auto"/>
            <w:vAlign w:val="center"/>
            <w:hideMark/>
          </w:tcPr>
          <w:p w14:paraId="4EA274F1"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EMPRESA DE ENERGÍA DEL PACÍFICO S.A. E.S.P.</w:t>
            </w:r>
          </w:p>
        </w:tc>
        <w:tc>
          <w:tcPr>
            <w:tcW w:w="1602" w:type="dxa"/>
            <w:tcBorders>
              <w:top w:val="nil"/>
              <w:left w:val="nil"/>
              <w:bottom w:val="single" w:sz="4" w:space="0" w:color="auto"/>
              <w:right w:val="single" w:sz="4" w:space="0" w:color="auto"/>
            </w:tcBorders>
            <w:shd w:val="clear" w:color="auto" w:fill="auto"/>
            <w:noWrap/>
            <w:vAlign w:val="center"/>
            <w:hideMark/>
          </w:tcPr>
          <w:p w14:paraId="496D110D" w14:textId="6BA0E45B"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150</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260</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083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014 </w:t>
            </w:r>
          </w:p>
        </w:tc>
        <w:tc>
          <w:tcPr>
            <w:tcW w:w="1418" w:type="dxa"/>
            <w:tcBorders>
              <w:top w:val="nil"/>
              <w:left w:val="nil"/>
              <w:bottom w:val="single" w:sz="4" w:space="0" w:color="auto"/>
              <w:right w:val="single" w:sz="4" w:space="0" w:color="auto"/>
            </w:tcBorders>
            <w:shd w:val="clear" w:color="auto" w:fill="auto"/>
            <w:noWrap/>
            <w:vAlign w:val="center"/>
            <w:hideMark/>
          </w:tcPr>
          <w:p w14:paraId="7833EED8" w14:textId="0180298A"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502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600</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830 </w:t>
            </w:r>
          </w:p>
        </w:tc>
      </w:tr>
      <w:tr w:rsidR="009A21D7" w:rsidRPr="00374360" w14:paraId="4293C0CB" w14:textId="77777777" w:rsidTr="00C734CF">
        <w:trPr>
          <w:trHeight w:val="4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EFDA8A5"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116</w:t>
            </w:r>
          </w:p>
        </w:tc>
        <w:tc>
          <w:tcPr>
            <w:tcW w:w="660" w:type="dxa"/>
            <w:tcBorders>
              <w:top w:val="nil"/>
              <w:left w:val="nil"/>
              <w:bottom w:val="single" w:sz="4" w:space="0" w:color="auto"/>
              <w:right w:val="single" w:sz="4" w:space="0" w:color="auto"/>
            </w:tcBorders>
            <w:shd w:val="clear" w:color="auto" w:fill="auto"/>
            <w:noWrap/>
            <w:vAlign w:val="center"/>
            <w:hideMark/>
          </w:tcPr>
          <w:p w14:paraId="643BAE5C"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2016</w:t>
            </w:r>
          </w:p>
        </w:tc>
        <w:tc>
          <w:tcPr>
            <w:tcW w:w="879" w:type="dxa"/>
            <w:tcBorders>
              <w:top w:val="nil"/>
              <w:left w:val="nil"/>
              <w:bottom w:val="single" w:sz="4" w:space="0" w:color="auto"/>
              <w:right w:val="single" w:sz="4" w:space="0" w:color="auto"/>
            </w:tcBorders>
            <w:shd w:val="clear" w:color="auto" w:fill="auto"/>
            <w:noWrap/>
            <w:vAlign w:val="center"/>
            <w:hideMark/>
          </w:tcPr>
          <w:p w14:paraId="609CF954"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846000241</w:t>
            </w:r>
          </w:p>
        </w:tc>
        <w:tc>
          <w:tcPr>
            <w:tcW w:w="3913" w:type="dxa"/>
            <w:tcBorders>
              <w:top w:val="nil"/>
              <w:left w:val="nil"/>
              <w:bottom w:val="single" w:sz="4" w:space="0" w:color="auto"/>
              <w:right w:val="single" w:sz="4" w:space="0" w:color="auto"/>
            </w:tcBorders>
            <w:shd w:val="clear" w:color="auto" w:fill="auto"/>
            <w:vAlign w:val="center"/>
            <w:hideMark/>
          </w:tcPr>
          <w:p w14:paraId="0115F9AA"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EMPRESA DE ENERGIA DEL PUTUMAYO S.A. ESP</w:t>
            </w:r>
          </w:p>
        </w:tc>
        <w:tc>
          <w:tcPr>
            <w:tcW w:w="1602" w:type="dxa"/>
            <w:tcBorders>
              <w:top w:val="nil"/>
              <w:left w:val="nil"/>
              <w:bottom w:val="single" w:sz="4" w:space="0" w:color="auto"/>
              <w:right w:val="single" w:sz="4" w:space="0" w:color="auto"/>
            </w:tcBorders>
            <w:shd w:val="clear" w:color="auto" w:fill="auto"/>
            <w:noWrap/>
            <w:vAlign w:val="center"/>
            <w:hideMark/>
          </w:tcPr>
          <w:p w14:paraId="4317A2AF" w14:textId="4EBE3032"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112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364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470 </w:t>
            </w:r>
          </w:p>
        </w:tc>
        <w:tc>
          <w:tcPr>
            <w:tcW w:w="1418" w:type="dxa"/>
            <w:tcBorders>
              <w:top w:val="nil"/>
              <w:left w:val="nil"/>
              <w:bottom w:val="single" w:sz="4" w:space="0" w:color="auto"/>
              <w:right w:val="single" w:sz="4" w:space="0" w:color="auto"/>
            </w:tcBorders>
            <w:shd w:val="clear" w:color="auto" w:fill="auto"/>
            <w:noWrap/>
            <w:vAlign w:val="center"/>
            <w:hideMark/>
          </w:tcPr>
          <w:p w14:paraId="7CC8E8B1" w14:textId="09F38143"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31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123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645 </w:t>
            </w:r>
          </w:p>
        </w:tc>
      </w:tr>
      <w:tr w:rsidR="009A21D7" w:rsidRPr="00374360" w14:paraId="33196C7A" w14:textId="77777777" w:rsidTr="00C734CF">
        <w:trPr>
          <w:trHeight w:val="4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957F434"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117</w:t>
            </w:r>
          </w:p>
        </w:tc>
        <w:tc>
          <w:tcPr>
            <w:tcW w:w="660" w:type="dxa"/>
            <w:tcBorders>
              <w:top w:val="nil"/>
              <w:left w:val="nil"/>
              <w:bottom w:val="single" w:sz="4" w:space="0" w:color="auto"/>
              <w:right w:val="single" w:sz="4" w:space="0" w:color="auto"/>
            </w:tcBorders>
            <w:shd w:val="clear" w:color="auto" w:fill="auto"/>
            <w:noWrap/>
            <w:vAlign w:val="center"/>
            <w:hideMark/>
          </w:tcPr>
          <w:p w14:paraId="7E403B2A"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1846</w:t>
            </w:r>
          </w:p>
        </w:tc>
        <w:tc>
          <w:tcPr>
            <w:tcW w:w="879" w:type="dxa"/>
            <w:tcBorders>
              <w:top w:val="nil"/>
              <w:left w:val="nil"/>
              <w:bottom w:val="single" w:sz="4" w:space="0" w:color="auto"/>
              <w:right w:val="single" w:sz="4" w:space="0" w:color="auto"/>
            </w:tcBorders>
            <w:shd w:val="clear" w:color="auto" w:fill="auto"/>
            <w:noWrap/>
            <w:vAlign w:val="center"/>
            <w:hideMark/>
          </w:tcPr>
          <w:p w14:paraId="012AB705"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846000060</w:t>
            </w:r>
          </w:p>
        </w:tc>
        <w:tc>
          <w:tcPr>
            <w:tcW w:w="3913" w:type="dxa"/>
            <w:tcBorders>
              <w:top w:val="nil"/>
              <w:left w:val="nil"/>
              <w:bottom w:val="single" w:sz="4" w:space="0" w:color="auto"/>
              <w:right w:val="single" w:sz="4" w:space="0" w:color="auto"/>
            </w:tcBorders>
            <w:shd w:val="clear" w:color="auto" w:fill="auto"/>
            <w:vAlign w:val="center"/>
            <w:hideMark/>
          </w:tcPr>
          <w:p w14:paraId="5EBBD890"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EMPRESA DE ENERGIA DEL VALLE DE SIBUNDOY S.A. E.S.P. </w:t>
            </w:r>
          </w:p>
        </w:tc>
        <w:tc>
          <w:tcPr>
            <w:tcW w:w="1602" w:type="dxa"/>
            <w:tcBorders>
              <w:top w:val="nil"/>
              <w:left w:val="nil"/>
              <w:bottom w:val="single" w:sz="4" w:space="0" w:color="auto"/>
              <w:right w:val="single" w:sz="4" w:space="0" w:color="auto"/>
            </w:tcBorders>
            <w:shd w:val="clear" w:color="auto" w:fill="auto"/>
            <w:noWrap/>
            <w:vAlign w:val="center"/>
            <w:hideMark/>
          </w:tcPr>
          <w:p w14:paraId="676FEA6C" w14:textId="3F520D44"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679</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021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089 </w:t>
            </w:r>
          </w:p>
        </w:tc>
        <w:tc>
          <w:tcPr>
            <w:tcW w:w="1418" w:type="dxa"/>
            <w:tcBorders>
              <w:top w:val="nil"/>
              <w:left w:val="nil"/>
              <w:bottom w:val="single" w:sz="4" w:space="0" w:color="auto"/>
              <w:right w:val="single" w:sz="4" w:space="0" w:color="auto"/>
            </w:tcBorders>
            <w:shd w:val="clear" w:color="auto" w:fill="auto"/>
            <w:noWrap/>
            <w:vAlign w:val="center"/>
            <w:hideMark/>
          </w:tcPr>
          <w:p w14:paraId="4B811BEF" w14:textId="69114DCB"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790</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211 </w:t>
            </w:r>
          </w:p>
        </w:tc>
      </w:tr>
      <w:tr w:rsidR="009A21D7" w:rsidRPr="00374360" w14:paraId="626C9341" w14:textId="77777777" w:rsidTr="00C734CF">
        <w:trPr>
          <w:trHeight w:val="4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1635730"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118</w:t>
            </w:r>
          </w:p>
        </w:tc>
        <w:tc>
          <w:tcPr>
            <w:tcW w:w="660" w:type="dxa"/>
            <w:tcBorders>
              <w:top w:val="nil"/>
              <w:left w:val="nil"/>
              <w:bottom w:val="single" w:sz="4" w:space="0" w:color="auto"/>
              <w:right w:val="single" w:sz="4" w:space="0" w:color="auto"/>
            </w:tcBorders>
            <w:shd w:val="clear" w:color="auto" w:fill="auto"/>
            <w:noWrap/>
            <w:vAlign w:val="center"/>
            <w:hideMark/>
          </w:tcPr>
          <w:p w14:paraId="0B14C899"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3076</w:t>
            </w:r>
          </w:p>
        </w:tc>
        <w:tc>
          <w:tcPr>
            <w:tcW w:w="879" w:type="dxa"/>
            <w:tcBorders>
              <w:top w:val="nil"/>
              <w:left w:val="nil"/>
              <w:bottom w:val="single" w:sz="4" w:space="0" w:color="auto"/>
              <w:right w:val="single" w:sz="4" w:space="0" w:color="auto"/>
            </w:tcBorders>
            <w:shd w:val="clear" w:color="auto" w:fill="auto"/>
            <w:noWrap/>
            <w:vAlign w:val="center"/>
            <w:hideMark/>
          </w:tcPr>
          <w:p w14:paraId="3760484F"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822004680</w:t>
            </w:r>
          </w:p>
        </w:tc>
        <w:tc>
          <w:tcPr>
            <w:tcW w:w="3913" w:type="dxa"/>
            <w:tcBorders>
              <w:top w:val="nil"/>
              <w:left w:val="nil"/>
              <w:bottom w:val="single" w:sz="4" w:space="0" w:color="auto"/>
              <w:right w:val="single" w:sz="4" w:space="0" w:color="auto"/>
            </w:tcBorders>
            <w:shd w:val="clear" w:color="auto" w:fill="auto"/>
            <w:vAlign w:val="center"/>
            <w:hideMark/>
          </w:tcPr>
          <w:p w14:paraId="03C2D76B"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EMPRESA DE ENERGIA ELECTRICA DEL DEPARTAMENTO DEL GUAVIARE SA ESP</w:t>
            </w:r>
          </w:p>
        </w:tc>
        <w:tc>
          <w:tcPr>
            <w:tcW w:w="1602" w:type="dxa"/>
            <w:tcBorders>
              <w:top w:val="nil"/>
              <w:left w:val="nil"/>
              <w:bottom w:val="single" w:sz="4" w:space="0" w:color="auto"/>
              <w:right w:val="single" w:sz="4" w:space="0" w:color="auto"/>
            </w:tcBorders>
            <w:shd w:val="clear" w:color="auto" w:fill="auto"/>
            <w:noWrap/>
            <w:vAlign w:val="center"/>
            <w:hideMark/>
          </w:tcPr>
          <w:p w14:paraId="64CED9BE" w14:textId="393FB066"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346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187</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874 </w:t>
            </w:r>
          </w:p>
        </w:tc>
        <w:tc>
          <w:tcPr>
            <w:tcW w:w="1418" w:type="dxa"/>
            <w:tcBorders>
              <w:top w:val="nil"/>
              <w:left w:val="nil"/>
              <w:bottom w:val="single" w:sz="4" w:space="0" w:color="auto"/>
              <w:right w:val="single" w:sz="4" w:space="0" w:color="auto"/>
            </w:tcBorders>
            <w:shd w:val="clear" w:color="auto" w:fill="auto"/>
            <w:noWrap/>
            <w:vAlign w:val="center"/>
            <w:hideMark/>
          </w:tcPr>
          <w:p w14:paraId="6E843EDD" w14:textId="1F54F861"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43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461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879 </w:t>
            </w:r>
          </w:p>
        </w:tc>
      </w:tr>
      <w:tr w:rsidR="009A21D7" w:rsidRPr="00374360" w14:paraId="421BA280" w14:textId="77777777" w:rsidTr="00C734CF">
        <w:trPr>
          <w:trHeight w:val="4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A59FEE6"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119</w:t>
            </w:r>
          </w:p>
        </w:tc>
        <w:tc>
          <w:tcPr>
            <w:tcW w:w="660" w:type="dxa"/>
            <w:tcBorders>
              <w:top w:val="nil"/>
              <w:left w:val="nil"/>
              <w:bottom w:val="single" w:sz="4" w:space="0" w:color="auto"/>
              <w:right w:val="single" w:sz="4" w:space="0" w:color="auto"/>
            </w:tcBorders>
            <w:shd w:val="clear" w:color="auto" w:fill="auto"/>
            <w:noWrap/>
            <w:vAlign w:val="center"/>
            <w:hideMark/>
          </w:tcPr>
          <w:p w14:paraId="6994B909"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3212</w:t>
            </w:r>
          </w:p>
        </w:tc>
        <w:tc>
          <w:tcPr>
            <w:tcW w:w="879" w:type="dxa"/>
            <w:tcBorders>
              <w:top w:val="nil"/>
              <w:left w:val="nil"/>
              <w:bottom w:val="single" w:sz="4" w:space="0" w:color="auto"/>
              <w:right w:val="single" w:sz="4" w:space="0" w:color="auto"/>
            </w:tcBorders>
            <w:shd w:val="clear" w:color="auto" w:fill="auto"/>
            <w:noWrap/>
            <w:vAlign w:val="center"/>
            <w:hideMark/>
          </w:tcPr>
          <w:p w14:paraId="098B754D"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842000155</w:t>
            </w:r>
          </w:p>
        </w:tc>
        <w:tc>
          <w:tcPr>
            <w:tcW w:w="3913" w:type="dxa"/>
            <w:tcBorders>
              <w:top w:val="nil"/>
              <w:left w:val="nil"/>
              <w:bottom w:val="single" w:sz="4" w:space="0" w:color="auto"/>
              <w:right w:val="single" w:sz="4" w:space="0" w:color="auto"/>
            </w:tcBorders>
            <w:shd w:val="clear" w:color="auto" w:fill="auto"/>
            <w:vAlign w:val="center"/>
            <w:hideMark/>
          </w:tcPr>
          <w:p w14:paraId="461FB515"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EMPRESA DE ENERGIA ELECTRICA DEL DEPARTAMENTO DEL VICHADA S.A</w:t>
            </w:r>
          </w:p>
        </w:tc>
        <w:tc>
          <w:tcPr>
            <w:tcW w:w="1602" w:type="dxa"/>
            <w:tcBorders>
              <w:top w:val="nil"/>
              <w:left w:val="nil"/>
              <w:bottom w:val="single" w:sz="4" w:space="0" w:color="auto"/>
              <w:right w:val="single" w:sz="4" w:space="0" w:color="auto"/>
            </w:tcBorders>
            <w:shd w:val="clear" w:color="auto" w:fill="auto"/>
            <w:noWrap/>
            <w:vAlign w:val="center"/>
            <w:hideMark/>
          </w:tcPr>
          <w:p w14:paraId="4972C39D" w14:textId="1FCB62CA"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378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780</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535 </w:t>
            </w:r>
          </w:p>
        </w:tc>
        <w:tc>
          <w:tcPr>
            <w:tcW w:w="1418" w:type="dxa"/>
            <w:tcBorders>
              <w:top w:val="nil"/>
              <w:left w:val="nil"/>
              <w:bottom w:val="single" w:sz="4" w:space="0" w:color="auto"/>
              <w:right w:val="single" w:sz="4" w:space="0" w:color="auto"/>
            </w:tcBorders>
            <w:shd w:val="clear" w:color="auto" w:fill="auto"/>
            <w:noWrap/>
            <w:vAlign w:val="center"/>
            <w:hideMark/>
          </w:tcPr>
          <w:p w14:paraId="52C747D5" w14:textId="1D17344C"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787</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805 </w:t>
            </w:r>
          </w:p>
        </w:tc>
      </w:tr>
      <w:tr w:rsidR="009A21D7" w:rsidRPr="00374360" w14:paraId="66A51B3C" w14:textId="77777777" w:rsidTr="00C734CF">
        <w:trPr>
          <w:trHeight w:val="4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935E676"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120</w:t>
            </w:r>
          </w:p>
        </w:tc>
        <w:tc>
          <w:tcPr>
            <w:tcW w:w="660" w:type="dxa"/>
            <w:tcBorders>
              <w:top w:val="nil"/>
              <w:left w:val="nil"/>
              <w:bottom w:val="single" w:sz="4" w:space="0" w:color="auto"/>
              <w:right w:val="single" w:sz="4" w:space="0" w:color="auto"/>
            </w:tcBorders>
            <w:shd w:val="clear" w:color="auto" w:fill="auto"/>
            <w:noWrap/>
            <w:vAlign w:val="center"/>
            <w:hideMark/>
          </w:tcPr>
          <w:p w14:paraId="63D70E2A"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22645</w:t>
            </w:r>
          </w:p>
        </w:tc>
        <w:tc>
          <w:tcPr>
            <w:tcW w:w="879" w:type="dxa"/>
            <w:tcBorders>
              <w:top w:val="nil"/>
              <w:left w:val="nil"/>
              <w:bottom w:val="single" w:sz="4" w:space="0" w:color="auto"/>
              <w:right w:val="single" w:sz="4" w:space="0" w:color="auto"/>
            </w:tcBorders>
            <w:shd w:val="clear" w:color="auto" w:fill="auto"/>
            <w:noWrap/>
            <w:vAlign w:val="center"/>
            <w:hideMark/>
          </w:tcPr>
          <w:p w14:paraId="4C473E2B"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900263570</w:t>
            </w:r>
          </w:p>
        </w:tc>
        <w:tc>
          <w:tcPr>
            <w:tcW w:w="3913" w:type="dxa"/>
            <w:tcBorders>
              <w:top w:val="nil"/>
              <w:left w:val="nil"/>
              <w:bottom w:val="single" w:sz="4" w:space="0" w:color="auto"/>
              <w:right w:val="single" w:sz="4" w:space="0" w:color="auto"/>
            </w:tcBorders>
            <w:shd w:val="clear" w:color="auto" w:fill="auto"/>
            <w:vAlign w:val="center"/>
            <w:hideMark/>
          </w:tcPr>
          <w:p w14:paraId="6428DA73"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EMPRESA DE ENERGIA ELECTRICA DEL MUNICIPIO DE ROBERTO PAYAN S.A.S E.S.P</w:t>
            </w:r>
          </w:p>
        </w:tc>
        <w:tc>
          <w:tcPr>
            <w:tcW w:w="1602" w:type="dxa"/>
            <w:tcBorders>
              <w:top w:val="nil"/>
              <w:left w:val="nil"/>
              <w:bottom w:val="single" w:sz="4" w:space="0" w:color="auto"/>
              <w:right w:val="single" w:sz="4" w:space="0" w:color="auto"/>
            </w:tcBorders>
            <w:shd w:val="clear" w:color="auto" w:fill="auto"/>
            <w:noWrap/>
            <w:vAlign w:val="center"/>
            <w:hideMark/>
          </w:tcPr>
          <w:p w14:paraId="0E515E06" w14:textId="1E7DA74F"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256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212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799 </w:t>
            </w:r>
          </w:p>
        </w:tc>
        <w:tc>
          <w:tcPr>
            <w:tcW w:w="1418" w:type="dxa"/>
            <w:tcBorders>
              <w:top w:val="nil"/>
              <w:left w:val="nil"/>
              <w:bottom w:val="single" w:sz="4" w:space="0" w:color="auto"/>
              <w:right w:val="single" w:sz="4" w:space="0" w:color="auto"/>
            </w:tcBorders>
            <w:shd w:val="clear" w:color="auto" w:fill="auto"/>
            <w:noWrap/>
            <w:vAlign w:val="center"/>
            <w:hideMark/>
          </w:tcPr>
          <w:p w14:paraId="6290C366" w14:textId="58A11C85"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562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128 </w:t>
            </w:r>
          </w:p>
        </w:tc>
      </w:tr>
      <w:tr w:rsidR="009A21D7" w:rsidRPr="00374360" w14:paraId="4858CED8" w14:textId="77777777" w:rsidTr="00C734CF">
        <w:trPr>
          <w:trHeight w:val="4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712BE50"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121</w:t>
            </w:r>
          </w:p>
        </w:tc>
        <w:tc>
          <w:tcPr>
            <w:tcW w:w="660" w:type="dxa"/>
            <w:tcBorders>
              <w:top w:val="nil"/>
              <w:left w:val="nil"/>
              <w:bottom w:val="single" w:sz="4" w:space="0" w:color="auto"/>
              <w:right w:val="single" w:sz="4" w:space="0" w:color="auto"/>
            </w:tcBorders>
            <w:shd w:val="clear" w:color="auto" w:fill="auto"/>
            <w:noWrap/>
            <w:vAlign w:val="center"/>
            <w:hideMark/>
          </w:tcPr>
          <w:p w14:paraId="551BE405"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42417</w:t>
            </w:r>
          </w:p>
        </w:tc>
        <w:tc>
          <w:tcPr>
            <w:tcW w:w="879" w:type="dxa"/>
            <w:tcBorders>
              <w:top w:val="nil"/>
              <w:left w:val="nil"/>
              <w:bottom w:val="single" w:sz="4" w:space="0" w:color="auto"/>
              <w:right w:val="single" w:sz="4" w:space="0" w:color="auto"/>
            </w:tcBorders>
            <w:shd w:val="clear" w:color="auto" w:fill="auto"/>
            <w:noWrap/>
            <w:vAlign w:val="center"/>
            <w:hideMark/>
          </w:tcPr>
          <w:p w14:paraId="2A076F4E"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901209614</w:t>
            </w:r>
          </w:p>
        </w:tc>
        <w:tc>
          <w:tcPr>
            <w:tcW w:w="3913" w:type="dxa"/>
            <w:tcBorders>
              <w:top w:val="nil"/>
              <w:left w:val="nil"/>
              <w:bottom w:val="single" w:sz="4" w:space="0" w:color="auto"/>
              <w:right w:val="single" w:sz="4" w:space="0" w:color="auto"/>
            </w:tcBorders>
            <w:shd w:val="clear" w:color="auto" w:fill="auto"/>
            <w:vAlign w:val="center"/>
            <w:hideMark/>
          </w:tcPr>
          <w:p w14:paraId="7A45D4DB"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EMPRESA DE ENERGY Y SERVICIOS S.A.S  E.S.P</w:t>
            </w:r>
          </w:p>
        </w:tc>
        <w:tc>
          <w:tcPr>
            <w:tcW w:w="1602" w:type="dxa"/>
            <w:tcBorders>
              <w:top w:val="nil"/>
              <w:left w:val="nil"/>
              <w:bottom w:val="single" w:sz="4" w:space="0" w:color="auto"/>
              <w:right w:val="single" w:sz="4" w:space="0" w:color="auto"/>
            </w:tcBorders>
            <w:shd w:val="clear" w:color="auto" w:fill="auto"/>
            <w:noWrap/>
            <w:vAlign w:val="center"/>
            <w:hideMark/>
          </w:tcPr>
          <w:p w14:paraId="6403C75F" w14:textId="383A2342"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170</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617</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816 </w:t>
            </w:r>
          </w:p>
        </w:tc>
        <w:tc>
          <w:tcPr>
            <w:tcW w:w="1418" w:type="dxa"/>
            <w:tcBorders>
              <w:top w:val="nil"/>
              <w:left w:val="nil"/>
              <w:bottom w:val="single" w:sz="4" w:space="0" w:color="auto"/>
              <w:right w:val="single" w:sz="4" w:space="0" w:color="auto"/>
            </w:tcBorders>
            <w:shd w:val="clear" w:color="auto" w:fill="auto"/>
            <w:noWrap/>
            <w:vAlign w:val="center"/>
            <w:hideMark/>
          </w:tcPr>
          <w:p w14:paraId="0004846C" w14:textId="04DFBB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706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178 </w:t>
            </w:r>
          </w:p>
        </w:tc>
      </w:tr>
      <w:tr w:rsidR="009A21D7" w:rsidRPr="00374360" w14:paraId="3CF4612D" w14:textId="77777777" w:rsidTr="00C734CF">
        <w:trPr>
          <w:trHeight w:val="4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204035F"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122</w:t>
            </w:r>
          </w:p>
        </w:tc>
        <w:tc>
          <w:tcPr>
            <w:tcW w:w="660" w:type="dxa"/>
            <w:tcBorders>
              <w:top w:val="nil"/>
              <w:left w:val="nil"/>
              <w:bottom w:val="single" w:sz="4" w:space="0" w:color="auto"/>
              <w:right w:val="single" w:sz="4" w:space="0" w:color="auto"/>
            </w:tcBorders>
            <w:shd w:val="clear" w:color="auto" w:fill="auto"/>
            <w:noWrap/>
            <w:vAlign w:val="center"/>
            <w:hideMark/>
          </w:tcPr>
          <w:p w14:paraId="3F021F1D"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22543</w:t>
            </w:r>
          </w:p>
        </w:tc>
        <w:tc>
          <w:tcPr>
            <w:tcW w:w="879" w:type="dxa"/>
            <w:tcBorders>
              <w:top w:val="nil"/>
              <w:left w:val="nil"/>
              <w:bottom w:val="single" w:sz="4" w:space="0" w:color="auto"/>
              <w:right w:val="single" w:sz="4" w:space="0" w:color="auto"/>
            </w:tcBorders>
            <w:shd w:val="clear" w:color="auto" w:fill="auto"/>
            <w:noWrap/>
            <w:vAlign w:val="center"/>
            <w:hideMark/>
          </w:tcPr>
          <w:p w14:paraId="4F707FF0"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900251423</w:t>
            </w:r>
          </w:p>
        </w:tc>
        <w:tc>
          <w:tcPr>
            <w:tcW w:w="3913" w:type="dxa"/>
            <w:tcBorders>
              <w:top w:val="nil"/>
              <w:left w:val="nil"/>
              <w:bottom w:val="single" w:sz="4" w:space="0" w:color="auto"/>
              <w:right w:val="single" w:sz="4" w:space="0" w:color="auto"/>
            </w:tcBorders>
            <w:shd w:val="clear" w:color="auto" w:fill="auto"/>
            <w:vAlign w:val="center"/>
            <w:hideMark/>
          </w:tcPr>
          <w:p w14:paraId="29E90350"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EMPRESA DE GENERACION Y PROMOCION DE ENERGIA DE ANTIOQUIA SA ESP</w:t>
            </w:r>
          </w:p>
        </w:tc>
        <w:tc>
          <w:tcPr>
            <w:tcW w:w="1602" w:type="dxa"/>
            <w:tcBorders>
              <w:top w:val="nil"/>
              <w:left w:val="nil"/>
              <w:bottom w:val="single" w:sz="4" w:space="0" w:color="auto"/>
              <w:right w:val="single" w:sz="4" w:space="0" w:color="auto"/>
            </w:tcBorders>
            <w:shd w:val="clear" w:color="auto" w:fill="auto"/>
            <w:noWrap/>
            <w:vAlign w:val="center"/>
            <w:hideMark/>
          </w:tcPr>
          <w:p w14:paraId="6B30E7D4" w14:textId="45E3F3A2"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326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437</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480 </w:t>
            </w:r>
          </w:p>
        </w:tc>
        <w:tc>
          <w:tcPr>
            <w:tcW w:w="1418" w:type="dxa"/>
            <w:tcBorders>
              <w:top w:val="nil"/>
              <w:left w:val="nil"/>
              <w:bottom w:val="single" w:sz="4" w:space="0" w:color="auto"/>
              <w:right w:val="single" w:sz="4" w:space="0" w:color="auto"/>
            </w:tcBorders>
            <w:shd w:val="clear" w:color="auto" w:fill="auto"/>
            <w:noWrap/>
            <w:vAlign w:val="center"/>
            <w:hideMark/>
          </w:tcPr>
          <w:p w14:paraId="4E3AB311" w14:textId="0A833424"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33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264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375 </w:t>
            </w:r>
          </w:p>
        </w:tc>
      </w:tr>
      <w:tr w:rsidR="009A21D7" w:rsidRPr="00374360" w14:paraId="5E96BDEF" w14:textId="77777777" w:rsidTr="00C734CF">
        <w:trPr>
          <w:trHeight w:val="6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640D890"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123</w:t>
            </w:r>
          </w:p>
        </w:tc>
        <w:tc>
          <w:tcPr>
            <w:tcW w:w="660" w:type="dxa"/>
            <w:tcBorders>
              <w:top w:val="nil"/>
              <w:left w:val="nil"/>
              <w:bottom w:val="single" w:sz="4" w:space="0" w:color="auto"/>
              <w:right w:val="single" w:sz="4" w:space="0" w:color="auto"/>
            </w:tcBorders>
            <w:shd w:val="clear" w:color="auto" w:fill="auto"/>
            <w:noWrap/>
            <w:vAlign w:val="center"/>
            <w:hideMark/>
          </w:tcPr>
          <w:p w14:paraId="00C0BE4B"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38850</w:t>
            </w:r>
          </w:p>
        </w:tc>
        <w:tc>
          <w:tcPr>
            <w:tcW w:w="879" w:type="dxa"/>
            <w:tcBorders>
              <w:top w:val="nil"/>
              <w:left w:val="nil"/>
              <w:bottom w:val="single" w:sz="4" w:space="0" w:color="auto"/>
              <w:right w:val="single" w:sz="4" w:space="0" w:color="auto"/>
            </w:tcBorders>
            <w:shd w:val="clear" w:color="auto" w:fill="auto"/>
            <w:noWrap/>
            <w:vAlign w:val="center"/>
            <w:hideMark/>
          </w:tcPr>
          <w:p w14:paraId="7D50FCA3"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901098421</w:t>
            </w:r>
          </w:p>
        </w:tc>
        <w:tc>
          <w:tcPr>
            <w:tcW w:w="3913" w:type="dxa"/>
            <w:tcBorders>
              <w:top w:val="nil"/>
              <w:left w:val="nil"/>
              <w:bottom w:val="single" w:sz="4" w:space="0" w:color="auto"/>
              <w:right w:val="single" w:sz="4" w:space="0" w:color="auto"/>
            </w:tcBorders>
            <w:shd w:val="clear" w:color="auto" w:fill="auto"/>
            <w:vAlign w:val="center"/>
            <w:hideMark/>
          </w:tcPr>
          <w:p w14:paraId="26F8FEAA"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EMPRESA DE SERVICIOS PÚBLICOS DE ENERGÍA ELÉCTRICA DE LAS PLAYAS ASOCIADAS - ENERPLASO S.A. E.S.P.  </w:t>
            </w:r>
          </w:p>
        </w:tc>
        <w:tc>
          <w:tcPr>
            <w:tcW w:w="1602" w:type="dxa"/>
            <w:tcBorders>
              <w:top w:val="nil"/>
              <w:left w:val="nil"/>
              <w:bottom w:val="single" w:sz="4" w:space="0" w:color="auto"/>
              <w:right w:val="single" w:sz="4" w:space="0" w:color="auto"/>
            </w:tcBorders>
            <w:shd w:val="clear" w:color="auto" w:fill="auto"/>
            <w:noWrap/>
            <w:vAlign w:val="center"/>
            <w:hideMark/>
          </w:tcPr>
          <w:p w14:paraId="394E921B" w14:textId="42BE39FD"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724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469</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925 </w:t>
            </w:r>
          </w:p>
        </w:tc>
        <w:tc>
          <w:tcPr>
            <w:tcW w:w="1418" w:type="dxa"/>
            <w:tcBorders>
              <w:top w:val="nil"/>
              <w:left w:val="nil"/>
              <w:bottom w:val="single" w:sz="4" w:space="0" w:color="auto"/>
              <w:right w:val="single" w:sz="4" w:space="0" w:color="auto"/>
            </w:tcBorders>
            <w:shd w:val="clear" w:color="auto" w:fill="auto"/>
            <w:noWrap/>
            <w:vAlign w:val="center"/>
            <w:hideMark/>
          </w:tcPr>
          <w:p w14:paraId="1647E130" w14:textId="251ABA23"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7</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244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699 </w:t>
            </w:r>
          </w:p>
        </w:tc>
      </w:tr>
      <w:tr w:rsidR="009A21D7" w:rsidRPr="00374360" w14:paraId="30294CD8" w14:textId="77777777" w:rsidTr="00C734CF">
        <w:trPr>
          <w:trHeight w:val="6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8016F50"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124</w:t>
            </w:r>
          </w:p>
        </w:tc>
        <w:tc>
          <w:tcPr>
            <w:tcW w:w="660" w:type="dxa"/>
            <w:tcBorders>
              <w:top w:val="nil"/>
              <w:left w:val="nil"/>
              <w:bottom w:val="single" w:sz="4" w:space="0" w:color="auto"/>
              <w:right w:val="single" w:sz="4" w:space="0" w:color="auto"/>
            </w:tcBorders>
            <w:shd w:val="clear" w:color="auto" w:fill="auto"/>
            <w:noWrap/>
            <w:vAlign w:val="center"/>
            <w:hideMark/>
          </w:tcPr>
          <w:p w14:paraId="4A1822B5"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23400</w:t>
            </w:r>
          </w:p>
        </w:tc>
        <w:tc>
          <w:tcPr>
            <w:tcW w:w="879" w:type="dxa"/>
            <w:tcBorders>
              <w:top w:val="nil"/>
              <w:left w:val="nil"/>
              <w:bottom w:val="single" w:sz="4" w:space="0" w:color="auto"/>
              <w:right w:val="single" w:sz="4" w:space="0" w:color="auto"/>
            </w:tcBorders>
            <w:shd w:val="clear" w:color="auto" w:fill="auto"/>
            <w:noWrap/>
            <w:vAlign w:val="center"/>
            <w:hideMark/>
          </w:tcPr>
          <w:p w14:paraId="1AF86102"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900350023</w:t>
            </w:r>
          </w:p>
        </w:tc>
        <w:tc>
          <w:tcPr>
            <w:tcW w:w="3913" w:type="dxa"/>
            <w:tcBorders>
              <w:top w:val="nil"/>
              <w:left w:val="nil"/>
              <w:bottom w:val="single" w:sz="4" w:space="0" w:color="auto"/>
              <w:right w:val="single" w:sz="4" w:space="0" w:color="auto"/>
            </w:tcBorders>
            <w:shd w:val="clear" w:color="auto" w:fill="auto"/>
            <w:vAlign w:val="center"/>
            <w:hideMark/>
          </w:tcPr>
          <w:p w14:paraId="45AE48BE"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EMPRESA DE SERVICIOS PUBLICOS DE ENERGIA ELECTRICA DEL MUNICIPIO DE BARBACOAS S.A.S E.S.P</w:t>
            </w:r>
          </w:p>
        </w:tc>
        <w:tc>
          <w:tcPr>
            <w:tcW w:w="1602" w:type="dxa"/>
            <w:tcBorders>
              <w:top w:val="nil"/>
              <w:left w:val="nil"/>
              <w:bottom w:val="single" w:sz="4" w:space="0" w:color="auto"/>
              <w:right w:val="single" w:sz="4" w:space="0" w:color="auto"/>
            </w:tcBorders>
            <w:shd w:val="clear" w:color="auto" w:fill="auto"/>
            <w:noWrap/>
            <w:vAlign w:val="center"/>
            <w:hideMark/>
          </w:tcPr>
          <w:p w14:paraId="4A2971A5" w14:textId="4794B34E"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310</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158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277 </w:t>
            </w:r>
          </w:p>
        </w:tc>
        <w:tc>
          <w:tcPr>
            <w:tcW w:w="1418" w:type="dxa"/>
            <w:tcBorders>
              <w:top w:val="nil"/>
              <w:left w:val="nil"/>
              <w:bottom w:val="single" w:sz="4" w:space="0" w:color="auto"/>
              <w:right w:val="single" w:sz="4" w:space="0" w:color="auto"/>
            </w:tcBorders>
            <w:shd w:val="clear" w:color="auto" w:fill="auto"/>
            <w:noWrap/>
            <w:vAlign w:val="center"/>
            <w:hideMark/>
          </w:tcPr>
          <w:p w14:paraId="32F9B1DD" w14:textId="24A3F15A"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101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583 </w:t>
            </w:r>
          </w:p>
        </w:tc>
      </w:tr>
      <w:tr w:rsidR="009A21D7" w:rsidRPr="00374360" w14:paraId="6CF92C0E" w14:textId="77777777" w:rsidTr="00C734CF">
        <w:trPr>
          <w:trHeight w:val="6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B75C0FA"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125</w:t>
            </w:r>
          </w:p>
        </w:tc>
        <w:tc>
          <w:tcPr>
            <w:tcW w:w="660" w:type="dxa"/>
            <w:tcBorders>
              <w:top w:val="nil"/>
              <w:left w:val="nil"/>
              <w:bottom w:val="single" w:sz="4" w:space="0" w:color="auto"/>
              <w:right w:val="single" w:sz="4" w:space="0" w:color="auto"/>
            </w:tcBorders>
            <w:shd w:val="clear" w:color="auto" w:fill="auto"/>
            <w:noWrap/>
            <w:vAlign w:val="center"/>
            <w:hideMark/>
          </w:tcPr>
          <w:p w14:paraId="2F790DBD"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43836</w:t>
            </w:r>
          </w:p>
        </w:tc>
        <w:tc>
          <w:tcPr>
            <w:tcW w:w="879" w:type="dxa"/>
            <w:tcBorders>
              <w:top w:val="nil"/>
              <w:left w:val="nil"/>
              <w:bottom w:val="single" w:sz="4" w:space="0" w:color="auto"/>
              <w:right w:val="single" w:sz="4" w:space="0" w:color="auto"/>
            </w:tcBorders>
            <w:shd w:val="clear" w:color="auto" w:fill="auto"/>
            <w:noWrap/>
            <w:vAlign w:val="center"/>
            <w:hideMark/>
          </w:tcPr>
          <w:p w14:paraId="5210DA1C"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901219090</w:t>
            </w:r>
          </w:p>
        </w:tc>
        <w:tc>
          <w:tcPr>
            <w:tcW w:w="3913" w:type="dxa"/>
            <w:tcBorders>
              <w:top w:val="nil"/>
              <w:left w:val="nil"/>
              <w:bottom w:val="single" w:sz="4" w:space="0" w:color="auto"/>
              <w:right w:val="single" w:sz="4" w:space="0" w:color="auto"/>
            </w:tcBorders>
            <w:shd w:val="clear" w:color="auto" w:fill="auto"/>
            <w:vAlign w:val="center"/>
            <w:hideMark/>
          </w:tcPr>
          <w:p w14:paraId="6B8C44D4"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EMPRESA DE SERVICIOS PÚBLICOS DE ENERGÍA LIMPIA DE COLOMBIA ENERLIMPIA S.A. E.S.P.</w:t>
            </w:r>
          </w:p>
        </w:tc>
        <w:tc>
          <w:tcPr>
            <w:tcW w:w="1602" w:type="dxa"/>
            <w:tcBorders>
              <w:top w:val="nil"/>
              <w:left w:val="nil"/>
              <w:bottom w:val="single" w:sz="4" w:space="0" w:color="auto"/>
              <w:right w:val="single" w:sz="4" w:space="0" w:color="auto"/>
            </w:tcBorders>
            <w:shd w:val="clear" w:color="auto" w:fill="auto"/>
            <w:noWrap/>
            <w:vAlign w:val="center"/>
            <w:hideMark/>
          </w:tcPr>
          <w:p w14:paraId="7F395EFD" w14:textId="435A9766"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99</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529</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579 </w:t>
            </w:r>
          </w:p>
        </w:tc>
        <w:tc>
          <w:tcPr>
            <w:tcW w:w="1418" w:type="dxa"/>
            <w:tcBorders>
              <w:top w:val="nil"/>
              <w:left w:val="nil"/>
              <w:bottom w:val="single" w:sz="4" w:space="0" w:color="auto"/>
              <w:right w:val="single" w:sz="4" w:space="0" w:color="auto"/>
            </w:tcBorders>
            <w:shd w:val="clear" w:color="auto" w:fill="auto"/>
            <w:noWrap/>
            <w:vAlign w:val="center"/>
            <w:hideMark/>
          </w:tcPr>
          <w:p w14:paraId="56FE185A" w14:textId="0D1D96BB"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995</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296 </w:t>
            </w:r>
          </w:p>
        </w:tc>
      </w:tr>
      <w:tr w:rsidR="009A21D7" w:rsidRPr="00374360" w14:paraId="1224C477" w14:textId="77777777" w:rsidTr="00C734CF">
        <w:trPr>
          <w:trHeight w:val="4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E1BFC7D"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126</w:t>
            </w:r>
          </w:p>
        </w:tc>
        <w:tc>
          <w:tcPr>
            <w:tcW w:w="660" w:type="dxa"/>
            <w:tcBorders>
              <w:top w:val="nil"/>
              <w:left w:val="nil"/>
              <w:bottom w:val="single" w:sz="4" w:space="0" w:color="auto"/>
              <w:right w:val="single" w:sz="4" w:space="0" w:color="auto"/>
            </w:tcBorders>
            <w:shd w:val="clear" w:color="auto" w:fill="auto"/>
            <w:noWrap/>
            <w:vAlign w:val="center"/>
            <w:hideMark/>
          </w:tcPr>
          <w:p w14:paraId="02B2145E"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3207</w:t>
            </w:r>
          </w:p>
        </w:tc>
        <w:tc>
          <w:tcPr>
            <w:tcW w:w="879" w:type="dxa"/>
            <w:tcBorders>
              <w:top w:val="nil"/>
              <w:left w:val="nil"/>
              <w:bottom w:val="single" w:sz="4" w:space="0" w:color="auto"/>
              <w:right w:val="single" w:sz="4" w:space="0" w:color="auto"/>
            </w:tcBorders>
            <w:shd w:val="clear" w:color="auto" w:fill="auto"/>
            <w:noWrap/>
            <w:vAlign w:val="center"/>
            <w:hideMark/>
          </w:tcPr>
          <w:p w14:paraId="04C3FC2B"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811034077</w:t>
            </w:r>
          </w:p>
        </w:tc>
        <w:tc>
          <w:tcPr>
            <w:tcW w:w="3913" w:type="dxa"/>
            <w:tcBorders>
              <w:top w:val="nil"/>
              <w:left w:val="nil"/>
              <w:bottom w:val="single" w:sz="4" w:space="0" w:color="auto"/>
              <w:right w:val="single" w:sz="4" w:space="0" w:color="auto"/>
            </w:tcBorders>
            <w:shd w:val="clear" w:color="auto" w:fill="auto"/>
            <w:vAlign w:val="center"/>
            <w:hideMark/>
          </w:tcPr>
          <w:p w14:paraId="6DADC2EE"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EMPRESA DE SERVICIOS PUBLICOS DE MURINDO S.A.S E.S.P.</w:t>
            </w:r>
          </w:p>
        </w:tc>
        <w:tc>
          <w:tcPr>
            <w:tcW w:w="1602" w:type="dxa"/>
            <w:tcBorders>
              <w:top w:val="nil"/>
              <w:left w:val="nil"/>
              <w:bottom w:val="single" w:sz="4" w:space="0" w:color="auto"/>
              <w:right w:val="single" w:sz="4" w:space="0" w:color="auto"/>
            </w:tcBorders>
            <w:shd w:val="clear" w:color="auto" w:fill="auto"/>
            <w:noWrap/>
            <w:vAlign w:val="center"/>
            <w:hideMark/>
          </w:tcPr>
          <w:p w14:paraId="3E1C15F8" w14:textId="0ABFEEA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361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821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617 </w:t>
            </w:r>
          </w:p>
        </w:tc>
        <w:tc>
          <w:tcPr>
            <w:tcW w:w="1418" w:type="dxa"/>
            <w:tcBorders>
              <w:top w:val="nil"/>
              <w:left w:val="nil"/>
              <w:bottom w:val="single" w:sz="4" w:space="0" w:color="auto"/>
              <w:right w:val="single" w:sz="4" w:space="0" w:color="auto"/>
            </w:tcBorders>
            <w:shd w:val="clear" w:color="auto" w:fill="auto"/>
            <w:noWrap/>
            <w:vAlign w:val="center"/>
            <w:hideMark/>
          </w:tcPr>
          <w:p w14:paraId="56839CD7" w14:textId="6405942F"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618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216 </w:t>
            </w:r>
          </w:p>
        </w:tc>
      </w:tr>
      <w:tr w:rsidR="009A21D7" w:rsidRPr="00374360" w14:paraId="6AE53491" w14:textId="77777777" w:rsidTr="00C734CF">
        <w:trPr>
          <w:trHeight w:val="4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791D356"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127</w:t>
            </w:r>
          </w:p>
        </w:tc>
        <w:tc>
          <w:tcPr>
            <w:tcW w:w="660" w:type="dxa"/>
            <w:tcBorders>
              <w:top w:val="nil"/>
              <w:left w:val="nil"/>
              <w:bottom w:val="single" w:sz="4" w:space="0" w:color="auto"/>
              <w:right w:val="single" w:sz="4" w:space="0" w:color="auto"/>
            </w:tcBorders>
            <w:shd w:val="clear" w:color="auto" w:fill="auto"/>
            <w:noWrap/>
            <w:vAlign w:val="center"/>
            <w:hideMark/>
          </w:tcPr>
          <w:p w14:paraId="2065565F"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26772</w:t>
            </w:r>
          </w:p>
        </w:tc>
        <w:tc>
          <w:tcPr>
            <w:tcW w:w="879" w:type="dxa"/>
            <w:tcBorders>
              <w:top w:val="nil"/>
              <w:left w:val="nil"/>
              <w:bottom w:val="single" w:sz="4" w:space="0" w:color="auto"/>
              <w:right w:val="single" w:sz="4" w:space="0" w:color="auto"/>
            </w:tcBorders>
            <w:shd w:val="clear" w:color="auto" w:fill="auto"/>
            <w:noWrap/>
            <w:vAlign w:val="center"/>
            <w:hideMark/>
          </w:tcPr>
          <w:p w14:paraId="6AAF42F7"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900648934</w:t>
            </w:r>
          </w:p>
        </w:tc>
        <w:tc>
          <w:tcPr>
            <w:tcW w:w="3913" w:type="dxa"/>
            <w:tcBorders>
              <w:top w:val="nil"/>
              <w:left w:val="nil"/>
              <w:bottom w:val="single" w:sz="4" w:space="0" w:color="auto"/>
              <w:right w:val="single" w:sz="4" w:space="0" w:color="auto"/>
            </w:tcBorders>
            <w:shd w:val="clear" w:color="auto" w:fill="auto"/>
            <w:vAlign w:val="center"/>
            <w:hideMark/>
          </w:tcPr>
          <w:p w14:paraId="60A8F05E"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EMPRESA DE SERVICIOS PUBLICOS DE SANTANDER S.A.E.S.P.</w:t>
            </w:r>
          </w:p>
        </w:tc>
        <w:tc>
          <w:tcPr>
            <w:tcW w:w="1602" w:type="dxa"/>
            <w:tcBorders>
              <w:top w:val="nil"/>
              <w:left w:val="nil"/>
              <w:bottom w:val="single" w:sz="4" w:space="0" w:color="auto"/>
              <w:right w:val="single" w:sz="4" w:space="0" w:color="auto"/>
            </w:tcBorders>
            <w:shd w:val="clear" w:color="auto" w:fill="auto"/>
            <w:noWrap/>
            <w:vAlign w:val="center"/>
            <w:hideMark/>
          </w:tcPr>
          <w:p w14:paraId="4C1A42E7" w14:textId="2D10E39A"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587</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547</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838 </w:t>
            </w:r>
          </w:p>
        </w:tc>
        <w:tc>
          <w:tcPr>
            <w:tcW w:w="1418" w:type="dxa"/>
            <w:tcBorders>
              <w:top w:val="nil"/>
              <w:left w:val="nil"/>
              <w:bottom w:val="single" w:sz="4" w:space="0" w:color="auto"/>
              <w:right w:val="single" w:sz="4" w:space="0" w:color="auto"/>
            </w:tcBorders>
            <w:shd w:val="clear" w:color="auto" w:fill="auto"/>
            <w:noWrap/>
            <w:vAlign w:val="center"/>
            <w:hideMark/>
          </w:tcPr>
          <w:p w14:paraId="26858251" w14:textId="27A9C98A"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5</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875</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478 </w:t>
            </w:r>
          </w:p>
        </w:tc>
      </w:tr>
      <w:tr w:rsidR="009A21D7" w:rsidRPr="00374360" w14:paraId="6A079DCD" w14:textId="77777777" w:rsidTr="00C734CF">
        <w:trPr>
          <w:trHeight w:val="4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61E8207"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128</w:t>
            </w:r>
          </w:p>
        </w:tc>
        <w:tc>
          <w:tcPr>
            <w:tcW w:w="660" w:type="dxa"/>
            <w:tcBorders>
              <w:top w:val="nil"/>
              <w:left w:val="nil"/>
              <w:bottom w:val="single" w:sz="4" w:space="0" w:color="auto"/>
              <w:right w:val="single" w:sz="4" w:space="0" w:color="auto"/>
            </w:tcBorders>
            <w:shd w:val="clear" w:color="auto" w:fill="auto"/>
            <w:noWrap/>
            <w:vAlign w:val="center"/>
            <w:hideMark/>
          </w:tcPr>
          <w:p w14:paraId="0B6F415B"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32194</w:t>
            </w:r>
          </w:p>
        </w:tc>
        <w:tc>
          <w:tcPr>
            <w:tcW w:w="879" w:type="dxa"/>
            <w:tcBorders>
              <w:top w:val="nil"/>
              <w:left w:val="nil"/>
              <w:bottom w:val="single" w:sz="4" w:space="0" w:color="auto"/>
              <w:right w:val="single" w:sz="4" w:space="0" w:color="auto"/>
            </w:tcBorders>
            <w:shd w:val="clear" w:color="auto" w:fill="auto"/>
            <w:noWrap/>
            <w:vAlign w:val="center"/>
            <w:hideMark/>
          </w:tcPr>
          <w:p w14:paraId="462AE872"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900927089</w:t>
            </w:r>
          </w:p>
        </w:tc>
        <w:tc>
          <w:tcPr>
            <w:tcW w:w="3913" w:type="dxa"/>
            <w:tcBorders>
              <w:top w:val="nil"/>
              <w:left w:val="nil"/>
              <w:bottom w:val="single" w:sz="4" w:space="0" w:color="auto"/>
              <w:right w:val="single" w:sz="4" w:space="0" w:color="auto"/>
            </w:tcBorders>
            <w:shd w:val="clear" w:color="auto" w:fill="auto"/>
            <w:vAlign w:val="center"/>
            <w:hideMark/>
          </w:tcPr>
          <w:p w14:paraId="77243394"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EMPRESA DE SERVICIOS PUBLICOS DEL ALTO BAUDO E.S.P. S.A.S.</w:t>
            </w:r>
          </w:p>
        </w:tc>
        <w:tc>
          <w:tcPr>
            <w:tcW w:w="1602" w:type="dxa"/>
            <w:tcBorders>
              <w:top w:val="nil"/>
              <w:left w:val="nil"/>
              <w:bottom w:val="single" w:sz="4" w:space="0" w:color="auto"/>
              <w:right w:val="single" w:sz="4" w:space="0" w:color="auto"/>
            </w:tcBorders>
            <w:shd w:val="clear" w:color="auto" w:fill="auto"/>
            <w:noWrap/>
            <w:vAlign w:val="center"/>
            <w:hideMark/>
          </w:tcPr>
          <w:p w14:paraId="42DBB09F" w14:textId="0BB2DCAB"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63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653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879 </w:t>
            </w:r>
          </w:p>
        </w:tc>
        <w:tc>
          <w:tcPr>
            <w:tcW w:w="1418" w:type="dxa"/>
            <w:tcBorders>
              <w:top w:val="nil"/>
              <w:left w:val="nil"/>
              <w:bottom w:val="single" w:sz="4" w:space="0" w:color="auto"/>
              <w:right w:val="single" w:sz="4" w:space="0" w:color="auto"/>
            </w:tcBorders>
            <w:shd w:val="clear" w:color="auto" w:fill="auto"/>
            <w:noWrap/>
            <w:vAlign w:val="center"/>
            <w:hideMark/>
          </w:tcPr>
          <w:p w14:paraId="0113A758" w14:textId="0A6D290A"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636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539 </w:t>
            </w:r>
          </w:p>
        </w:tc>
      </w:tr>
      <w:tr w:rsidR="009A21D7" w:rsidRPr="00374360" w14:paraId="43C82116" w14:textId="77777777" w:rsidTr="00C734CF">
        <w:trPr>
          <w:trHeight w:val="4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13DC293"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lastRenderedPageBreak/>
              <w:t>129</w:t>
            </w:r>
          </w:p>
        </w:tc>
        <w:tc>
          <w:tcPr>
            <w:tcW w:w="660" w:type="dxa"/>
            <w:tcBorders>
              <w:top w:val="nil"/>
              <w:left w:val="nil"/>
              <w:bottom w:val="single" w:sz="4" w:space="0" w:color="auto"/>
              <w:right w:val="single" w:sz="4" w:space="0" w:color="auto"/>
            </w:tcBorders>
            <w:shd w:val="clear" w:color="auto" w:fill="auto"/>
            <w:noWrap/>
            <w:vAlign w:val="center"/>
            <w:hideMark/>
          </w:tcPr>
          <w:p w14:paraId="795E656E"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26717</w:t>
            </w:r>
          </w:p>
        </w:tc>
        <w:tc>
          <w:tcPr>
            <w:tcW w:w="879" w:type="dxa"/>
            <w:tcBorders>
              <w:top w:val="nil"/>
              <w:left w:val="nil"/>
              <w:bottom w:val="single" w:sz="4" w:space="0" w:color="auto"/>
              <w:right w:val="single" w:sz="4" w:space="0" w:color="auto"/>
            </w:tcBorders>
            <w:shd w:val="clear" w:color="auto" w:fill="auto"/>
            <w:noWrap/>
            <w:vAlign w:val="center"/>
            <w:hideMark/>
          </w:tcPr>
          <w:p w14:paraId="3566199C"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900662075</w:t>
            </w:r>
          </w:p>
        </w:tc>
        <w:tc>
          <w:tcPr>
            <w:tcW w:w="3913" w:type="dxa"/>
            <w:tcBorders>
              <w:top w:val="nil"/>
              <w:left w:val="nil"/>
              <w:bottom w:val="single" w:sz="4" w:space="0" w:color="auto"/>
              <w:right w:val="single" w:sz="4" w:space="0" w:color="auto"/>
            </w:tcBorders>
            <w:shd w:val="clear" w:color="auto" w:fill="auto"/>
            <w:vAlign w:val="center"/>
            <w:hideMark/>
          </w:tcPr>
          <w:p w14:paraId="28F137D6"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EMPRESA DE SERVICIOS PUBLICOS DEL OCCIDENTE COLOMBIANO S.A.</w:t>
            </w:r>
          </w:p>
        </w:tc>
        <w:tc>
          <w:tcPr>
            <w:tcW w:w="1602" w:type="dxa"/>
            <w:tcBorders>
              <w:top w:val="nil"/>
              <w:left w:val="nil"/>
              <w:bottom w:val="single" w:sz="4" w:space="0" w:color="auto"/>
              <w:right w:val="single" w:sz="4" w:space="0" w:color="auto"/>
            </w:tcBorders>
            <w:shd w:val="clear" w:color="auto" w:fill="auto"/>
            <w:noWrap/>
            <w:vAlign w:val="center"/>
            <w:hideMark/>
          </w:tcPr>
          <w:p w14:paraId="48F7CF21" w14:textId="39562868"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694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321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831 </w:t>
            </w:r>
          </w:p>
        </w:tc>
        <w:tc>
          <w:tcPr>
            <w:tcW w:w="1418" w:type="dxa"/>
            <w:tcBorders>
              <w:top w:val="nil"/>
              <w:left w:val="nil"/>
              <w:bottom w:val="single" w:sz="4" w:space="0" w:color="auto"/>
              <w:right w:val="single" w:sz="4" w:space="0" w:color="auto"/>
            </w:tcBorders>
            <w:shd w:val="clear" w:color="auto" w:fill="auto"/>
            <w:noWrap/>
            <w:vAlign w:val="center"/>
            <w:hideMark/>
          </w:tcPr>
          <w:p w14:paraId="65D1FC47" w14:textId="1067FB1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943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218 </w:t>
            </w:r>
          </w:p>
        </w:tc>
      </w:tr>
      <w:tr w:rsidR="009A21D7" w:rsidRPr="00374360" w14:paraId="3FC22DC8" w14:textId="77777777" w:rsidTr="00C734CF">
        <w:trPr>
          <w:trHeight w:val="4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FAA150B"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130</w:t>
            </w:r>
          </w:p>
        </w:tc>
        <w:tc>
          <w:tcPr>
            <w:tcW w:w="660" w:type="dxa"/>
            <w:tcBorders>
              <w:top w:val="nil"/>
              <w:left w:val="nil"/>
              <w:bottom w:val="single" w:sz="4" w:space="0" w:color="auto"/>
              <w:right w:val="single" w:sz="4" w:space="0" w:color="auto"/>
            </w:tcBorders>
            <w:shd w:val="clear" w:color="auto" w:fill="auto"/>
            <w:noWrap/>
            <w:vAlign w:val="center"/>
            <w:hideMark/>
          </w:tcPr>
          <w:p w14:paraId="6AF62ED8"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22941</w:t>
            </w:r>
          </w:p>
        </w:tc>
        <w:tc>
          <w:tcPr>
            <w:tcW w:w="879" w:type="dxa"/>
            <w:tcBorders>
              <w:top w:val="nil"/>
              <w:left w:val="nil"/>
              <w:bottom w:val="single" w:sz="4" w:space="0" w:color="auto"/>
              <w:right w:val="single" w:sz="4" w:space="0" w:color="auto"/>
            </w:tcBorders>
            <w:shd w:val="clear" w:color="auto" w:fill="auto"/>
            <w:noWrap/>
            <w:vAlign w:val="center"/>
            <w:hideMark/>
          </w:tcPr>
          <w:p w14:paraId="01700B62"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900304017</w:t>
            </w:r>
          </w:p>
        </w:tc>
        <w:tc>
          <w:tcPr>
            <w:tcW w:w="3913" w:type="dxa"/>
            <w:tcBorders>
              <w:top w:val="nil"/>
              <w:left w:val="nil"/>
              <w:bottom w:val="single" w:sz="4" w:space="0" w:color="auto"/>
              <w:right w:val="single" w:sz="4" w:space="0" w:color="auto"/>
            </w:tcBorders>
            <w:shd w:val="clear" w:color="auto" w:fill="auto"/>
            <w:vAlign w:val="center"/>
            <w:hideMark/>
          </w:tcPr>
          <w:p w14:paraId="42716C45"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EMPRESA DE SERVICIOS PUBLICOS DOMICILIARIOS DE UNGUIA SA ESP</w:t>
            </w:r>
          </w:p>
        </w:tc>
        <w:tc>
          <w:tcPr>
            <w:tcW w:w="1602" w:type="dxa"/>
            <w:tcBorders>
              <w:top w:val="nil"/>
              <w:left w:val="nil"/>
              <w:bottom w:val="single" w:sz="4" w:space="0" w:color="auto"/>
              <w:right w:val="single" w:sz="4" w:space="0" w:color="auto"/>
            </w:tcBorders>
            <w:shd w:val="clear" w:color="auto" w:fill="auto"/>
            <w:noWrap/>
            <w:vAlign w:val="center"/>
            <w:hideMark/>
          </w:tcPr>
          <w:p w14:paraId="1453595A" w14:textId="02E79CB4"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447</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301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033 </w:t>
            </w:r>
          </w:p>
        </w:tc>
        <w:tc>
          <w:tcPr>
            <w:tcW w:w="1418" w:type="dxa"/>
            <w:tcBorders>
              <w:top w:val="nil"/>
              <w:left w:val="nil"/>
              <w:bottom w:val="single" w:sz="4" w:space="0" w:color="auto"/>
              <w:right w:val="single" w:sz="4" w:space="0" w:color="auto"/>
            </w:tcBorders>
            <w:shd w:val="clear" w:color="auto" w:fill="auto"/>
            <w:noWrap/>
            <w:vAlign w:val="center"/>
            <w:hideMark/>
          </w:tcPr>
          <w:p w14:paraId="5C979F2B" w14:textId="4DE5FCE5"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473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010 </w:t>
            </w:r>
          </w:p>
        </w:tc>
      </w:tr>
      <w:tr w:rsidR="009A21D7" w:rsidRPr="00374360" w14:paraId="27EA20F2" w14:textId="77777777" w:rsidTr="00C734CF">
        <w:trPr>
          <w:trHeight w:val="4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763207C"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131</w:t>
            </w:r>
          </w:p>
        </w:tc>
        <w:tc>
          <w:tcPr>
            <w:tcW w:w="660" w:type="dxa"/>
            <w:tcBorders>
              <w:top w:val="nil"/>
              <w:left w:val="nil"/>
              <w:bottom w:val="single" w:sz="4" w:space="0" w:color="auto"/>
              <w:right w:val="single" w:sz="4" w:space="0" w:color="auto"/>
            </w:tcBorders>
            <w:shd w:val="clear" w:color="auto" w:fill="auto"/>
            <w:noWrap/>
            <w:vAlign w:val="center"/>
            <w:hideMark/>
          </w:tcPr>
          <w:p w14:paraId="50E1EBD2"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41836</w:t>
            </w:r>
          </w:p>
        </w:tc>
        <w:tc>
          <w:tcPr>
            <w:tcW w:w="879" w:type="dxa"/>
            <w:tcBorders>
              <w:top w:val="nil"/>
              <w:left w:val="nil"/>
              <w:bottom w:val="single" w:sz="4" w:space="0" w:color="auto"/>
              <w:right w:val="single" w:sz="4" w:space="0" w:color="auto"/>
            </w:tcBorders>
            <w:shd w:val="clear" w:color="auto" w:fill="auto"/>
            <w:noWrap/>
            <w:vAlign w:val="center"/>
            <w:hideMark/>
          </w:tcPr>
          <w:p w14:paraId="0620A8AA"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901164452</w:t>
            </w:r>
          </w:p>
        </w:tc>
        <w:tc>
          <w:tcPr>
            <w:tcW w:w="3913" w:type="dxa"/>
            <w:tcBorders>
              <w:top w:val="nil"/>
              <w:left w:val="nil"/>
              <w:bottom w:val="single" w:sz="4" w:space="0" w:color="auto"/>
              <w:right w:val="single" w:sz="4" w:space="0" w:color="auto"/>
            </w:tcBorders>
            <w:shd w:val="clear" w:color="auto" w:fill="auto"/>
            <w:vAlign w:val="center"/>
            <w:hideMark/>
          </w:tcPr>
          <w:p w14:paraId="2DF33F46"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EMPRESA DE SERVICIOS PUBLICOS ENERGIZAR DEL PACIFICO S.A. E.S.P.</w:t>
            </w:r>
          </w:p>
        </w:tc>
        <w:tc>
          <w:tcPr>
            <w:tcW w:w="1602" w:type="dxa"/>
            <w:tcBorders>
              <w:top w:val="nil"/>
              <w:left w:val="nil"/>
              <w:bottom w:val="single" w:sz="4" w:space="0" w:color="auto"/>
              <w:right w:val="single" w:sz="4" w:space="0" w:color="auto"/>
            </w:tcBorders>
            <w:shd w:val="clear" w:color="auto" w:fill="auto"/>
            <w:noWrap/>
            <w:vAlign w:val="center"/>
            <w:hideMark/>
          </w:tcPr>
          <w:p w14:paraId="67CF3F23" w14:textId="2D9EBDE0"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311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516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941 </w:t>
            </w:r>
          </w:p>
        </w:tc>
        <w:tc>
          <w:tcPr>
            <w:tcW w:w="1418" w:type="dxa"/>
            <w:tcBorders>
              <w:top w:val="nil"/>
              <w:left w:val="nil"/>
              <w:bottom w:val="single" w:sz="4" w:space="0" w:color="auto"/>
              <w:right w:val="single" w:sz="4" w:space="0" w:color="auto"/>
            </w:tcBorders>
            <w:shd w:val="clear" w:color="auto" w:fill="auto"/>
            <w:noWrap/>
            <w:vAlign w:val="center"/>
            <w:hideMark/>
          </w:tcPr>
          <w:p w14:paraId="14B61256" w14:textId="222F3698"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115</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169 </w:t>
            </w:r>
          </w:p>
        </w:tc>
      </w:tr>
      <w:tr w:rsidR="009A21D7" w:rsidRPr="00374360" w14:paraId="156CAB46" w14:textId="77777777" w:rsidTr="00C734CF">
        <w:trPr>
          <w:trHeight w:val="6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BFEA420"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132</w:t>
            </w:r>
          </w:p>
        </w:tc>
        <w:tc>
          <w:tcPr>
            <w:tcW w:w="660" w:type="dxa"/>
            <w:tcBorders>
              <w:top w:val="nil"/>
              <w:left w:val="nil"/>
              <w:bottom w:val="single" w:sz="4" w:space="0" w:color="auto"/>
              <w:right w:val="single" w:sz="4" w:space="0" w:color="auto"/>
            </w:tcBorders>
            <w:shd w:val="clear" w:color="auto" w:fill="auto"/>
            <w:noWrap/>
            <w:vAlign w:val="center"/>
            <w:hideMark/>
          </w:tcPr>
          <w:p w14:paraId="52EB5304"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34274</w:t>
            </w:r>
          </w:p>
        </w:tc>
        <w:tc>
          <w:tcPr>
            <w:tcW w:w="879" w:type="dxa"/>
            <w:tcBorders>
              <w:top w:val="nil"/>
              <w:left w:val="nil"/>
              <w:bottom w:val="single" w:sz="4" w:space="0" w:color="auto"/>
              <w:right w:val="single" w:sz="4" w:space="0" w:color="auto"/>
            </w:tcBorders>
            <w:shd w:val="clear" w:color="auto" w:fill="auto"/>
            <w:noWrap/>
            <w:vAlign w:val="center"/>
            <w:hideMark/>
          </w:tcPr>
          <w:p w14:paraId="28DC8FCE"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900988019</w:t>
            </w:r>
          </w:p>
        </w:tc>
        <w:tc>
          <w:tcPr>
            <w:tcW w:w="3913" w:type="dxa"/>
            <w:tcBorders>
              <w:top w:val="nil"/>
              <w:left w:val="nil"/>
              <w:bottom w:val="single" w:sz="4" w:space="0" w:color="auto"/>
              <w:right w:val="single" w:sz="4" w:space="0" w:color="auto"/>
            </w:tcBorders>
            <w:shd w:val="clear" w:color="auto" w:fill="auto"/>
            <w:vAlign w:val="center"/>
            <w:hideMark/>
          </w:tcPr>
          <w:p w14:paraId="30859306"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EMPRESA DE SERVICIOS PUCLICOS Y ENERGIA DEL LITORAL DEL SAN JUAN S.A.S. E.S.P.</w:t>
            </w:r>
          </w:p>
        </w:tc>
        <w:tc>
          <w:tcPr>
            <w:tcW w:w="1602" w:type="dxa"/>
            <w:tcBorders>
              <w:top w:val="nil"/>
              <w:left w:val="nil"/>
              <w:bottom w:val="single" w:sz="4" w:space="0" w:color="auto"/>
              <w:right w:val="single" w:sz="4" w:space="0" w:color="auto"/>
            </w:tcBorders>
            <w:shd w:val="clear" w:color="auto" w:fill="auto"/>
            <w:noWrap/>
            <w:vAlign w:val="center"/>
            <w:hideMark/>
          </w:tcPr>
          <w:p w14:paraId="0F662812" w14:textId="3B81F6E9"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99</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146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721 </w:t>
            </w:r>
          </w:p>
        </w:tc>
        <w:tc>
          <w:tcPr>
            <w:tcW w:w="1418" w:type="dxa"/>
            <w:tcBorders>
              <w:top w:val="nil"/>
              <w:left w:val="nil"/>
              <w:bottom w:val="single" w:sz="4" w:space="0" w:color="auto"/>
              <w:right w:val="single" w:sz="4" w:space="0" w:color="auto"/>
            </w:tcBorders>
            <w:shd w:val="clear" w:color="auto" w:fill="auto"/>
            <w:noWrap/>
            <w:vAlign w:val="center"/>
            <w:hideMark/>
          </w:tcPr>
          <w:p w14:paraId="5D1BFAAD" w14:textId="497E921B"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991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467 </w:t>
            </w:r>
          </w:p>
        </w:tc>
      </w:tr>
      <w:tr w:rsidR="009A21D7" w:rsidRPr="00374360" w14:paraId="5E2688C5" w14:textId="77777777" w:rsidTr="00C734CF">
        <w:trPr>
          <w:trHeight w:val="4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4F3498A"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133</w:t>
            </w:r>
          </w:p>
        </w:tc>
        <w:tc>
          <w:tcPr>
            <w:tcW w:w="660" w:type="dxa"/>
            <w:tcBorders>
              <w:top w:val="nil"/>
              <w:left w:val="nil"/>
              <w:bottom w:val="single" w:sz="4" w:space="0" w:color="auto"/>
              <w:right w:val="single" w:sz="4" w:space="0" w:color="auto"/>
            </w:tcBorders>
            <w:shd w:val="clear" w:color="auto" w:fill="auto"/>
            <w:noWrap/>
            <w:vAlign w:val="center"/>
            <w:hideMark/>
          </w:tcPr>
          <w:p w14:paraId="0458F3F3"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1895</w:t>
            </w:r>
          </w:p>
        </w:tc>
        <w:tc>
          <w:tcPr>
            <w:tcW w:w="879" w:type="dxa"/>
            <w:tcBorders>
              <w:top w:val="nil"/>
              <w:left w:val="nil"/>
              <w:bottom w:val="single" w:sz="4" w:space="0" w:color="auto"/>
              <w:right w:val="single" w:sz="4" w:space="0" w:color="auto"/>
            </w:tcBorders>
            <w:shd w:val="clear" w:color="auto" w:fill="auto"/>
            <w:noWrap/>
            <w:vAlign w:val="center"/>
            <w:hideMark/>
          </w:tcPr>
          <w:p w14:paraId="63936952"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818000293</w:t>
            </w:r>
          </w:p>
        </w:tc>
        <w:tc>
          <w:tcPr>
            <w:tcW w:w="3913" w:type="dxa"/>
            <w:tcBorders>
              <w:top w:val="nil"/>
              <w:left w:val="nil"/>
              <w:bottom w:val="single" w:sz="4" w:space="0" w:color="auto"/>
              <w:right w:val="single" w:sz="4" w:space="0" w:color="auto"/>
            </w:tcBorders>
            <w:shd w:val="clear" w:color="auto" w:fill="auto"/>
            <w:vAlign w:val="center"/>
            <w:hideMark/>
          </w:tcPr>
          <w:p w14:paraId="293C69E6"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EMPRESA DE SERVICOS PUBLICOS DE ACANDI S.A E.S.P.</w:t>
            </w:r>
          </w:p>
        </w:tc>
        <w:tc>
          <w:tcPr>
            <w:tcW w:w="1602" w:type="dxa"/>
            <w:tcBorders>
              <w:top w:val="nil"/>
              <w:left w:val="nil"/>
              <w:bottom w:val="single" w:sz="4" w:space="0" w:color="auto"/>
              <w:right w:val="single" w:sz="4" w:space="0" w:color="auto"/>
            </w:tcBorders>
            <w:shd w:val="clear" w:color="auto" w:fill="auto"/>
            <w:noWrap/>
            <w:vAlign w:val="center"/>
            <w:hideMark/>
          </w:tcPr>
          <w:p w14:paraId="0DB760BE" w14:textId="4FDC7A3B"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352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424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480 </w:t>
            </w:r>
          </w:p>
        </w:tc>
        <w:tc>
          <w:tcPr>
            <w:tcW w:w="1418" w:type="dxa"/>
            <w:tcBorders>
              <w:top w:val="nil"/>
              <w:left w:val="nil"/>
              <w:bottom w:val="single" w:sz="4" w:space="0" w:color="auto"/>
              <w:right w:val="single" w:sz="4" w:space="0" w:color="auto"/>
            </w:tcBorders>
            <w:shd w:val="clear" w:color="auto" w:fill="auto"/>
            <w:noWrap/>
            <w:vAlign w:val="center"/>
            <w:hideMark/>
          </w:tcPr>
          <w:p w14:paraId="4F0717BD" w14:textId="64440CF1"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524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245 </w:t>
            </w:r>
          </w:p>
        </w:tc>
      </w:tr>
      <w:tr w:rsidR="009A21D7" w:rsidRPr="00374360" w14:paraId="32F4469A" w14:textId="77777777" w:rsidTr="00C734CF">
        <w:trPr>
          <w:trHeight w:val="4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759E8FA"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134</w:t>
            </w:r>
          </w:p>
        </w:tc>
        <w:tc>
          <w:tcPr>
            <w:tcW w:w="660" w:type="dxa"/>
            <w:tcBorders>
              <w:top w:val="nil"/>
              <w:left w:val="nil"/>
              <w:bottom w:val="single" w:sz="4" w:space="0" w:color="auto"/>
              <w:right w:val="single" w:sz="4" w:space="0" w:color="auto"/>
            </w:tcBorders>
            <w:shd w:val="clear" w:color="auto" w:fill="auto"/>
            <w:noWrap/>
            <w:vAlign w:val="center"/>
            <w:hideMark/>
          </w:tcPr>
          <w:p w14:paraId="1F4B7884"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3226</w:t>
            </w:r>
          </w:p>
        </w:tc>
        <w:tc>
          <w:tcPr>
            <w:tcW w:w="879" w:type="dxa"/>
            <w:tcBorders>
              <w:top w:val="nil"/>
              <w:left w:val="nil"/>
              <w:bottom w:val="single" w:sz="4" w:space="0" w:color="auto"/>
              <w:right w:val="single" w:sz="4" w:space="0" w:color="auto"/>
            </w:tcBorders>
            <w:shd w:val="clear" w:color="auto" w:fill="auto"/>
            <w:noWrap/>
            <w:vAlign w:val="center"/>
            <w:hideMark/>
          </w:tcPr>
          <w:p w14:paraId="2D5B348C"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818001629</w:t>
            </w:r>
          </w:p>
        </w:tc>
        <w:tc>
          <w:tcPr>
            <w:tcW w:w="3913" w:type="dxa"/>
            <w:tcBorders>
              <w:top w:val="nil"/>
              <w:left w:val="nil"/>
              <w:bottom w:val="single" w:sz="4" w:space="0" w:color="auto"/>
              <w:right w:val="single" w:sz="4" w:space="0" w:color="auto"/>
            </w:tcBorders>
            <w:shd w:val="clear" w:color="auto" w:fill="auto"/>
            <w:vAlign w:val="center"/>
            <w:hideMark/>
          </w:tcPr>
          <w:p w14:paraId="1EFBBB79"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EMPRESA DISTRIBUIDORA DEL PACIFICO S.A. E.S.P</w:t>
            </w:r>
          </w:p>
        </w:tc>
        <w:tc>
          <w:tcPr>
            <w:tcW w:w="1602" w:type="dxa"/>
            <w:tcBorders>
              <w:top w:val="nil"/>
              <w:left w:val="nil"/>
              <w:bottom w:val="single" w:sz="4" w:space="0" w:color="auto"/>
              <w:right w:val="single" w:sz="4" w:space="0" w:color="auto"/>
            </w:tcBorders>
            <w:shd w:val="clear" w:color="auto" w:fill="auto"/>
            <w:noWrap/>
            <w:vAlign w:val="center"/>
            <w:hideMark/>
          </w:tcPr>
          <w:p w14:paraId="3A53D7EA" w14:textId="7C584944"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960</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397</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444 </w:t>
            </w:r>
          </w:p>
        </w:tc>
        <w:tc>
          <w:tcPr>
            <w:tcW w:w="1418" w:type="dxa"/>
            <w:tcBorders>
              <w:top w:val="nil"/>
              <w:left w:val="nil"/>
              <w:bottom w:val="single" w:sz="4" w:space="0" w:color="auto"/>
              <w:right w:val="single" w:sz="4" w:space="0" w:color="auto"/>
            </w:tcBorders>
            <w:shd w:val="clear" w:color="auto" w:fill="auto"/>
            <w:noWrap/>
            <w:vAlign w:val="center"/>
            <w:hideMark/>
          </w:tcPr>
          <w:p w14:paraId="3D8F065F" w14:textId="6945FE4D"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39</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603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974 </w:t>
            </w:r>
          </w:p>
        </w:tc>
      </w:tr>
      <w:tr w:rsidR="009A21D7" w:rsidRPr="00374360" w14:paraId="4BE7D27B"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0453E7C"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135</w:t>
            </w:r>
          </w:p>
        </w:tc>
        <w:tc>
          <w:tcPr>
            <w:tcW w:w="660" w:type="dxa"/>
            <w:tcBorders>
              <w:top w:val="nil"/>
              <w:left w:val="nil"/>
              <w:bottom w:val="single" w:sz="4" w:space="0" w:color="auto"/>
              <w:right w:val="single" w:sz="4" w:space="0" w:color="auto"/>
            </w:tcBorders>
            <w:shd w:val="clear" w:color="auto" w:fill="auto"/>
            <w:noWrap/>
            <w:vAlign w:val="center"/>
            <w:hideMark/>
          </w:tcPr>
          <w:p w14:paraId="5B7B1242"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39712</w:t>
            </w:r>
          </w:p>
        </w:tc>
        <w:tc>
          <w:tcPr>
            <w:tcW w:w="879" w:type="dxa"/>
            <w:tcBorders>
              <w:top w:val="nil"/>
              <w:left w:val="nil"/>
              <w:bottom w:val="single" w:sz="4" w:space="0" w:color="auto"/>
              <w:right w:val="single" w:sz="4" w:space="0" w:color="auto"/>
            </w:tcBorders>
            <w:shd w:val="clear" w:color="auto" w:fill="auto"/>
            <w:noWrap/>
            <w:vAlign w:val="center"/>
            <w:hideMark/>
          </w:tcPr>
          <w:p w14:paraId="1B784772"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901113171</w:t>
            </w:r>
          </w:p>
        </w:tc>
        <w:tc>
          <w:tcPr>
            <w:tcW w:w="3913" w:type="dxa"/>
            <w:tcBorders>
              <w:top w:val="nil"/>
              <w:left w:val="nil"/>
              <w:bottom w:val="single" w:sz="4" w:space="0" w:color="auto"/>
              <w:right w:val="single" w:sz="4" w:space="0" w:color="auto"/>
            </w:tcBorders>
            <w:shd w:val="clear" w:color="auto" w:fill="auto"/>
            <w:vAlign w:val="center"/>
            <w:hideMark/>
          </w:tcPr>
          <w:p w14:paraId="70598F3E"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EMPRESA ELÉCTRICA REGIONAL SAS ESP</w:t>
            </w:r>
          </w:p>
        </w:tc>
        <w:tc>
          <w:tcPr>
            <w:tcW w:w="1602" w:type="dxa"/>
            <w:tcBorders>
              <w:top w:val="nil"/>
              <w:left w:val="nil"/>
              <w:bottom w:val="single" w:sz="4" w:space="0" w:color="auto"/>
              <w:right w:val="single" w:sz="4" w:space="0" w:color="auto"/>
            </w:tcBorders>
            <w:shd w:val="clear" w:color="auto" w:fill="auto"/>
            <w:noWrap/>
            <w:vAlign w:val="center"/>
            <w:hideMark/>
          </w:tcPr>
          <w:p w14:paraId="36D92B85" w14:textId="2835D1BC"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69</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794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620 </w:t>
            </w:r>
          </w:p>
        </w:tc>
        <w:tc>
          <w:tcPr>
            <w:tcW w:w="1418" w:type="dxa"/>
            <w:tcBorders>
              <w:top w:val="nil"/>
              <w:left w:val="nil"/>
              <w:bottom w:val="single" w:sz="4" w:space="0" w:color="auto"/>
              <w:right w:val="single" w:sz="4" w:space="0" w:color="auto"/>
            </w:tcBorders>
            <w:shd w:val="clear" w:color="auto" w:fill="auto"/>
            <w:noWrap/>
            <w:vAlign w:val="center"/>
            <w:hideMark/>
          </w:tcPr>
          <w:p w14:paraId="446759AB" w14:textId="4CA1F4EE"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697</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946 </w:t>
            </w:r>
          </w:p>
        </w:tc>
      </w:tr>
      <w:tr w:rsidR="009A21D7" w:rsidRPr="00374360" w14:paraId="45B5B0D8" w14:textId="77777777" w:rsidTr="00C734CF">
        <w:trPr>
          <w:trHeight w:val="4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7829EF7"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136</w:t>
            </w:r>
          </w:p>
        </w:tc>
        <w:tc>
          <w:tcPr>
            <w:tcW w:w="660" w:type="dxa"/>
            <w:tcBorders>
              <w:top w:val="nil"/>
              <w:left w:val="nil"/>
              <w:bottom w:val="single" w:sz="4" w:space="0" w:color="auto"/>
              <w:right w:val="single" w:sz="4" w:space="0" w:color="auto"/>
            </w:tcBorders>
            <w:shd w:val="clear" w:color="auto" w:fill="auto"/>
            <w:noWrap/>
            <w:vAlign w:val="center"/>
            <w:hideMark/>
          </w:tcPr>
          <w:p w14:paraId="09191AE3"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1809</w:t>
            </w:r>
          </w:p>
        </w:tc>
        <w:tc>
          <w:tcPr>
            <w:tcW w:w="879" w:type="dxa"/>
            <w:tcBorders>
              <w:top w:val="nil"/>
              <w:left w:val="nil"/>
              <w:bottom w:val="single" w:sz="4" w:space="0" w:color="auto"/>
              <w:right w:val="single" w:sz="4" w:space="0" w:color="auto"/>
            </w:tcBorders>
            <w:shd w:val="clear" w:color="auto" w:fill="auto"/>
            <w:noWrap/>
            <w:vAlign w:val="center"/>
            <w:hideMark/>
          </w:tcPr>
          <w:p w14:paraId="23292FF0"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818000166</w:t>
            </w:r>
          </w:p>
        </w:tc>
        <w:tc>
          <w:tcPr>
            <w:tcW w:w="3913" w:type="dxa"/>
            <w:tcBorders>
              <w:top w:val="nil"/>
              <w:left w:val="nil"/>
              <w:bottom w:val="single" w:sz="4" w:space="0" w:color="auto"/>
              <w:right w:val="single" w:sz="4" w:space="0" w:color="auto"/>
            </w:tcBorders>
            <w:shd w:val="clear" w:color="auto" w:fill="auto"/>
            <w:vAlign w:val="center"/>
            <w:hideMark/>
          </w:tcPr>
          <w:p w14:paraId="7E20C9E0"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EMPRESA ELECTRIFICADORA DE NUQUI   E.S.P.   S. A ECONOMIA MIXTA</w:t>
            </w:r>
          </w:p>
        </w:tc>
        <w:tc>
          <w:tcPr>
            <w:tcW w:w="1602" w:type="dxa"/>
            <w:tcBorders>
              <w:top w:val="nil"/>
              <w:left w:val="nil"/>
              <w:bottom w:val="single" w:sz="4" w:space="0" w:color="auto"/>
              <w:right w:val="single" w:sz="4" w:space="0" w:color="auto"/>
            </w:tcBorders>
            <w:shd w:val="clear" w:color="auto" w:fill="auto"/>
            <w:noWrap/>
            <w:vAlign w:val="center"/>
            <w:hideMark/>
          </w:tcPr>
          <w:p w14:paraId="4AED7F59" w14:textId="4D4D9793"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481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769</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368 </w:t>
            </w:r>
          </w:p>
        </w:tc>
        <w:tc>
          <w:tcPr>
            <w:tcW w:w="1418" w:type="dxa"/>
            <w:tcBorders>
              <w:top w:val="nil"/>
              <w:left w:val="nil"/>
              <w:bottom w:val="single" w:sz="4" w:space="0" w:color="auto"/>
              <w:right w:val="single" w:sz="4" w:space="0" w:color="auto"/>
            </w:tcBorders>
            <w:shd w:val="clear" w:color="auto" w:fill="auto"/>
            <w:noWrap/>
            <w:vAlign w:val="center"/>
            <w:hideMark/>
          </w:tcPr>
          <w:p w14:paraId="143B659B" w14:textId="19591C14"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817</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694 </w:t>
            </w:r>
          </w:p>
        </w:tc>
      </w:tr>
      <w:tr w:rsidR="009A21D7" w:rsidRPr="00374360" w14:paraId="5D1AE53B" w14:textId="77777777" w:rsidTr="00C734CF">
        <w:trPr>
          <w:trHeight w:val="4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64E1786"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137</w:t>
            </w:r>
          </w:p>
        </w:tc>
        <w:tc>
          <w:tcPr>
            <w:tcW w:w="660" w:type="dxa"/>
            <w:tcBorders>
              <w:top w:val="nil"/>
              <w:left w:val="nil"/>
              <w:bottom w:val="single" w:sz="4" w:space="0" w:color="auto"/>
              <w:right w:val="single" w:sz="4" w:space="0" w:color="auto"/>
            </w:tcBorders>
            <w:shd w:val="clear" w:color="auto" w:fill="auto"/>
            <w:noWrap/>
            <w:vAlign w:val="center"/>
            <w:hideMark/>
          </w:tcPr>
          <w:p w14:paraId="5CE94D57"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22388</w:t>
            </w:r>
          </w:p>
        </w:tc>
        <w:tc>
          <w:tcPr>
            <w:tcW w:w="879" w:type="dxa"/>
            <w:tcBorders>
              <w:top w:val="nil"/>
              <w:left w:val="nil"/>
              <w:bottom w:val="single" w:sz="4" w:space="0" w:color="auto"/>
              <w:right w:val="single" w:sz="4" w:space="0" w:color="auto"/>
            </w:tcBorders>
            <w:shd w:val="clear" w:color="auto" w:fill="auto"/>
            <w:noWrap/>
            <w:vAlign w:val="center"/>
            <w:hideMark/>
          </w:tcPr>
          <w:p w14:paraId="7D48DE64"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809010690</w:t>
            </w:r>
          </w:p>
        </w:tc>
        <w:tc>
          <w:tcPr>
            <w:tcW w:w="3913" w:type="dxa"/>
            <w:tcBorders>
              <w:top w:val="nil"/>
              <w:left w:val="nil"/>
              <w:bottom w:val="single" w:sz="4" w:space="0" w:color="auto"/>
              <w:right w:val="single" w:sz="4" w:space="0" w:color="auto"/>
            </w:tcBorders>
            <w:shd w:val="clear" w:color="auto" w:fill="auto"/>
            <w:vAlign w:val="center"/>
            <w:hideMark/>
          </w:tcPr>
          <w:p w14:paraId="6F888FB9"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EMPRESA INTEGRAL DE SERVICIOS OP&amp;S CONSTRUCCIONES SA ESP</w:t>
            </w:r>
          </w:p>
        </w:tc>
        <w:tc>
          <w:tcPr>
            <w:tcW w:w="1602" w:type="dxa"/>
            <w:tcBorders>
              <w:top w:val="nil"/>
              <w:left w:val="nil"/>
              <w:bottom w:val="single" w:sz="4" w:space="0" w:color="auto"/>
              <w:right w:val="single" w:sz="4" w:space="0" w:color="auto"/>
            </w:tcBorders>
            <w:shd w:val="clear" w:color="auto" w:fill="auto"/>
            <w:noWrap/>
            <w:vAlign w:val="center"/>
            <w:hideMark/>
          </w:tcPr>
          <w:p w14:paraId="64FE8D89" w14:textId="5353EC30"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664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204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268 </w:t>
            </w:r>
          </w:p>
        </w:tc>
        <w:tc>
          <w:tcPr>
            <w:tcW w:w="1418" w:type="dxa"/>
            <w:tcBorders>
              <w:top w:val="nil"/>
              <w:left w:val="nil"/>
              <w:bottom w:val="single" w:sz="4" w:space="0" w:color="auto"/>
              <w:right w:val="single" w:sz="4" w:space="0" w:color="auto"/>
            </w:tcBorders>
            <w:shd w:val="clear" w:color="auto" w:fill="auto"/>
            <w:noWrap/>
            <w:vAlign w:val="center"/>
            <w:hideMark/>
          </w:tcPr>
          <w:p w14:paraId="1488BF2D" w14:textId="624BAF73"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642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043 </w:t>
            </w:r>
          </w:p>
        </w:tc>
      </w:tr>
      <w:tr w:rsidR="009A21D7" w:rsidRPr="00374360" w14:paraId="3305FE27"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BD8F800"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138</w:t>
            </w:r>
          </w:p>
        </w:tc>
        <w:tc>
          <w:tcPr>
            <w:tcW w:w="660" w:type="dxa"/>
            <w:tcBorders>
              <w:top w:val="nil"/>
              <w:left w:val="nil"/>
              <w:bottom w:val="single" w:sz="4" w:space="0" w:color="auto"/>
              <w:right w:val="single" w:sz="4" w:space="0" w:color="auto"/>
            </w:tcBorders>
            <w:shd w:val="clear" w:color="auto" w:fill="auto"/>
            <w:noWrap/>
            <w:vAlign w:val="center"/>
            <w:hideMark/>
          </w:tcPr>
          <w:p w14:paraId="7DAF0398"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32733</w:t>
            </w:r>
          </w:p>
        </w:tc>
        <w:tc>
          <w:tcPr>
            <w:tcW w:w="879" w:type="dxa"/>
            <w:tcBorders>
              <w:top w:val="nil"/>
              <w:left w:val="nil"/>
              <w:bottom w:val="single" w:sz="4" w:space="0" w:color="auto"/>
              <w:right w:val="single" w:sz="4" w:space="0" w:color="auto"/>
            </w:tcBorders>
            <w:shd w:val="clear" w:color="auto" w:fill="auto"/>
            <w:noWrap/>
            <w:vAlign w:val="center"/>
            <w:hideMark/>
          </w:tcPr>
          <w:p w14:paraId="3E29D821"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900948809</w:t>
            </w:r>
          </w:p>
        </w:tc>
        <w:tc>
          <w:tcPr>
            <w:tcW w:w="3913" w:type="dxa"/>
            <w:tcBorders>
              <w:top w:val="nil"/>
              <w:left w:val="nil"/>
              <w:bottom w:val="single" w:sz="4" w:space="0" w:color="auto"/>
              <w:right w:val="single" w:sz="4" w:space="0" w:color="auto"/>
            </w:tcBorders>
            <w:shd w:val="clear" w:color="auto" w:fill="auto"/>
            <w:vAlign w:val="center"/>
            <w:hideMark/>
          </w:tcPr>
          <w:p w14:paraId="665531D8"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EMPRESA MIXTA DE GAS S.A.S. E.S.P.</w:t>
            </w:r>
          </w:p>
        </w:tc>
        <w:tc>
          <w:tcPr>
            <w:tcW w:w="1602" w:type="dxa"/>
            <w:tcBorders>
              <w:top w:val="nil"/>
              <w:left w:val="nil"/>
              <w:bottom w:val="single" w:sz="4" w:space="0" w:color="auto"/>
              <w:right w:val="single" w:sz="4" w:space="0" w:color="auto"/>
            </w:tcBorders>
            <w:shd w:val="clear" w:color="auto" w:fill="auto"/>
            <w:noWrap/>
            <w:vAlign w:val="center"/>
            <w:hideMark/>
          </w:tcPr>
          <w:p w14:paraId="6D660CB9" w14:textId="0D0EB38A"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164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652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743 </w:t>
            </w:r>
          </w:p>
        </w:tc>
        <w:tc>
          <w:tcPr>
            <w:tcW w:w="1418" w:type="dxa"/>
            <w:tcBorders>
              <w:top w:val="nil"/>
              <w:left w:val="nil"/>
              <w:bottom w:val="single" w:sz="4" w:space="0" w:color="auto"/>
              <w:right w:val="single" w:sz="4" w:space="0" w:color="auto"/>
            </w:tcBorders>
            <w:shd w:val="clear" w:color="auto" w:fill="auto"/>
            <w:noWrap/>
            <w:vAlign w:val="center"/>
            <w:hideMark/>
          </w:tcPr>
          <w:p w14:paraId="7F030C90" w14:textId="1D89C63A"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646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527 </w:t>
            </w:r>
          </w:p>
        </w:tc>
      </w:tr>
      <w:tr w:rsidR="009A21D7" w:rsidRPr="00374360" w14:paraId="1CDF5465" w14:textId="77777777" w:rsidTr="00C734CF">
        <w:trPr>
          <w:trHeight w:val="4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7F3F22B"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139</w:t>
            </w:r>
          </w:p>
        </w:tc>
        <w:tc>
          <w:tcPr>
            <w:tcW w:w="660" w:type="dxa"/>
            <w:tcBorders>
              <w:top w:val="nil"/>
              <w:left w:val="nil"/>
              <w:bottom w:val="single" w:sz="4" w:space="0" w:color="auto"/>
              <w:right w:val="single" w:sz="4" w:space="0" w:color="auto"/>
            </w:tcBorders>
            <w:shd w:val="clear" w:color="auto" w:fill="auto"/>
            <w:noWrap/>
            <w:vAlign w:val="center"/>
            <w:hideMark/>
          </w:tcPr>
          <w:p w14:paraId="349E007D"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1890</w:t>
            </w:r>
          </w:p>
        </w:tc>
        <w:tc>
          <w:tcPr>
            <w:tcW w:w="879" w:type="dxa"/>
            <w:tcBorders>
              <w:top w:val="nil"/>
              <w:left w:val="nil"/>
              <w:bottom w:val="single" w:sz="4" w:space="0" w:color="auto"/>
              <w:right w:val="single" w:sz="4" w:space="0" w:color="auto"/>
            </w:tcBorders>
            <w:shd w:val="clear" w:color="auto" w:fill="auto"/>
            <w:noWrap/>
            <w:vAlign w:val="center"/>
            <w:hideMark/>
          </w:tcPr>
          <w:p w14:paraId="2C857CF9"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817000487</w:t>
            </w:r>
          </w:p>
        </w:tc>
        <w:tc>
          <w:tcPr>
            <w:tcW w:w="3913" w:type="dxa"/>
            <w:tcBorders>
              <w:top w:val="nil"/>
              <w:left w:val="nil"/>
              <w:bottom w:val="single" w:sz="4" w:space="0" w:color="auto"/>
              <w:right w:val="single" w:sz="4" w:space="0" w:color="auto"/>
            </w:tcBorders>
            <w:shd w:val="clear" w:color="auto" w:fill="auto"/>
            <w:vAlign w:val="center"/>
            <w:hideMark/>
          </w:tcPr>
          <w:p w14:paraId="181833D4"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EMPRESA MIXTA DE SERVICIOS PÚBLICOS DE ENERGÍA ELÉCTRICA DE TIMBIQUI S.A.</w:t>
            </w:r>
          </w:p>
        </w:tc>
        <w:tc>
          <w:tcPr>
            <w:tcW w:w="1602" w:type="dxa"/>
            <w:tcBorders>
              <w:top w:val="nil"/>
              <w:left w:val="nil"/>
              <w:bottom w:val="single" w:sz="4" w:space="0" w:color="auto"/>
              <w:right w:val="single" w:sz="4" w:space="0" w:color="auto"/>
            </w:tcBorders>
            <w:shd w:val="clear" w:color="auto" w:fill="auto"/>
            <w:noWrap/>
            <w:vAlign w:val="center"/>
            <w:hideMark/>
          </w:tcPr>
          <w:p w14:paraId="7388F78C" w14:textId="431D2F6E"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588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686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248 </w:t>
            </w:r>
          </w:p>
        </w:tc>
        <w:tc>
          <w:tcPr>
            <w:tcW w:w="1418" w:type="dxa"/>
            <w:tcBorders>
              <w:top w:val="nil"/>
              <w:left w:val="nil"/>
              <w:bottom w:val="single" w:sz="4" w:space="0" w:color="auto"/>
              <w:right w:val="single" w:sz="4" w:space="0" w:color="auto"/>
            </w:tcBorders>
            <w:shd w:val="clear" w:color="auto" w:fill="auto"/>
            <w:noWrap/>
            <w:vAlign w:val="center"/>
            <w:hideMark/>
          </w:tcPr>
          <w:p w14:paraId="688DA427" w14:textId="4A92CB33"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5</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886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862 </w:t>
            </w:r>
          </w:p>
        </w:tc>
      </w:tr>
      <w:tr w:rsidR="009A21D7" w:rsidRPr="00374360" w14:paraId="3DA2FA9F" w14:textId="77777777" w:rsidTr="00C734CF">
        <w:trPr>
          <w:trHeight w:val="4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EB57391"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140</w:t>
            </w:r>
          </w:p>
        </w:tc>
        <w:tc>
          <w:tcPr>
            <w:tcW w:w="660" w:type="dxa"/>
            <w:tcBorders>
              <w:top w:val="nil"/>
              <w:left w:val="nil"/>
              <w:bottom w:val="single" w:sz="4" w:space="0" w:color="auto"/>
              <w:right w:val="single" w:sz="4" w:space="0" w:color="auto"/>
            </w:tcBorders>
            <w:shd w:val="clear" w:color="auto" w:fill="auto"/>
            <w:noWrap/>
            <w:vAlign w:val="center"/>
            <w:hideMark/>
          </w:tcPr>
          <w:p w14:paraId="521F6973"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3247</w:t>
            </w:r>
          </w:p>
        </w:tc>
        <w:tc>
          <w:tcPr>
            <w:tcW w:w="879" w:type="dxa"/>
            <w:tcBorders>
              <w:top w:val="nil"/>
              <w:left w:val="nil"/>
              <w:bottom w:val="single" w:sz="4" w:space="0" w:color="auto"/>
              <w:right w:val="single" w:sz="4" w:space="0" w:color="auto"/>
            </w:tcBorders>
            <w:shd w:val="clear" w:color="auto" w:fill="auto"/>
            <w:noWrap/>
            <w:vAlign w:val="center"/>
            <w:hideMark/>
          </w:tcPr>
          <w:p w14:paraId="1A1D5093"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801004102</w:t>
            </w:r>
          </w:p>
        </w:tc>
        <w:tc>
          <w:tcPr>
            <w:tcW w:w="3913" w:type="dxa"/>
            <w:tcBorders>
              <w:top w:val="nil"/>
              <w:left w:val="nil"/>
              <w:bottom w:val="single" w:sz="4" w:space="0" w:color="auto"/>
              <w:right w:val="single" w:sz="4" w:space="0" w:color="auto"/>
            </w:tcBorders>
            <w:shd w:val="clear" w:color="auto" w:fill="auto"/>
            <w:vAlign w:val="center"/>
            <w:hideMark/>
          </w:tcPr>
          <w:p w14:paraId="71A8CB2D"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EMPRESA MULTIPROPOSITO DE CALARCA S.A.S. E.S.P.</w:t>
            </w:r>
          </w:p>
        </w:tc>
        <w:tc>
          <w:tcPr>
            <w:tcW w:w="1602" w:type="dxa"/>
            <w:tcBorders>
              <w:top w:val="nil"/>
              <w:left w:val="nil"/>
              <w:bottom w:val="single" w:sz="4" w:space="0" w:color="auto"/>
              <w:right w:val="single" w:sz="4" w:space="0" w:color="auto"/>
            </w:tcBorders>
            <w:shd w:val="clear" w:color="auto" w:fill="auto"/>
            <w:noWrap/>
            <w:vAlign w:val="center"/>
            <w:hideMark/>
          </w:tcPr>
          <w:p w14:paraId="73876AE4" w14:textId="12822390"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184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102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760 </w:t>
            </w:r>
          </w:p>
        </w:tc>
        <w:tc>
          <w:tcPr>
            <w:tcW w:w="1418" w:type="dxa"/>
            <w:tcBorders>
              <w:top w:val="nil"/>
              <w:left w:val="nil"/>
              <w:bottom w:val="single" w:sz="4" w:space="0" w:color="auto"/>
              <w:right w:val="single" w:sz="4" w:space="0" w:color="auto"/>
            </w:tcBorders>
            <w:shd w:val="clear" w:color="auto" w:fill="auto"/>
            <w:noWrap/>
            <w:vAlign w:val="center"/>
            <w:hideMark/>
          </w:tcPr>
          <w:p w14:paraId="2D1C9C3F" w14:textId="355EAE1A"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841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028 </w:t>
            </w:r>
          </w:p>
        </w:tc>
      </w:tr>
      <w:tr w:rsidR="009A21D7" w:rsidRPr="00374360" w14:paraId="18A0FC22" w14:textId="77777777" w:rsidTr="00C734CF">
        <w:trPr>
          <w:trHeight w:val="4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0758885"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141</w:t>
            </w:r>
          </w:p>
        </w:tc>
        <w:tc>
          <w:tcPr>
            <w:tcW w:w="660" w:type="dxa"/>
            <w:tcBorders>
              <w:top w:val="nil"/>
              <w:left w:val="nil"/>
              <w:bottom w:val="single" w:sz="4" w:space="0" w:color="auto"/>
              <w:right w:val="single" w:sz="4" w:space="0" w:color="auto"/>
            </w:tcBorders>
            <w:shd w:val="clear" w:color="auto" w:fill="auto"/>
            <w:noWrap/>
            <w:vAlign w:val="center"/>
            <w:hideMark/>
          </w:tcPr>
          <w:p w14:paraId="2803193B"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694</w:t>
            </w:r>
          </w:p>
        </w:tc>
        <w:tc>
          <w:tcPr>
            <w:tcW w:w="879" w:type="dxa"/>
            <w:tcBorders>
              <w:top w:val="nil"/>
              <w:left w:val="nil"/>
              <w:bottom w:val="single" w:sz="4" w:space="0" w:color="auto"/>
              <w:right w:val="single" w:sz="4" w:space="0" w:color="auto"/>
            </w:tcBorders>
            <w:shd w:val="clear" w:color="auto" w:fill="auto"/>
            <w:noWrap/>
            <w:vAlign w:val="center"/>
            <w:hideMark/>
          </w:tcPr>
          <w:p w14:paraId="19EBA7C8"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891500061</w:t>
            </w:r>
          </w:p>
        </w:tc>
        <w:tc>
          <w:tcPr>
            <w:tcW w:w="3913" w:type="dxa"/>
            <w:tcBorders>
              <w:top w:val="nil"/>
              <w:left w:val="nil"/>
              <w:bottom w:val="single" w:sz="4" w:space="0" w:color="auto"/>
              <w:right w:val="single" w:sz="4" w:space="0" w:color="auto"/>
            </w:tcBorders>
            <w:shd w:val="clear" w:color="auto" w:fill="auto"/>
            <w:vAlign w:val="center"/>
            <w:hideMark/>
          </w:tcPr>
          <w:p w14:paraId="009051BE"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EMPRESA MUNICIPAL DE ENERGÍA ELÉCTRICA S.A-E.S.P</w:t>
            </w:r>
          </w:p>
        </w:tc>
        <w:tc>
          <w:tcPr>
            <w:tcW w:w="1602" w:type="dxa"/>
            <w:tcBorders>
              <w:top w:val="nil"/>
              <w:left w:val="nil"/>
              <w:bottom w:val="single" w:sz="4" w:space="0" w:color="auto"/>
              <w:right w:val="single" w:sz="4" w:space="0" w:color="auto"/>
            </w:tcBorders>
            <w:shd w:val="clear" w:color="auto" w:fill="auto"/>
            <w:noWrap/>
            <w:vAlign w:val="center"/>
            <w:hideMark/>
          </w:tcPr>
          <w:p w14:paraId="3B9C8E56" w14:textId="19FA6C65"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869</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311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923 </w:t>
            </w:r>
          </w:p>
        </w:tc>
        <w:tc>
          <w:tcPr>
            <w:tcW w:w="1418" w:type="dxa"/>
            <w:tcBorders>
              <w:top w:val="nil"/>
              <w:left w:val="nil"/>
              <w:bottom w:val="single" w:sz="4" w:space="0" w:color="auto"/>
              <w:right w:val="single" w:sz="4" w:space="0" w:color="auto"/>
            </w:tcBorders>
            <w:shd w:val="clear" w:color="auto" w:fill="auto"/>
            <w:noWrap/>
            <w:vAlign w:val="center"/>
            <w:hideMark/>
          </w:tcPr>
          <w:p w14:paraId="000D4872" w14:textId="44F4F0F3"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693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119 </w:t>
            </w:r>
          </w:p>
        </w:tc>
      </w:tr>
      <w:tr w:rsidR="009A21D7" w:rsidRPr="00374360" w14:paraId="1110392C" w14:textId="77777777" w:rsidTr="00C734CF">
        <w:trPr>
          <w:trHeight w:val="4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2F5591A"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142</w:t>
            </w:r>
          </w:p>
        </w:tc>
        <w:tc>
          <w:tcPr>
            <w:tcW w:w="660" w:type="dxa"/>
            <w:tcBorders>
              <w:top w:val="nil"/>
              <w:left w:val="nil"/>
              <w:bottom w:val="single" w:sz="4" w:space="0" w:color="auto"/>
              <w:right w:val="single" w:sz="4" w:space="0" w:color="auto"/>
            </w:tcBorders>
            <w:shd w:val="clear" w:color="auto" w:fill="auto"/>
            <w:noWrap/>
            <w:vAlign w:val="center"/>
            <w:hideMark/>
          </w:tcPr>
          <w:p w14:paraId="49681D25"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569</w:t>
            </w:r>
          </w:p>
        </w:tc>
        <w:tc>
          <w:tcPr>
            <w:tcW w:w="879" w:type="dxa"/>
            <w:tcBorders>
              <w:top w:val="nil"/>
              <w:left w:val="nil"/>
              <w:bottom w:val="single" w:sz="4" w:space="0" w:color="auto"/>
              <w:right w:val="single" w:sz="4" w:space="0" w:color="auto"/>
            </w:tcBorders>
            <w:shd w:val="clear" w:color="auto" w:fill="auto"/>
            <w:noWrap/>
            <w:vAlign w:val="center"/>
            <w:hideMark/>
          </w:tcPr>
          <w:p w14:paraId="3A32EF08"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828000191</w:t>
            </w:r>
          </w:p>
        </w:tc>
        <w:tc>
          <w:tcPr>
            <w:tcW w:w="3913" w:type="dxa"/>
            <w:tcBorders>
              <w:top w:val="nil"/>
              <w:left w:val="nil"/>
              <w:bottom w:val="single" w:sz="4" w:space="0" w:color="auto"/>
              <w:right w:val="single" w:sz="4" w:space="0" w:color="auto"/>
            </w:tcBorders>
            <w:shd w:val="clear" w:color="auto" w:fill="auto"/>
            <w:vAlign w:val="center"/>
            <w:hideMark/>
          </w:tcPr>
          <w:p w14:paraId="4F08D089"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EMPRESA MUNICIPAL DE SERVICIOS PUBLICOS DE CARTAGENA DEL CHAIRA</w:t>
            </w:r>
          </w:p>
        </w:tc>
        <w:tc>
          <w:tcPr>
            <w:tcW w:w="1602" w:type="dxa"/>
            <w:tcBorders>
              <w:top w:val="nil"/>
              <w:left w:val="nil"/>
              <w:bottom w:val="single" w:sz="4" w:space="0" w:color="auto"/>
              <w:right w:val="single" w:sz="4" w:space="0" w:color="auto"/>
            </w:tcBorders>
            <w:shd w:val="clear" w:color="auto" w:fill="auto"/>
            <w:noWrap/>
            <w:vAlign w:val="center"/>
            <w:hideMark/>
          </w:tcPr>
          <w:p w14:paraId="2034EE50" w14:textId="5BCAE261"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431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733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918 </w:t>
            </w:r>
          </w:p>
        </w:tc>
        <w:tc>
          <w:tcPr>
            <w:tcW w:w="1418" w:type="dxa"/>
            <w:tcBorders>
              <w:top w:val="nil"/>
              <w:left w:val="nil"/>
              <w:bottom w:val="single" w:sz="4" w:space="0" w:color="auto"/>
              <w:right w:val="single" w:sz="4" w:space="0" w:color="auto"/>
            </w:tcBorders>
            <w:shd w:val="clear" w:color="auto" w:fill="auto"/>
            <w:noWrap/>
            <w:vAlign w:val="center"/>
            <w:hideMark/>
          </w:tcPr>
          <w:p w14:paraId="29A74509" w14:textId="048AAA53"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317</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339 </w:t>
            </w:r>
          </w:p>
        </w:tc>
      </w:tr>
      <w:tr w:rsidR="009A21D7" w:rsidRPr="00374360" w14:paraId="6EA032D1" w14:textId="77777777" w:rsidTr="00C734CF">
        <w:trPr>
          <w:trHeight w:val="6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66E0ABA"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143</w:t>
            </w:r>
          </w:p>
        </w:tc>
        <w:tc>
          <w:tcPr>
            <w:tcW w:w="660" w:type="dxa"/>
            <w:tcBorders>
              <w:top w:val="nil"/>
              <w:left w:val="nil"/>
              <w:bottom w:val="single" w:sz="4" w:space="0" w:color="auto"/>
              <w:right w:val="single" w:sz="4" w:space="0" w:color="auto"/>
            </w:tcBorders>
            <w:shd w:val="clear" w:color="auto" w:fill="auto"/>
            <w:noWrap/>
            <w:vAlign w:val="center"/>
            <w:hideMark/>
          </w:tcPr>
          <w:p w14:paraId="369E4ED3"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20536</w:t>
            </w:r>
          </w:p>
        </w:tc>
        <w:tc>
          <w:tcPr>
            <w:tcW w:w="879" w:type="dxa"/>
            <w:tcBorders>
              <w:top w:val="nil"/>
              <w:left w:val="nil"/>
              <w:bottom w:val="single" w:sz="4" w:space="0" w:color="auto"/>
              <w:right w:val="single" w:sz="4" w:space="0" w:color="auto"/>
            </w:tcBorders>
            <w:shd w:val="clear" w:color="auto" w:fill="auto"/>
            <w:noWrap/>
            <w:vAlign w:val="center"/>
            <w:hideMark/>
          </w:tcPr>
          <w:p w14:paraId="7242B28A"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900063884</w:t>
            </w:r>
          </w:p>
        </w:tc>
        <w:tc>
          <w:tcPr>
            <w:tcW w:w="3913" w:type="dxa"/>
            <w:tcBorders>
              <w:top w:val="nil"/>
              <w:left w:val="nil"/>
              <w:bottom w:val="single" w:sz="4" w:space="0" w:color="auto"/>
              <w:right w:val="single" w:sz="4" w:space="0" w:color="auto"/>
            </w:tcBorders>
            <w:shd w:val="clear" w:color="auto" w:fill="auto"/>
            <w:vAlign w:val="center"/>
            <w:hideMark/>
          </w:tcPr>
          <w:p w14:paraId="03C859B0"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EMPRESA MUNICIPAL DE SERVICIOS PUBLICOS DE PUERTO PARRA EMSEPAR E.S.P. S.A.</w:t>
            </w:r>
          </w:p>
        </w:tc>
        <w:tc>
          <w:tcPr>
            <w:tcW w:w="1602" w:type="dxa"/>
            <w:tcBorders>
              <w:top w:val="nil"/>
              <w:left w:val="nil"/>
              <w:bottom w:val="single" w:sz="4" w:space="0" w:color="auto"/>
              <w:right w:val="single" w:sz="4" w:space="0" w:color="auto"/>
            </w:tcBorders>
            <w:shd w:val="clear" w:color="auto" w:fill="auto"/>
            <w:noWrap/>
            <w:vAlign w:val="center"/>
            <w:hideMark/>
          </w:tcPr>
          <w:p w14:paraId="38256AA9" w14:textId="5C4732C9"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151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323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036 </w:t>
            </w:r>
          </w:p>
        </w:tc>
        <w:tc>
          <w:tcPr>
            <w:tcW w:w="1418" w:type="dxa"/>
            <w:tcBorders>
              <w:top w:val="nil"/>
              <w:left w:val="nil"/>
              <w:bottom w:val="single" w:sz="4" w:space="0" w:color="auto"/>
              <w:right w:val="single" w:sz="4" w:space="0" w:color="auto"/>
            </w:tcBorders>
            <w:shd w:val="clear" w:color="auto" w:fill="auto"/>
            <w:noWrap/>
            <w:vAlign w:val="center"/>
            <w:hideMark/>
          </w:tcPr>
          <w:p w14:paraId="0E79B84E" w14:textId="490ED476"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513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230 </w:t>
            </w:r>
          </w:p>
        </w:tc>
      </w:tr>
      <w:tr w:rsidR="009A21D7" w:rsidRPr="00374360" w14:paraId="7F965CEA" w14:textId="77777777" w:rsidTr="00C734CF">
        <w:trPr>
          <w:trHeight w:val="6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2CA7BC2"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144</w:t>
            </w:r>
          </w:p>
        </w:tc>
        <w:tc>
          <w:tcPr>
            <w:tcW w:w="660" w:type="dxa"/>
            <w:tcBorders>
              <w:top w:val="nil"/>
              <w:left w:val="nil"/>
              <w:bottom w:val="single" w:sz="4" w:space="0" w:color="auto"/>
              <w:right w:val="single" w:sz="4" w:space="0" w:color="auto"/>
            </w:tcBorders>
            <w:shd w:val="clear" w:color="auto" w:fill="auto"/>
            <w:noWrap/>
            <w:vAlign w:val="center"/>
            <w:hideMark/>
          </w:tcPr>
          <w:p w14:paraId="7CFA7074"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1930</w:t>
            </w:r>
          </w:p>
        </w:tc>
        <w:tc>
          <w:tcPr>
            <w:tcW w:w="879" w:type="dxa"/>
            <w:tcBorders>
              <w:top w:val="nil"/>
              <w:left w:val="nil"/>
              <w:bottom w:val="single" w:sz="4" w:space="0" w:color="auto"/>
              <w:right w:val="single" w:sz="4" w:space="0" w:color="auto"/>
            </w:tcBorders>
            <w:shd w:val="clear" w:color="auto" w:fill="auto"/>
            <w:noWrap/>
            <w:vAlign w:val="center"/>
            <w:hideMark/>
          </w:tcPr>
          <w:p w14:paraId="2EB90E13"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811008775</w:t>
            </w:r>
          </w:p>
        </w:tc>
        <w:tc>
          <w:tcPr>
            <w:tcW w:w="3913" w:type="dxa"/>
            <w:tcBorders>
              <w:top w:val="nil"/>
              <w:left w:val="nil"/>
              <w:bottom w:val="single" w:sz="4" w:space="0" w:color="auto"/>
              <w:right w:val="single" w:sz="4" w:space="0" w:color="auto"/>
            </w:tcBorders>
            <w:shd w:val="clear" w:color="auto" w:fill="auto"/>
            <w:vAlign w:val="center"/>
            <w:hideMark/>
          </w:tcPr>
          <w:p w14:paraId="0C5DB32A"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EMPRESA MUNICIPAL DE SERVICIOS PUBLICOS DOMICILIARIOS DE VIGIA DEL FUERTE</w:t>
            </w:r>
          </w:p>
        </w:tc>
        <w:tc>
          <w:tcPr>
            <w:tcW w:w="1602" w:type="dxa"/>
            <w:tcBorders>
              <w:top w:val="nil"/>
              <w:left w:val="nil"/>
              <w:bottom w:val="single" w:sz="4" w:space="0" w:color="auto"/>
              <w:right w:val="single" w:sz="4" w:space="0" w:color="auto"/>
            </w:tcBorders>
            <w:shd w:val="clear" w:color="auto" w:fill="auto"/>
            <w:noWrap/>
            <w:vAlign w:val="center"/>
            <w:hideMark/>
          </w:tcPr>
          <w:p w14:paraId="01AF17F2" w14:textId="6A8ABAA8"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829</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457</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479 </w:t>
            </w:r>
          </w:p>
        </w:tc>
        <w:tc>
          <w:tcPr>
            <w:tcW w:w="1418" w:type="dxa"/>
            <w:tcBorders>
              <w:top w:val="nil"/>
              <w:left w:val="nil"/>
              <w:bottom w:val="single" w:sz="4" w:space="0" w:color="auto"/>
              <w:right w:val="single" w:sz="4" w:space="0" w:color="auto"/>
            </w:tcBorders>
            <w:shd w:val="clear" w:color="auto" w:fill="auto"/>
            <w:noWrap/>
            <w:vAlign w:val="center"/>
            <w:hideMark/>
          </w:tcPr>
          <w:p w14:paraId="35364F8B" w14:textId="62B65226"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294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575 </w:t>
            </w:r>
          </w:p>
        </w:tc>
      </w:tr>
      <w:tr w:rsidR="009A21D7" w:rsidRPr="00374360" w14:paraId="0F002E61" w14:textId="77777777" w:rsidTr="00C734CF">
        <w:trPr>
          <w:trHeight w:val="4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677708C"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145</w:t>
            </w:r>
          </w:p>
        </w:tc>
        <w:tc>
          <w:tcPr>
            <w:tcW w:w="660" w:type="dxa"/>
            <w:tcBorders>
              <w:top w:val="nil"/>
              <w:left w:val="nil"/>
              <w:bottom w:val="single" w:sz="4" w:space="0" w:color="auto"/>
              <w:right w:val="single" w:sz="4" w:space="0" w:color="auto"/>
            </w:tcBorders>
            <w:shd w:val="clear" w:color="auto" w:fill="auto"/>
            <w:noWrap/>
            <w:vAlign w:val="center"/>
            <w:hideMark/>
          </w:tcPr>
          <w:p w14:paraId="6F25884B"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44796</w:t>
            </w:r>
          </w:p>
        </w:tc>
        <w:tc>
          <w:tcPr>
            <w:tcW w:w="879" w:type="dxa"/>
            <w:tcBorders>
              <w:top w:val="nil"/>
              <w:left w:val="nil"/>
              <w:bottom w:val="single" w:sz="4" w:space="0" w:color="auto"/>
              <w:right w:val="single" w:sz="4" w:space="0" w:color="auto"/>
            </w:tcBorders>
            <w:shd w:val="clear" w:color="auto" w:fill="auto"/>
            <w:noWrap/>
            <w:vAlign w:val="center"/>
            <w:hideMark/>
          </w:tcPr>
          <w:p w14:paraId="0DEA927F"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901175206</w:t>
            </w:r>
          </w:p>
        </w:tc>
        <w:tc>
          <w:tcPr>
            <w:tcW w:w="3913" w:type="dxa"/>
            <w:tcBorders>
              <w:top w:val="nil"/>
              <w:left w:val="nil"/>
              <w:bottom w:val="single" w:sz="4" w:space="0" w:color="auto"/>
              <w:right w:val="single" w:sz="4" w:space="0" w:color="auto"/>
            </w:tcBorders>
            <w:shd w:val="clear" w:color="auto" w:fill="auto"/>
            <w:vAlign w:val="center"/>
            <w:hideMark/>
          </w:tcPr>
          <w:p w14:paraId="7B02BF51"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Empresa Privada de Servicios Públicos de la Amazonía ZOMAC SAS</w:t>
            </w:r>
          </w:p>
        </w:tc>
        <w:tc>
          <w:tcPr>
            <w:tcW w:w="1602" w:type="dxa"/>
            <w:tcBorders>
              <w:top w:val="nil"/>
              <w:left w:val="nil"/>
              <w:bottom w:val="single" w:sz="4" w:space="0" w:color="auto"/>
              <w:right w:val="single" w:sz="4" w:space="0" w:color="auto"/>
            </w:tcBorders>
            <w:shd w:val="clear" w:color="auto" w:fill="auto"/>
            <w:noWrap/>
            <w:vAlign w:val="center"/>
            <w:hideMark/>
          </w:tcPr>
          <w:p w14:paraId="33727492" w14:textId="54915598"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152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878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257 </w:t>
            </w:r>
          </w:p>
        </w:tc>
        <w:tc>
          <w:tcPr>
            <w:tcW w:w="1418" w:type="dxa"/>
            <w:tcBorders>
              <w:top w:val="nil"/>
              <w:left w:val="nil"/>
              <w:bottom w:val="single" w:sz="4" w:space="0" w:color="auto"/>
              <w:right w:val="single" w:sz="4" w:space="0" w:color="auto"/>
            </w:tcBorders>
            <w:shd w:val="clear" w:color="auto" w:fill="auto"/>
            <w:noWrap/>
            <w:vAlign w:val="center"/>
            <w:hideMark/>
          </w:tcPr>
          <w:p w14:paraId="48EEDF7A" w14:textId="7DCDD969"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528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783 </w:t>
            </w:r>
          </w:p>
        </w:tc>
      </w:tr>
      <w:tr w:rsidR="009A21D7" w:rsidRPr="00374360" w14:paraId="5672F64F"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4FFF7AA"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146</w:t>
            </w:r>
          </w:p>
        </w:tc>
        <w:tc>
          <w:tcPr>
            <w:tcW w:w="660" w:type="dxa"/>
            <w:tcBorders>
              <w:top w:val="nil"/>
              <w:left w:val="nil"/>
              <w:bottom w:val="single" w:sz="4" w:space="0" w:color="auto"/>
              <w:right w:val="single" w:sz="4" w:space="0" w:color="auto"/>
            </w:tcBorders>
            <w:shd w:val="clear" w:color="auto" w:fill="auto"/>
            <w:noWrap/>
            <w:vAlign w:val="center"/>
            <w:hideMark/>
          </w:tcPr>
          <w:p w14:paraId="3ACCDF9E"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2170</w:t>
            </w:r>
          </w:p>
        </w:tc>
        <w:tc>
          <w:tcPr>
            <w:tcW w:w="879" w:type="dxa"/>
            <w:tcBorders>
              <w:top w:val="nil"/>
              <w:left w:val="nil"/>
              <w:bottom w:val="single" w:sz="4" w:space="0" w:color="auto"/>
              <w:right w:val="single" w:sz="4" w:space="0" w:color="auto"/>
            </w:tcBorders>
            <w:shd w:val="clear" w:color="auto" w:fill="auto"/>
            <w:noWrap/>
            <w:vAlign w:val="center"/>
            <w:hideMark/>
          </w:tcPr>
          <w:p w14:paraId="60AB8657"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842000030</w:t>
            </w:r>
          </w:p>
        </w:tc>
        <w:tc>
          <w:tcPr>
            <w:tcW w:w="3913" w:type="dxa"/>
            <w:tcBorders>
              <w:top w:val="nil"/>
              <w:left w:val="nil"/>
              <w:bottom w:val="single" w:sz="4" w:space="0" w:color="auto"/>
              <w:right w:val="single" w:sz="4" w:space="0" w:color="auto"/>
            </w:tcBorders>
            <w:shd w:val="clear" w:color="auto" w:fill="auto"/>
            <w:vAlign w:val="center"/>
            <w:hideMark/>
          </w:tcPr>
          <w:p w14:paraId="2F4D9E8F"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EMPRESA SIGLO XXI EICE ESP</w:t>
            </w:r>
          </w:p>
        </w:tc>
        <w:tc>
          <w:tcPr>
            <w:tcW w:w="1602" w:type="dxa"/>
            <w:tcBorders>
              <w:top w:val="nil"/>
              <w:left w:val="nil"/>
              <w:bottom w:val="single" w:sz="4" w:space="0" w:color="auto"/>
              <w:right w:val="single" w:sz="4" w:space="0" w:color="auto"/>
            </w:tcBorders>
            <w:shd w:val="clear" w:color="auto" w:fill="auto"/>
            <w:noWrap/>
            <w:vAlign w:val="center"/>
            <w:hideMark/>
          </w:tcPr>
          <w:p w14:paraId="4FC89D74" w14:textId="1C8C1430"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383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912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731 </w:t>
            </w:r>
          </w:p>
        </w:tc>
        <w:tc>
          <w:tcPr>
            <w:tcW w:w="1418" w:type="dxa"/>
            <w:tcBorders>
              <w:top w:val="nil"/>
              <w:left w:val="nil"/>
              <w:bottom w:val="single" w:sz="4" w:space="0" w:color="auto"/>
              <w:right w:val="single" w:sz="4" w:space="0" w:color="auto"/>
            </w:tcBorders>
            <w:shd w:val="clear" w:color="auto" w:fill="auto"/>
            <w:noWrap/>
            <w:vAlign w:val="center"/>
            <w:hideMark/>
          </w:tcPr>
          <w:p w14:paraId="5E4D4C3F" w14:textId="35A1F7C9"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839</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127 </w:t>
            </w:r>
          </w:p>
        </w:tc>
      </w:tr>
      <w:tr w:rsidR="009A21D7" w:rsidRPr="00374360" w14:paraId="0A52C06A"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3602458"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147</w:t>
            </w:r>
          </w:p>
        </w:tc>
        <w:tc>
          <w:tcPr>
            <w:tcW w:w="660" w:type="dxa"/>
            <w:tcBorders>
              <w:top w:val="nil"/>
              <w:left w:val="nil"/>
              <w:bottom w:val="single" w:sz="4" w:space="0" w:color="auto"/>
              <w:right w:val="single" w:sz="4" w:space="0" w:color="auto"/>
            </w:tcBorders>
            <w:shd w:val="clear" w:color="auto" w:fill="auto"/>
            <w:noWrap/>
            <w:vAlign w:val="center"/>
            <w:hideMark/>
          </w:tcPr>
          <w:p w14:paraId="6A5F102B"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2128</w:t>
            </w:r>
          </w:p>
        </w:tc>
        <w:tc>
          <w:tcPr>
            <w:tcW w:w="879" w:type="dxa"/>
            <w:tcBorders>
              <w:top w:val="nil"/>
              <w:left w:val="nil"/>
              <w:bottom w:val="single" w:sz="4" w:space="0" w:color="auto"/>
              <w:right w:val="single" w:sz="4" w:space="0" w:color="auto"/>
            </w:tcBorders>
            <w:shd w:val="clear" w:color="auto" w:fill="auto"/>
            <w:noWrap/>
            <w:vAlign w:val="center"/>
            <w:hideMark/>
          </w:tcPr>
          <w:p w14:paraId="5BFC3768"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800175746</w:t>
            </w:r>
          </w:p>
        </w:tc>
        <w:tc>
          <w:tcPr>
            <w:tcW w:w="3913" w:type="dxa"/>
            <w:tcBorders>
              <w:top w:val="nil"/>
              <w:left w:val="nil"/>
              <w:bottom w:val="single" w:sz="4" w:space="0" w:color="auto"/>
              <w:right w:val="single" w:sz="4" w:space="0" w:color="auto"/>
            </w:tcBorders>
            <w:shd w:val="clear" w:color="auto" w:fill="auto"/>
            <w:vAlign w:val="center"/>
            <w:hideMark/>
          </w:tcPr>
          <w:p w14:paraId="75E67F4C"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EMPRESA URRA S.A. E.S.P.</w:t>
            </w:r>
          </w:p>
        </w:tc>
        <w:tc>
          <w:tcPr>
            <w:tcW w:w="1602" w:type="dxa"/>
            <w:tcBorders>
              <w:top w:val="nil"/>
              <w:left w:val="nil"/>
              <w:bottom w:val="single" w:sz="4" w:space="0" w:color="auto"/>
              <w:right w:val="single" w:sz="4" w:space="0" w:color="auto"/>
            </w:tcBorders>
            <w:shd w:val="clear" w:color="auto" w:fill="auto"/>
            <w:noWrap/>
            <w:vAlign w:val="center"/>
            <w:hideMark/>
          </w:tcPr>
          <w:p w14:paraId="26AE83BE" w14:textId="2BDD9F6A"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919</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862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444 </w:t>
            </w:r>
          </w:p>
        </w:tc>
        <w:tc>
          <w:tcPr>
            <w:tcW w:w="1418" w:type="dxa"/>
            <w:tcBorders>
              <w:top w:val="nil"/>
              <w:left w:val="nil"/>
              <w:bottom w:val="single" w:sz="4" w:space="0" w:color="auto"/>
              <w:right w:val="single" w:sz="4" w:space="0" w:color="auto"/>
            </w:tcBorders>
            <w:shd w:val="clear" w:color="auto" w:fill="auto"/>
            <w:noWrap/>
            <w:vAlign w:val="center"/>
            <w:hideMark/>
          </w:tcPr>
          <w:p w14:paraId="1000D0B1" w14:textId="3928ABBB"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129</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198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624 </w:t>
            </w:r>
          </w:p>
        </w:tc>
      </w:tr>
      <w:tr w:rsidR="009A21D7" w:rsidRPr="00374360" w14:paraId="5AD7B457" w14:textId="77777777" w:rsidTr="00C734CF">
        <w:trPr>
          <w:trHeight w:val="4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3AC5922"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148</w:t>
            </w:r>
          </w:p>
        </w:tc>
        <w:tc>
          <w:tcPr>
            <w:tcW w:w="660" w:type="dxa"/>
            <w:tcBorders>
              <w:top w:val="nil"/>
              <w:left w:val="nil"/>
              <w:bottom w:val="single" w:sz="4" w:space="0" w:color="auto"/>
              <w:right w:val="single" w:sz="4" w:space="0" w:color="auto"/>
            </w:tcBorders>
            <w:shd w:val="clear" w:color="auto" w:fill="auto"/>
            <w:noWrap/>
            <w:vAlign w:val="center"/>
            <w:hideMark/>
          </w:tcPr>
          <w:p w14:paraId="25E430CA"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2438</w:t>
            </w:r>
          </w:p>
        </w:tc>
        <w:tc>
          <w:tcPr>
            <w:tcW w:w="879" w:type="dxa"/>
            <w:tcBorders>
              <w:top w:val="nil"/>
              <w:left w:val="nil"/>
              <w:bottom w:val="single" w:sz="4" w:space="0" w:color="auto"/>
              <w:right w:val="single" w:sz="4" w:space="0" w:color="auto"/>
            </w:tcBorders>
            <w:shd w:val="clear" w:color="auto" w:fill="auto"/>
            <w:noWrap/>
            <w:vAlign w:val="center"/>
            <w:hideMark/>
          </w:tcPr>
          <w:p w14:paraId="3E307B24"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890399003</w:t>
            </w:r>
          </w:p>
        </w:tc>
        <w:tc>
          <w:tcPr>
            <w:tcW w:w="3913" w:type="dxa"/>
            <w:tcBorders>
              <w:top w:val="nil"/>
              <w:left w:val="nil"/>
              <w:bottom w:val="single" w:sz="4" w:space="0" w:color="auto"/>
              <w:right w:val="single" w:sz="4" w:space="0" w:color="auto"/>
            </w:tcBorders>
            <w:shd w:val="clear" w:color="auto" w:fill="auto"/>
            <w:vAlign w:val="center"/>
            <w:hideMark/>
          </w:tcPr>
          <w:p w14:paraId="64F0F209"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EMPRESAS MUNICIPALES DE CALI   E.I.C.E  E.S.P</w:t>
            </w:r>
          </w:p>
        </w:tc>
        <w:tc>
          <w:tcPr>
            <w:tcW w:w="1602" w:type="dxa"/>
            <w:tcBorders>
              <w:top w:val="nil"/>
              <w:left w:val="nil"/>
              <w:bottom w:val="single" w:sz="4" w:space="0" w:color="auto"/>
              <w:right w:val="single" w:sz="4" w:space="0" w:color="auto"/>
            </w:tcBorders>
            <w:shd w:val="clear" w:color="auto" w:fill="auto"/>
            <w:noWrap/>
            <w:vAlign w:val="center"/>
            <w:hideMark/>
          </w:tcPr>
          <w:p w14:paraId="0A823AEF" w14:textId="4C20F505"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109</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832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346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050 </w:t>
            </w:r>
          </w:p>
        </w:tc>
        <w:tc>
          <w:tcPr>
            <w:tcW w:w="1418" w:type="dxa"/>
            <w:tcBorders>
              <w:top w:val="nil"/>
              <w:left w:val="nil"/>
              <w:bottom w:val="single" w:sz="4" w:space="0" w:color="auto"/>
              <w:right w:val="single" w:sz="4" w:space="0" w:color="auto"/>
            </w:tcBorders>
            <w:shd w:val="clear" w:color="auto" w:fill="auto"/>
            <w:noWrap/>
            <w:vAlign w:val="center"/>
            <w:hideMark/>
          </w:tcPr>
          <w:p w14:paraId="411B995F" w14:textId="138AF655"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098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323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460 </w:t>
            </w:r>
          </w:p>
        </w:tc>
      </w:tr>
      <w:tr w:rsidR="009A21D7" w:rsidRPr="00374360" w14:paraId="21DB1090"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02E5DDA"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149</w:t>
            </w:r>
          </w:p>
        </w:tc>
        <w:tc>
          <w:tcPr>
            <w:tcW w:w="660" w:type="dxa"/>
            <w:tcBorders>
              <w:top w:val="nil"/>
              <w:left w:val="nil"/>
              <w:bottom w:val="single" w:sz="4" w:space="0" w:color="auto"/>
              <w:right w:val="single" w:sz="4" w:space="0" w:color="auto"/>
            </w:tcBorders>
            <w:shd w:val="clear" w:color="auto" w:fill="auto"/>
            <w:noWrap/>
            <w:vAlign w:val="center"/>
            <w:hideMark/>
          </w:tcPr>
          <w:p w14:paraId="2DD32B6B"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617</w:t>
            </w:r>
          </w:p>
        </w:tc>
        <w:tc>
          <w:tcPr>
            <w:tcW w:w="879" w:type="dxa"/>
            <w:tcBorders>
              <w:top w:val="nil"/>
              <w:left w:val="nil"/>
              <w:bottom w:val="single" w:sz="4" w:space="0" w:color="auto"/>
              <w:right w:val="single" w:sz="4" w:space="0" w:color="auto"/>
            </w:tcBorders>
            <w:shd w:val="clear" w:color="auto" w:fill="auto"/>
            <w:noWrap/>
            <w:vAlign w:val="center"/>
            <w:hideMark/>
          </w:tcPr>
          <w:p w14:paraId="19357CB1"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836000349</w:t>
            </w:r>
          </w:p>
        </w:tc>
        <w:tc>
          <w:tcPr>
            <w:tcW w:w="3913" w:type="dxa"/>
            <w:tcBorders>
              <w:top w:val="nil"/>
              <w:left w:val="nil"/>
              <w:bottom w:val="single" w:sz="4" w:space="0" w:color="auto"/>
              <w:right w:val="single" w:sz="4" w:space="0" w:color="auto"/>
            </w:tcBorders>
            <w:shd w:val="clear" w:color="auto" w:fill="auto"/>
            <w:vAlign w:val="center"/>
            <w:hideMark/>
          </w:tcPr>
          <w:p w14:paraId="33FD5D74"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EMPRESAS MUNICIPALES DE CARTAGO E.S.P.</w:t>
            </w:r>
          </w:p>
        </w:tc>
        <w:tc>
          <w:tcPr>
            <w:tcW w:w="1602" w:type="dxa"/>
            <w:tcBorders>
              <w:top w:val="nil"/>
              <w:left w:val="nil"/>
              <w:bottom w:val="single" w:sz="4" w:space="0" w:color="auto"/>
              <w:right w:val="single" w:sz="4" w:space="0" w:color="auto"/>
            </w:tcBorders>
            <w:shd w:val="clear" w:color="auto" w:fill="auto"/>
            <w:noWrap/>
            <w:vAlign w:val="center"/>
            <w:hideMark/>
          </w:tcPr>
          <w:p w14:paraId="19F70C1A" w14:textId="3297C23D"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288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243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137 </w:t>
            </w:r>
          </w:p>
        </w:tc>
        <w:tc>
          <w:tcPr>
            <w:tcW w:w="1418" w:type="dxa"/>
            <w:tcBorders>
              <w:top w:val="nil"/>
              <w:left w:val="nil"/>
              <w:bottom w:val="single" w:sz="4" w:space="0" w:color="auto"/>
              <w:right w:val="single" w:sz="4" w:space="0" w:color="auto"/>
            </w:tcBorders>
            <w:shd w:val="clear" w:color="auto" w:fill="auto"/>
            <w:noWrap/>
            <w:vAlign w:val="center"/>
            <w:hideMark/>
          </w:tcPr>
          <w:p w14:paraId="3597F692" w14:textId="4B7FD04F"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882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431 </w:t>
            </w:r>
          </w:p>
        </w:tc>
      </w:tr>
      <w:tr w:rsidR="009A21D7" w:rsidRPr="00374360" w14:paraId="388C5B23"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C172FC3"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lastRenderedPageBreak/>
              <w:t>150</w:t>
            </w:r>
          </w:p>
        </w:tc>
        <w:tc>
          <w:tcPr>
            <w:tcW w:w="660" w:type="dxa"/>
            <w:tcBorders>
              <w:top w:val="nil"/>
              <w:left w:val="nil"/>
              <w:bottom w:val="single" w:sz="4" w:space="0" w:color="auto"/>
              <w:right w:val="single" w:sz="4" w:space="0" w:color="auto"/>
            </w:tcBorders>
            <w:shd w:val="clear" w:color="auto" w:fill="auto"/>
            <w:noWrap/>
            <w:vAlign w:val="center"/>
            <w:hideMark/>
          </w:tcPr>
          <w:p w14:paraId="509048AB"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582</w:t>
            </w:r>
          </w:p>
        </w:tc>
        <w:tc>
          <w:tcPr>
            <w:tcW w:w="879" w:type="dxa"/>
            <w:tcBorders>
              <w:top w:val="nil"/>
              <w:left w:val="nil"/>
              <w:bottom w:val="single" w:sz="4" w:space="0" w:color="auto"/>
              <w:right w:val="single" w:sz="4" w:space="0" w:color="auto"/>
            </w:tcBorders>
            <w:shd w:val="clear" w:color="auto" w:fill="auto"/>
            <w:noWrap/>
            <w:vAlign w:val="center"/>
            <w:hideMark/>
          </w:tcPr>
          <w:p w14:paraId="4A40B9A3"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800152294</w:t>
            </w:r>
          </w:p>
        </w:tc>
        <w:tc>
          <w:tcPr>
            <w:tcW w:w="3913" w:type="dxa"/>
            <w:tcBorders>
              <w:top w:val="nil"/>
              <w:left w:val="nil"/>
              <w:bottom w:val="single" w:sz="4" w:space="0" w:color="auto"/>
              <w:right w:val="single" w:sz="4" w:space="0" w:color="auto"/>
            </w:tcBorders>
            <w:shd w:val="clear" w:color="auto" w:fill="auto"/>
            <w:vAlign w:val="center"/>
            <w:hideMark/>
          </w:tcPr>
          <w:p w14:paraId="301E832C"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EMPRESAS PÚBLICAS  DE URRAO E.S.P.</w:t>
            </w:r>
          </w:p>
        </w:tc>
        <w:tc>
          <w:tcPr>
            <w:tcW w:w="1602" w:type="dxa"/>
            <w:tcBorders>
              <w:top w:val="nil"/>
              <w:left w:val="nil"/>
              <w:bottom w:val="single" w:sz="4" w:space="0" w:color="auto"/>
              <w:right w:val="single" w:sz="4" w:space="0" w:color="auto"/>
            </w:tcBorders>
            <w:shd w:val="clear" w:color="auto" w:fill="auto"/>
            <w:noWrap/>
            <w:vAlign w:val="center"/>
            <w:hideMark/>
          </w:tcPr>
          <w:p w14:paraId="1D9B0A79" w14:textId="3753C255"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242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763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051 </w:t>
            </w:r>
          </w:p>
        </w:tc>
        <w:tc>
          <w:tcPr>
            <w:tcW w:w="1418" w:type="dxa"/>
            <w:tcBorders>
              <w:top w:val="nil"/>
              <w:left w:val="nil"/>
              <w:bottom w:val="single" w:sz="4" w:space="0" w:color="auto"/>
              <w:right w:val="single" w:sz="4" w:space="0" w:color="auto"/>
            </w:tcBorders>
            <w:shd w:val="clear" w:color="auto" w:fill="auto"/>
            <w:noWrap/>
            <w:vAlign w:val="center"/>
            <w:hideMark/>
          </w:tcPr>
          <w:p w14:paraId="5FED957A" w14:textId="56D09F65"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427</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631 </w:t>
            </w:r>
          </w:p>
        </w:tc>
      </w:tr>
      <w:tr w:rsidR="009A21D7" w:rsidRPr="00374360" w14:paraId="45E45588"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B91242E"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151</w:t>
            </w:r>
          </w:p>
        </w:tc>
        <w:tc>
          <w:tcPr>
            <w:tcW w:w="660" w:type="dxa"/>
            <w:tcBorders>
              <w:top w:val="nil"/>
              <w:left w:val="nil"/>
              <w:bottom w:val="single" w:sz="4" w:space="0" w:color="auto"/>
              <w:right w:val="single" w:sz="4" w:space="0" w:color="auto"/>
            </w:tcBorders>
            <w:shd w:val="clear" w:color="auto" w:fill="auto"/>
            <w:noWrap/>
            <w:vAlign w:val="center"/>
            <w:hideMark/>
          </w:tcPr>
          <w:p w14:paraId="0A25EA15"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564</w:t>
            </w:r>
          </w:p>
        </w:tc>
        <w:tc>
          <w:tcPr>
            <w:tcW w:w="879" w:type="dxa"/>
            <w:tcBorders>
              <w:top w:val="nil"/>
              <w:left w:val="nil"/>
              <w:bottom w:val="single" w:sz="4" w:space="0" w:color="auto"/>
              <w:right w:val="single" w:sz="4" w:space="0" w:color="auto"/>
            </w:tcBorders>
            <w:shd w:val="clear" w:color="auto" w:fill="auto"/>
            <w:noWrap/>
            <w:vAlign w:val="center"/>
            <w:hideMark/>
          </w:tcPr>
          <w:p w14:paraId="6B91D45C"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890904996</w:t>
            </w:r>
          </w:p>
        </w:tc>
        <w:tc>
          <w:tcPr>
            <w:tcW w:w="3913" w:type="dxa"/>
            <w:tcBorders>
              <w:top w:val="nil"/>
              <w:left w:val="nil"/>
              <w:bottom w:val="single" w:sz="4" w:space="0" w:color="auto"/>
              <w:right w:val="single" w:sz="4" w:space="0" w:color="auto"/>
            </w:tcBorders>
            <w:shd w:val="clear" w:color="auto" w:fill="auto"/>
            <w:vAlign w:val="center"/>
            <w:hideMark/>
          </w:tcPr>
          <w:p w14:paraId="548CB81E"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EMPRESAS PÚBLICAS DE MEDELLIN E.S.P.</w:t>
            </w:r>
          </w:p>
        </w:tc>
        <w:tc>
          <w:tcPr>
            <w:tcW w:w="1602" w:type="dxa"/>
            <w:tcBorders>
              <w:top w:val="nil"/>
              <w:left w:val="nil"/>
              <w:bottom w:val="single" w:sz="4" w:space="0" w:color="auto"/>
              <w:right w:val="single" w:sz="4" w:space="0" w:color="auto"/>
            </w:tcBorders>
            <w:shd w:val="clear" w:color="auto" w:fill="auto"/>
            <w:noWrap/>
            <w:vAlign w:val="center"/>
            <w:hideMark/>
          </w:tcPr>
          <w:p w14:paraId="358049EA" w14:textId="79EB5EC6"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492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126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087</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026 </w:t>
            </w:r>
          </w:p>
        </w:tc>
        <w:tc>
          <w:tcPr>
            <w:tcW w:w="1418" w:type="dxa"/>
            <w:tcBorders>
              <w:top w:val="nil"/>
              <w:left w:val="nil"/>
              <w:bottom w:val="single" w:sz="4" w:space="0" w:color="auto"/>
              <w:right w:val="single" w:sz="4" w:space="0" w:color="auto"/>
            </w:tcBorders>
            <w:shd w:val="clear" w:color="auto" w:fill="auto"/>
            <w:noWrap/>
            <w:vAlign w:val="center"/>
            <w:hideMark/>
          </w:tcPr>
          <w:p w14:paraId="15A068E2" w14:textId="5F505022"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921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260</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870 </w:t>
            </w:r>
          </w:p>
        </w:tc>
      </w:tr>
      <w:tr w:rsidR="009A21D7" w:rsidRPr="00374360" w14:paraId="3601B8C6" w14:textId="77777777" w:rsidTr="00C734CF">
        <w:trPr>
          <w:trHeight w:val="4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3B21B6B"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152</w:t>
            </w:r>
          </w:p>
        </w:tc>
        <w:tc>
          <w:tcPr>
            <w:tcW w:w="660" w:type="dxa"/>
            <w:tcBorders>
              <w:top w:val="nil"/>
              <w:left w:val="nil"/>
              <w:bottom w:val="single" w:sz="4" w:space="0" w:color="auto"/>
              <w:right w:val="single" w:sz="4" w:space="0" w:color="auto"/>
            </w:tcBorders>
            <w:shd w:val="clear" w:color="auto" w:fill="auto"/>
            <w:noWrap/>
            <w:vAlign w:val="center"/>
            <w:hideMark/>
          </w:tcPr>
          <w:p w14:paraId="42D2CFFB"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330</w:t>
            </w:r>
          </w:p>
        </w:tc>
        <w:tc>
          <w:tcPr>
            <w:tcW w:w="879" w:type="dxa"/>
            <w:tcBorders>
              <w:top w:val="nil"/>
              <w:left w:val="nil"/>
              <w:bottom w:val="single" w:sz="4" w:space="0" w:color="auto"/>
              <w:right w:val="single" w:sz="4" w:space="0" w:color="auto"/>
            </w:tcBorders>
            <w:shd w:val="clear" w:color="auto" w:fill="auto"/>
            <w:noWrap/>
            <w:vAlign w:val="center"/>
            <w:hideMark/>
          </w:tcPr>
          <w:p w14:paraId="2C81B08B"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800063823</w:t>
            </w:r>
          </w:p>
        </w:tc>
        <w:tc>
          <w:tcPr>
            <w:tcW w:w="3913" w:type="dxa"/>
            <w:tcBorders>
              <w:top w:val="nil"/>
              <w:left w:val="nil"/>
              <w:bottom w:val="single" w:sz="4" w:space="0" w:color="auto"/>
              <w:right w:val="single" w:sz="4" w:space="0" w:color="auto"/>
            </w:tcBorders>
            <w:shd w:val="clear" w:color="auto" w:fill="auto"/>
            <w:vAlign w:val="center"/>
            <w:hideMark/>
          </w:tcPr>
          <w:p w14:paraId="065E8E9B"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EMPRESAS PÚBLICAS DEL QUINDIO S.A.   E.S.P.</w:t>
            </w:r>
          </w:p>
        </w:tc>
        <w:tc>
          <w:tcPr>
            <w:tcW w:w="1602" w:type="dxa"/>
            <w:tcBorders>
              <w:top w:val="nil"/>
              <w:left w:val="nil"/>
              <w:bottom w:val="single" w:sz="4" w:space="0" w:color="auto"/>
              <w:right w:val="single" w:sz="4" w:space="0" w:color="auto"/>
            </w:tcBorders>
            <w:shd w:val="clear" w:color="auto" w:fill="auto"/>
            <w:noWrap/>
            <w:vAlign w:val="center"/>
            <w:hideMark/>
          </w:tcPr>
          <w:p w14:paraId="74917612" w14:textId="61254D24"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111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645</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847 </w:t>
            </w:r>
          </w:p>
        </w:tc>
        <w:tc>
          <w:tcPr>
            <w:tcW w:w="1418" w:type="dxa"/>
            <w:tcBorders>
              <w:top w:val="nil"/>
              <w:left w:val="nil"/>
              <w:bottom w:val="single" w:sz="4" w:space="0" w:color="auto"/>
              <w:right w:val="single" w:sz="4" w:space="0" w:color="auto"/>
            </w:tcBorders>
            <w:shd w:val="clear" w:color="auto" w:fill="auto"/>
            <w:noWrap/>
            <w:vAlign w:val="center"/>
            <w:hideMark/>
          </w:tcPr>
          <w:p w14:paraId="0B6B7F5D" w14:textId="44F2B86D"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116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458 </w:t>
            </w:r>
          </w:p>
        </w:tc>
      </w:tr>
      <w:tr w:rsidR="009A21D7" w:rsidRPr="00374360" w14:paraId="73D1D77B"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B1A6149"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153</w:t>
            </w:r>
          </w:p>
        </w:tc>
        <w:tc>
          <w:tcPr>
            <w:tcW w:w="660" w:type="dxa"/>
            <w:tcBorders>
              <w:top w:val="nil"/>
              <w:left w:val="nil"/>
              <w:bottom w:val="single" w:sz="4" w:space="0" w:color="auto"/>
              <w:right w:val="single" w:sz="4" w:space="0" w:color="auto"/>
            </w:tcBorders>
            <w:shd w:val="clear" w:color="auto" w:fill="auto"/>
            <w:noWrap/>
            <w:vAlign w:val="center"/>
            <w:hideMark/>
          </w:tcPr>
          <w:p w14:paraId="3E133A29"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41315</w:t>
            </w:r>
          </w:p>
        </w:tc>
        <w:tc>
          <w:tcPr>
            <w:tcW w:w="879" w:type="dxa"/>
            <w:tcBorders>
              <w:top w:val="nil"/>
              <w:left w:val="nil"/>
              <w:bottom w:val="single" w:sz="4" w:space="0" w:color="auto"/>
              <w:right w:val="single" w:sz="4" w:space="0" w:color="auto"/>
            </w:tcBorders>
            <w:shd w:val="clear" w:color="auto" w:fill="auto"/>
            <w:noWrap/>
            <w:vAlign w:val="center"/>
            <w:hideMark/>
          </w:tcPr>
          <w:p w14:paraId="02AB0E7D"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900509559</w:t>
            </w:r>
          </w:p>
        </w:tc>
        <w:tc>
          <w:tcPr>
            <w:tcW w:w="3913" w:type="dxa"/>
            <w:tcBorders>
              <w:top w:val="nil"/>
              <w:left w:val="nil"/>
              <w:bottom w:val="single" w:sz="4" w:space="0" w:color="auto"/>
              <w:right w:val="single" w:sz="4" w:space="0" w:color="auto"/>
            </w:tcBorders>
            <w:shd w:val="clear" w:color="auto" w:fill="auto"/>
            <w:vAlign w:val="center"/>
            <w:hideMark/>
          </w:tcPr>
          <w:p w14:paraId="775791D8"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ENEL GREEN POWER COLOMBIA S.A.S E.S.P.</w:t>
            </w:r>
          </w:p>
        </w:tc>
        <w:tc>
          <w:tcPr>
            <w:tcW w:w="1602" w:type="dxa"/>
            <w:tcBorders>
              <w:top w:val="nil"/>
              <w:left w:val="nil"/>
              <w:bottom w:val="single" w:sz="4" w:space="0" w:color="auto"/>
              <w:right w:val="single" w:sz="4" w:space="0" w:color="auto"/>
            </w:tcBorders>
            <w:shd w:val="clear" w:color="auto" w:fill="auto"/>
            <w:noWrap/>
            <w:vAlign w:val="center"/>
            <w:hideMark/>
          </w:tcPr>
          <w:p w14:paraId="758313C3" w14:textId="6405752A"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904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888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732 </w:t>
            </w:r>
          </w:p>
        </w:tc>
        <w:tc>
          <w:tcPr>
            <w:tcW w:w="1418" w:type="dxa"/>
            <w:tcBorders>
              <w:top w:val="nil"/>
              <w:left w:val="nil"/>
              <w:bottom w:val="single" w:sz="4" w:space="0" w:color="auto"/>
              <w:right w:val="single" w:sz="4" w:space="0" w:color="auto"/>
            </w:tcBorders>
            <w:shd w:val="clear" w:color="auto" w:fill="auto"/>
            <w:noWrap/>
            <w:vAlign w:val="center"/>
            <w:hideMark/>
          </w:tcPr>
          <w:p w14:paraId="409A2031" w14:textId="0DEB71E8"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69</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048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887 </w:t>
            </w:r>
          </w:p>
        </w:tc>
      </w:tr>
      <w:tr w:rsidR="009A21D7" w:rsidRPr="00374360" w14:paraId="1057BA0B"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4448829"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154</w:t>
            </w:r>
          </w:p>
        </w:tc>
        <w:tc>
          <w:tcPr>
            <w:tcW w:w="660" w:type="dxa"/>
            <w:tcBorders>
              <w:top w:val="nil"/>
              <w:left w:val="nil"/>
              <w:bottom w:val="single" w:sz="4" w:space="0" w:color="auto"/>
              <w:right w:val="single" w:sz="4" w:space="0" w:color="auto"/>
            </w:tcBorders>
            <w:shd w:val="clear" w:color="auto" w:fill="auto"/>
            <w:noWrap/>
            <w:vAlign w:val="center"/>
            <w:hideMark/>
          </w:tcPr>
          <w:p w14:paraId="64287E1C"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2824</w:t>
            </w:r>
          </w:p>
        </w:tc>
        <w:tc>
          <w:tcPr>
            <w:tcW w:w="879" w:type="dxa"/>
            <w:tcBorders>
              <w:top w:val="nil"/>
              <w:left w:val="nil"/>
              <w:bottom w:val="single" w:sz="4" w:space="0" w:color="auto"/>
              <w:right w:val="single" w:sz="4" w:space="0" w:color="auto"/>
            </w:tcBorders>
            <w:shd w:val="clear" w:color="auto" w:fill="auto"/>
            <w:noWrap/>
            <w:vAlign w:val="center"/>
            <w:hideMark/>
          </w:tcPr>
          <w:p w14:paraId="007AE3A0"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805016928</w:t>
            </w:r>
          </w:p>
        </w:tc>
        <w:tc>
          <w:tcPr>
            <w:tcW w:w="3913" w:type="dxa"/>
            <w:tcBorders>
              <w:top w:val="nil"/>
              <w:left w:val="nil"/>
              <w:bottom w:val="single" w:sz="4" w:space="0" w:color="auto"/>
              <w:right w:val="single" w:sz="4" w:space="0" w:color="auto"/>
            </w:tcBorders>
            <w:shd w:val="clear" w:color="auto" w:fill="auto"/>
            <w:vAlign w:val="center"/>
            <w:hideMark/>
          </w:tcPr>
          <w:p w14:paraId="057B1060"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ENERCO S.A. E.S.P.</w:t>
            </w:r>
          </w:p>
        </w:tc>
        <w:tc>
          <w:tcPr>
            <w:tcW w:w="1602" w:type="dxa"/>
            <w:tcBorders>
              <w:top w:val="nil"/>
              <w:left w:val="nil"/>
              <w:bottom w:val="single" w:sz="4" w:space="0" w:color="auto"/>
              <w:right w:val="single" w:sz="4" w:space="0" w:color="auto"/>
            </w:tcBorders>
            <w:shd w:val="clear" w:color="auto" w:fill="auto"/>
            <w:noWrap/>
            <w:vAlign w:val="center"/>
            <w:hideMark/>
          </w:tcPr>
          <w:p w14:paraId="5D2FDC89" w14:textId="16623476"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511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001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964 </w:t>
            </w:r>
          </w:p>
        </w:tc>
        <w:tc>
          <w:tcPr>
            <w:tcW w:w="1418" w:type="dxa"/>
            <w:tcBorders>
              <w:top w:val="nil"/>
              <w:left w:val="nil"/>
              <w:bottom w:val="single" w:sz="4" w:space="0" w:color="auto"/>
              <w:right w:val="single" w:sz="4" w:space="0" w:color="auto"/>
            </w:tcBorders>
            <w:shd w:val="clear" w:color="auto" w:fill="auto"/>
            <w:noWrap/>
            <w:vAlign w:val="center"/>
            <w:hideMark/>
          </w:tcPr>
          <w:p w14:paraId="102C58CF" w14:textId="5A9E071D"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5</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110</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020 </w:t>
            </w:r>
          </w:p>
        </w:tc>
      </w:tr>
      <w:tr w:rsidR="009A21D7" w:rsidRPr="00374360" w14:paraId="77D40A5F" w14:textId="77777777" w:rsidTr="00C734CF">
        <w:trPr>
          <w:trHeight w:val="4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088FE5B"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155</w:t>
            </w:r>
          </w:p>
        </w:tc>
        <w:tc>
          <w:tcPr>
            <w:tcW w:w="660" w:type="dxa"/>
            <w:tcBorders>
              <w:top w:val="nil"/>
              <w:left w:val="nil"/>
              <w:bottom w:val="single" w:sz="4" w:space="0" w:color="auto"/>
              <w:right w:val="single" w:sz="4" w:space="0" w:color="auto"/>
            </w:tcBorders>
            <w:shd w:val="clear" w:color="auto" w:fill="auto"/>
            <w:noWrap/>
            <w:vAlign w:val="center"/>
            <w:hideMark/>
          </w:tcPr>
          <w:p w14:paraId="7292B209"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21889</w:t>
            </w:r>
          </w:p>
        </w:tc>
        <w:tc>
          <w:tcPr>
            <w:tcW w:w="879" w:type="dxa"/>
            <w:tcBorders>
              <w:top w:val="nil"/>
              <w:left w:val="nil"/>
              <w:bottom w:val="single" w:sz="4" w:space="0" w:color="auto"/>
              <w:right w:val="single" w:sz="4" w:space="0" w:color="auto"/>
            </w:tcBorders>
            <w:shd w:val="clear" w:color="auto" w:fill="auto"/>
            <w:noWrap/>
            <w:vAlign w:val="center"/>
            <w:hideMark/>
          </w:tcPr>
          <w:p w14:paraId="00C50054"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900189881</w:t>
            </w:r>
          </w:p>
        </w:tc>
        <w:tc>
          <w:tcPr>
            <w:tcW w:w="3913" w:type="dxa"/>
            <w:tcBorders>
              <w:top w:val="nil"/>
              <w:left w:val="nil"/>
              <w:bottom w:val="single" w:sz="4" w:space="0" w:color="auto"/>
              <w:right w:val="single" w:sz="4" w:space="0" w:color="auto"/>
            </w:tcBorders>
            <w:shd w:val="clear" w:color="auto" w:fill="auto"/>
            <w:vAlign w:val="center"/>
            <w:hideMark/>
          </w:tcPr>
          <w:p w14:paraId="20AA5023"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ENERCOR S.A. E.S.P. - COMERCIALIZADORA ENERGETICA DEL ORIENTE</w:t>
            </w:r>
          </w:p>
        </w:tc>
        <w:tc>
          <w:tcPr>
            <w:tcW w:w="1602" w:type="dxa"/>
            <w:tcBorders>
              <w:top w:val="nil"/>
              <w:left w:val="nil"/>
              <w:bottom w:val="single" w:sz="4" w:space="0" w:color="auto"/>
              <w:right w:val="single" w:sz="4" w:space="0" w:color="auto"/>
            </w:tcBorders>
            <w:shd w:val="clear" w:color="auto" w:fill="auto"/>
            <w:noWrap/>
            <w:vAlign w:val="center"/>
            <w:hideMark/>
          </w:tcPr>
          <w:p w14:paraId="40D11C58" w14:textId="10A9C1C2"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302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087</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329 </w:t>
            </w:r>
          </w:p>
        </w:tc>
        <w:tc>
          <w:tcPr>
            <w:tcW w:w="1418" w:type="dxa"/>
            <w:tcBorders>
              <w:top w:val="nil"/>
              <w:left w:val="nil"/>
              <w:bottom w:val="single" w:sz="4" w:space="0" w:color="auto"/>
              <w:right w:val="single" w:sz="4" w:space="0" w:color="auto"/>
            </w:tcBorders>
            <w:shd w:val="clear" w:color="auto" w:fill="auto"/>
            <w:noWrap/>
            <w:vAlign w:val="center"/>
            <w:hideMark/>
          </w:tcPr>
          <w:p w14:paraId="313921D7" w14:textId="1136286A"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020</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873 </w:t>
            </w:r>
          </w:p>
        </w:tc>
      </w:tr>
      <w:tr w:rsidR="009A21D7" w:rsidRPr="00374360" w14:paraId="3F9C23DB"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C9ED37A"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156</w:t>
            </w:r>
          </w:p>
        </w:tc>
        <w:tc>
          <w:tcPr>
            <w:tcW w:w="660" w:type="dxa"/>
            <w:tcBorders>
              <w:top w:val="nil"/>
              <w:left w:val="nil"/>
              <w:bottom w:val="single" w:sz="4" w:space="0" w:color="auto"/>
              <w:right w:val="single" w:sz="4" w:space="0" w:color="auto"/>
            </w:tcBorders>
            <w:shd w:val="clear" w:color="auto" w:fill="auto"/>
            <w:noWrap/>
            <w:vAlign w:val="center"/>
            <w:hideMark/>
          </w:tcPr>
          <w:p w14:paraId="1423B7A1"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1414</w:t>
            </w:r>
          </w:p>
        </w:tc>
        <w:tc>
          <w:tcPr>
            <w:tcW w:w="879" w:type="dxa"/>
            <w:tcBorders>
              <w:top w:val="nil"/>
              <w:left w:val="nil"/>
              <w:bottom w:val="single" w:sz="4" w:space="0" w:color="auto"/>
              <w:right w:val="single" w:sz="4" w:space="0" w:color="auto"/>
            </w:tcBorders>
            <w:shd w:val="clear" w:color="auto" w:fill="auto"/>
            <w:noWrap/>
            <w:vAlign w:val="center"/>
            <w:hideMark/>
          </w:tcPr>
          <w:p w14:paraId="394859D4"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800182395</w:t>
            </w:r>
          </w:p>
        </w:tc>
        <w:tc>
          <w:tcPr>
            <w:tcW w:w="3913" w:type="dxa"/>
            <w:tcBorders>
              <w:top w:val="nil"/>
              <w:left w:val="nil"/>
              <w:bottom w:val="single" w:sz="4" w:space="0" w:color="auto"/>
              <w:right w:val="single" w:sz="4" w:space="0" w:color="auto"/>
            </w:tcBorders>
            <w:shd w:val="clear" w:color="auto" w:fill="auto"/>
            <w:vAlign w:val="center"/>
            <w:hideMark/>
          </w:tcPr>
          <w:p w14:paraId="27AAF8A7"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ENERGAS S.A. E.S.P.</w:t>
            </w:r>
          </w:p>
        </w:tc>
        <w:tc>
          <w:tcPr>
            <w:tcW w:w="1602" w:type="dxa"/>
            <w:tcBorders>
              <w:top w:val="nil"/>
              <w:left w:val="nil"/>
              <w:bottom w:val="single" w:sz="4" w:space="0" w:color="auto"/>
              <w:right w:val="single" w:sz="4" w:space="0" w:color="auto"/>
            </w:tcBorders>
            <w:shd w:val="clear" w:color="auto" w:fill="auto"/>
            <w:noWrap/>
            <w:vAlign w:val="center"/>
            <w:hideMark/>
          </w:tcPr>
          <w:p w14:paraId="6511E1F4" w14:textId="0DCAC9E5"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284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003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224 </w:t>
            </w:r>
          </w:p>
        </w:tc>
        <w:tc>
          <w:tcPr>
            <w:tcW w:w="1418" w:type="dxa"/>
            <w:tcBorders>
              <w:top w:val="nil"/>
              <w:left w:val="nil"/>
              <w:bottom w:val="single" w:sz="4" w:space="0" w:color="auto"/>
              <w:right w:val="single" w:sz="4" w:space="0" w:color="auto"/>
            </w:tcBorders>
            <w:shd w:val="clear" w:color="auto" w:fill="auto"/>
            <w:noWrap/>
            <w:vAlign w:val="center"/>
            <w:hideMark/>
          </w:tcPr>
          <w:p w14:paraId="7A162BD3" w14:textId="35FED02F"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840</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032 </w:t>
            </w:r>
          </w:p>
        </w:tc>
      </w:tr>
      <w:tr w:rsidR="009A21D7" w:rsidRPr="00374360" w14:paraId="0B18710F"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418591B"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157</w:t>
            </w:r>
          </w:p>
        </w:tc>
        <w:tc>
          <w:tcPr>
            <w:tcW w:w="660" w:type="dxa"/>
            <w:tcBorders>
              <w:top w:val="nil"/>
              <w:left w:val="nil"/>
              <w:bottom w:val="single" w:sz="4" w:space="0" w:color="auto"/>
              <w:right w:val="single" w:sz="4" w:space="0" w:color="auto"/>
            </w:tcBorders>
            <w:shd w:val="clear" w:color="auto" w:fill="auto"/>
            <w:noWrap/>
            <w:vAlign w:val="center"/>
            <w:hideMark/>
          </w:tcPr>
          <w:p w14:paraId="151F44C4"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29311</w:t>
            </w:r>
          </w:p>
        </w:tc>
        <w:tc>
          <w:tcPr>
            <w:tcW w:w="879" w:type="dxa"/>
            <w:tcBorders>
              <w:top w:val="nil"/>
              <w:left w:val="nil"/>
              <w:bottom w:val="single" w:sz="4" w:space="0" w:color="auto"/>
              <w:right w:val="single" w:sz="4" w:space="0" w:color="auto"/>
            </w:tcBorders>
            <w:shd w:val="clear" w:color="auto" w:fill="auto"/>
            <w:noWrap/>
            <w:vAlign w:val="center"/>
            <w:hideMark/>
          </w:tcPr>
          <w:p w14:paraId="6B9DD284"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860076426</w:t>
            </w:r>
          </w:p>
        </w:tc>
        <w:tc>
          <w:tcPr>
            <w:tcW w:w="3913" w:type="dxa"/>
            <w:tcBorders>
              <w:top w:val="nil"/>
              <w:left w:val="nil"/>
              <w:bottom w:val="single" w:sz="4" w:space="0" w:color="auto"/>
              <w:right w:val="single" w:sz="4" w:space="0" w:color="auto"/>
            </w:tcBorders>
            <w:shd w:val="clear" w:color="auto" w:fill="auto"/>
            <w:vAlign w:val="center"/>
            <w:hideMark/>
          </w:tcPr>
          <w:p w14:paraId="20A1FE74"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ENERGETICA SA ESP</w:t>
            </w:r>
          </w:p>
        </w:tc>
        <w:tc>
          <w:tcPr>
            <w:tcW w:w="1602" w:type="dxa"/>
            <w:tcBorders>
              <w:top w:val="nil"/>
              <w:left w:val="nil"/>
              <w:bottom w:val="single" w:sz="4" w:space="0" w:color="auto"/>
              <w:right w:val="single" w:sz="4" w:space="0" w:color="auto"/>
            </w:tcBorders>
            <w:shd w:val="clear" w:color="auto" w:fill="auto"/>
            <w:noWrap/>
            <w:vAlign w:val="center"/>
            <w:hideMark/>
          </w:tcPr>
          <w:p w14:paraId="01AB5C38" w14:textId="18766C65"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35</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996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173 </w:t>
            </w:r>
          </w:p>
        </w:tc>
        <w:tc>
          <w:tcPr>
            <w:tcW w:w="1418" w:type="dxa"/>
            <w:tcBorders>
              <w:top w:val="nil"/>
              <w:left w:val="nil"/>
              <w:bottom w:val="single" w:sz="4" w:space="0" w:color="auto"/>
              <w:right w:val="single" w:sz="4" w:space="0" w:color="auto"/>
            </w:tcBorders>
            <w:shd w:val="clear" w:color="auto" w:fill="auto"/>
            <w:noWrap/>
            <w:vAlign w:val="center"/>
            <w:hideMark/>
          </w:tcPr>
          <w:p w14:paraId="25FD8D0A" w14:textId="4D6884C2"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359</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962 </w:t>
            </w:r>
          </w:p>
        </w:tc>
      </w:tr>
      <w:tr w:rsidR="009A21D7" w:rsidRPr="00374360" w14:paraId="4A3AB40C" w14:textId="77777777" w:rsidTr="00C734CF">
        <w:trPr>
          <w:trHeight w:val="6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3B60E50"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158</w:t>
            </w:r>
          </w:p>
        </w:tc>
        <w:tc>
          <w:tcPr>
            <w:tcW w:w="660" w:type="dxa"/>
            <w:tcBorders>
              <w:top w:val="nil"/>
              <w:left w:val="nil"/>
              <w:bottom w:val="single" w:sz="4" w:space="0" w:color="auto"/>
              <w:right w:val="single" w:sz="4" w:space="0" w:color="auto"/>
            </w:tcBorders>
            <w:shd w:val="clear" w:color="auto" w:fill="auto"/>
            <w:noWrap/>
            <w:vAlign w:val="center"/>
            <w:hideMark/>
          </w:tcPr>
          <w:p w14:paraId="3A4FDFF1"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3111</w:t>
            </w:r>
          </w:p>
        </w:tc>
        <w:tc>
          <w:tcPr>
            <w:tcW w:w="879" w:type="dxa"/>
            <w:tcBorders>
              <w:top w:val="nil"/>
              <w:left w:val="nil"/>
              <w:bottom w:val="single" w:sz="4" w:space="0" w:color="auto"/>
              <w:right w:val="single" w:sz="4" w:space="0" w:color="auto"/>
            </w:tcBorders>
            <w:shd w:val="clear" w:color="auto" w:fill="auto"/>
            <w:noWrap/>
            <w:vAlign w:val="center"/>
            <w:hideMark/>
          </w:tcPr>
          <w:p w14:paraId="254EE1F7"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830092965</w:t>
            </w:r>
          </w:p>
        </w:tc>
        <w:tc>
          <w:tcPr>
            <w:tcW w:w="3913" w:type="dxa"/>
            <w:tcBorders>
              <w:top w:val="nil"/>
              <w:left w:val="nil"/>
              <w:bottom w:val="single" w:sz="4" w:space="0" w:color="auto"/>
              <w:right w:val="single" w:sz="4" w:space="0" w:color="auto"/>
            </w:tcBorders>
            <w:shd w:val="clear" w:color="auto" w:fill="auto"/>
            <w:vAlign w:val="center"/>
            <w:hideMark/>
          </w:tcPr>
          <w:p w14:paraId="5E3F8A29"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ENERGETICOS S.A.S.  E.S.P. DISTRIBUIDORA Y COMERCIALIZADORA DE ENERGIA GAS E HIDROCARBUROS</w:t>
            </w:r>
          </w:p>
        </w:tc>
        <w:tc>
          <w:tcPr>
            <w:tcW w:w="1602" w:type="dxa"/>
            <w:tcBorders>
              <w:top w:val="nil"/>
              <w:left w:val="nil"/>
              <w:bottom w:val="single" w:sz="4" w:space="0" w:color="auto"/>
              <w:right w:val="single" w:sz="4" w:space="0" w:color="auto"/>
            </w:tcBorders>
            <w:shd w:val="clear" w:color="auto" w:fill="auto"/>
            <w:noWrap/>
            <w:vAlign w:val="center"/>
            <w:hideMark/>
          </w:tcPr>
          <w:p w14:paraId="46A42108" w14:textId="567484DB"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679</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622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274 </w:t>
            </w:r>
          </w:p>
        </w:tc>
        <w:tc>
          <w:tcPr>
            <w:tcW w:w="1418" w:type="dxa"/>
            <w:tcBorders>
              <w:top w:val="nil"/>
              <w:left w:val="nil"/>
              <w:bottom w:val="single" w:sz="4" w:space="0" w:color="auto"/>
              <w:right w:val="single" w:sz="4" w:space="0" w:color="auto"/>
            </w:tcBorders>
            <w:shd w:val="clear" w:color="auto" w:fill="auto"/>
            <w:noWrap/>
            <w:vAlign w:val="center"/>
            <w:hideMark/>
          </w:tcPr>
          <w:p w14:paraId="21941D74" w14:textId="4FA66B81"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26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796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223 </w:t>
            </w:r>
          </w:p>
        </w:tc>
      </w:tr>
      <w:tr w:rsidR="009A21D7" w:rsidRPr="00374360" w14:paraId="00352274"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91A0015"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159</w:t>
            </w:r>
          </w:p>
        </w:tc>
        <w:tc>
          <w:tcPr>
            <w:tcW w:w="660" w:type="dxa"/>
            <w:tcBorders>
              <w:top w:val="nil"/>
              <w:left w:val="nil"/>
              <w:bottom w:val="single" w:sz="4" w:space="0" w:color="auto"/>
              <w:right w:val="single" w:sz="4" w:space="0" w:color="auto"/>
            </w:tcBorders>
            <w:shd w:val="clear" w:color="auto" w:fill="auto"/>
            <w:noWrap/>
            <w:vAlign w:val="center"/>
            <w:hideMark/>
          </w:tcPr>
          <w:p w14:paraId="058209A9"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26030</w:t>
            </w:r>
          </w:p>
        </w:tc>
        <w:tc>
          <w:tcPr>
            <w:tcW w:w="879" w:type="dxa"/>
            <w:tcBorders>
              <w:top w:val="nil"/>
              <w:left w:val="nil"/>
              <w:bottom w:val="single" w:sz="4" w:space="0" w:color="auto"/>
              <w:right w:val="single" w:sz="4" w:space="0" w:color="auto"/>
            </w:tcBorders>
            <w:shd w:val="clear" w:color="auto" w:fill="auto"/>
            <w:noWrap/>
            <w:vAlign w:val="center"/>
            <w:hideMark/>
          </w:tcPr>
          <w:p w14:paraId="68B95EAD"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900483036</w:t>
            </w:r>
          </w:p>
        </w:tc>
        <w:tc>
          <w:tcPr>
            <w:tcW w:w="3913" w:type="dxa"/>
            <w:tcBorders>
              <w:top w:val="nil"/>
              <w:left w:val="nil"/>
              <w:bottom w:val="single" w:sz="4" w:space="0" w:color="auto"/>
              <w:right w:val="single" w:sz="4" w:space="0" w:color="auto"/>
            </w:tcBorders>
            <w:shd w:val="clear" w:color="auto" w:fill="auto"/>
            <w:vAlign w:val="center"/>
            <w:hideMark/>
          </w:tcPr>
          <w:p w14:paraId="2A71FB39"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ENERGIA &amp; AGUA SAS ESP</w:t>
            </w:r>
          </w:p>
        </w:tc>
        <w:tc>
          <w:tcPr>
            <w:tcW w:w="1602" w:type="dxa"/>
            <w:tcBorders>
              <w:top w:val="nil"/>
              <w:left w:val="nil"/>
              <w:bottom w:val="single" w:sz="4" w:space="0" w:color="auto"/>
              <w:right w:val="single" w:sz="4" w:space="0" w:color="auto"/>
            </w:tcBorders>
            <w:shd w:val="clear" w:color="auto" w:fill="auto"/>
            <w:noWrap/>
            <w:vAlign w:val="center"/>
            <w:hideMark/>
          </w:tcPr>
          <w:p w14:paraId="71BF9484" w14:textId="110843E1"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42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494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361 </w:t>
            </w:r>
          </w:p>
        </w:tc>
        <w:tc>
          <w:tcPr>
            <w:tcW w:w="1418" w:type="dxa"/>
            <w:tcBorders>
              <w:top w:val="nil"/>
              <w:left w:val="nil"/>
              <w:bottom w:val="single" w:sz="4" w:space="0" w:color="auto"/>
              <w:right w:val="single" w:sz="4" w:space="0" w:color="auto"/>
            </w:tcBorders>
            <w:shd w:val="clear" w:color="auto" w:fill="auto"/>
            <w:noWrap/>
            <w:vAlign w:val="center"/>
            <w:hideMark/>
          </w:tcPr>
          <w:p w14:paraId="5DB191D9" w14:textId="58903E11"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424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944 </w:t>
            </w:r>
          </w:p>
        </w:tc>
      </w:tr>
      <w:tr w:rsidR="009A21D7" w:rsidRPr="00374360" w14:paraId="1950D411"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1776FD8"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160</w:t>
            </w:r>
          </w:p>
        </w:tc>
        <w:tc>
          <w:tcPr>
            <w:tcW w:w="660" w:type="dxa"/>
            <w:tcBorders>
              <w:top w:val="nil"/>
              <w:left w:val="nil"/>
              <w:bottom w:val="single" w:sz="4" w:space="0" w:color="auto"/>
              <w:right w:val="single" w:sz="4" w:space="0" w:color="auto"/>
            </w:tcBorders>
            <w:shd w:val="clear" w:color="auto" w:fill="auto"/>
            <w:noWrap/>
            <w:vAlign w:val="center"/>
            <w:hideMark/>
          </w:tcPr>
          <w:p w14:paraId="2E0A71AF"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22190</w:t>
            </w:r>
          </w:p>
        </w:tc>
        <w:tc>
          <w:tcPr>
            <w:tcW w:w="879" w:type="dxa"/>
            <w:tcBorders>
              <w:top w:val="nil"/>
              <w:left w:val="nil"/>
              <w:bottom w:val="single" w:sz="4" w:space="0" w:color="auto"/>
              <w:right w:val="single" w:sz="4" w:space="0" w:color="auto"/>
            </w:tcBorders>
            <w:shd w:val="clear" w:color="auto" w:fill="auto"/>
            <w:noWrap/>
            <w:vAlign w:val="center"/>
            <w:hideMark/>
          </w:tcPr>
          <w:p w14:paraId="61B821F7"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811031656</w:t>
            </w:r>
          </w:p>
        </w:tc>
        <w:tc>
          <w:tcPr>
            <w:tcW w:w="3913" w:type="dxa"/>
            <w:tcBorders>
              <w:top w:val="nil"/>
              <w:left w:val="nil"/>
              <w:bottom w:val="single" w:sz="4" w:space="0" w:color="auto"/>
              <w:right w:val="single" w:sz="4" w:space="0" w:color="auto"/>
            </w:tcBorders>
            <w:shd w:val="clear" w:color="auto" w:fill="auto"/>
            <w:vAlign w:val="center"/>
            <w:hideMark/>
          </w:tcPr>
          <w:p w14:paraId="6FFBF983"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ENERGIA DEL RIO PIEDRAS S.A. E.S.P.</w:t>
            </w:r>
          </w:p>
        </w:tc>
        <w:tc>
          <w:tcPr>
            <w:tcW w:w="1602" w:type="dxa"/>
            <w:tcBorders>
              <w:top w:val="nil"/>
              <w:left w:val="nil"/>
              <w:bottom w:val="single" w:sz="4" w:space="0" w:color="auto"/>
              <w:right w:val="single" w:sz="4" w:space="0" w:color="auto"/>
            </w:tcBorders>
            <w:shd w:val="clear" w:color="auto" w:fill="auto"/>
            <w:noWrap/>
            <w:vAlign w:val="center"/>
            <w:hideMark/>
          </w:tcPr>
          <w:p w14:paraId="30A00F4D" w14:textId="72503964"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128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357</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836 </w:t>
            </w:r>
          </w:p>
        </w:tc>
        <w:tc>
          <w:tcPr>
            <w:tcW w:w="1418" w:type="dxa"/>
            <w:tcBorders>
              <w:top w:val="nil"/>
              <w:left w:val="nil"/>
              <w:bottom w:val="single" w:sz="4" w:space="0" w:color="auto"/>
              <w:right w:val="single" w:sz="4" w:space="0" w:color="auto"/>
            </w:tcBorders>
            <w:shd w:val="clear" w:color="auto" w:fill="auto"/>
            <w:noWrap/>
            <w:vAlign w:val="center"/>
            <w:hideMark/>
          </w:tcPr>
          <w:p w14:paraId="0777C86E" w14:textId="73EFD186"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283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578 </w:t>
            </w:r>
          </w:p>
        </w:tc>
      </w:tr>
      <w:tr w:rsidR="009A21D7" w:rsidRPr="00374360" w14:paraId="59985441"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CE45B2E"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161</w:t>
            </w:r>
          </w:p>
        </w:tc>
        <w:tc>
          <w:tcPr>
            <w:tcW w:w="660" w:type="dxa"/>
            <w:tcBorders>
              <w:top w:val="nil"/>
              <w:left w:val="nil"/>
              <w:bottom w:val="single" w:sz="4" w:space="0" w:color="auto"/>
              <w:right w:val="single" w:sz="4" w:space="0" w:color="auto"/>
            </w:tcBorders>
            <w:shd w:val="clear" w:color="auto" w:fill="auto"/>
            <w:noWrap/>
            <w:vAlign w:val="center"/>
            <w:hideMark/>
          </w:tcPr>
          <w:p w14:paraId="6F8AC6BB"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43597</w:t>
            </w:r>
          </w:p>
        </w:tc>
        <w:tc>
          <w:tcPr>
            <w:tcW w:w="879" w:type="dxa"/>
            <w:tcBorders>
              <w:top w:val="nil"/>
              <w:left w:val="nil"/>
              <w:bottom w:val="single" w:sz="4" w:space="0" w:color="auto"/>
              <w:right w:val="single" w:sz="4" w:space="0" w:color="auto"/>
            </w:tcBorders>
            <w:shd w:val="clear" w:color="auto" w:fill="auto"/>
            <w:noWrap/>
            <w:vAlign w:val="center"/>
            <w:hideMark/>
          </w:tcPr>
          <w:p w14:paraId="39F6D7AA"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900190893</w:t>
            </w:r>
          </w:p>
        </w:tc>
        <w:tc>
          <w:tcPr>
            <w:tcW w:w="3913" w:type="dxa"/>
            <w:tcBorders>
              <w:top w:val="nil"/>
              <w:left w:val="nil"/>
              <w:bottom w:val="single" w:sz="4" w:space="0" w:color="auto"/>
              <w:right w:val="single" w:sz="4" w:space="0" w:color="auto"/>
            </w:tcBorders>
            <w:shd w:val="clear" w:color="auto" w:fill="auto"/>
            <w:vAlign w:val="center"/>
            <w:hideMark/>
          </w:tcPr>
          <w:p w14:paraId="4DBC659B"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ENERGIA DEL SUROESTE S.A. E.S.P.</w:t>
            </w:r>
          </w:p>
        </w:tc>
        <w:tc>
          <w:tcPr>
            <w:tcW w:w="1602" w:type="dxa"/>
            <w:tcBorders>
              <w:top w:val="nil"/>
              <w:left w:val="nil"/>
              <w:bottom w:val="single" w:sz="4" w:space="0" w:color="auto"/>
              <w:right w:val="single" w:sz="4" w:space="0" w:color="auto"/>
            </w:tcBorders>
            <w:shd w:val="clear" w:color="auto" w:fill="auto"/>
            <w:noWrap/>
            <w:vAlign w:val="center"/>
            <w:hideMark/>
          </w:tcPr>
          <w:p w14:paraId="4F92C4C6" w14:textId="5F8B3F18"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600</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018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527 </w:t>
            </w:r>
          </w:p>
        </w:tc>
        <w:tc>
          <w:tcPr>
            <w:tcW w:w="1418" w:type="dxa"/>
            <w:tcBorders>
              <w:top w:val="nil"/>
              <w:left w:val="nil"/>
              <w:bottom w:val="single" w:sz="4" w:space="0" w:color="auto"/>
              <w:right w:val="single" w:sz="4" w:space="0" w:color="auto"/>
            </w:tcBorders>
            <w:shd w:val="clear" w:color="auto" w:fill="auto"/>
            <w:noWrap/>
            <w:vAlign w:val="center"/>
            <w:hideMark/>
          </w:tcPr>
          <w:p w14:paraId="4C93B51F" w14:textId="02D2A233"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000</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185 </w:t>
            </w:r>
          </w:p>
        </w:tc>
      </w:tr>
      <w:tr w:rsidR="009A21D7" w:rsidRPr="00374360" w14:paraId="45B109B9" w14:textId="77777777" w:rsidTr="00C734CF">
        <w:trPr>
          <w:trHeight w:val="4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3E53454"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162</w:t>
            </w:r>
          </w:p>
        </w:tc>
        <w:tc>
          <w:tcPr>
            <w:tcW w:w="660" w:type="dxa"/>
            <w:tcBorders>
              <w:top w:val="nil"/>
              <w:left w:val="nil"/>
              <w:bottom w:val="single" w:sz="4" w:space="0" w:color="auto"/>
              <w:right w:val="single" w:sz="4" w:space="0" w:color="auto"/>
            </w:tcBorders>
            <w:shd w:val="clear" w:color="auto" w:fill="auto"/>
            <w:noWrap/>
            <w:vAlign w:val="center"/>
            <w:hideMark/>
          </w:tcPr>
          <w:p w14:paraId="4B1557E0"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32353</w:t>
            </w:r>
          </w:p>
        </w:tc>
        <w:tc>
          <w:tcPr>
            <w:tcW w:w="879" w:type="dxa"/>
            <w:tcBorders>
              <w:top w:val="nil"/>
              <w:left w:val="nil"/>
              <w:bottom w:val="single" w:sz="4" w:space="0" w:color="auto"/>
              <w:right w:val="single" w:sz="4" w:space="0" w:color="auto"/>
            </w:tcBorders>
            <w:shd w:val="clear" w:color="auto" w:fill="auto"/>
            <w:noWrap/>
            <w:vAlign w:val="center"/>
            <w:hideMark/>
          </w:tcPr>
          <w:p w14:paraId="0CD912A8"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900921416</w:t>
            </w:r>
          </w:p>
        </w:tc>
        <w:tc>
          <w:tcPr>
            <w:tcW w:w="3913" w:type="dxa"/>
            <w:tcBorders>
              <w:top w:val="nil"/>
              <w:left w:val="nil"/>
              <w:bottom w:val="single" w:sz="4" w:space="0" w:color="auto"/>
              <w:right w:val="single" w:sz="4" w:space="0" w:color="auto"/>
            </w:tcBorders>
            <w:shd w:val="clear" w:color="auto" w:fill="auto"/>
            <w:vAlign w:val="center"/>
            <w:hideMark/>
          </w:tcPr>
          <w:p w14:paraId="7EAD682E"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ENERGIA ELECTRICA DE LA COSTA ATLANTICA S.A.S. E.S.P.</w:t>
            </w:r>
          </w:p>
        </w:tc>
        <w:tc>
          <w:tcPr>
            <w:tcW w:w="1602" w:type="dxa"/>
            <w:tcBorders>
              <w:top w:val="nil"/>
              <w:left w:val="nil"/>
              <w:bottom w:val="single" w:sz="4" w:space="0" w:color="auto"/>
              <w:right w:val="single" w:sz="4" w:space="0" w:color="auto"/>
            </w:tcBorders>
            <w:shd w:val="clear" w:color="auto" w:fill="auto"/>
            <w:noWrap/>
            <w:vAlign w:val="center"/>
            <w:hideMark/>
          </w:tcPr>
          <w:p w14:paraId="5D82B2E8" w14:textId="06C253E5"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728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269</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006 </w:t>
            </w:r>
          </w:p>
        </w:tc>
        <w:tc>
          <w:tcPr>
            <w:tcW w:w="1418" w:type="dxa"/>
            <w:tcBorders>
              <w:top w:val="nil"/>
              <w:left w:val="nil"/>
              <w:bottom w:val="single" w:sz="4" w:space="0" w:color="auto"/>
              <w:right w:val="single" w:sz="4" w:space="0" w:color="auto"/>
            </w:tcBorders>
            <w:shd w:val="clear" w:color="auto" w:fill="auto"/>
            <w:noWrap/>
            <w:vAlign w:val="center"/>
            <w:hideMark/>
          </w:tcPr>
          <w:p w14:paraId="7A165468" w14:textId="38711189"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7</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282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690 </w:t>
            </w:r>
          </w:p>
        </w:tc>
      </w:tr>
      <w:tr w:rsidR="009A21D7" w:rsidRPr="00374360" w14:paraId="685BFF12"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3CEE66F"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163</w:t>
            </w:r>
          </w:p>
        </w:tc>
        <w:tc>
          <w:tcPr>
            <w:tcW w:w="660" w:type="dxa"/>
            <w:tcBorders>
              <w:top w:val="nil"/>
              <w:left w:val="nil"/>
              <w:bottom w:val="single" w:sz="4" w:space="0" w:color="auto"/>
              <w:right w:val="single" w:sz="4" w:space="0" w:color="auto"/>
            </w:tcBorders>
            <w:shd w:val="clear" w:color="auto" w:fill="auto"/>
            <w:noWrap/>
            <w:vAlign w:val="center"/>
            <w:hideMark/>
          </w:tcPr>
          <w:p w14:paraId="236AFD34"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23430</w:t>
            </w:r>
          </w:p>
        </w:tc>
        <w:tc>
          <w:tcPr>
            <w:tcW w:w="879" w:type="dxa"/>
            <w:tcBorders>
              <w:top w:val="nil"/>
              <w:left w:val="nil"/>
              <w:bottom w:val="single" w:sz="4" w:space="0" w:color="auto"/>
              <w:right w:val="single" w:sz="4" w:space="0" w:color="auto"/>
            </w:tcBorders>
            <w:shd w:val="clear" w:color="auto" w:fill="auto"/>
            <w:noWrap/>
            <w:vAlign w:val="center"/>
            <w:hideMark/>
          </w:tcPr>
          <w:p w14:paraId="5A80754D"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900339174</w:t>
            </w:r>
          </w:p>
        </w:tc>
        <w:tc>
          <w:tcPr>
            <w:tcW w:w="3913" w:type="dxa"/>
            <w:tcBorders>
              <w:top w:val="nil"/>
              <w:left w:val="nil"/>
              <w:bottom w:val="single" w:sz="4" w:space="0" w:color="auto"/>
              <w:right w:val="single" w:sz="4" w:space="0" w:color="auto"/>
            </w:tcBorders>
            <w:shd w:val="clear" w:color="auto" w:fill="auto"/>
            <w:vAlign w:val="center"/>
            <w:hideMark/>
          </w:tcPr>
          <w:p w14:paraId="0D20FAC5"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ENERGIA PARA EL AMAZONAS S.A. ESP</w:t>
            </w:r>
          </w:p>
        </w:tc>
        <w:tc>
          <w:tcPr>
            <w:tcW w:w="1602" w:type="dxa"/>
            <w:tcBorders>
              <w:top w:val="nil"/>
              <w:left w:val="nil"/>
              <w:bottom w:val="single" w:sz="4" w:space="0" w:color="auto"/>
              <w:right w:val="single" w:sz="4" w:space="0" w:color="auto"/>
            </w:tcBorders>
            <w:shd w:val="clear" w:color="auto" w:fill="auto"/>
            <w:noWrap/>
            <w:vAlign w:val="center"/>
            <w:hideMark/>
          </w:tcPr>
          <w:p w14:paraId="45410B58" w14:textId="7AEA22ED"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976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464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204 </w:t>
            </w:r>
          </w:p>
        </w:tc>
        <w:tc>
          <w:tcPr>
            <w:tcW w:w="1418" w:type="dxa"/>
            <w:tcBorders>
              <w:top w:val="nil"/>
              <w:left w:val="nil"/>
              <w:bottom w:val="single" w:sz="4" w:space="0" w:color="auto"/>
              <w:right w:val="single" w:sz="4" w:space="0" w:color="auto"/>
            </w:tcBorders>
            <w:shd w:val="clear" w:color="auto" w:fill="auto"/>
            <w:noWrap/>
            <w:vAlign w:val="center"/>
            <w:hideMark/>
          </w:tcPr>
          <w:p w14:paraId="6B5CF626" w14:textId="415A8678"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29</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764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642 </w:t>
            </w:r>
          </w:p>
        </w:tc>
      </w:tr>
      <w:tr w:rsidR="009A21D7" w:rsidRPr="00374360" w14:paraId="5CAC331A" w14:textId="77777777" w:rsidTr="00C734CF">
        <w:trPr>
          <w:trHeight w:val="4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C554BB4"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164</w:t>
            </w:r>
          </w:p>
        </w:tc>
        <w:tc>
          <w:tcPr>
            <w:tcW w:w="660" w:type="dxa"/>
            <w:tcBorders>
              <w:top w:val="nil"/>
              <w:left w:val="nil"/>
              <w:bottom w:val="single" w:sz="4" w:space="0" w:color="auto"/>
              <w:right w:val="single" w:sz="4" w:space="0" w:color="auto"/>
            </w:tcBorders>
            <w:shd w:val="clear" w:color="auto" w:fill="auto"/>
            <w:noWrap/>
            <w:vAlign w:val="center"/>
            <w:hideMark/>
          </w:tcPr>
          <w:p w14:paraId="5F45FD06"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22140</w:t>
            </w:r>
          </w:p>
        </w:tc>
        <w:tc>
          <w:tcPr>
            <w:tcW w:w="879" w:type="dxa"/>
            <w:tcBorders>
              <w:top w:val="nil"/>
              <w:left w:val="nil"/>
              <w:bottom w:val="single" w:sz="4" w:space="0" w:color="auto"/>
              <w:right w:val="single" w:sz="4" w:space="0" w:color="auto"/>
            </w:tcBorders>
            <w:shd w:val="clear" w:color="auto" w:fill="auto"/>
            <w:noWrap/>
            <w:vAlign w:val="center"/>
            <w:hideMark/>
          </w:tcPr>
          <w:p w14:paraId="1B08B7B5"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900181771</w:t>
            </w:r>
          </w:p>
        </w:tc>
        <w:tc>
          <w:tcPr>
            <w:tcW w:w="3913" w:type="dxa"/>
            <w:tcBorders>
              <w:top w:val="nil"/>
              <w:left w:val="nil"/>
              <w:bottom w:val="single" w:sz="4" w:space="0" w:color="auto"/>
              <w:right w:val="single" w:sz="4" w:space="0" w:color="auto"/>
            </w:tcBorders>
            <w:shd w:val="clear" w:color="auto" w:fill="auto"/>
            <w:vAlign w:val="center"/>
            <w:hideMark/>
          </w:tcPr>
          <w:p w14:paraId="387C5D24"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ENERGIA RENOVABLE DE COLOMBIA S.A. E.S.P</w:t>
            </w:r>
          </w:p>
        </w:tc>
        <w:tc>
          <w:tcPr>
            <w:tcW w:w="1602" w:type="dxa"/>
            <w:tcBorders>
              <w:top w:val="nil"/>
              <w:left w:val="nil"/>
              <w:bottom w:val="single" w:sz="4" w:space="0" w:color="auto"/>
              <w:right w:val="single" w:sz="4" w:space="0" w:color="auto"/>
            </w:tcBorders>
            <w:shd w:val="clear" w:color="auto" w:fill="auto"/>
            <w:noWrap/>
            <w:vAlign w:val="center"/>
            <w:hideMark/>
          </w:tcPr>
          <w:p w14:paraId="160E055F" w14:textId="614E0FFB"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428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887</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970 </w:t>
            </w:r>
          </w:p>
        </w:tc>
        <w:tc>
          <w:tcPr>
            <w:tcW w:w="1418" w:type="dxa"/>
            <w:tcBorders>
              <w:top w:val="nil"/>
              <w:left w:val="nil"/>
              <w:bottom w:val="single" w:sz="4" w:space="0" w:color="auto"/>
              <w:right w:val="single" w:sz="4" w:space="0" w:color="auto"/>
            </w:tcBorders>
            <w:shd w:val="clear" w:color="auto" w:fill="auto"/>
            <w:noWrap/>
            <w:vAlign w:val="center"/>
            <w:hideMark/>
          </w:tcPr>
          <w:p w14:paraId="32F0D871" w14:textId="3643726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24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288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880 </w:t>
            </w:r>
          </w:p>
        </w:tc>
      </w:tr>
      <w:tr w:rsidR="009A21D7" w:rsidRPr="00374360" w14:paraId="1ED39243"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531544C"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165</w:t>
            </w:r>
          </w:p>
        </w:tc>
        <w:tc>
          <w:tcPr>
            <w:tcW w:w="660" w:type="dxa"/>
            <w:tcBorders>
              <w:top w:val="nil"/>
              <w:left w:val="nil"/>
              <w:bottom w:val="single" w:sz="4" w:space="0" w:color="auto"/>
              <w:right w:val="single" w:sz="4" w:space="0" w:color="auto"/>
            </w:tcBorders>
            <w:shd w:val="clear" w:color="auto" w:fill="auto"/>
            <w:noWrap/>
            <w:vAlign w:val="center"/>
            <w:hideMark/>
          </w:tcPr>
          <w:p w14:paraId="607BB801"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37393</w:t>
            </w:r>
          </w:p>
        </w:tc>
        <w:tc>
          <w:tcPr>
            <w:tcW w:w="879" w:type="dxa"/>
            <w:tcBorders>
              <w:top w:val="nil"/>
              <w:left w:val="nil"/>
              <w:bottom w:val="single" w:sz="4" w:space="0" w:color="auto"/>
              <w:right w:val="single" w:sz="4" w:space="0" w:color="auto"/>
            </w:tcBorders>
            <w:shd w:val="clear" w:color="auto" w:fill="auto"/>
            <w:noWrap/>
            <w:vAlign w:val="center"/>
            <w:hideMark/>
          </w:tcPr>
          <w:p w14:paraId="054EFAC0"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901023947</w:t>
            </w:r>
          </w:p>
        </w:tc>
        <w:tc>
          <w:tcPr>
            <w:tcW w:w="3913" w:type="dxa"/>
            <w:tcBorders>
              <w:top w:val="nil"/>
              <w:left w:val="nil"/>
              <w:bottom w:val="single" w:sz="4" w:space="0" w:color="auto"/>
              <w:right w:val="single" w:sz="4" w:space="0" w:color="auto"/>
            </w:tcBorders>
            <w:shd w:val="clear" w:color="auto" w:fill="auto"/>
            <w:vAlign w:val="center"/>
            <w:hideMark/>
          </w:tcPr>
          <w:p w14:paraId="41F638F2"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ENERGIA VITAL DE COLOMBIA SA ESP</w:t>
            </w:r>
          </w:p>
        </w:tc>
        <w:tc>
          <w:tcPr>
            <w:tcW w:w="1602" w:type="dxa"/>
            <w:tcBorders>
              <w:top w:val="nil"/>
              <w:left w:val="nil"/>
              <w:bottom w:val="single" w:sz="4" w:space="0" w:color="auto"/>
              <w:right w:val="single" w:sz="4" w:space="0" w:color="auto"/>
            </w:tcBorders>
            <w:shd w:val="clear" w:color="auto" w:fill="auto"/>
            <w:noWrap/>
            <w:vAlign w:val="center"/>
            <w:hideMark/>
          </w:tcPr>
          <w:p w14:paraId="1DF3614D" w14:textId="4ECD200E"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39</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757</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121 </w:t>
            </w:r>
          </w:p>
        </w:tc>
        <w:tc>
          <w:tcPr>
            <w:tcW w:w="1418" w:type="dxa"/>
            <w:tcBorders>
              <w:top w:val="nil"/>
              <w:left w:val="nil"/>
              <w:bottom w:val="single" w:sz="4" w:space="0" w:color="auto"/>
              <w:right w:val="single" w:sz="4" w:space="0" w:color="auto"/>
            </w:tcBorders>
            <w:shd w:val="clear" w:color="auto" w:fill="auto"/>
            <w:noWrap/>
            <w:vAlign w:val="center"/>
            <w:hideMark/>
          </w:tcPr>
          <w:p w14:paraId="1CE88218" w14:textId="5704A219"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397</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571 </w:t>
            </w:r>
          </w:p>
        </w:tc>
      </w:tr>
      <w:tr w:rsidR="009A21D7" w:rsidRPr="00374360" w14:paraId="778F5E20"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59EC904"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166</w:t>
            </w:r>
          </w:p>
        </w:tc>
        <w:tc>
          <w:tcPr>
            <w:tcW w:w="660" w:type="dxa"/>
            <w:tcBorders>
              <w:top w:val="nil"/>
              <w:left w:val="nil"/>
              <w:bottom w:val="single" w:sz="4" w:space="0" w:color="auto"/>
              <w:right w:val="single" w:sz="4" w:space="0" w:color="auto"/>
            </w:tcBorders>
            <w:shd w:val="clear" w:color="auto" w:fill="auto"/>
            <w:noWrap/>
            <w:vAlign w:val="center"/>
            <w:hideMark/>
          </w:tcPr>
          <w:p w14:paraId="27926C88"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41797</w:t>
            </w:r>
          </w:p>
        </w:tc>
        <w:tc>
          <w:tcPr>
            <w:tcW w:w="879" w:type="dxa"/>
            <w:tcBorders>
              <w:top w:val="nil"/>
              <w:left w:val="nil"/>
              <w:bottom w:val="single" w:sz="4" w:space="0" w:color="auto"/>
              <w:right w:val="single" w:sz="4" w:space="0" w:color="auto"/>
            </w:tcBorders>
            <w:shd w:val="clear" w:color="auto" w:fill="auto"/>
            <w:noWrap/>
            <w:vAlign w:val="center"/>
            <w:hideMark/>
          </w:tcPr>
          <w:p w14:paraId="375A5B39"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901007478</w:t>
            </w:r>
          </w:p>
        </w:tc>
        <w:tc>
          <w:tcPr>
            <w:tcW w:w="3913" w:type="dxa"/>
            <w:tcBorders>
              <w:top w:val="nil"/>
              <w:left w:val="nil"/>
              <w:bottom w:val="single" w:sz="4" w:space="0" w:color="auto"/>
              <w:right w:val="single" w:sz="4" w:space="0" w:color="auto"/>
            </w:tcBorders>
            <w:shd w:val="clear" w:color="auto" w:fill="auto"/>
            <w:vAlign w:val="center"/>
            <w:hideMark/>
          </w:tcPr>
          <w:p w14:paraId="206A6DEE"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ENERGIAS DE LA SIERRA SAS ESP</w:t>
            </w:r>
          </w:p>
        </w:tc>
        <w:tc>
          <w:tcPr>
            <w:tcW w:w="1602" w:type="dxa"/>
            <w:tcBorders>
              <w:top w:val="nil"/>
              <w:left w:val="nil"/>
              <w:bottom w:val="single" w:sz="4" w:space="0" w:color="auto"/>
              <w:right w:val="single" w:sz="4" w:space="0" w:color="auto"/>
            </w:tcBorders>
            <w:shd w:val="clear" w:color="auto" w:fill="auto"/>
            <w:noWrap/>
            <w:vAlign w:val="center"/>
            <w:hideMark/>
          </w:tcPr>
          <w:p w14:paraId="2E07FD3B" w14:textId="18FAAD88"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742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681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508 </w:t>
            </w:r>
          </w:p>
        </w:tc>
        <w:tc>
          <w:tcPr>
            <w:tcW w:w="1418" w:type="dxa"/>
            <w:tcBorders>
              <w:top w:val="nil"/>
              <w:left w:val="nil"/>
              <w:bottom w:val="single" w:sz="4" w:space="0" w:color="auto"/>
              <w:right w:val="single" w:sz="4" w:space="0" w:color="auto"/>
            </w:tcBorders>
            <w:shd w:val="clear" w:color="auto" w:fill="auto"/>
            <w:noWrap/>
            <w:vAlign w:val="center"/>
            <w:hideMark/>
          </w:tcPr>
          <w:p w14:paraId="038A9C00" w14:textId="0E1FDB2D"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27</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426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815 </w:t>
            </w:r>
          </w:p>
        </w:tc>
      </w:tr>
      <w:tr w:rsidR="009A21D7" w:rsidRPr="00374360" w14:paraId="6DA82033"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21ADF52"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167</w:t>
            </w:r>
          </w:p>
        </w:tc>
        <w:tc>
          <w:tcPr>
            <w:tcW w:w="660" w:type="dxa"/>
            <w:tcBorders>
              <w:top w:val="nil"/>
              <w:left w:val="nil"/>
              <w:bottom w:val="single" w:sz="4" w:space="0" w:color="auto"/>
              <w:right w:val="single" w:sz="4" w:space="0" w:color="auto"/>
            </w:tcBorders>
            <w:shd w:val="clear" w:color="auto" w:fill="auto"/>
            <w:noWrap/>
            <w:vAlign w:val="center"/>
            <w:hideMark/>
          </w:tcPr>
          <w:p w14:paraId="6BF623A1"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36913</w:t>
            </w:r>
          </w:p>
        </w:tc>
        <w:tc>
          <w:tcPr>
            <w:tcW w:w="879" w:type="dxa"/>
            <w:tcBorders>
              <w:top w:val="nil"/>
              <w:left w:val="nil"/>
              <w:bottom w:val="single" w:sz="4" w:space="0" w:color="auto"/>
              <w:right w:val="single" w:sz="4" w:space="0" w:color="auto"/>
            </w:tcBorders>
            <w:shd w:val="clear" w:color="auto" w:fill="auto"/>
            <w:noWrap/>
            <w:vAlign w:val="center"/>
            <w:hideMark/>
          </w:tcPr>
          <w:p w14:paraId="5CC1C555"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901023319</w:t>
            </w:r>
          </w:p>
        </w:tc>
        <w:tc>
          <w:tcPr>
            <w:tcW w:w="3913" w:type="dxa"/>
            <w:tcBorders>
              <w:top w:val="nil"/>
              <w:left w:val="nil"/>
              <w:bottom w:val="single" w:sz="4" w:space="0" w:color="auto"/>
              <w:right w:val="single" w:sz="4" w:space="0" w:color="auto"/>
            </w:tcBorders>
            <w:shd w:val="clear" w:color="auto" w:fill="auto"/>
            <w:vAlign w:val="center"/>
            <w:hideMark/>
          </w:tcPr>
          <w:p w14:paraId="10BC32CF" w14:textId="77777777" w:rsidR="00374360" w:rsidRPr="00D26825" w:rsidRDefault="00374360" w:rsidP="00374360">
            <w:pPr>
              <w:jc w:val="left"/>
              <w:rPr>
                <w:rFonts w:ascii="Arial Narrow" w:hAnsi="Arial Narrow" w:cs="Calibri"/>
                <w:color w:val="000000"/>
                <w:spacing w:val="0"/>
                <w:sz w:val="18"/>
                <w:szCs w:val="18"/>
                <w:lang w:val="en-US" w:eastAsia="es-CO"/>
              </w:rPr>
            </w:pPr>
            <w:r w:rsidRPr="00D26825">
              <w:rPr>
                <w:rFonts w:ascii="Arial Narrow" w:hAnsi="Arial Narrow" w:cs="Calibri"/>
                <w:color w:val="000000"/>
                <w:spacing w:val="0"/>
                <w:sz w:val="18"/>
                <w:szCs w:val="18"/>
                <w:lang w:val="en-US" w:eastAsia="es-CO"/>
              </w:rPr>
              <w:t>Energy for the Caribbean S.A.S. E.S.P.</w:t>
            </w:r>
          </w:p>
        </w:tc>
        <w:tc>
          <w:tcPr>
            <w:tcW w:w="1602" w:type="dxa"/>
            <w:tcBorders>
              <w:top w:val="nil"/>
              <w:left w:val="nil"/>
              <w:bottom w:val="single" w:sz="4" w:space="0" w:color="auto"/>
              <w:right w:val="single" w:sz="4" w:space="0" w:color="auto"/>
            </w:tcBorders>
            <w:shd w:val="clear" w:color="auto" w:fill="auto"/>
            <w:noWrap/>
            <w:vAlign w:val="center"/>
            <w:hideMark/>
          </w:tcPr>
          <w:p w14:paraId="1EF5FC61" w14:textId="1BA071E6" w:rsidR="00374360" w:rsidRPr="00374360" w:rsidRDefault="00374360" w:rsidP="00374360">
            <w:pPr>
              <w:jc w:val="right"/>
              <w:rPr>
                <w:rFonts w:ascii="Arial Narrow" w:hAnsi="Arial Narrow" w:cs="Calibri"/>
                <w:color w:val="000000"/>
                <w:spacing w:val="0"/>
                <w:sz w:val="18"/>
                <w:szCs w:val="18"/>
                <w:lang w:eastAsia="es-CO"/>
              </w:rPr>
            </w:pPr>
            <w:r w:rsidRPr="00D26825">
              <w:rPr>
                <w:rFonts w:ascii="Arial Narrow" w:hAnsi="Arial Narrow" w:cs="Calibri"/>
                <w:color w:val="000000"/>
                <w:spacing w:val="0"/>
                <w:sz w:val="18"/>
                <w:szCs w:val="18"/>
                <w:lang w:val="en-US" w:eastAsia="es-CO"/>
              </w:rPr>
              <w:t xml:space="preserve">                           </w:t>
            </w:r>
            <w:r w:rsidRPr="00374360">
              <w:rPr>
                <w:rFonts w:ascii="Arial Narrow" w:hAnsi="Arial Narrow" w:cs="Calibri"/>
                <w:color w:val="000000"/>
                <w:spacing w:val="0"/>
                <w:sz w:val="18"/>
                <w:szCs w:val="18"/>
                <w:lang w:eastAsia="es-CO"/>
              </w:rPr>
              <w:t>320</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732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072 </w:t>
            </w:r>
          </w:p>
        </w:tc>
        <w:tc>
          <w:tcPr>
            <w:tcW w:w="1418" w:type="dxa"/>
            <w:tcBorders>
              <w:top w:val="nil"/>
              <w:left w:val="nil"/>
              <w:bottom w:val="single" w:sz="4" w:space="0" w:color="auto"/>
              <w:right w:val="single" w:sz="4" w:space="0" w:color="auto"/>
            </w:tcBorders>
            <w:shd w:val="clear" w:color="auto" w:fill="auto"/>
            <w:noWrap/>
            <w:vAlign w:val="center"/>
            <w:hideMark/>
          </w:tcPr>
          <w:p w14:paraId="5DDFCC29" w14:textId="15D257ED"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207</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321 </w:t>
            </w:r>
          </w:p>
        </w:tc>
      </w:tr>
      <w:tr w:rsidR="009A21D7" w:rsidRPr="00374360" w14:paraId="62D8F51E"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5E84687"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168</w:t>
            </w:r>
          </w:p>
        </w:tc>
        <w:tc>
          <w:tcPr>
            <w:tcW w:w="660" w:type="dxa"/>
            <w:tcBorders>
              <w:top w:val="nil"/>
              <w:left w:val="nil"/>
              <w:bottom w:val="single" w:sz="4" w:space="0" w:color="auto"/>
              <w:right w:val="single" w:sz="4" w:space="0" w:color="auto"/>
            </w:tcBorders>
            <w:shd w:val="clear" w:color="auto" w:fill="auto"/>
            <w:noWrap/>
            <w:vAlign w:val="center"/>
            <w:hideMark/>
          </w:tcPr>
          <w:p w14:paraId="1AE68894"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32453</w:t>
            </w:r>
          </w:p>
        </w:tc>
        <w:tc>
          <w:tcPr>
            <w:tcW w:w="879" w:type="dxa"/>
            <w:tcBorders>
              <w:top w:val="nil"/>
              <w:left w:val="nil"/>
              <w:bottom w:val="single" w:sz="4" w:space="0" w:color="auto"/>
              <w:right w:val="single" w:sz="4" w:space="0" w:color="auto"/>
            </w:tcBorders>
            <w:shd w:val="clear" w:color="auto" w:fill="auto"/>
            <w:noWrap/>
            <w:vAlign w:val="center"/>
            <w:hideMark/>
          </w:tcPr>
          <w:p w14:paraId="19125FF3"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900912454</w:t>
            </w:r>
          </w:p>
        </w:tc>
        <w:tc>
          <w:tcPr>
            <w:tcW w:w="3913" w:type="dxa"/>
            <w:tcBorders>
              <w:top w:val="nil"/>
              <w:left w:val="nil"/>
              <w:bottom w:val="single" w:sz="4" w:space="0" w:color="auto"/>
              <w:right w:val="single" w:sz="4" w:space="0" w:color="auto"/>
            </w:tcBorders>
            <w:shd w:val="clear" w:color="auto" w:fill="auto"/>
            <w:vAlign w:val="center"/>
            <w:hideMark/>
          </w:tcPr>
          <w:p w14:paraId="70F79A02"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ENERGY GAS S.A.S. E.S.P</w:t>
            </w:r>
          </w:p>
        </w:tc>
        <w:tc>
          <w:tcPr>
            <w:tcW w:w="1602" w:type="dxa"/>
            <w:tcBorders>
              <w:top w:val="nil"/>
              <w:left w:val="nil"/>
              <w:bottom w:val="single" w:sz="4" w:space="0" w:color="auto"/>
              <w:right w:val="single" w:sz="4" w:space="0" w:color="auto"/>
            </w:tcBorders>
            <w:shd w:val="clear" w:color="auto" w:fill="auto"/>
            <w:noWrap/>
            <w:vAlign w:val="center"/>
            <w:hideMark/>
          </w:tcPr>
          <w:p w14:paraId="65DC296C" w14:textId="3228A206"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836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494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417 </w:t>
            </w:r>
          </w:p>
        </w:tc>
        <w:tc>
          <w:tcPr>
            <w:tcW w:w="1418" w:type="dxa"/>
            <w:tcBorders>
              <w:top w:val="nil"/>
              <w:left w:val="nil"/>
              <w:bottom w:val="single" w:sz="4" w:space="0" w:color="auto"/>
              <w:right w:val="single" w:sz="4" w:space="0" w:color="auto"/>
            </w:tcBorders>
            <w:shd w:val="clear" w:color="auto" w:fill="auto"/>
            <w:noWrap/>
            <w:vAlign w:val="center"/>
            <w:hideMark/>
          </w:tcPr>
          <w:p w14:paraId="4A2E0740" w14:textId="4DCD7912"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364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944 </w:t>
            </w:r>
          </w:p>
        </w:tc>
      </w:tr>
      <w:tr w:rsidR="009A21D7" w:rsidRPr="00374360" w14:paraId="3DE5D619"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8407C0E"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169</w:t>
            </w:r>
          </w:p>
        </w:tc>
        <w:tc>
          <w:tcPr>
            <w:tcW w:w="660" w:type="dxa"/>
            <w:tcBorders>
              <w:top w:val="nil"/>
              <w:left w:val="nil"/>
              <w:bottom w:val="single" w:sz="4" w:space="0" w:color="auto"/>
              <w:right w:val="single" w:sz="4" w:space="0" w:color="auto"/>
            </w:tcBorders>
            <w:shd w:val="clear" w:color="auto" w:fill="auto"/>
            <w:noWrap/>
            <w:vAlign w:val="center"/>
            <w:hideMark/>
          </w:tcPr>
          <w:p w14:paraId="1CE3FE1A"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43937</w:t>
            </w:r>
          </w:p>
        </w:tc>
        <w:tc>
          <w:tcPr>
            <w:tcW w:w="879" w:type="dxa"/>
            <w:tcBorders>
              <w:top w:val="nil"/>
              <w:left w:val="nil"/>
              <w:bottom w:val="single" w:sz="4" w:space="0" w:color="auto"/>
              <w:right w:val="single" w:sz="4" w:space="0" w:color="auto"/>
            </w:tcBorders>
            <w:shd w:val="clear" w:color="auto" w:fill="auto"/>
            <w:noWrap/>
            <w:vAlign w:val="center"/>
            <w:hideMark/>
          </w:tcPr>
          <w:p w14:paraId="7197FD30"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901263317</w:t>
            </w:r>
          </w:p>
        </w:tc>
        <w:tc>
          <w:tcPr>
            <w:tcW w:w="3913" w:type="dxa"/>
            <w:tcBorders>
              <w:top w:val="nil"/>
              <w:left w:val="nil"/>
              <w:bottom w:val="single" w:sz="4" w:space="0" w:color="auto"/>
              <w:right w:val="single" w:sz="4" w:space="0" w:color="auto"/>
            </w:tcBorders>
            <w:shd w:val="clear" w:color="auto" w:fill="auto"/>
            <w:vAlign w:val="center"/>
            <w:hideMark/>
          </w:tcPr>
          <w:p w14:paraId="6ED92128" w14:textId="77777777" w:rsidR="00374360" w:rsidRPr="00D26825" w:rsidRDefault="00374360" w:rsidP="00374360">
            <w:pPr>
              <w:jc w:val="left"/>
              <w:rPr>
                <w:rFonts w:ascii="Arial Narrow" w:hAnsi="Arial Narrow" w:cs="Calibri"/>
                <w:color w:val="000000"/>
                <w:spacing w:val="0"/>
                <w:sz w:val="18"/>
                <w:szCs w:val="18"/>
                <w:lang w:val="en-US" w:eastAsia="es-CO"/>
              </w:rPr>
            </w:pPr>
            <w:r w:rsidRPr="00D26825">
              <w:rPr>
                <w:rFonts w:ascii="Arial Narrow" w:hAnsi="Arial Narrow" w:cs="Calibri"/>
                <w:color w:val="000000"/>
                <w:spacing w:val="0"/>
                <w:sz w:val="18"/>
                <w:szCs w:val="18"/>
                <w:lang w:val="en-US" w:eastAsia="es-CO"/>
              </w:rPr>
              <w:t>ENERGY TRANSITIONS S.A.S. ESP</w:t>
            </w:r>
          </w:p>
        </w:tc>
        <w:tc>
          <w:tcPr>
            <w:tcW w:w="1602" w:type="dxa"/>
            <w:tcBorders>
              <w:top w:val="nil"/>
              <w:left w:val="nil"/>
              <w:bottom w:val="single" w:sz="4" w:space="0" w:color="auto"/>
              <w:right w:val="single" w:sz="4" w:space="0" w:color="auto"/>
            </w:tcBorders>
            <w:shd w:val="clear" w:color="auto" w:fill="auto"/>
            <w:noWrap/>
            <w:vAlign w:val="center"/>
            <w:hideMark/>
          </w:tcPr>
          <w:p w14:paraId="1AD9EC27" w14:textId="6187AEF8" w:rsidR="00374360" w:rsidRPr="00374360" w:rsidRDefault="00374360" w:rsidP="00374360">
            <w:pPr>
              <w:jc w:val="right"/>
              <w:rPr>
                <w:rFonts w:ascii="Arial Narrow" w:hAnsi="Arial Narrow" w:cs="Calibri"/>
                <w:color w:val="000000"/>
                <w:spacing w:val="0"/>
                <w:sz w:val="18"/>
                <w:szCs w:val="18"/>
                <w:lang w:eastAsia="es-CO"/>
              </w:rPr>
            </w:pPr>
            <w:r w:rsidRPr="00D26825">
              <w:rPr>
                <w:rFonts w:ascii="Arial Narrow" w:hAnsi="Arial Narrow" w:cs="Calibri"/>
                <w:color w:val="000000"/>
                <w:spacing w:val="0"/>
                <w:sz w:val="18"/>
                <w:szCs w:val="18"/>
                <w:lang w:val="en-US" w:eastAsia="es-CO"/>
              </w:rPr>
              <w:t xml:space="preserve">                        </w:t>
            </w:r>
            <w:r w:rsidRPr="00374360">
              <w:rPr>
                <w:rFonts w:ascii="Arial Narrow" w:hAnsi="Arial Narrow" w:cs="Calibri"/>
                <w:color w:val="000000"/>
                <w:spacing w:val="0"/>
                <w:sz w:val="18"/>
                <w:szCs w:val="18"/>
                <w:lang w:eastAsia="es-CO"/>
              </w:rPr>
              <w:t>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046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416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768 </w:t>
            </w:r>
          </w:p>
        </w:tc>
        <w:tc>
          <w:tcPr>
            <w:tcW w:w="1418" w:type="dxa"/>
            <w:tcBorders>
              <w:top w:val="nil"/>
              <w:left w:val="nil"/>
              <w:bottom w:val="single" w:sz="4" w:space="0" w:color="auto"/>
              <w:right w:val="single" w:sz="4" w:space="0" w:color="auto"/>
            </w:tcBorders>
            <w:shd w:val="clear" w:color="auto" w:fill="auto"/>
            <w:noWrap/>
            <w:vAlign w:val="center"/>
            <w:hideMark/>
          </w:tcPr>
          <w:p w14:paraId="354547F2" w14:textId="134FD889"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10</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464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168 </w:t>
            </w:r>
          </w:p>
        </w:tc>
      </w:tr>
      <w:tr w:rsidR="009A21D7" w:rsidRPr="00374360" w14:paraId="27E0A263"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55345FD"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170</w:t>
            </w:r>
          </w:p>
        </w:tc>
        <w:tc>
          <w:tcPr>
            <w:tcW w:w="660" w:type="dxa"/>
            <w:tcBorders>
              <w:top w:val="nil"/>
              <w:left w:val="nil"/>
              <w:bottom w:val="single" w:sz="4" w:space="0" w:color="auto"/>
              <w:right w:val="single" w:sz="4" w:space="0" w:color="auto"/>
            </w:tcBorders>
            <w:shd w:val="clear" w:color="auto" w:fill="auto"/>
            <w:noWrap/>
            <w:vAlign w:val="center"/>
            <w:hideMark/>
          </w:tcPr>
          <w:p w14:paraId="56B0CAA2"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22635</w:t>
            </w:r>
          </w:p>
        </w:tc>
        <w:tc>
          <w:tcPr>
            <w:tcW w:w="879" w:type="dxa"/>
            <w:tcBorders>
              <w:top w:val="nil"/>
              <w:left w:val="nil"/>
              <w:bottom w:val="single" w:sz="4" w:space="0" w:color="auto"/>
              <w:right w:val="single" w:sz="4" w:space="0" w:color="auto"/>
            </w:tcBorders>
            <w:shd w:val="clear" w:color="auto" w:fill="auto"/>
            <w:noWrap/>
            <w:vAlign w:val="center"/>
            <w:hideMark/>
          </w:tcPr>
          <w:p w14:paraId="575A8CE1"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900207628</w:t>
            </w:r>
          </w:p>
        </w:tc>
        <w:tc>
          <w:tcPr>
            <w:tcW w:w="3913" w:type="dxa"/>
            <w:tcBorders>
              <w:top w:val="nil"/>
              <w:left w:val="nil"/>
              <w:bottom w:val="single" w:sz="4" w:space="0" w:color="auto"/>
              <w:right w:val="single" w:sz="4" w:space="0" w:color="auto"/>
            </w:tcBorders>
            <w:shd w:val="clear" w:color="auto" w:fill="auto"/>
            <w:vAlign w:val="center"/>
            <w:hideMark/>
          </w:tcPr>
          <w:p w14:paraId="47DB8062"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ENERLIM S.A. E.S.P.</w:t>
            </w:r>
          </w:p>
        </w:tc>
        <w:tc>
          <w:tcPr>
            <w:tcW w:w="1602" w:type="dxa"/>
            <w:tcBorders>
              <w:top w:val="nil"/>
              <w:left w:val="nil"/>
              <w:bottom w:val="single" w:sz="4" w:space="0" w:color="auto"/>
              <w:right w:val="single" w:sz="4" w:space="0" w:color="auto"/>
            </w:tcBorders>
            <w:shd w:val="clear" w:color="auto" w:fill="auto"/>
            <w:noWrap/>
            <w:vAlign w:val="center"/>
            <w:hideMark/>
          </w:tcPr>
          <w:p w14:paraId="4AD917FA" w14:textId="7008EAA6"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131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794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259 </w:t>
            </w:r>
          </w:p>
        </w:tc>
        <w:tc>
          <w:tcPr>
            <w:tcW w:w="1418" w:type="dxa"/>
            <w:tcBorders>
              <w:top w:val="nil"/>
              <w:left w:val="nil"/>
              <w:bottom w:val="single" w:sz="4" w:space="0" w:color="auto"/>
              <w:right w:val="single" w:sz="4" w:space="0" w:color="auto"/>
            </w:tcBorders>
            <w:shd w:val="clear" w:color="auto" w:fill="auto"/>
            <w:noWrap/>
            <w:vAlign w:val="center"/>
            <w:hideMark/>
          </w:tcPr>
          <w:p w14:paraId="0579ACA3" w14:textId="45E32A11"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317</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943 </w:t>
            </w:r>
          </w:p>
        </w:tc>
      </w:tr>
      <w:tr w:rsidR="009A21D7" w:rsidRPr="00374360" w14:paraId="707FD473"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FC27A24"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171</w:t>
            </w:r>
          </w:p>
        </w:tc>
        <w:tc>
          <w:tcPr>
            <w:tcW w:w="660" w:type="dxa"/>
            <w:tcBorders>
              <w:top w:val="nil"/>
              <w:left w:val="nil"/>
              <w:bottom w:val="single" w:sz="4" w:space="0" w:color="auto"/>
              <w:right w:val="single" w:sz="4" w:space="0" w:color="auto"/>
            </w:tcBorders>
            <w:shd w:val="clear" w:color="auto" w:fill="auto"/>
            <w:noWrap/>
            <w:vAlign w:val="center"/>
            <w:hideMark/>
          </w:tcPr>
          <w:p w14:paraId="12D4B08A"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44077</w:t>
            </w:r>
          </w:p>
        </w:tc>
        <w:tc>
          <w:tcPr>
            <w:tcW w:w="879" w:type="dxa"/>
            <w:tcBorders>
              <w:top w:val="nil"/>
              <w:left w:val="nil"/>
              <w:bottom w:val="single" w:sz="4" w:space="0" w:color="auto"/>
              <w:right w:val="single" w:sz="4" w:space="0" w:color="auto"/>
            </w:tcBorders>
            <w:shd w:val="clear" w:color="auto" w:fill="auto"/>
            <w:noWrap/>
            <w:vAlign w:val="center"/>
            <w:hideMark/>
          </w:tcPr>
          <w:p w14:paraId="0485628C"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900148768</w:t>
            </w:r>
          </w:p>
        </w:tc>
        <w:tc>
          <w:tcPr>
            <w:tcW w:w="3913" w:type="dxa"/>
            <w:tcBorders>
              <w:top w:val="nil"/>
              <w:left w:val="nil"/>
              <w:bottom w:val="single" w:sz="4" w:space="0" w:color="auto"/>
              <w:right w:val="single" w:sz="4" w:space="0" w:color="auto"/>
            </w:tcBorders>
            <w:shd w:val="clear" w:color="auto" w:fill="auto"/>
            <w:vAlign w:val="center"/>
            <w:hideMark/>
          </w:tcPr>
          <w:p w14:paraId="0C22421F"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ENERMAS SAS ESP</w:t>
            </w:r>
          </w:p>
        </w:tc>
        <w:tc>
          <w:tcPr>
            <w:tcW w:w="1602" w:type="dxa"/>
            <w:tcBorders>
              <w:top w:val="nil"/>
              <w:left w:val="nil"/>
              <w:bottom w:val="single" w:sz="4" w:space="0" w:color="auto"/>
              <w:right w:val="single" w:sz="4" w:space="0" w:color="auto"/>
            </w:tcBorders>
            <w:shd w:val="clear" w:color="auto" w:fill="auto"/>
            <w:noWrap/>
            <w:vAlign w:val="center"/>
            <w:hideMark/>
          </w:tcPr>
          <w:p w14:paraId="194F47A7" w14:textId="3A8D3173"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291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978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724 </w:t>
            </w:r>
          </w:p>
        </w:tc>
        <w:tc>
          <w:tcPr>
            <w:tcW w:w="1418" w:type="dxa"/>
            <w:tcBorders>
              <w:top w:val="nil"/>
              <w:left w:val="nil"/>
              <w:bottom w:val="single" w:sz="4" w:space="0" w:color="auto"/>
              <w:right w:val="single" w:sz="4" w:space="0" w:color="auto"/>
            </w:tcBorders>
            <w:shd w:val="clear" w:color="auto" w:fill="auto"/>
            <w:noWrap/>
            <w:vAlign w:val="center"/>
            <w:hideMark/>
          </w:tcPr>
          <w:p w14:paraId="117C817A" w14:textId="784FC394"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919</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787 </w:t>
            </w:r>
          </w:p>
        </w:tc>
      </w:tr>
      <w:tr w:rsidR="009A21D7" w:rsidRPr="00374360" w14:paraId="7BF467BF"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3062348"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172</w:t>
            </w:r>
          </w:p>
        </w:tc>
        <w:tc>
          <w:tcPr>
            <w:tcW w:w="660" w:type="dxa"/>
            <w:tcBorders>
              <w:top w:val="nil"/>
              <w:left w:val="nil"/>
              <w:bottom w:val="single" w:sz="4" w:space="0" w:color="auto"/>
              <w:right w:val="single" w:sz="4" w:space="0" w:color="auto"/>
            </w:tcBorders>
            <w:shd w:val="clear" w:color="auto" w:fill="auto"/>
            <w:noWrap/>
            <w:vAlign w:val="center"/>
            <w:hideMark/>
          </w:tcPr>
          <w:p w14:paraId="4D846363"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37735</w:t>
            </w:r>
          </w:p>
        </w:tc>
        <w:tc>
          <w:tcPr>
            <w:tcW w:w="879" w:type="dxa"/>
            <w:tcBorders>
              <w:top w:val="nil"/>
              <w:left w:val="nil"/>
              <w:bottom w:val="single" w:sz="4" w:space="0" w:color="auto"/>
              <w:right w:val="single" w:sz="4" w:space="0" w:color="auto"/>
            </w:tcBorders>
            <w:shd w:val="clear" w:color="auto" w:fill="auto"/>
            <w:noWrap/>
            <w:vAlign w:val="center"/>
            <w:hideMark/>
          </w:tcPr>
          <w:p w14:paraId="6AE5ABE6"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901066395</w:t>
            </w:r>
          </w:p>
        </w:tc>
        <w:tc>
          <w:tcPr>
            <w:tcW w:w="3913" w:type="dxa"/>
            <w:tcBorders>
              <w:top w:val="nil"/>
              <w:left w:val="nil"/>
              <w:bottom w:val="single" w:sz="4" w:space="0" w:color="auto"/>
              <w:right w:val="single" w:sz="4" w:space="0" w:color="auto"/>
            </w:tcBorders>
            <w:shd w:val="clear" w:color="auto" w:fill="auto"/>
            <w:vAlign w:val="center"/>
            <w:hideMark/>
          </w:tcPr>
          <w:p w14:paraId="080075B8" w14:textId="77777777" w:rsidR="00374360" w:rsidRPr="00D26825" w:rsidRDefault="00374360" w:rsidP="00374360">
            <w:pPr>
              <w:jc w:val="left"/>
              <w:rPr>
                <w:rFonts w:ascii="Arial Narrow" w:hAnsi="Arial Narrow" w:cs="Calibri"/>
                <w:color w:val="000000"/>
                <w:spacing w:val="0"/>
                <w:sz w:val="18"/>
                <w:szCs w:val="18"/>
                <w:lang w:val="en-US" w:eastAsia="es-CO"/>
              </w:rPr>
            </w:pPr>
            <w:r w:rsidRPr="00D26825">
              <w:rPr>
                <w:rFonts w:ascii="Arial Narrow" w:hAnsi="Arial Narrow" w:cs="Calibri"/>
                <w:color w:val="000000"/>
                <w:spacing w:val="0"/>
                <w:sz w:val="18"/>
                <w:szCs w:val="18"/>
                <w:lang w:val="en-US" w:eastAsia="es-CO"/>
              </w:rPr>
              <w:t>ENERPACIFIC S.A.S. E.S.P.</w:t>
            </w:r>
          </w:p>
        </w:tc>
        <w:tc>
          <w:tcPr>
            <w:tcW w:w="1602" w:type="dxa"/>
            <w:tcBorders>
              <w:top w:val="nil"/>
              <w:left w:val="nil"/>
              <w:bottom w:val="single" w:sz="4" w:space="0" w:color="auto"/>
              <w:right w:val="single" w:sz="4" w:space="0" w:color="auto"/>
            </w:tcBorders>
            <w:shd w:val="clear" w:color="auto" w:fill="auto"/>
            <w:noWrap/>
            <w:vAlign w:val="center"/>
            <w:hideMark/>
          </w:tcPr>
          <w:p w14:paraId="14B0BB55" w14:textId="4E02E971" w:rsidR="00374360" w:rsidRPr="00374360" w:rsidRDefault="00374360" w:rsidP="00374360">
            <w:pPr>
              <w:jc w:val="right"/>
              <w:rPr>
                <w:rFonts w:ascii="Arial Narrow" w:hAnsi="Arial Narrow" w:cs="Calibri"/>
                <w:color w:val="000000"/>
                <w:spacing w:val="0"/>
                <w:sz w:val="18"/>
                <w:szCs w:val="18"/>
                <w:lang w:eastAsia="es-CO"/>
              </w:rPr>
            </w:pPr>
            <w:r w:rsidRPr="00D26825">
              <w:rPr>
                <w:rFonts w:ascii="Arial Narrow" w:hAnsi="Arial Narrow" w:cs="Calibri"/>
                <w:color w:val="000000"/>
                <w:spacing w:val="0"/>
                <w:sz w:val="18"/>
                <w:szCs w:val="18"/>
                <w:lang w:val="en-US" w:eastAsia="es-CO"/>
              </w:rPr>
              <w:t xml:space="preserve">                           </w:t>
            </w:r>
            <w:r w:rsidRPr="00374360">
              <w:rPr>
                <w:rFonts w:ascii="Arial Narrow" w:hAnsi="Arial Narrow" w:cs="Calibri"/>
                <w:color w:val="000000"/>
                <w:spacing w:val="0"/>
                <w:sz w:val="18"/>
                <w:szCs w:val="18"/>
                <w:lang w:eastAsia="es-CO"/>
              </w:rPr>
              <w:t>135</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816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734 </w:t>
            </w:r>
          </w:p>
        </w:tc>
        <w:tc>
          <w:tcPr>
            <w:tcW w:w="1418" w:type="dxa"/>
            <w:tcBorders>
              <w:top w:val="nil"/>
              <w:left w:val="nil"/>
              <w:bottom w:val="single" w:sz="4" w:space="0" w:color="auto"/>
              <w:right w:val="single" w:sz="4" w:space="0" w:color="auto"/>
            </w:tcBorders>
            <w:shd w:val="clear" w:color="auto" w:fill="auto"/>
            <w:noWrap/>
            <w:vAlign w:val="center"/>
            <w:hideMark/>
          </w:tcPr>
          <w:p w14:paraId="5B0F7B27" w14:textId="0666BB61"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358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167 </w:t>
            </w:r>
          </w:p>
        </w:tc>
      </w:tr>
      <w:tr w:rsidR="009A21D7" w:rsidRPr="00374360" w14:paraId="256E8BBA"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A3D0FC2"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173</w:t>
            </w:r>
          </w:p>
        </w:tc>
        <w:tc>
          <w:tcPr>
            <w:tcW w:w="660" w:type="dxa"/>
            <w:tcBorders>
              <w:top w:val="nil"/>
              <w:left w:val="nil"/>
              <w:bottom w:val="single" w:sz="4" w:space="0" w:color="auto"/>
              <w:right w:val="single" w:sz="4" w:space="0" w:color="auto"/>
            </w:tcBorders>
            <w:shd w:val="clear" w:color="auto" w:fill="auto"/>
            <w:noWrap/>
            <w:vAlign w:val="center"/>
            <w:hideMark/>
          </w:tcPr>
          <w:p w14:paraId="43926B9B"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20437</w:t>
            </w:r>
          </w:p>
        </w:tc>
        <w:tc>
          <w:tcPr>
            <w:tcW w:w="879" w:type="dxa"/>
            <w:tcBorders>
              <w:top w:val="nil"/>
              <w:left w:val="nil"/>
              <w:bottom w:val="single" w:sz="4" w:space="0" w:color="auto"/>
              <w:right w:val="single" w:sz="4" w:space="0" w:color="auto"/>
            </w:tcBorders>
            <w:shd w:val="clear" w:color="auto" w:fill="auto"/>
            <w:noWrap/>
            <w:vAlign w:val="center"/>
            <w:hideMark/>
          </w:tcPr>
          <w:p w14:paraId="6336E2E3"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900039901</w:t>
            </w:r>
          </w:p>
        </w:tc>
        <w:tc>
          <w:tcPr>
            <w:tcW w:w="3913" w:type="dxa"/>
            <w:tcBorders>
              <w:top w:val="nil"/>
              <w:left w:val="nil"/>
              <w:bottom w:val="single" w:sz="4" w:space="0" w:color="auto"/>
              <w:right w:val="single" w:sz="4" w:space="0" w:color="auto"/>
            </w:tcBorders>
            <w:shd w:val="clear" w:color="auto" w:fill="auto"/>
            <w:vAlign w:val="center"/>
            <w:hideMark/>
          </w:tcPr>
          <w:p w14:paraId="4BAB068A"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ENERTOTAL S.A. E.S.P.</w:t>
            </w:r>
          </w:p>
        </w:tc>
        <w:tc>
          <w:tcPr>
            <w:tcW w:w="1602" w:type="dxa"/>
            <w:tcBorders>
              <w:top w:val="nil"/>
              <w:left w:val="nil"/>
              <w:bottom w:val="single" w:sz="4" w:space="0" w:color="auto"/>
              <w:right w:val="single" w:sz="4" w:space="0" w:color="auto"/>
            </w:tcBorders>
            <w:shd w:val="clear" w:color="auto" w:fill="auto"/>
            <w:noWrap/>
            <w:vAlign w:val="center"/>
            <w:hideMark/>
          </w:tcPr>
          <w:p w14:paraId="7B26C16F" w14:textId="5A0EFFB1"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452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091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346 </w:t>
            </w:r>
          </w:p>
        </w:tc>
        <w:tc>
          <w:tcPr>
            <w:tcW w:w="1418" w:type="dxa"/>
            <w:tcBorders>
              <w:top w:val="nil"/>
              <w:left w:val="nil"/>
              <w:bottom w:val="single" w:sz="4" w:space="0" w:color="auto"/>
              <w:right w:val="single" w:sz="4" w:space="0" w:color="auto"/>
            </w:tcBorders>
            <w:shd w:val="clear" w:color="auto" w:fill="auto"/>
            <w:noWrap/>
            <w:vAlign w:val="center"/>
            <w:hideMark/>
          </w:tcPr>
          <w:p w14:paraId="18D7AF58" w14:textId="3E1C06E1"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24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520</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913 </w:t>
            </w:r>
          </w:p>
        </w:tc>
      </w:tr>
      <w:tr w:rsidR="009A21D7" w:rsidRPr="00374360" w14:paraId="313752D0" w14:textId="77777777" w:rsidTr="00C734CF">
        <w:trPr>
          <w:trHeight w:val="4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CF3205C"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lastRenderedPageBreak/>
              <w:t>174</w:t>
            </w:r>
          </w:p>
        </w:tc>
        <w:tc>
          <w:tcPr>
            <w:tcW w:w="660" w:type="dxa"/>
            <w:tcBorders>
              <w:top w:val="nil"/>
              <w:left w:val="nil"/>
              <w:bottom w:val="single" w:sz="4" w:space="0" w:color="auto"/>
              <w:right w:val="single" w:sz="4" w:space="0" w:color="auto"/>
            </w:tcBorders>
            <w:shd w:val="clear" w:color="auto" w:fill="auto"/>
            <w:noWrap/>
            <w:vAlign w:val="center"/>
            <w:hideMark/>
          </w:tcPr>
          <w:p w14:paraId="362D2F55"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1195</w:t>
            </w:r>
          </w:p>
        </w:tc>
        <w:tc>
          <w:tcPr>
            <w:tcW w:w="879" w:type="dxa"/>
            <w:tcBorders>
              <w:top w:val="nil"/>
              <w:left w:val="nil"/>
              <w:bottom w:val="single" w:sz="4" w:space="0" w:color="auto"/>
              <w:right w:val="single" w:sz="4" w:space="0" w:color="auto"/>
            </w:tcBorders>
            <w:shd w:val="clear" w:color="auto" w:fill="auto"/>
            <w:noWrap/>
            <w:vAlign w:val="center"/>
            <w:hideMark/>
          </w:tcPr>
          <w:p w14:paraId="7E7D9569"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890701766</w:t>
            </w:r>
          </w:p>
        </w:tc>
        <w:tc>
          <w:tcPr>
            <w:tcW w:w="3913" w:type="dxa"/>
            <w:tcBorders>
              <w:top w:val="nil"/>
              <w:left w:val="nil"/>
              <w:bottom w:val="single" w:sz="4" w:space="0" w:color="auto"/>
              <w:right w:val="single" w:sz="4" w:space="0" w:color="auto"/>
            </w:tcBorders>
            <w:shd w:val="clear" w:color="auto" w:fill="auto"/>
            <w:vAlign w:val="center"/>
            <w:hideMark/>
          </w:tcPr>
          <w:p w14:paraId="32D9CC90"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ENVASADORA DE GAS DE PUERTO SALGAR S.A. EMPRESA DE SERVICIOS PUBLICOS</w:t>
            </w:r>
          </w:p>
        </w:tc>
        <w:tc>
          <w:tcPr>
            <w:tcW w:w="1602" w:type="dxa"/>
            <w:tcBorders>
              <w:top w:val="nil"/>
              <w:left w:val="nil"/>
              <w:bottom w:val="single" w:sz="4" w:space="0" w:color="auto"/>
              <w:right w:val="single" w:sz="4" w:space="0" w:color="auto"/>
            </w:tcBorders>
            <w:shd w:val="clear" w:color="auto" w:fill="auto"/>
            <w:noWrap/>
            <w:vAlign w:val="center"/>
            <w:hideMark/>
          </w:tcPr>
          <w:p w14:paraId="68898E0C" w14:textId="62C068E6"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616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791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513 </w:t>
            </w:r>
          </w:p>
        </w:tc>
        <w:tc>
          <w:tcPr>
            <w:tcW w:w="1418" w:type="dxa"/>
            <w:tcBorders>
              <w:top w:val="nil"/>
              <w:left w:val="nil"/>
              <w:bottom w:val="single" w:sz="4" w:space="0" w:color="auto"/>
              <w:right w:val="single" w:sz="4" w:space="0" w:color="auto"/>
            </w:tcBorders>
            <w:shd w:val="clear" w:color="auto" w:fill="auto"/>
            <w:noWrap/>
            <w:vAlign w:val="center"/>
            <w:hideMark/>
          </w:tcPr>
          <w:p w14:paraId="001B451E" w14:textId="0505E6B5"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167</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915 </w:t>
            </w:r>
          </w:p>
        </w:tc>
      </w:tr>
      <w:tr w:rsidR="009A21D7" w:rsidRPr="00374360" w14:paraId="3492A87A"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270B0E9"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175</w:t>
            </w:r>
          </w:p>
        </w:tc>
        <w:tc>
          <w:tcPr>
            <w:tcW w:w="660" w:type="dxa"/>
            <w:tcBorders>
              <w:top w:val="nil"/>
              <w:left w:val="nil"/>
              <w:bottom w:val="single" w:sz="4" w:space="0" w:color="auto"/>
              <w:right w:val="single" w:sz="4" w:space="0" w:color="auto"/>
            </w:tcBorders>
            <w:shd w:val="clear" w:color="auto" w:fill="auto"/>
            <w:noWrap/>
            <w:vAlign w:val="center"/>
            <w:hideMark/>
          </w:tcPr>
          <w:p w14:paraId="283F971D"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37253</w:t>
            </w:r>
          </w:p>
        </w:tc>
        <w:tc>
          <w:tcPr>
            <w:tcW w:w="879" w:type="dxa"/>
            <w:tcBorders>
              <w:top w:val="nil"/>
              <w:left w:val="nil"/>
              <w:bottom w:val="single" w:sz="4" w:space="0" w:color="auto"/>
              <w:right w:val="single" w:sz="4" w:space="0" w:color="auto"/>
            </w:tcBorders>
            <w:shd w:val="clear" w:color="auto" w:fill="auto"/>
            <w:noWrap/>
            <w:vAlign w:val="center"/>
            <w:hideMark/>
          </w:tcPr>
          <w:p w14:paraId="2A94FD6B"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901034973</w:t>
            </w:r>
          </w:p>
        </w:tc>
        <w:tc>
          <w:tcPr>
            <w:tcW w:w="3913" w:type="dxa"/>
            <w:tcBorders>
              <w:top w:val="nil"/>
              <w:left w:val="nil"/>
              <w:bottom w:val="single" w:sz="4" w:space="0" w:color="auto"/>
              <w:right w:val="single" w:sz="4" w:space="0" w:color="auto"/>
            </w:tcBorders>
            <w:shd w:val="clear" w:color="auto" w:fill="auto"/>
            <w:vAlign w:val="center"/>
            <w:hideMark/>
          </w:tcPr>
          <w:p w14:paraId="30CAA918"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EOS ENERGY S.A.S. E.S.P.</w:t>
            </w:r>
          </w:p>
        </w:tc>
        <w:tc>
          <w:tcPr>
            <w:tcW w:w="1602" w:type="dxa"/>
            <w:tcBorders>
              <w:top w:val="nil"/>
              <w:left w:val="nil"/>
              <w:bottom w:val="single" w:sz="4" w:space="0" w:color="auto"/>
              <w:right w:val="single" w:sz="4" w:space="0" w:color="auto"/>
            </w:tcBorders>
            <w:shd w:val="clear" w:color="auto" w:fill="auto"/>
            <w:noWrap/>
            <w:vAlign w:val="center"/>
            <w:hideMark/>
          </w:tcPr>
          <w:p w14:paraId="69C5D289" w14:textId="2DC463DB"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68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400</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788 </w:t>
            </w:r>
          </w:p>
        </w:tc>
        <w:tc>
          <w:tcPr>
            <w:tcW w:w="1418" w:type="dxa"/>
            <w:tcBorders>
              <w:top w:val="nil"/>
              <w:left w:val="nil"/>
              <w:bottom w:val="single" w:sz="4" w:space="0" w:color="auto"/>
              <w:right w:val="single" w:sz="4" w:space="0" w:color="auto"/>
            </w:tcBorders>
            <w:shd w:val="clear" w:color="auto" w:fill="auto"/>
            <w:noWrap/>
            <w:vAlign w:val="center"/>
            <w:hideMark/>
          </w:tcPr>
          <w:p w14:paraId="652AC349" w14:textId="08C312BC"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684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008 </w:t>
            </w:r>
          </w:p>
        </w:tc>
      </w:tr>
      <w:tr w:rsidR="009A21D7" w:rsidRPr="00374360" w14:paraId="2029939D"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9562BCE"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176</w:t>
            </w:r>
          </w:p>
        </w:tc>
        <w:tc>
          <w:tcPr>
            <w:tcW w:w="660" w:type="dxa"/>
            <w:tcBorders>
              <w:top w:val="nil"/>
              <w:left w:val="nil"/>
              <w:bottom w:val="single" w:sz="4" w:space="0" w:color="auto"/>
              <w:right w:val="single" w:sz="4" w:space="0" w:color="auto"/>
            </w:tcBorders>
            <w:shd w:val="clear" w:color="auto" w:fill="auto"/>
            <w:noWrap/>
            <w:vAlign w:val="center"/>
            <w:hideMark/>
          </w:tcPr>
          <w:p w14:paraId="79DB75B8"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20133</w:t>
            </w:r>
          </w:p>
        </w:tc>
        <w:tc>
          <w:tcPr>
            <w:tcW w:w="879" w:type="dxa"/>
            <w:tcBorders>
              <w:top w:val="nil"/>
              <w:left w:val="nil"/>
              <w:bottom w:val="single" w:sz="4" w:space="0" w:color="auto"/>
              <w:right w:val="single" w:sz="4" w:space="0" w:color="auto"/>
            </w:tcBorders>
            <w:shd w:val="clear" w:color="auto" w:fill="auto"/>
            <w:noWrap/>
            <w:vAlign w:val="center"/>
            <w:hideMark/>
          </w:tcPr>
          <w:p w14:paraId="734005A8"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860002426</w:t>
            </w:r>
          </w:p>
        </w:tc>
        <w:tc>
          <w:tcPr>
            <w:tcW w:w="3913" w:type="dxa"/>
            <w:tcBorders>
              <w:top w:val="nil"/>
              <w:left w:val="nil"/>
              <w:bottom w:val="single" w:sz="4" w:space="0" w:color="auto"/>
              <w:right w:val="single" w:sz="4" w:space="0" w:color="auto"/>
            </w:tcBorders>
            <w:shd w:val="clear" w:color="auto" w:fill="auto"/>
            <w:vAlign w:val="center"/>
            <w:hideMark/>
          </w:tcPr>
          <w:p w14:paraId="7A25FAEF"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EQUION ENERGIA LIMITED</w:t>
            </w:r>
          </w:p>
        </w:tc>
        <w:tc>
          <w:tcPr>
            <w:tcW w:w="1602" w:type="dxa"/>
            <w:tcBorders>
              <w:top w:val="nil"/>
              <w:left w:val="nil"/>
              <w:bottom w:val="single" w:sz="4" w:space="0" w:color="auto"/>
              <w:right w:val="single" w:sz="4" w:space="0" w:color="auto"/>
            </w:tcBorders>
            <w:shd w:val="clear" w:color="auto" w:fill="auto"/>
            <w:noWrap/>
            <w:vAlign w:val="center"/>
            <w:hideMark/>
          </w:tcPr>
          <w:p w14:paraId="1E189B3D" w14:textId="50C79324"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110</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720</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879 </w:t>
            </w:r>
          </w:p>
        </w:tc>
        <w:tc>
          <w:tcPr>
            <w:tcW w:w="1418" w:type="dxa"/>
            <w:tcBorders>
              <w:top w:val="nil"/>
              <w:left w:val="nil"/>
              <w:bottom w:val="single" w:sz="4" w:space="0" w:color="auto"/>
              <w:right w:val="single" w:sz="4" w:space="0" w:color="auto"/>
            </w:tcBorders>
            <w:shd w:val="clear" w:color="auto" w:fill="auto"/>
            <w:noWrap/>
            <w:vAlign w:val="center"/>
            <w:hideMark/>
          </w:tcPr>
          <w:p w14:paraId="310822BE" w14:textId="2965E230"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107</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209 </w:t>
            </w:r>
          </w:p>
        </w:tc>
      </w:tr>
      <w:tr w:rsidR="009A21D7" w:rsidRPr="00374360" w14:paraId="60DD3BA6"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610B789"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177</w:t>
            </w:r>
          </w:p>
        </w:tc>
        <w:tc>
          <w:tcPr>
            <w:tcW w:w="660" w:type="dxa"/>
            <w:tcBorders>
              <w:top w:val="nil"/>
              <w:left w:val="nil"/>
              <w:bottom w:val="single" w:sz="4" w:space="0" w:color="auto"/>
              <w:right w:val="single" w:sz="4" w:space="0" w:color="auto"/>
            </w:tcBorders>
            <w:shd w:val="clear" w:color="auto" w:fill="auto"/>
            <w:noWrap/>
            <w:vAlign w:val="center"/>
            <w:hideMark/>
          </w:tcPr>
          <w:p w14:paraId="7A5E0A3D"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21578</w:t>
            </w:r>
          </w:p>
        </w:tc>
        <w:tc>
          <w:tcPr>
            <w:tcW w:w="879" w:type="dxa"/>
            <w:tcBorders>
              <w:top w:val="nil"/>
              <w:left w:val="nil"/>
              <w:bottom w:val="single" w:sz="4" w:space="0" w:color="auto"/>
              <w:right w:val="single" w:sz="4" w:space="0" w:color="auto"/>
            </w:tcBorders>
            <w:shd w:val="clear" w:color="auto" w:fill="auto"/>
            <w:noWrap/>
            <w:vAlign w:val="center"/>
            <w:hideMark/>
          </w:tcPr>
          <w:p w14:paraId="04BBAF97"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900120534</w:t>
            </w:r>
          </w:p>
        </w:tc>
        <w:tc>
          <w:tcPr>
            <w:tcW w:w="3913" w:type="dxa"/>
            <w:tcBorders>
              <w:top w:val="nil"/>
              <w:left w:val="nil"/>
              <w:bottom w:val="single" w:sz="4" w:space="0" w:color="auto"/>
              <w:right w:val="single" w:sz="4" w:space="0" w:color="auto"/>
            </w:tcBorders>
            <w:shd w:val="clear" w:color="auto" w:fill="auto"/>
            <w:vAlign w:val="center"/>
            <w:hideMark/>
          </w:tcPr>
          <w:p w14:paraId="2F4BD6D9"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ESP DIGASPRO SA</w:t>
            </w:r>
          </w:p>
        </w:tc>
        <w:tc>
          <w:tcPr>
            <w:tcW w:w="1602" w:type="dxa"/>
            <w:tcBorders>
              <w:top w:val="nil"/>
              <w:left w:val="nil"/>
              <w:bottom w:val="single" w:sz="4" w:space="0" w:color="auto"/>
              <w:right w:val="single" w:sz="4" w:space="0" w:color="auto"/>
            </w:tcBorders>
            <w:shd w:val="clear" w:color="auto" w:fill="auto"/>
            <w:noWrap/>
            <w:vAlign w:val="center"/>
            <w:hideMark/>
          </w:tcPr>
          <w:p w14:paraId="0B7E1602" w14:textId="665D525F"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352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382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517 </w:t>
            </w:r>
          </w:p>
        </w:tc>
        <w:tc>
          <w:tcPr>
            <w:tcW w:w="1418" w:type="dxa"/>
            <w:tcBorders>
              <w:top w:val="nil"/>
              <w:left w:val="nil"/>
              <w:bottom w:val="single" w:sz="4" w:space="0" w:color="auto"/>
              <w:right w:val="single" w:sz="4" w:space="0" w:color="auto"/>
            </w:tcBorders>
            <w:shd w:val="clear" w:color="auto" w:fill="auto"/>
            <w:noWrap/>
            <w:vAlign w:val="center"/>
            <w:hideMark/>
          </w:tcPr>
          <w:p w14:paraId="7F1EEFAA" w14:textId="22528DEA"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523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825 </w:t>
            </w:r>
          </w:p>
        </w:tc>
      </w:tr>
      <w:tr w:rsidR="009A21D7" w:rsidRPr="00374360" w14:paraId="3FFEAEA0"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24648EA"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178</w:t>
            </w:r>
          </w:p>
        </w:tc>
        <w:tc>
          <w:tcPr>
            <w:tcW w:w="660" w:type="dxa"/>
            <w:tcBorders>
              <w:top w:val="nil"/>
              <w:left w:val="nil"/>
              <w:bottom w:val="single" w:sz="4" w:space="0" w:color="auto"/>
              <w:right w:val="single" w:sz="4" w:space="0" w:color="auto"/>
            </w:tcBorders>
            <w:shd w:val="clear" w:color="auto" w:fill="auto"/>
            <w:noWrap/>
            <w:vAlign w:val="center"/>
            <w:hideMark/>
          </w:tcPr>
          <w:p w14:paraId="7D680B47"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30671</w:t>
            </w:r>
          </w:p>
        </w:tc>
        <w:tc>
          <w:tcPr>
            <w:tcW w:w="879" w:type="dxa"/>
            <w:tcBorders>
              <w:top w:val="nil"/>
              <w:left w:val="nil"/>
              <w:bottom w:val="single" w:sz="4" w:space="0" w:color="auto"/>
              <w:right w:val="single" w:sz="4" w:space="0" w:color="auto"/>
            </w:tcBorders>
            <w:shd w:val="clear" w:color="auto" w:fill="auto"/>
            <w:noWrap/>
            <w:vAlign w:val="center"/>
            <w:hideMark/>
          </w:tcPr>
          <w:p w14:paraId="1B858D91"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900214588</w:t>
            </w:r>
          </w:p>
        </w:tc>
        <w:tc>
          <w:tcPr>
            <w:tcW w:w="3913" w:type="dxa"/>
            <w:tcBorders>
              <w:top w:val="nil"/>
              <w:left w:val="nil"/>
              <w:bottom w:val="single" w:sz="4" w:space="0" w:color="auto"/>
              <w:right w:val="single" w:sz="4" w:space="0" w:color="auto"/>
            </w:tcBorders>
            <w:shd w:val="clear" w:color="auto" w:fill="auto"/>
            <w:vAlign w:val="center"/>
            <w:hideMark/>
          </w:tcPr>
          <w:p w14:paraId="6D94C75E"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ESPACIO PRODUCTIVO SAS ESP</w:t>
            </w:r>
          </w:p>
        </w:tc>
        <w:tc>
          <w:tcPr>
            <w:tcW w:w="1602" w:type="dxa"/>
            <w:tcBorders>
              <w:top w:val="nil"/>
              <w:left w:val="nil"/>
              <w:bottom w:val="single" w:sz="4" w:space="0" w:color="auto"/>
              <w:right w:val="single" w:sz="4" w:space="0" w:color="auto"/>
            </w:tcBorders>
            <w:shd w:val="clear" w:color="auto" w:fill="auto"/>
            <w:noWrap/>
            <w:vAlign w:val="center"/>
            <w:hideMark/>
          </w:tcPr>
          <w:p w14:paraId="7FB15D3A" w14:textId="0A350FF6"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386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327</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809 </w:t>
            </w:r>
          </w:p>
        </w:tc>
        <w:tc>
          <w:tcPr>
            <w:tcW w:w="1418" w:type="dxa"/>
            <w:tcBorders>
              <w:top w:val="nil"/>
              <w:left w:val="nil"/>
              <w:bottom w:val="single" w:sz="4" w:space="0" w:color="auto"/>
              <w:right w:val="single" w:sz="4" w:space="0" w:color="auto"/>
            </w:tcBorders>
            <w:shd w:val="clear" w:color="auto" w:fill="auto"/>
            <w:noWrap/>
            <w:vAlign w:val="center"/>
            <w:hideMark/>
          </w:tcPr>
          <w:p w14:paraId="5252727B" w14:textId="1551D616"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33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863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278 </w:t>
            </w:r>
          </w:p>
        </w:tc>
      </w:tr>
      <w:tr w:rsidR="009A21D7" w:rsidRPr="00374360" w14:paraId="2CBD0C66"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87E1714"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179</w:t>
            </w:r>
          </w:p>
        </w:tc>
        <w:tc>
          <w:tcPr>
            <w:tcW w:w="660" w:type="dxa"/>
            <w:tcBorders>
              <w:top w:val="nil"/>
              <w:left w:val="nil"/>
              <w:bottom w:val="single" w:sz="4" w:space="0" w:color="auto"/>
              <w:right w:val="single" w:sz="4" w:space="0" w:color="auto"/>
            </w:tcBorders>
            <w:shd w:val="clear" w:color="auto" w:fill="auto"/>
            <w:noWrap/>
            <w:vAlign w:val="center"/>
            <w:hideMark/>
          </w:tcPr>
          <w:p w14:paraId="084823C6"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3326</w:t>
            </w:r>
          </w:p>
        </w:tc>
        <w:tc>
          <w:tcPr>
            <w:tcW w:w="879" w:type="dxa"/>
            <w:tcBorders>
              <w:top w:val="nil"/>
              <w:left w:val="nil"/>
              <w:bottom w:val="single" w:sz="4" w:space="0" w:color="auto"/>
              <w:right w:val="single" w:sz="4" w:space="0" w:color="auto"/>
            </w:tcBorders>
            <w:shd w:val="clear" w:color="auto" w:fill="auto"/>
            <w:noWrap/>
            <w:vAlign w:val="center"/>
            <w:hideMark/>
          </w:tcPr>
          <w:p w14:paraId="52911DAC"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804014885</w:t>
            </w:r>
          </w:p>
        </w:tc>
        <w:tc>
          <w:tcPr>
            <w:tcW w:w="3913" w:type="dxa"/>
            <w:tcBorders>
              <w:top w:val="nil"/>
              <w:left w:val="nil"/>
              <w:bottom w:val="single" w:sz="4" w:space="0" w:color="auto"/>
              <w:right w:val="single" w:sz="4" w:space="0" w:color="auto"/>
            </w:tcBorders>
            <w:shd w:val="clear" w:color="auto" w:fill="auto"/>
            <w:vAlign w:val="center"/>
            <w:hideMark/>
          </w:tcPr>
          <w:p w14:paraId="242C38E9"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ESPIGAS S.A. E.S.P.</w:t>
            </w:r>
          </w:p>
        </w:tc>
        <w:tc>
          <w:tcPr>
            <w:tcW w:w="1602" w:type="dxa"/>
            <w:tcBorders>
              <w:top w:val="nil"/>
              <w:left w:val="nil"/>
              <w:bottom w:val="single" w:sz="4" w:space="0" w:color="auto"/>
              <w:right w:val="single" w:sz="4" w:space="0" w:color="auto"/>
            </w:tcBorders>
            <w:shd w:val="clear" w:color="auto" w:fill="auto"/>
            <w:noWrap/>
            <w:vAlign w:val="center"/>
            <w:hideMark/>
          </w:tcPr>
          <w:p w14:paraId="4F900BEC" w14:textId="0641BD83"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191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732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603 </w:t>
            </w:r>
          </w:p>
        </w:tc>
        <w:tc>
          <w:tcPr>
            <w:tcW w:w="1418" w:type="dxa"/>
            <w:tcBorders>
              <w:top w:val="nil"/>
              <w:left w:val="nil"/>
              <w:bottom w:val="single" w:sz="4" w:space="0" w:color="auto"/>
              <w:right w:val="single" w:sz="4" w:space="0" w:color="auto"/>
            </w:tcBorders>
            <w:shd w:val="clear" w:color="auto" w:fill="auto"/>
            <w:noWrap/>
            <w:vAlign w:val="center"/>
            <w:hideMark/>
          </w:tcPr>
          <w:p w14:paraId="64264F4C" w14:textId="19D9A8DE"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917</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326 </w:t>
            </w:r>
          </w:p>
        </w:tc>
      </w:tr>
      <w:tr w:rsidR="009A21D7" w:rsidRPr="00374360" w14:paraId="633C06E5"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B916D35"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180</w:t>
            </w:r>
          </w:p>
        </w:tc>
        <w:tc>
          <w:tcPr>
            <w:tcW w:w="660" w:type="dxa"/>
            <w:tcBorders>
              <w:top w:val="nil"/>
              <w:left w:val="nil"/>
              <w:bottom w:val="single" w:sz="4" w:space="0" w:color="auto"/>
              <w:right w:val="single" w:sz="4" w:space="0" w:color="auto"/>
            </w:tcBorders>
            <w:shd w:val="clear" w:color="auto" w:fill="auto"/>
            <w:noWrap/>
            <w:vAlign w:val="center"/>
            <w:hideMark/>
          </w:tcPr>
          <w:p w14:paraId="45178762"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24860</w:t>
            </w:r>
          </w:p>
        </w:tc>
        <w:tc>
          <w:tcPr>
            <w:tcW w:w="879" w:type="dxa"/>
            <w:tcBorders>
              <w:top w:val="nil"/>
              <w:left w:val="nil"/>
              <w:bottom w:val="single" w:sz="4" w:space="0" w:color="auto"/>
              <w:right w:val="single" w:sz="4" w:space="0" w:color="auto"/>
            </w:tcBorders>
            <w:shd w:val="clear" w:color="auto" w:fill="auto"/>
            <w:noWrap/>
            <w:vAlign w:val="center"/>
            <w:hideMark/>
          </w:tcPr>
          <w:p w14:paraId="32B1A1A1"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900396040</w:t>
            </w:r>
          </w:p>
        </w:tc>
        <w:tc>
          <w:tcPr>
            <w:tcW w:w="3913" w:type="dxa"/>
            <w:tcBorders>
              <w:top w:val="nil"/>
              <w:left w:val="nil"/>
              <w:bottom w:val="single" w:sz="4" w:space="0" w:color="auto"/>
              <w:right w:val="single" w:sz="4" w:space="0" w:color="auto"/>
            </w:tcBorders>
            <w:shd w:val="clear" w:color="auto" w:fill="auto"/>
            <w:vAlign w:val="center"/>
            <w:hideMark/>
          </w:tcPr>
          <w:p w14:paraId="63926DF6" w14:textId="77777777" w:rsidR="00374360" w:rsidRPr="00D26825" w:rsidRDefault="00374360" w:rsidP="00374360">
            <w:pPr>
              <w:jc w:val="left"/>
              <w:rPr>
                <w:rFonts w:ascii="Arial Narrow" w:hAnsi="Arial Narrow" w:cs="Calibri"/>
                <w:color w:val="000000"/>
                <w:spacing w:val="0"/>
                <w:sz w:val="18"/>
                <w:szCs w:val="18"/>
                <w:lang w:val="en-US" w:eastAsia="es-CO"/>
              </w:rPr>
            </w:pPr>
            <w:r w:rsidRPr="00D26825">
              <w:rPr>
                <w:rFonts w:ascii="Arial Narrow" w:hAnsi="Arial Narrow" w:cs="Calibri"/>
                <w:color w:val="000000"/>
                <w:spacing w:val="0"/>
                <w:sz w:val="18"/>
                <w:szCs w:val="18"/>
                <w:lang w:val="en-US" w:eastAsia="es-CO"/>
              </w:rPr>
              <w:t>FEDEGAS S.A.S.  E.S.P.</w:t>
            </w:r>
          </w:p>
        </w:tc>
        <w:tc>
          <w:tcPr>
            <w:tcW w:w="1602" w:type="dxa"/>
            <w:tcBorders>
              <w:top w:val="nil"/>
              <w:left w:val="nil"/>
              <w:bottom w:val="single" w:sz="4" w:space="0" w:color="auto"/>
              <w:right w:val="single" w:sz="4" w:space="0" w:color="auto"/>
            </w:tcBorders>
            <w:shd w:val="clear" w:color="auto" w:fill="auto"/>
            <w:noWrap/>
            <w:vAlign w:val="center"/>
            <w:hideMark/>
          </w:tcPr>
          <w:p w14:paraId="0391535B" w14:textId="267B3001" w:rsidR="00374360" w:rsidRPr="00374360" w:rsidRDefault="00374360" w:rsidP="00374360">
            <w:pPr>
              <w:jc w:val="right"/>
              <w:rPr>
                <w:rFonts w:ascii="Arial Narrow" w:hAnsi="Arial Narrow" w:cs="Calibri"/>
                <w:color w:val="000000"/>
                <w:spacing w:val="0"/>
                <w:sz w:val="18"/>
                <w:szCs w:val="18"/>
                <w:lang w:eastAsia="es-CO"/>
              </w:rPr>
            </w:pPr>
            <w:r w:rsidRPr="00D26825">
              <w:rPr>
                <w:rFonts w:ascii="Arial Narrow" w:hAnsi="Arial Narrow" w:cs="Calibri"/>
                <w:color w:val="000000"/>
                <w:spacing w:val="0"/>
                <w:sz w:val="18"/>
                <w:szCs w:val="18"/>
                <w:lang w:val="en-US" w:eastAsia="es-CO"/>
              </w:rPr>
              <w:t xml:space="preserve">                        </w:t>
            </w:r>
            <w:r w:rsidRPr="00374360">
              <w:rPr>
                <w:rFonts w:ascii="Arial Narrow" w:hAnsi="Arial Narrow" w:cs="Calibri"/>
                <w:color w:val="000000"/>
                <w:spacing w:val="0"/>
                <w:sz w:val="18"/>
                <w:szCs w:val="18"/>
                <w:lang w:eastAsia="es-CO"/>
              </w:rPr>
              <w:t>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490</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225</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954 </w:t>
            </w:r>
          </w:p>
        </w:tc>
        <w:tc>
          <w:tcPr>
            <w:tcW w:w="1418" w:type="dxa"/>
            <w:tcBorders>
              <w:top w:val="nil"/>
              <w:left w:val="nil"/>
              <w:bottom w:val="single" w:sz="4" w:space="0" w:color="auto"/>
              <w:right w:val="single" w:sz="4" w:space="0" w:color="auto"/>
            </w:tcBorders>
            <w:shd w:val="clear" w:color="auto" w:fill="auto"/>
            <w:noWrap/>
            <w:vAlign w:val="center"/>
            <w:hideMark/>
          </w:tcPr>
          <w:p w14:paraId="79378D7E" w14:textId="2EA9EE9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902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260 </w:t>
            </w:r>
          </w:p>
        </w:tc>
      </w:tr>
      <w:tr w:rsidR="009A21D7" w:rsidRPr="00374360" w14:paraId="77DD42D3"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0E15D3B"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181</w:t>
            </w:r>
          </w:p>
        </w:tc>
        <w:tc>
          <w:tcPr>
            <w:tcW w:w="660" w:type="dxa"/>
            <w:tcBorders>
              <w:top w:val="nil"/>
              <w:left w:val="nil"/>
              <w:bottom w:val="single" w:sz="4" w:space="0" w:color="auto"/>
              <w:right w:val="single" w:sz="4" w:space="0" w:color="auto"/>
            </w:tcBorders>
            <w:shd w:val="clear" w:color="auto" w:fill="auto"/>
            <w:noWrap/>
            <w:vAlign w:val="center"/>
            <w:hideMark/>
          </w:tcPr>
          <w:p w14:paraId="30C25256"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26050</w:t>
            </w:r>
          </w:p>
        </w:tc>
        <w:tc>
          <w:tcPr>
            <w:tcW w:w="879" w:type="dxa"/>
            <w:tcBorders>
              <w:top w:val="nil"/>
              <w:left w:val="nil"/>
              <w:bottom w:val="single" w:sz="4" w:space="0" w:color="auto"/>
              <w:right w:val="single" w:sz="4" w:space="0" w:color="auto"/>
            </w:tcBorders>
            <w:shd w:val="clear" w:color="auto" w:fill="auto"/>
            <w:noWrap/>
            <w:vAlign w:val="center"/>
            <w:hideMark/>
          </w:tcPr>
          <w:p w14:paraId="29DD8609"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900431226</w:t>
            </w:r>
          </w:p>
        </w:tc>
        <w:tc>
          <w:tcPr>
            <w:tcW w:w="3913" w:type="dxa"/>
            <w:tcBorders>
              <w:top w:val="nil"/>
              <w:left w:val="nil"/>
              <w:bottom w:val="single" w:sz="4" w:space="0" w:color="auto"/>
              <w:right w:val="single" w:sz="4" w:space="0" w:color="auto"/>
            </w:tcBorders>
            <w:shd w:val="clear" w:color="auto" w:fill="auto"/>
            <w:vAlign w:val="center"/>
            <w:hideMark/>
          </w:tcPr>
          <w:p w14:paraId="326BC41D" w14:textId="77777777" w:rsidR="00374360" w:rsidRPr="00AD5D6F" w:rsidRDefault="00374360" w:rsidP="00374360">
            <w:pPr>
              <w:jc w:val="left"/>
              <w:rPr>
                <w:rFonts w:ascii="Arial Narrow" w:hAnsi="Arial Narrow" w:cs="Calibri"/>
                <w:color w:val="000000"/>
                <w:spacing w:val="0"/>
                <w:sz w:val="18"/>
                <w:szCs w:val="18"/>
                <w:lang w:val="en-US" w:eastAsia="es-CO"/>
              </w:rPr>
            </w:pPr>
            <w:r w:rsidRPr="00AD5D6F">
              <w:rPr>
                <w:rFonts w:ascii="Arial Narrow" w:hAnsi="Arial Narrow" w:cs="Calibri"/>
                <w:color w:val="000000"/>
                <w:spacing w:val="0"/>
                <w:sz w:val="18"/>
                <w:szCs w:val="18"/>
                <w:lang w:val="en-US" w:eastAsia="es-CO"/>
              </w:rPr>
              <w:t>FORCEFUL ENERGY S.A.S E.S.P</w:t>
            </w:r>
          </w:p>
        </w:tc>
        <w:tc>
          <w:tcPr>
            <w:tcW w:w="1602" w:type="dxa"/>
            <w:tcBorders>
              <w:top w:val="nil"/>
              <w:left w:val="nil"/>
              <w:bottom w:val="single" w:sz="4" w:space="0" w:color="auto"/>
              <w:right w:val="single" w:sz="4" w:space="0" w:color="auto"/>
            </w:tcBorders>
            <w:shd w:val="clear" w:color="auto" w:fill="auto"/>
            <w:noWrap/>
            <w:vAlign w:val="center"/>
            <w:hideMark/>
          </w:tcPr>
          <w:p w14:paraId="6B4F52E4" w14:textId="48241820" w:rsidR="00374360" w:rsidRPr="00374360" w:rsidRDefault="00374360" w:rsidP="00374360">
            <w:pPr>
              <w:jc w:val="right"/>
              <w:rPr>
                <w:rFonts w:ascii="Arial Narrow" w:hAnsi="Arial Narrow" w:cs="Calibri"/>
                <w:color w:val="000000"/>
                <w:spacing w:val="0"/>
                <w:sz w:val="18"/>
                <w:szCs w:val="18"/>
                <w:lang w:eastAsia="es-CO"/>
              </w:rPr>
            </w:pPr>
            <w:r w:rsidRPr="00AD5D6F">
              <w:rPr>
                <w:rFonts w:ascii="Arial Narrow" w:hAnsi="Arial Narrow" w:cs="Calibri"/>
                <w:color w:val="000000"/>
                <w:spacing w:val="0"/>
                <w:sz w:val="18"/>
                <w:szCs w:val="18"/>
                <w:lang w:val="en-US" w:eastAsia="es-CO"/>
              </w:rPr>
              <w:t xml:space="preserve">                             </w:t>
            </w:r>
            <w:r w:rsidRPr="00374360">
              <w:rPr>
                <w:rFonts w:ascii="Arial Narrow" w:hAnsi="Arial Narrow" w:cs="Calibri"/>
                <w:color w:val="000000"/>
                <w:spacing w:val="0"/>
                <w:sz w:val="18"/>
                <w:szCs w:val="18"/>
                <w:lang w:eastAsia="es-CO"/>
              </w:rPr>
              <w:t>75</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283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997 </w:t>
            </w:r>
          </w:p>
        </w:tc>
        <w:tc>
          <w:tcPr>
            <w:tcW w:w="1418" w:type="dxa"/>
            <w:tcBorders>
              <w:top w:val="nil"/>
              <w:left w:val="nil"/>
              <w:bottom w:val="single" w:sz="4" w:space="0" w:color="auto"/>
              <w:right w:val="single" w:sz="4" w:space="0" w:color="auto"/>
            </w:tcBorders>
            <w:shd w:val="clear" w:color="auto" w:fill="auto"/>
            <w:noWrap/>
            <w:vAlign w:val="center"/>
            <w:hideMark/>
          </w:tcPr>
          <w:p w14:paraId="5D2BE42C" w14:textId="44058E05"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752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840 </w:t>
            </w:r>
          </w:p>
        </w:tc>
      </w:tr>
      <w:tr w:rsidR="009A21D7" w:rsidRPr="00374360" w14:paraId="65AA30C1" w14:textId="77777777" w:rsidTr="00C734CF">
        <w:trPr>
          <w:trHeight w:val="4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E59867E"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182</w:t>
            </w:r>
          </w:p>
        </w:tc>
        <w:tc>
          <w:tcPr>
            <w:tcW w:w="660" w:type="dxa"/>
            <w:tcBorders>
              <w:top w:val="nil"/>
              <w:left w:val="nil"/>
              <w:bottom w:val="single" w:sz="4" w:space="0" w:color="auto"/>
              <w:right w:val="single" w:sz="4" w:space="0" w:color="auto"/>
            </w:tcBorders>
            <w:shd w:val="clear" w:color="auto" w:fill="auto"/>
            <w:noWrap/>
            <w:vAlign w:val="center"/>
            <w:hideMark/>
          </w:tcPr>
          <w:p w14:paraId="4B899B11"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40096</w:t>
            </w:r>
          </w:p>
        </w:tc>
        <w:tc>
          <w:tcPr>
            <w:tcW w:w="879" w:type="dxa"/>
            <w:tcBorders>
              <w:top w:val="nil"/>
              <w:left w:val="nil"/>
              <w:bottom w:val="single" w:sz="4" w:space="0" w:color="auto"/>
              <w:right w:val="single" w:sz="4" w:space="0" w:color="auto"/>
            </w:tcBorders>
            <w:shd w:val="clear" w:color="auto" w:fill="auto"/>
            <w:noWrap/>
            <w:vAlign w:val="center"/>
            <w:hideMark/>
          </w:tcPr>
          <w:p w14:paraId="790EA86C"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830126302</w:t>
            </w:r>
          </w:p>
        </w:tc>
        <w:tc>
          <w:tcPr>
            <w:tcW w:w="3913" w:type="dxa"/>
            <w:tcBorders>
              <w:top w:val="nil"/>
              <w:left w:val="nil"/>
              <w:bottom w:val="single" w:sz="4" w:space="0" w:color="auto"/>
              <w:right w:val="single" w:sz="4" w:space="0" w:color="auto"/>
            </w:tcBorders>
            <w:shd w:val="clear" w:color="auto" w:fill="auto"/>
            <w:vAlign w:val="center"/>
            <w:hideMark/>
          </w:tcPr>
          <w:p w14:paraId="426041DA"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FRONTERA ENERGY COLOMBIA CORP.,  SUCURSAL COLOMBIA</w:t>
            </w:r>
          </w:p>
        </w:tc>
        <w:tc>
          <w:tcPr>
            <w:tcW w:w="1602" w:type="dxa"/>
            <w:tcBorders>
              <w:top w:val="nil"/>
              <w:left w:val="nil"/>
              <w:bottom w:val="single" w:sz="4" w:space="0" w:color="auto"/>
              <w:right w:val="single" w:sz="4" w:space="0" w:color="auto"/>
            </w:tcBorders>
            <w:shd w:val="clear" w:color="auto" w:fill="auto"/>
            <w:noWrap/>
            <w:vAlign w:val="center"/>
            <w:hideMark/>
          </w:tcPr>
          <w:p w14:paraId="01CB2389" w14:textId="7FC659A8"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74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228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754 </w:t>
            </w:r>
          </w:p>
        </w:tc>
        <w:tc>
          <w:tcPr>
            <w:tcW w:w="1418" w:type="dxa"/>
            <w:tcBorders>
              <w:top w:val="nil"/>
              <w:left w:val="nil"/>
              <w:bottom w:val="single" w:sz="4" w:space="0" w:color="auto"/>
              <w:right w:val="single" w:sz="4" w:space="0" w:color="auto"/>
            </w:tcBorders>
            <w:shd w:val="clear" w:color="auto" w:fill="auto"/>
            <w:noWrap/>
            <w:vAlign w:val="center"/>
            <w:hideMark/>
          </w:tcPr>
          <w:p w14:paraId="691F025A" w14:textId="4BF08B18"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742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288 </w:t>
            </w:r>
          </w:p>
        </w:tc>
      </w:tr>
      <w:tr w:rsidR="009A21D7" w:rsidRPr="00374360" w14:paraId="13010447" w14:textId="77777777" w:rsidTr="00C734CF">
        <w:trPr>
          <w:trHeight w:val="4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D1D48D5"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183</w:t>
            </w:r>
          </w:p>
        </w:tc>
        <w:tc>
          <w:tcPr>
            <w:tcW w:w="660" w:type="dxa"/>
            <w:tcBorders>
              <w:top w:val="nil"/>
              <w:left w:val="nil"/>
              <w:bottom w:val="single" w:sz="4" w:space="0" w:color="auto"/>
              <w:right w:val="single" w:sz="4" w:space="0" w:color="auto"/>
            </w:tcBorders>
            <w:shd w:val="clear" w:color="auto" w:fill="auto"/>
            <w:noWrap/>
            <w:vAlign w:val="center"/>
            <w:hideMark/>
          </w:tcPr>
          <w:p w14:paraId="778002B8"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25655</w:t>
            </w:r>
          </w:p>
        </w:tc>
        <w:tc>
          <w:tcPr>
            <w:tcW w:w="879" w:type="dxa"/>
            <w:tcBorders>
              <w:top w:val="nil"/>
              <w:left w:val="nil"/>
              <w:bottom w:val="single" w:sz="4" w:space="0" w:color="auto"/>
              <w:right w:val="single" w:sz="4" w:space="0" w:color="auto"/>
            </w:tcBorders>
            <w:shd w:val="clear" w:color="auto" w:fill="auto"/>
            <w:noWrap/>
            <w:vAlign w:val="center"/>
            <w:hideMark/>
          </w:tcPr>
          <w:p w14:paraId="04F549E7"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900409371</w:t>
            </w:r>
          </w:p>
        </w:tc>
        <w:tc>
          <w:tcPr>
            <w:tcW w:w="3913" w:type="dxa"/>
            <w:tcBorders>
              <w:top w:val="nil"/>
              <w:left w:val="nil"/>
              <w:bottom w:val="single" w:sz="4" w:space="0" w:color="auto"/>
              <w:right w:val="single" w:sz="4" w:space="0" w:color="auto"/>
            </w:tcBorders>
            <w:shd w:val="clear" w:color="auto" w:fill="auto"/>
            <w:vAlign w:val="center"/>
            <w:hideMark/>
          </w:tcPr>
          <w:p w14:paraId="5120DC89"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FUENTES DE ENERGÍAS RENOVABLES S.A.S. ESP</w:t>
            </w:r>
          </w:p>
        </w:tc>
        <w:tc>
          <w:tcPr>
            <w:tcW w:w="1602" w:type="dxa"/>
            <w:tcBorders>
              <w:top w:val="nil"/>
              <w:left w:val="nil"/>
              <w:bottom w:val="single" w:sz="4" w:space="0" w:color="auto"/>
              <w:right w:val="single" w:sz="4" w:space="0" w:color="auto"/>
            </w:tcBorders>
            <w:shd w:val="clear" w:color="auto" w:fill="auto"/>
            <w:noWrap/>
            <w:vAlign w:val="center"/>
            <w:hideMark/>
          </w:tcPr>
          <w:p w14:paraId="74B967C1" w14:textId="7C9C484F"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269</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637</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514 </w:t>
            </w:r>
          </w:p>
        </w:tc>
        <w:tc>
          <w:tcPr>
            <w:tcW w:w="1418" w:type="dxa"/>
            <w:tcBorders>
              <w:top w:val="nil"/>
              <w:left w:val="nil"/>
              <w:bottom w:val="single" w:sz="4" w:space="0" w:color="auto"/>
              <w:right w:val="single" w:sz="4" w:space="0" w:color="auto"/>
            </w:tcBorders>
            <w:shd w:val="clear" w:color="auto" w:fill="auto"/>
            <w:noWrap/>
            <w:vAlign w:val="center"/>
            <w:hideMark/>
          </w:tcPr>
          <w:p w14:paraId="07CE5E36" w14:textId="56111996"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22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696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375 </w:t>
            </w:r>
          </w:p>
        </w:tc>
      </w:tr>
      <w:tr w:rsidR="009A21D7" w:rsidRPr="00374360" w14:paraId="271748B1"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90DD649"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184</w:t>
            </w:r>
          </w:p>
        </w:tc>
        <w:tc>
          <w:tcPr>
            <w:tcW w:w="660" w:type="dxa"/>
            <w:tcBorders>
              <w:top w:val="nil"/>
              <w:left w:val="nil"/>
              <w:bottom w:val="single" w:sz="4" w:space="0" w:color="auto"/>
              <w:right w:val="single" w:sz="4" w:space="0" w:color="auto"/>
            </w:tcBorders>
            <w:shd w:val="clear" w:color="auto" w:fill="auto"/>
            <w:noWrap/>
            <w:vAlign w:val="center"/>
            <w:hideMark/>
          </w:tcPr>
          <w:p w14:paraId="12E274BB"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26745</w:t>
            </w:r>
          </w:p>
        </w:tc>
        <w:tc>
          <w:tcPr>
            <w:tcW w:w="879" w:type="dxa"/>
            <w:tcBorders>
              <w:top w:val="nil"/>
              <w:left w:val="nil"/>
              <w:bottom w:val="single" w:sz="4" w:space="0" w:color="auto"/>
              <w:right w:val="single" w:sz="4" w:space="0" w:color="auto"/>
            </w:tcBorders>
            <w:shd w:val="clear" w:color="auto" w:fill="auto"/>
            <w:noWrap/>
            <w:vAlign w:val="center"/>
            <w:hideMark/>
          </w:tcPr>
          <w:p w14:paraId="14A4E4FB"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900542835</w:t>
            </w:r>
          </w:p>
        </w:tc>
        <w:tc>
          <w:tcPr>
            <w:tcW w:w="3913" w:type="dxa"/>
            <w:tcBorders>
              <w:top w:val="nil"/>
              <w:left w:val="nil"/>
              <w:bottom w:val="single" w:sz="4" w:space="0" w:color="auto"/>
              <w:right w:val="single" w:sz="4" w:space="0" w:color="auto"/>
            </w:tcBorders>
            <w:shd w:val="clear" w:color="auto" w:fill="auto"/>
            <w:vAlign w:val="center"/>
            <w:hideMark/>
          </w:tcPr>
          <w:p w14:paraId="14F129C2"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G8 PROYECTOS ENERGETICOS SAS ESP</w:t>
            </w:r>
          </w:p>
        </w:tc>
        <w:tc>
          <w:tcPr>
            <w:tcW w:w="1602" w:type="dxa"/>
            <w:tcBorders>
              <w:top w:val="nil"/>
              <w:left w:val="nil"/>
              <w:bottom w:val="single" w:sz="4" w:space="0" w:color="auto"/>
              <w:right w:val="single" w:sz="4" w:space="0" w:color="auto"/>
            </w:tcBorders>
            <w:shd w:val="clear" w:color="auto" w:fill="auto"/>
            <w:noWrap/>
            <w:vAlign w:val="center"/>
            <w:hideMark/>
          </w:tcPr>
          <w:p w14:paraId="02DBB047" w14:textId="72B9CD0B"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210</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718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529 </w:t>
            </w:r>
          </w:p>
        </w:tc>
        <w:tc>
          <w:tcPr>
            <w:tcW w:w="1418" w:type="dxa"/>
            <w:tcBorders>
              <w:top w:val="nil"/>
              <w:left w:val="nil"/>
              <w:bottom w:val="single" w:sz="4" w:space="0" w:color="auto"/>
              <w:right w:val="single" w:sz="4" w:space="0" w:color="auto"/>
            </w:tcBorders>
            <w:shd w:val="clear" w:color="auto" w:fill="auto"/>
            <w:noWrap/>
            <w:vAlign w:val="center"/>
            <w:hideMark/>
          </w:tcPr>
          <w:p w14:paraId="41063B21" w14:textId="3BAD66EF"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107</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185 </w:t>
            </w:r>
          </w:p>
        </w:tc>
      </w:tr>
      <w:tr w:rsidR="009A21D7" w:rsidRPr="00374360" w14:paraId="7035D2FC"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34C87C4"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185</w:t>
            </w:r>
          </w:p>
        </w:tc>
        <w:tc>
          <w:tcPr>
            <w:tcW w:w="660" w:type="dxa"/>
            <w:tcBorders>
              <w:top w:val="nil"/>
              <w:left w:val="nil"/>
              <w:bottom w:val="single" w:sz="4" w:space="0" w:color="auto"/>
              <w:right w:val="single" w:sz="4" w:space="0" w:color="auto"/>
            </w:tcBorders>
            <w:shd w:val="clear" w:color="auto" w:fill="auto"/>
            <w:noWrap/>
            <w:vAlign w:val="center"/>
            <w:hideMark/>
          </w:tcPr>
          <w:p w14:paraId="6A013F65"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2180</w:t>
            </w:r>
          </w:p>
        </w:tc>
        <w:tc>
          <w:tcPr>
            <w:tcW w:w="879" w:type="dxa"/>
            <w:tcBorders>
              <w:top w:val="nil"/>
              <w:left w:val="nil"/>
              <w:bottom w:val="single" w:sz="4" w:space="0" w:color="auto"/>
              <w:right w:val="single" w:sz="4" w:space="0" w:color="auto"/>
            </w:tcBorders>
            <w:shd w:val="clear" w:color="auto" w:fill="auto"/>
            <w:noWrap/>
            <w:vAlign w:val="center"/>
            <w:hideMark/>
          </w:tcPr>
          <w:p w14:paraId="4CE9F3B0"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828000499</w:t>
            </w:r>
          </w:p>
        </w:tc>
        <w:tc>
          <w:tcPr>
            <w:tcW w:w="3913" w:type="dxa"/>
            <w:tcBorders>
              <w:top w:val="nil"/>
              <w:left w:val="nil"/>
              <w:bottom w:val="single" w:sz="4" w:space="0" w:color="auto"/>
              <w:right w:val="single" w:sz="4" w:space="0" w:color="auto"/>
            </w:tcBorders>
            <w:shd w:val="clear" w:color="auto" w:fill="auto"/>
            <w:vAlign w:val="center"/>
            <w:hideMark/>
          </w:tcPr>
          <w:p w14:paraId="4636734A"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GAS CAQUETA S.A  E.S.P</w:t>
            </w:r>
          </w:p>
        </w:tc>
        <w:tc>
          <w:tcPr>
            <w:tcW w:w="1602" w:type="dxa"/>
            <w:tcBorders>
              <w:top w:val="nil"/>
              <w:left w:val="nil"/>
              <w:bottom w:val="single" w:sz="4" w:space="0" w:color="auto"/>
              <w:right w:val="single" w:sz="4" w:space="0" w:color="auto"/>
            </w:tcBorders>
            <w:shd w:val="clear" w:color="auto" w:fill="auto"/>
            <w:noWrap/>
            <w:vAlign w:val="center"/>
            <w:hideMark/>
          </w:tcPr>
          <w:p w14:paraId="31F1BB3F" w14:textId="423A84F2"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558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789</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299 </w:t>
            </w:r>
          </w:p>
        </w:tc>
        <w:tc>
          <w:tcPr>
            <w:tcW w:w="1418" w:type="dxa"/>
            <w:tcBorders>
              <w:top w:val="nil"/>
              <w:left w:val="nil"/>
              <w:bottom w:val="single" w:sz="4" w:space="0" w:color="auto"/>
              <w:right w:val="single" w:sz="4" w:space="0" w:color="auto"/>
            </w:tcBorders>
            <w:shd w:val="clear" w:color="auto" w:fill="auto"/>
            <w:noWrap/>
            <w:vAlign w:val="center"/>
            <w:hideMark/>
          </w:tcPr>
          <w:p w14:paraId="21A91FCD" w14:textId="4C26AAEA"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45</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587</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893 </w:t>
            </w:r>
          </w:p>
        </w:tc>
      </w:tr>
      <w:tr w:rsidR="009A21D7" w:rsidRPr="00374360" w14:paraId="54AEAF42"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BEC13BE"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186</w:t>
            </w:r>
          </w:p>
        </w:tc>
        <w:tc>
          <w:tcPr>
            <w:tcW w:w="660" w:type="dxa"/>
            <w:tcBorders>
              <w:top w:val="nil"/>
              <w:left w:val="nil"/>
              <w:bottom w:val="single" w:sz="4" w:space="0" w:color="auto"/>
              <w:right w:val="single" w:sz="4" w:space="0" w:color="auto"/>
            </w:tcBorders>
            <w:shd w:val="clear" w:color="auto" w:fill="auto"/>
            <w:noWrap/>
            <w:vAlign w:val="center"/>
            <w:hideMark/>
          </w:tcPr>
          <w:p w14:paraId="0ABE4627"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33453</w:t>
            </w:r>
          </w:p>
        </w:tc>
        <w:tc>
          <w:tcPr>
            <w:tcW w:w="879" w:type="dxa"/>
            <w:tcBorders>
              <w:top w:val="nil"/>
              <w:left w:val="nil"/>
              <w:bottom w:val="single" w:sz="4" w:space="0" w:color="auto"/>
              <w:right w:val="single" w:sz="4" w:space="0" w:color="auto"/>
            </w:tcBorders>
            <w:shd w:val="clear" w:color="auto" w:fill="auto"/>
            <w:noWrap/>
            <w:vAlign w:val="center"/>
            <w:hideMark/>
          </w:tcPr>
          <w:p w14:paraId="40960FBF"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900970665</w:t>
            </w:r>
          </w:p>
        </w:tc>
        <w:tc>
          <w:tcPr>
            <w:tcW w:w="3913" w:type="dxa"/>
            <w:tcBorders>
              <w:top w:val="nil"/>
              <w:left w:val="nil"/>
              <w:bottom w:val="single" w:sz="4" w:space="0" w:color="auto"/>
              <w:right w:val="single" w:sz="4" w:space="0" w:color="auto"/>
            </w:tcBorders>
            <w:shd w:val="clear" w:color="auto" w:fill="auto"/>
            <w:vAlign w:val="center"/>
            <w:hideMark/>
          </w:tcPr>
          <w:p w14:paraId="57E6FA76"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GAS COLOMBIA SAS ESP</w:t>
            </w:r>
          </w:p>
        </w:tc>
        <w:tc>
          <w:tcPr>
            <w:tcW w:w="1602" w:type="dxa"/>
            <w:tcBorders>
              <w:top w:val="nil"/>
              <w:left w:val="nil"/>
              <w:bottom w:val="single" w:sz="4" w:space="0" w:color="auto"/>
              <w:right w:val="single" w:sz="4" w:space="0" w:color="auto"/>
            </w:tcBorders>
            <w:shd w:val="clear" w:color="auto" w:fill="auto"/>
            <w:noWrap/>
            <w:vAlign w:val="center"/>
            <w:hideMark/>
          </w:tcPr>
          <w:p w14:paraId="5323662B" w14:textId="0FB8D3EF"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124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401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770 </w:t>
            </w:r>
          </w:p>
        </w:tc>
        <w:tc>
          <w:tcPr>
            <w:tcW w:w="1418" w:type="dxa"/>
            <w:tcBorders>
              <w:top w:val="nil"/>
              <w:left w:val="nil"/>
              <w:bottom w:val="single" w:sz="4" w:space="0" w:color="auto"/>
              <w:right w:val="single" w:sz="4" w:space="0" w:color="auto"/>
            </w:tcBorders>
            <w:shd w:val="clear" w:color="auto" w:fill="auto"/>
            <w:noWrap/>
            <w:vAlign w:val="center"/>
            <w:hideMark/>
          </w:tcPr>
          <w:p w14:paraId="10136FA4" w14:textId="7A8F442D"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244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018 </w:t>
            </w:r>
          </w:p>
        </w:tc>
      </w:tr>
      <w:tr w:rsidR="009A21D7" w:rsidRPr="00374360" w14:paraId="6D242BA9"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C865828"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187</w:t>
            </w:r>
          </w:p>
        </w:tc>
        <w:tc>
          <w:tcPr>
            <w:tcW w:w="660" w:type="dxa"/>
            <w:tcBorders>
              <w:top w:val="nil"/>
              <w:left w:val="nil"/>
              <w:bottom w:val="single" w:sz="4" w:space="0" w:color="auto"/>
              <w:right w:val="single" w:sz="4" w:space="0" w:color="auto"/>
            </w:tcBorders>
            <w:shd w:val="clear" w:color="auto" w:fill="auto"/>
            <w:noWrap/>
            <w:vAlign w:val="center"/>
            <w:hideMark/>
          </w:tcPr>
          <w:p w14:paraId="58F0E6EC"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26706</w:t>
            </w:r>
          </w:p>
        </w:tc>
        <w:tc>
          <w:tcPr>
            <w:tcW w:w="879" w:type="dxa"/>
            <w:tcBorders>
              <w:top w:val="nil"/>
              <w:left w:val="nil"/>
              <w:bottom w:val="single" w:sz="4" w:space="0" w:color="auto"/>
              <w:right w:val="single" w:sz="4" w:space="0" w:color="auto"/>
            </w:tcBorders>
            <w:shd w:val="clear" w:color="auto" w:fill="auto"/>
            <w:noWrap/>
            <w:vAlign w:val="center"/>
            <w:hideMark/>
          </w:tcPr>
          <w:p w14:paraId="2CD7D742"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900655560</w:t>
            </w:r>
          </w:p>
        </w:tc>
        <w:tc>
          <w:tcPr>
            <w:tcW w:w="3913" w:type="dxa"/>
            <w:tcBorders>
              <w:top w:val="nil"/>
              <w:left w:val="nil"/>
              <w:bottom w:val="single" w:sz="4" w:space="0" w:color="auto"/>
              <w:right w:val="single" w:sz="4" w:space="0" w:color="auto"/>
            </w:tcBorders>
            <w:shd w:val="clear" w:color="auto" w:fill="auto"/>
            <w:vAlign w:val="center"/>
            <w:hideMark/>
          </w:tcPr>
          <w:p w14:paraId="6F69CB8D"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GAS DE LA ORINOQUIA S.A. ESP.</w:t>
            </w:r>
          </w:p>
        </w:tc>
        <w:tc>
          <w:tcPr>
            <w:tcW w:w="1602" w:type="dxa"/>
            <w:tcBorders>
              <w:top w:val="nil"/>
              <w:left w:val="nil"/>
              <w:bottom w:val="single" w:sz="4" w:space="0" w:color="auto"/>
              <w:right w:val="single" w:sz="4" w:space="0" w:color="auto"/>
            </w:tcBorders>
            <w:shd w:val="clear" w:color="auto" w:fill="auto"/>
            <w:noWrap/>
            <w:vAlign w:val="center"/>
            <w:hideMark/>
          </w:tcPr>
          <w:p w14:paraId="48B2D27D" w14:textId="1528D318"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262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927</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244 </w:t>
            </w:r>
          </w:p>
        </w:tc>
        <w:tc>
          <w:tcPr>
            <w:tcW w:w="1418" w:type="dxa"/>
            <w:tcBorders>
              <w:top w:val="nil"/>
              <w:left w:val="nil"/>
              <w:bottom w:val="single" w:sz="4" w:space="0" w:color="auto"/>
              <w:right w:val="single" w:sz="4" w:space="0" w:color="auto"/>
            </w:tcBorders>
            <w:shd w:val="clear" w:color="auto" w:fill="auto"/>
            <w:noWrap/>
            <w:vAlign w:val="center"/>
            <w:hideMark/>
          </w:tcPr>
          <w:p w14:paraId="0F41DF67" w14:textId="59C31B0B"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629</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272 </w:t>
            </w:r>
          </w:p>
        </w:tc>
      </w:tr>
      <w:tr w:rsidR="009A21D7" w:rsidRPr="00374360" w14:paraId="71363A2C"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FABE9E8"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188</w:t>
            </w:r>
          </w:p>
        </w:tc>
        <w:tc>
          <w:tcPr>
            <w:tcW w:w="660" w:type="dxa"/>
            <w:tcBorders>
              <w:top w:val="nil"/>
              <w:left w:val="nil"/>
              <w:bottom w:val="single" w:sz="4" w:space="0" w:color="auto"/>
              <w:right w:val="single" w:sz="4" w:space="0" w:color="auto"/>
            </w:tcBorders>
            <w:shd w:val="clear" w:color="auto" w:fill="auto"/>
            <w:noWrap/>
            <w:vAlign w:val="center"/>
            <w:hideMark/>
          </w:tcPr>
          <w:p w14:paraId="21393855"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1715</w:t>
            </w:r>
          </w:p>
        </w:tc>
        <w:tc>
          <w:tcPr>
            <w:tcW w:w="879" w:type="dxa"/>
            <w:tcBorders>
              <w:top w:val="nil"/>
              <w:left w:val="nil"/>
              <w:bottom w:val="single" w:sz="4" w:space="0" w:color="auto"/>
              <w:right w:val="single" w:sz="4" w:space="0" w:color="auto"/>
            </w:tcBorders>
            <w:shd w:val="clear" w:color="auto" w:fill="auto"/>
            <w:noWrap/>
            <w:vAlign w:val="center"/>
            <w:hideMark/>
          </w:tcPr>
          <w:p w14:paraId="2B32E08F"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800150534</w:t>
            </w:r>
          </w:p>
        </w:tc>
        <w:tc>
          <w:tcPr>
            <w:tcW w:w="3913" w:type="dxa"/>
            <w:tcBorders>
              <w:top w:val="nil"/>
              <w:left w:val="nil"/>
              <w:bottom w:val="single" w:sz="4" w:space="0" w:color="auto"/>
              <w:right w:val="single" w:sz="4" w:space="0" w:color="auto"/>
            </w:tcBorders>
            <w:shd w:val="clear" w:color="auto" w:fill="auto"/>
            <w:vAlign w:val="center"/>
            <w:hideMark/>
          </w:tcPr>
          <w:p w14:paraId="59DD92F5"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GAS EL SOL S.A. E.S.P.</w:t>
            </w:r>
          </w:p>
        </w:tc>
        <w:tc>
          <w:tcPr>
            <w:tcW w:w="1602" w:type="dxa"/>
            <w:tcBorders>
              <w:top w:val="nil"/>
              <w:left w:val="nil"/>
              <w:bottom w:val="single" w:sz="4" w:space="0" w:color="auto"/>
              <w:right w:val="single" w:sz="4" w:space="0" w:color="auto"/>
            </w:tcBorders>
            <w:shd w:val="clear" w:color="auto" w:fill="auto"/>
            <w:noWrap/>
            <w:vAlign w:val="center"/>
            <w:hideMark/>
          </w:tcPr>
          <w:p w14:paraId="245BA602" w14:textId="19F54BA5"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168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478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729 </w:t>
            </w:r>
          </w:p>
        </w:tc>
        <w:tc>
          <w:tcPr>
            <w:tcW w:w="1418" w:type="dxa"/>
            <w:tcBorders>
              <w:top w:val="nil"/>
              <w:left w:val="nil"/>
              <w:bottom w:val="single" w:sz="4" w:space="0" w:color="auto"/>
              <w:right w:val="single" w:sz="4" w:space="0" w:color="auto"/>
            </w:tcBorders>
            <w:shd w:val="clear" w:color="auto" w:fill="auto"/>
            <w:noWrap/>
            <w:vAlign w:val="center"/>
            <w:hideMark/>
          </w:tcPr>
          <w:p w14:paraId="6AFC6EDE" w14:textId="08FFE8E2"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684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787 </w:t>
            </w:r>
          </w:p>
        </w:tc>
      </w:tr>
      <w:tr w:rsidR="009A21D7" w:rsidRPr="00374360" w14:paraId="518EF632"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862B02E"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189</w:t>
            </w:r>
          </w:p>
        </w:tc>
        <w:tc>
          <w:tcPr>
            <w:tcW w:w="660" w:type="dxa"/>
            <w:tcBorders>
              <w:top w:val="nil"/>
              <w:left w:val="nil"/>
              <w:bottom w:val="single" w:sz="4" w:space="0" w:color="auto"/>
              <w:right w:val="single" w:sz="4" w:space="0" w:color="auto"/>
            </w:tcBorders>
            <w:shd w:val="clear" w:color="auto" w:fill="auto"/>
            <w:noWrap/>
            <w:vAlign w:val="center"/>
            <w:hideMark/>
          </w:tcPr>
          <w:p w14:paraId="0D0DBAD7"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26219</w:t>
            </w:r>
          </w:p>
        </w:tc>
        <w:tc>
          <w:tcPr>
            <w:tcW w:w="879" w:type="dxa"/>
            <w:tcBorders>
              <w:top w:val="nil"/>
              <w:left w:val="nil"/>
              <w:bottom w:val="single" w:sz="4" w:space="0" w:color="auto"/>
              <w:right w:val="single" w:sz="4" w:space="0" w:color="auto"/>
            </w:tcBorders>
            <w:shd w:val="clear" w:color="auto" w:fill="auto"/>
            <w:noWrap/>
            <w:vAlign w:val="center"/>
            <w:hideMark/>
          </w:tcPr>
          <w:p w14:paraId="62C593AF"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900566834</w:t>
            </w:r>
          </w:p>
        </w:tc>
        <w:tc>
          <w:tcPr>
            <w:tcW w:w="3913" w:type="dxa"/>
            <w:tcBorders>
              <w:top w:val="nil"/>
              <w:left w:val="nil"/>
              <w:bottom w:val="single" w:sz="4" w:space="0" w:color="auto"/>
              <w:right w:val="single" w:sz="4" w:space="0" w:color="auto"/>
            </w:tcBorders>
            <w:shd w:val="clear" w:color="auto" w:fill="auto"/>
            <w:vAlign w:val="center"/>
            <w:hideMark/>
          </w:tcPr>
          <w:p w14:paraId="50BF88A6"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GAS EXPRESS COLOMBIA SAS ESP</w:t>
            </w:r>
          </w:p>
        </w:tc>
        <w:tc>
          <w:tcPr>
            <w:tcW w:w="1602" w:type="dxa"/>
            <w:tcBorders>
              <w:top w:val="nil"/>
              <w:left w:val="nil"/>
              <w:bottom w:val="single" w:sz="4" w:space="0" w:color="auto"/>
              <w:right w:val="single" w:sz="4" w:space="0" w:color="auto"/>
            </w:tcBorders>
            <w:shd w:val="clear" w:color="auto" w:fill="auto"/>
            <w:noWrap/>
            <w:vAlign w:val="center"/>
            <w:hideMark/>
          </w:tcPr>
          <w:p w14:paraId="5EEA2D9B" w14:textId="4A6E2FC9"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197</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060</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965 </w:t>
            </w:r>
          </w:p>
        </w:tc>
        <w:tc>
          <w:tcPr>
            <w:tcW w:w="1418" w:type="dxa"/>
            <w:tcBorders>
              <w:top w:val="nil"/>
              <w:left w:val="nil"/>
              <w:bottom w:val="single" w:sz="4" w:space="0" w:color="auto"/>
              <w:right w:val="single" w:sz="4" w:space="0" w:color="auto"/>
            </w:tcBorders>
            <w:shd w:val="clear" w:color="auto" w:fill="auto"/>
            <w:noWrap/>
            <w:vAlign w:val="center"/>
            <w:hideMark/>
          </w:tcPr>
          <w:p w14:paraId="58E48353" w14:textId="2DA1FA5F"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970</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610 </w:t>
            </w:r>
          </w:p>
        </w:tc>
      </w:tr>
      <w:tr w:rsidR="009A21D7" w:rsidRPr="00374360" w14:paraId="496E0D5A"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487BD58"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190</w:t>
            </w:r>
          </w:p>
        </w:tc>
        <w:tc>
          <w:tcPr>
            <w:tcW w:w="660" w:type="dxa"/>
            <w:tcBorders>
              <w:top w:val="nil"/>
              <w:left w:val="nil"/>
              <w:bottom w:val="single" w:sz="4" w:space="0" w:color="auto"/>
              <w:right w:val="single" w:sz="4" w:space="0" w:color="auto"/>
            </w:tcBorders>
            <w:shd w:val="clear" w:color="auto" w:fill="auto"/>
            <w:noWrap/>
            <w:vAlign w:val="center"/>
            <w:hideMark/>
          </w:tcPr>
          <w:p w14:paraId="1677C95D"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1801</w:t>
            </w:r>
          </w:p>
        </w:tc>
        <w:tc>
          <w:tcPr>
            <w:tcW w:w="879" w:type="dxa"/>
            <w:tcBorders>
              <w:top w:val="nil"/>
              <w:left w:val="nil"/>
              <w:bottom w:val="single" w:sz="4" w:space="0" w:color="auto"/>
              <w:right w:val="single" w:sz="4" w:space="0" w:color="auto"/>
            </w:tcBorders>
            <w:shd w:val="clear" w:color="auto" w:fill="auto"/>
            <w:noWrap/>
            <w:vAlign w:val="center"/>
            <w:hideMark/>
          </w:tcPr>
          <w:p w14:paraId="0C74B9F3"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800136258</w:t>
            </w:r>
          </w:p>
        </w:tc>
        <w:tc>
          <w:tcPr>
            <w:tcW w:w="3913" w:type="dxa"/>
            <w:tcBorders>
              <w:top w:val="nil"/>
              <w:left w:val="nil"/>
              <w:bottom w:val="single" w:sz="4" w:space="0" w:color="auto"/>
              <w:right w:val="single" w:sz="4" w:space="0" w:color="auto"/>
            </w:tcBorders>
            <w:shd w:val="clear" w:color="auto" w:fill="auto"/>
            <w:vAlign w:val="center"/>
            <w:hideMark/>
          </w:tcPr>
          <w:p w14:paraId="750E457D"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GAS GUAVIARE S.A. E.S.P.</w:t>
            </w:r>
          </w:p>
        </w:tc>
        <w:tc>
          <w:tcPr>
            <w:tcW w:w="1602" w:type="dxa"/>
            <w:tcBorders>
              <w:top w:val="nil"/>
              <w:left w:val="nil"/>
              <w:bottom w:val="single" w:sz="4" w:space="0" w:color="auto"/>
              <w:right w:val="single" w:sz="4" w:space="0" w:color="auto"/>
            </w:tcBorders>
            <w:shd w:val="clear" w:color="auto" w:fill="auto"/>
            <w:noWrap/>
            <w:vAlign w:val="center"/>
            <w:hideMark/>
          </w:tcPr>
          <w:p w14:paraId="3F8CBEAD" w14:textId="2EF9EE33"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349</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354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747 </w:t>
            </w:r>
          </w:p>
        </w:tc>
        <w:tc>
          <w:tcPr>
            <w:tcW w:w="1418" w:type="dxa"/>
            <w:tcBorders>
              <w:top w:val="nil"/>
              <w:left w:val="nil"/>
              <w:bottom w:val="single" w:sz="4" w:space="0" w:color="auto"/>
              <w:right w:val="single" w:sz="4" w:space="0" w:color="auto"/>
            </w:tcBorders>
            <w:shd w:val="clear" w:color="auto" w:fill="auto"/>
            <w:noWrap/>
            <w:vAlign w:val="center"/>
            <w:hideMark/>
          </w:tcPr>
          <w:p w14:paraId="157BCCD7" w14:textId="5D8D3F30"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23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493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547 </w:t>
            </w:r>
          </w:p>
        </w:tc>
      </w:tr>
      <w:tr w:rsidR="009A21D7" w:rsidRPr="00374360" w14:paraId="011784CE"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E0306D8"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191</w:t>
            </w:r>
          </w:p>
        </w:tc>
        <w:tc>
          <w:tcPr>
            <w:tcW w:w="660" w:type="dxa"/>
            <w:tcBorders>
              <w:top w:val="nil"/>
              <w:left w:val="nil"/>
              <w:bottom w:val="single" w:sz="4" w:space="0" w:color="auto"/>
              <w:right w:val="single" w:sz="4" w:space="0" w:color="auto"/>
            </w:tcBorders>
            <w:shd w:val="clear" w:color="auto" w:fill="auto"/>
            <w:noWrap/>
            <w:vAlign w:val="center"/>
            <w:hideMark/>
          </w:tcPr>
          <w:p w14:paraId="752A5B71"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2225</w:t>
            </w:r>
          </w:p>
        </w:tc>
        <w:tc>
          <w:tcPr>
            <w:tcW w:w="879" w:type="dxa"/>
            <w:tcBorders>
              <w:top w:val="nil"/>
              <w:left w:val="nil"/>
              <w:bottom w:val="single" w:sz="4" w:space="0" w:color="auto"/>
              <w:right w:val="single" w:sz="4" w:space="0" w:color="auto"/>
            </w:tcBorders>
            <w:shd w:val="clear" w:color="auto" w:fill="auto"/>
            <w:noWrap/>
            <w:vAlign w:val="center"/>
            <w:hideMark/>
          </w:tcPr>
          <w:p w14:paraId="7502E91F"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830045472</w:t>
            </w:r>
          </w:p>
        </w:tc>
        <w:tc>
          <w:tcPr>
            <w:tcW w:w="3913" w:type="dxa"/>
            <w:tcBorders>
              <w:top w:val="nil"/>
              <w:left w:val="nil"/>
              <w:bottom w:val="single" w:sz="4" w:space="0" w:color="auto"/>
              <w:right w:val="single" w:sz="4" w:space="0" w:color="auto"/>
            </w:tcBorders>
            <w:shd w:val="clear" w:color="auto" w:fill="auto"/>
            <w:vAlign w:val="center"/>
            <w:hideMark/>
          </w:tcPr>
          <w:p w14:paraId="0BB639D5"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GAS NATURAL CUNDIBOYACENSE SA ESP</w:t>
            </w:r>
          </w:p>
        </w:tc>
        <w:tc>
          <w:tcPr>
            <w:tcW w:w="1602" w:type="dxa"/>
            <w:tcBorders>
              <w:top w:val="nil"/>
              <w:left w:val="nil"/>
              <w:bottom w:val="single" w:sz="4" w:space="0" w:color="auto"/>
              <w:right w:val="single" w:sz="4" w:space="0" w:color="auto"/>
            </w:tcBorders>
            <w:shd w:val="clear" w:color="auto" w:fill="auto"/>
            <w:noWrap/>
            <w:vAlign w:val="center"/>
            <w:hideMark/>
          </w:tcPr>
          <w:p w14:paraId="68D565AF" w14:textId="229CEDB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124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050</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709 </w:t>
            </w:r>
          </w:p>
        </w:tc>
        <w:tc>
          <w:tcPr>
            <w:tcW w:w="1418" w:type="dxa"/>
            <w:tcBorders>
              <w:top w:val="nil"/>
              <w:left w:val="nil"/>
              <w:bottom w:val="single" w:sz="4" w:space="0" w:color="auto"/>
              <w:right w:val="single" w:sz="4" w:space="0" w:color="auto"/>
            </w:tcBorders>
            <w:shd w:val="clear" w:color="auto" w:fill="auto"/>
            <w:noWrap/>
            <w:vAlign w:val="center"/>
            <w:hideMark/>
          </w:tcPr>
          <w:p w14:paraId="5DAAEB73" w14:textId="6D910DA8"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181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240</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507 </w:t>
            </w:r>
          </w:p>
        </w:tc>
      </w:tr>
      <w:tr w:rsidR="009A21D7" w:rsidRPr="00374360" w14:paraId="0002A1BD" w14:textId="77777777" w:rsidTr="00C734CF">
        <w:trPr>
          <w:trHeight w:val="4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E4E8722"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192</w:t>
            </w:r>
          </w:p>
        </w:tc>
        <w:tc>
          <w:tcPr>
            <w:tcW w:w="660" w:type="dxa"/>
            <w:tcBorders>
              <w:top w:val="nil"/>
              <w:left w:val="nil"/>
              <w:bottom w:val="single" w:sz="4" w:space="0" w:color="auto"/>
              <w:right w:val="single" w:sz="4" w:space="0" w:color="auto"/>
            </w:tcBorders>
            <w:shd w:val="clear" w:color="auto" w:fill="auto"/>
            <w:noWrap/>
            <w:vAlign w:val="center"/>
            <w:hideMark/>
          </w:tcPr>
          <w:p w14:paraId="25A31B51"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525</w:t>
            </w:r>
          </w:p>
        </w:tc>
        <w:tc>
          <w:tcPr>
            <w:tcW w:w="879" w:type="dxa"/>
            <w:tcBorders>
              <w:top w:val="nil"/>
              <w:left w:val="nil"/>
              <w:bottom w:val="single" w:sz="4" w:space="0" w:color="auto"/>
              <w:right w:val="single" w:sz="4" w:space="0" w:color="auto"/>
            </w:tcBorders>
            <w:shd w:val="clear" w:color="auto" w:fill="auto"/>
            <w:noWrap/>
            <w:vAlign w:val="center"/>
            <w:hideMark/>
          </w:tcPr>
          <w:p w14:paraId="7D5BAA18"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804000551</w:t>
            </w:r>
          </w:p>
        </w:tc>
        <w:tc>
          <w:tcPr>
            <w:tcW w:w="3913" w:type="dxa"/>
            <w:tcBorders>
              <w:top w:val="nil"/>
              <w:left w:val="nil"/>
              <w:bottom w:val="single" w:sz="4" w:space="0" w:color="auto"/>
              <w:right w:val="single" w:sz="4" w:space="0" w:color="auto"/>
            </w:tcBorders>
            <w:shd w:val="clear" w:color="auto" w:fill="auto"/>
            <w:vAlign w:val="center"/>
            <w:hideMark/>
          </w:tcPr>
          <w:p w14:paraId="40995959"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GAS NATURAL DEL CESAR S.A. EMPRESA DE SERVICIOS PUBLICOS</w:t>
            </w:r>
          </w:p>
        </w:tc>
        <w:tc>
          <w:tcPr>
            <w:tcW w:w="1602" w:type="dxa"/>
            <w:tcBorders>
              <w:top w:val="nil"/>
              <w:left w:val="nil"/>
              <w:bottom w:val="single" w:sz="4" w:space="0" w:color="auto"/>
              <w:right w:val="single" w:sz="4" w:space="0" w:color="auto"/>
            </w:tcBorders>
            <w:shd w:val="clear" w:color="auto" w:fill="auto"/>
            <w:noWrap/>
            <w:vAlign w:val="center"/>
            <w:hideMark/>
          </w:tcPr>
          <w:p w14:paraId="56058445" w14:textId="2AD93171"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445</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571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779 </w:t>
            </w:r>
          </w:p>
        </w:tc>
        <w:tc>
          <w:tcPr>
            <w:tcW w:w="1418" w:type="dxa"/>
            <w:tcBorders>
              <w:top w:val="nil"/>
              <w:left w:val="nil"/>
              <w:bottom w:val="single" w:sz="4" w:space="0" w:color="auto"/>
              <w:right w:val="single" w:sz="4" w:space="0" w:color="auto"/>
            </w:tcBorders>
            <w:shd w:val="clear" w:color="auto" w:fill="auto"/>
            <w:noWrap/>
            <w:vAlign w:val="center"/>
            <w:hideMark/>
          </w:tcPr>
          <w:p w14:paraId="2CB03C36" w14:textId="00A1ABD2"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34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455</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718 </w:t>
            </w:r>
          </w:p>
        </w:tc>
      </w:tr>
      <w:tr w:rsidR="009A21D7" w:rsidRPr="00374360" w14:paraId="2EE34FFF"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0037308"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193</w:t>
            </w:r>
          </w:p>
        </w:tc>
        <w:tc>
          <w:tcPr>
            <w:tcW w:w="660" w:type="dxa"/>
            <w:tcBorders>
              <w:top w:val="nil"/>
              <w:left w:val="nil"/>
              <w:bottom w:val="single" w:sz="4" w:space="0" w:color="auto"/>
              <w:right w:val="single" w:sz="4" w:space="0" w:color="auto"/>
            </w:tcBorders>
            <w:shd w:val="clear" w:color="auto" w:fill="auto"/>
            <w:noWrap/>
            <w:vAlign w:val="center"/>
            <w:hideMark/>
          </w:tcPr>
          <w:p w14:paraId="1F60A332"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526</w:t>
            </w:r>
          </w:p>
        </w:tc>
        <w:tc>
          <w:tcPr>
            <w:tcW w:w="879" w:type="dxa"/>
            <w:tcBorders>
              <w:top w:val="nil"/>
              <w:left w:val="nil"/>
              <w:bottom w:val="single" w:sz="4" w:space="0" w:color="auto"/>
              <w:right w:val="single" w:sz="4" w:space="0" w:color="auto"/>
            </w:tcBorders>
            <w:shd w:val="clear" w:color="auto" w:fill="auto"/>
            <w:noWrap/>
            <w:vAlign w:val="center"/>
            <w:hideMark/>
          </w:tcPr>
          <w:p w14:paraId="596179B2"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890205952</w:t>
            </w:r>
          </w:p>
        </w:tc>
        <w:tc>
          <w:tcPr>
            <w:tcW w:w="3913" w:type="dxa"/>
            <w:tcBorders>
              <w:top w:val="nil"/>
              <w:left w:val="nil"/>
              <w:bottom w:val="single" w:sz="4" w:space="0" w:color="auto"/>
              <w:right w:val="single" w:sz="4" w:space="0" w:color="auto"/>
            </w:tcBorders>
            <w:shd w:val="clear" w:color="auto" w:fill="auto"/>
            <w:vAlign w:val="center"/>
            <w:hideMark/>
          </w:tcPr>
          <w:p w14:paraId="0B868865"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GAS NATURAL DEL ORIENTE SA ESP</w:t>
            </w:r>
          </w:p>
        </w:tc>
        <w:tc>
          <w:tcPr>
            <w:tcW w:w="1602" w:type="dxa"/>
            <w:tcBorders>
              <w:top w:val="nil"/>
              <w:left w:val="nil"/>
              <w:bottom w:val="single" w:sz="4" w:space="0" w:color="auto"/>
              <w:right w:val="single" w:sz="4" w:space="0" w:color="auto"/>
            </w:tcBorders>
            <w:shd w:val="clear" w:color="auto" w:fill="auto"/>
            <w:noWrap/>
            <w:vAlign w:val="center"/>
            <w:hideMark/>
          </w:tcPr>
          <w:p w14:paraId="432B3F4B" w14:textId="2BA87C6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15</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934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707</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287 </w:t>
            </w:r>
          </w:p>
        </w:tc>
        <w:tc>
          <w:tcPr>
            <w:tcW w:w="1418" w:type="dxa"/>
            <w:tcBorders>
              <w:top w:val="nil"/>
              <w:left w:val="nil"/>
              <w:bottom w:val="single" w:sz="4" w:space="0" w:color="auto"/>
              <w:right w:val="single" w:sz="4" w:space="0" w:color="auto"/>
            </w:tcBorders>
            <w:shd w:val="clear" w:color="auto" w:fill="auto"/>
            <w:noWrap/>
            <w:vAlign w:val="center"/>
            <w:hideMark/>
          </w:tcPr>
          <w:p w14:paraId="6D27E75A" w14:textId="71B3185B"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159</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347</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073 </w:t>
            </w:r>
          </w:p>
        </w:tc>
      </w:tr>
      <w:tr w:rsidR="009A21D7" w:rsidRPr="00374360" w14:paraId="201F32CE"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180BD7B"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194</w:t>
            </w:r>
          </w:p>
        </w:tc>
        <w:tc>
          <w:tcPr>
            <w:tcW w:w="660" w:type="dxa"/>
            <w:tcBorders>
              <w:top w:val="nil"/>
              <w:left w:val="nil"/>
              <w:bottom w:val="single" w:sz="4" w:space="0" w:color="auto"/>
              <w:right w:val="single" w:sz="4" w:space="0" w:color="auto"/>
            </w:tcBorders>
            <w:shd w:val="clear" w:color="auto" w:fill="auto"/>
            <w:noWrap/>
            <w:vAlign w:val="center"/>
            <w:hideMark/>
          </w:tcPr>
          <w:p w14:paraId="22F1FB57"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488</w:t>
            </w:r>
          </w:p>
        </w:tc>
        <w:tc>
          <w:tcPr>
            <w:tcW w:w="879" w:type="dxa"/>
            <w:tcBorders>
              <w:top w:val="nil"/>
              <w:left w:val="nil"/>
              <w:bottom w:val="single" w:sz="4" w:space="0" w:color="auto"/>
              <w:right w:val="single" w:sz="4" w:space="0" w:color="auto"/>
            </w:tcBorders>
            <w:shd w:val="clear" w:color="auto" w:fill="auto"/>
            <w:noWrap/>
            <w:vAlign w:val="center"/>
            <w:hideMark/>
          </w:tcPr>
          <w:p w14:paraId="38440269"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800007813</w:t>
            </w:r>
          </w:p>
        </w:tc>
        <w:tc>
          <w:tcPr>
            <w:tcW w:w="3913" w:type="dxa"/>
            <w:tcBorders>
              <w:top w:val="nil"/>
              <w:left w:val="nil"/>
              <w:bottom w:val="single" w:sz="4" w:space="0" w:color="auto"/>
              <w:right w:val="single" w:sz="4" w:space="0" w:color="auto"/>
            </w:tcBorders>
            <w:shd w:val="clear" w:color="auto" w:fill="auto"/>
            <w:vAlign w:val="center"/>
            <w:hideMark/>
          </w:tcPr>
          <w:p w14:paraId="241D4CC3"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GAS NATURAL S.A. E.S..P</w:t>
            </w:r>
          </w:p>
        </w:tc>
        <w:tc>
          <w:tcPr>
            <w:tcW w:w="1602" w:type="dxa"/>
            <w:tcBorders>
              <w:top w:val="nil"/>
              <w:left w:val="nil"/>
              <w:bottom w:val="single" w:sz="4" w:space="0" w:color="auto"/>
              <w:right w:val="single" w:sz="4" w:space="0" w:color="auto"/>
            </w:tcBorders>
            <w:shd w:val="clear" w:color="auto" w:fill="auto"/>
            <w:noWrap/>
            <w:vAlign w:val="center"/>
            <w:hideMark/>
          </w:tcPr>
          <w:p w14:paraId="1316ADC8" w14:textId="3777C272"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149</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089</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568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466 </w:t>
            </w:r>
          </w:p>
        </w:tc>
        <w:tc>
          <w:tcPr>
            <w:tcW w:w="1418" w:type="dxa"/>
            <w:tcBorders>
              <w:top w:val="nil"/>
              <w:left w:val="nil"/>
              <w:bottom w:val="single" w:sz="4" w:space="0" w:color="auto"/>
              <w:right w:val="single" w:sz="4" w:space="0" w:color="auto"/>
            </w:tcBorders>
            <w:shd w:val="clear" w:color="auto" w:fill="auto"/>
            <w:noWrap/>
            <w:vAlign w:val="center"/>
            <w:hideMark/>
          </w:tcPr>
          <w:p w14:paraId="68159C6F" w14:textId="2556C569"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490</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895</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685 </w:t>
            </w:r>
          </w:p>
        </w:tc>
      </w:tr>
      <w:tr w:rsidR="009A21D7" w:rsidRPr="00374360" w14:paraId="0B9559EF"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7ECD290"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195</w:t>
            </w:r>
          </w:p>
        </w:tc>
        <w:tc>
          <w:tcPr>
            <w:tcW w:w="660" w:type="dxa"/>
            <w:tcBorders>
              <w:top w:val="nil"/>
              <w:left w:val="nil"/>
              <w:bottom w:val="single" w:sz="4" w:space="0" w:color="auto"/>
              <w:right w:val="single" w:sz="4" w:space="0" w:color="auto"/>
            </w:tcBorders>
            <w:shd w:val="clear" w:color="auto" w:fill="auto"/>
            <w:noWrap/>
            <w:vAlign w:val="center"/>
            <w:hideMark/>
          </w:tcPr>
          <w:p w14:paraId="0356D454"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1598</w:t>
            </w:r>
          </w:p>
        </w:tc>
        <w:tc>
          <w:tcPr>
            <w:tcW w:w="879" w:type="dxa"/>
            <w:tcBorders>
              <w:top w:val="nil"/>
              <w:left w:val="nil"/>
              <w:bottom w:val="single" w:sz="4" w:space="0" w:color="auto"/>
              <w:right w:val="single" w:sz="4" w:space="0" w:color="auto"/>
            </w:tcBorders>
            <w:shd w:val="clear" w:color="auto" w:fill="auto"/>
            <w:noWrap/>
            <w:vAlign w:val="center"/>
            <w:hideMark/>
          </w:tcPr>
          <w:p w14:paraId="351C5137"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813002696</w:t>
            </w:r>
          </w:p>
        </w:tc>
        <w:tc>
          <w:tcPr>
            <w:tcW w:w="3913" w:type="dxa"/>
            <w:tcBorders>
              <w:top w:val="nil"/>
              <w:left w:val="nil"/>
              <w:bottom w:val="single" w:sz="4" w:space="0" w:color="auto"/>
              <w:right w:val="single" w:sz="4" w:space="0" w:color="auto"/>
            </w:tcBorders>
            <w:shd w:val="clear" w:color="auto" w:fill="auto"/>
            <w:vAlign w:val="center"/>
            <w:hideMark/>
          </w:tcPr>
          <w:p w14:paraId="1A647563"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GAS NEIVA S.A. E.S.P</w:t>
            </w:r>
          </w:p>
        </w:tc>
        <w:tc>
          <w:tcPr>
            <w:tcW w:w="1602" w:type="dxa"/>
            <w:tcBorders>
              <w:top w:val="nil"/>
              <w:left w:val="nil"/>
              <w:bottom w:val="single" w:sz="4" w:space="0" w:color="auto"/>
              <w:right w:val="single" w:sz="4" w:space="0" w:color="auto"/>
            </w:tcBorders>
            <w:shd w:val="clear" w:color="auto" w:fill="auto"/>
            <w:noWrap/>
            <w:vAlign w:val="center"/>
            <w:hideMark/>
          </w:tcPr>
          <w:p w14:paraId="1AF8189B" w14:textId="175F347D"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223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780</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905 </w:t>
            </w:r>
          </w:p>
        </w:tc>
        <w:tc>
          <w:tcPr>
            <w:tcW w:w="1418" w:type="dxa"/>
            <w:tcBorders>
              <w:top w:val="nil"/>
              <w:left w:val="nil"/>
              <w:bottom w:val="single" w:sz="4" w:space="0" w:color="auto"/>
              <w:right w:val="single" w:sz="4" w:space="0" w:color="auto"/>
            </w:tcBorders>
            <w:shd w:val="clear" w:color="auto" w:fill="auto"/>
            <w:noWrap/>
            <w:vAlign w:val="center"/>
            <w:hideMark/>
          </w:tcPr>
          <w:p w14:paraId="3AD4AA48" w14:textId="65303A2E"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62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237</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809 </w:t>
            </w:r>
          </w:p>
        </w:tc>
      </w:tr>
      <w:tr w:rsidR="009A21D7" w:rsidRPr="00374360" w14:paraId="0C9BCBE9"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BA7EE20"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196</w:t>
            </w:r>
          </w:p>
        </w:tc>
        <w:tc>
          <w:tcPr>
            <w:tcW w:w="660" w:type="dxa"/>
            <w:tcBorders>
              <w:top w:val="nil"/>
              <w:left w:val="nil"/>
              <w:bottom w:val="single" w:sz="4" w:space="0" w:color="auto"/>
              <w:right w:val="single" w:sz="4" w:space="0" w:color="auto"/>
            </w:tcBorders>
            <w:shd w:val="clear" w:color="auto" w:fill="auto"/>
            <w:noWrap/>
            <w:vAlign w:val="center"/>
            <w:hideMark/>
          </w:tcPr>
          <w:p w14:paraId="74674CB0"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27812</w:t>
            </w:r>
          </w:p>
        </w:tc>
        <w:tc>
          <w:tcPr>
            <w:tcW w:w="879" w:type="dxa"/>
            <w:tcBorders>
              <w:top w:val="nil"/>
              <w:left w:val="nil"/>
              <w:bottom w:val="single" w:sz="4" w:space="0" w:color="auto"/>
              <w:right w:val="single" w:sz="4" w:space="0" w:color="auto"/>
            </w:tcBorders>
            <w:shd w:val="clear" w:color="auto" w:fill="auto"/>
            <w:noWrap/>
            <w:vAlign w:val="center"/>
            <w:hideMark/>
          </w:tcPr>
          <w:p w14:paraId="39F600F0"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900771588</w:t>
            </w:r>
          </w:p>
        </w:tc>
        <w:tc>
          <w:tcPr>
            <w:tcW w:w="3913" w:type="dxa"/>
            <w:tcBorders>
              <w:top w:val="nil"/>
              <w:left w:val="nil"/>
              <w:bottom w:val="single" w:sz="4" w:space="0" w:color="auto"/>
              <w:right w:val="single" w:sz="4" w:space="0" w:color="auto"/>
            </w:tcBorders>
            <w:shd w:val="clear" w:color="auto" w:fill="auto"/>
            <w:vAlign w:val="center"/>
            <w:hideMark/>
          </w:tcPr>
          <w:p w14:paraId="2D8EBA8D"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GAS PAC S.A.S. ESP.</w:t>
            </w:r>
          </w:p>
        </w:tc>
        <w:tc>
          <w:tcPr>
            <w:tcW w:w="1602" w:type="dxa"/>
            <w:tcBorders>
              <w:top w:val="nil"/>
              <w:left w:val="nil"/>
              <w:bottom w:val="single" w:sz="4" w:space="0" w:color="auto"/>
              <w:right w:val="single" w:sz="4" w:space="0" w:color="auto"/>
            </w:tcBorders>
            <w:shd w:val="clear" w:color="auto" w:fill="auto"/>
            <w:noWrap/>
            <w:vAlign w:val="center"/>
            <w:hideMark/>
          </w:tcPr>
          <w:p w14:paraId="57977203" w14:textId="42B46635"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118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773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788 </w:t>
            </w:r>
          </w:p>
        </w:tc>
        <w:tc>
          <w:tcPr>
            <w:tcW w:w="1418" w:type="dxa"/>
            <w:tcBorders>
              <w:top w:val="nil"/>
              <w:left w:val="nil"/>
              <w:bottom w:val="single" w:sz="4" w:space="0" w:color="auto"/>
              <w:right w:val="single" w:sz="4" w:space="0" w:color="auto"/>
            </w:tcBorders>
            <w:shd w:val="clear" w:color="auto" w:fill="auto"/>
            <w:noWrap/>
            <w:vAlign w:val="center"/>
            <w:hideMark/>
          </w:tcPr>
          <w:p w14:paraId="67FDBF2B" w14:textId="369435D3"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187</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738 </w:t>
            </w:r>
          </w:p>
        </w:tc>
      </w:tr>
      <w:tr w:rsidR="009A21D7" w:rsidRPr="00374360" w14:paraId="4CE8AE11"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FEA63B7"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197</w:t>
            </w:r>
          </w:p>
        </w:tc>
        <w:tc>
          <w:tcPr>
            <w:tcW w:w="660" w:type="dxa"/>
            <w:tcBorders>
              <w:top w:val="nil"/>
              <w:left w:val="nil"/>
              <w:bottom w:val="single" w:sz="4" w:space="0" w:color="auto"/>
              <w:right w:val="single" w:sz="4" w:space="0" w:color="auto"/>
            </w:tcBorders>
            <w:shd w:val="clear" w:color="auto" w:fill="auto"/>
            <w:noWrap/>
            <w:vAlign w:val="center"/>
            <w:hideMark/>
          </w:tcPr>
          <w:p w14:paraId="6E00348D"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29451</w:t>
            </w:r>
          </w:p>
        </w:tc>
        <w:tc>
          <w:tcPr>
            <w:tcW w:w="879" w:type="dxa"/>
            <w:tcBorders>
              <w:top w:val="nil"/>
              <w:left w:val="nil"/>
              <w:bottom w:val="single" w:sz="4" w:space="0" w:color="auto"/>
              <w:right w:val="single" w:sz="4" w:space="0" w:color="auto"/>
            </w:tcBorders>
            <w:shd w:val="clear" w:color="auto" w:fill="auto"/>
            <w:noWrap/>
            <w:vAlign w:val="center"/>
            <w:hideMark/>
          </w:tcPr>
          <w:p w14:paraId="18ECF398"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900852226</w:t>
            </w:r>
          </w:p>
        </w:tc>
        <w:tc>
          <w:tcPr>
            <w:tcW w:w="3913" w:type="dxa"/>
            <w:tcBorders>
              <w:top w:val="nil"/>
              <w:left w:val="nil"/>
              <w:bottom w:val="single" w:sz="4" w:space="0" w:color="auto"/>
              <w:right w:val="single" w:sz="4" w:space="0" w:color="auto"/>
            </w:tcBorders>
            <w:shd w:val="clear" w:color="auto" w:fill="auto"/>
            <w:vAlign w:val="center"/>
            <w:hideMark/>
          </w:tcPr>
          <w:p w14:paraId="5549D71F"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GAS PORVENIR ESP SAS</w:t>
            </w:r>
          </w:p>
        </w:tc>
        <w:tc>
          <w:tcPr>
            <w:tcW w:w="1602" w:type="dxa"/>
            <w:tcBorders>
              <w:top w:val="nil"/>
              <w:left w:val="nil"/>
              <w:bottom w:val="single" w:sz="4" w:space="0" w:color="auto"/>
              <w:right w:val="single" w:sz="4" w:space="0" w:color="auto"/>
            </w:tcBorders>
            <w:shd w:val="clear" w:color="auto" w:fill="auto"/>
            <w:noWrap/>
            <w:vAlign w:val="center"/>
            <w:hideMark/>
          </w:tcPr>
          <w:p w14:paraId="0CCEB65A" w14:textId="4FE05558"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35</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071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019 </w:t>
            </w:r>
          </w:p>
        </w:tc>
        <w:tc>
          <w:tcPr>
            <w:tcW w:w="1418" w:type="dxa"/>
            <w:tcBorders>
              <w:top w:val="nil"/>
              <w:left w:val="nil"/>
              <w:bottom w:val="single" w:sz="4" w:space="0" w:color="auto"/>
              <w:right w:val="single" w:sz="4" w:space="0" w:color="auto"/>
            </w:tcBorders>
            <w:shd w:val="clear" w:color="auto" w:fill="auto"/>
            <w:noWrap/>
            <w:vAlign w:val="center"/>
            <w:hideMark/>
          </w:tcPr>
          <w:p w14:paraId="7136585C" w14:textId="158F6E32"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350</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710 </w:t>
            </w:r>
          </w:p>
        </w:tc>
      </w:tr>
      <w:tr w:rsidR="009A21D7" w:rsidRPr="00374360" w14:paraId="5BF6A30F"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56AAAB4"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lastRenderedPageBreak/>
              <w:t>198</w:t>
            </w:r>
          </w:p>
        </w:tc>
        <w:tc>
          <w:tcPr>
            <w:tcW w:w="660" w:type="dxa"/>
            <w:tcBorders>
              <w:top w:val="nil"/>
              <w:left w:val="nil"/>
              <w:bottom w:val="single" w:sz="4" w:space="0" w:color="auto"/>
              <w:right w:val="single" w:sz="4" w:space="0" w:color="auto"/>
            </w:tcBorders>
            <w:shd w:val="clear" w:color="auto" w:fill="auto"/>
            <w:noWrap/>
            <w:vAlign w:val="center"/>
            <w:hideMark/>
          </w:tcPr>
          <w:p w14:paraId="38237DC7"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26817</w:t>
            </w:r>
          </w:p>
        </w:tc>
        <w:tc>
          <w:tcPr>
            <w:tcW w:w="879" w:type="dxa"/>
            <w:tcBorders>
              <w:top w:val="nil"/>
              <w:left w:val="nil"/>
              <w:bottom w:val="single" w:sz="4" w:space="0" w:color="auto"/>
              <w:right w:val="single" w:sz="4" w:space="0" w:color="auto"/>
            </w:tcBorders>
            <w:shd w:val="clear" w:color="auto" w:fill="auto"/>
            <w:noWrap/>
            <w:vAlign w:val="center"/>
            <w:hideMark/>
          </w:tcPr>
          <w:p w14:paraId="449D1296"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900701845</w:t>
            </w:r>
          </w:p>
        </w:tc>
        <w:tc>
          <w:tcPr>
            <w:tcW w:w="3913" w:type="dxa"/>
            <w:tcBorders>
              <w:top w:val="nil"/>
              <w:left w:val="nil"/>
              <w:bottom w:val="single" w:sz="4" w:space="0" w:color="auto"/>
              <w:right w:val="single" w:sz="4" w:space="0" w:color="auto"/>
            </w:tcBorders>
            <w:shd w:val="clear" w:color="auto" w:fill="auto"/>
            <w:vAlign w:val="center"/>
            <w:hideMark/>
          </w:tcPr>
          <w:p w14:paraId="58DECF6B"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GAS PROPANO DE COLOMBIA S.A.S. E.S.P.</w:t>
            </w:r>
          </w:p>
        </w:tc>
        <w:tc>
          <w:tcPr>
            <w:tcW w:w="1602" w:type="dxa"/>
            <w:tcBorders>
              <w:top w:val="nil"/>
              <w:left w:val="nil"/>
              <w:bottom w:val="single" w:sz="4" w:space="0" w:color="auto"/>
              <w:right w:val="single" w:sz="4" w:space="0" w:color="auto"/>
            </w:tcBorders>
            <w:shd w:val="clear" w:color="auto" w:fill="auto"/>
            <w:noWrap/>
            <w:vAlign w:val="center"/>
            <w:hideMark/>
          </w:tcPr>
          <w:p w14:paraId="76C82E49" w14:textId="5C2799C4"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220</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198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392 </w:t>
            </w:r>
          </w:p>
        </w:tc>
        <w:tc>
          <w:tcPr>
            <w:tcW w:w="1418" w:type="dxa"/>
            <w:tcBorders>
              <w:top w:val="nil"/>
              <w:left w:val="nil"/>
              <w:bottom w:val="single" w:sz="4" w:space="0" w:color="auto"/>
              <w:right w:val="single" w:sz="4" w:space="0" w:color="auto"/>
            </w:tcBorders>
            <w:shd w:val="clear" w:color="auto" w:fill="auto"/>
            <w:noWrap/>
            <w:vAlign w:val="center"/>
            <w:hideMark/>
          </w:tcPr>
          <w:p w14:paraId="78A48E5E" w14:textId="22DA3874"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201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984 </w:t>
            </w:r>
          </w:p>
        </w:tc>
      </w:tr>
      <w:tr w:rsidR="009A21D7" w:rsidRPr="00374360" w14:paraId="3AD9147B"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FDA5A7B"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199</w:t>
            </w:r>
          </w:p>
        </w:tc>
        <w:tc>
          <w:tcPr>
            <w:tcW w:w="660" w:type="dxa"/>
            <w:tcBorders>
              <w:top w:val="nil"/>
              <w:left w:val="nil"/>
              <w:bottom w:val="single" w:sz="4" w:space="0" w:color="auto"/>
              <w:right w:val="single" w:sz="4" w:space="0" w:color="auto"/>
            </w:tcBorders>
            <w:shd w:val="clear" w:color="auto" w:fill="auto"/>
            <w:noWrap/>
            <w:vAlign w:val="center"/>
            <w:hideMark/>
          </w:tcPr>
          <w:p w14:paraId="16CDE6F8"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1545</w:t>
            </w:r>
          </w:p>
        </w:tc>
        <w:tc>
          <w:tcPr>
            <w:tcW w:w="879" w:type="dxa"/>
            <w:tcBorders>
              <w:top w:val="nil"/>
              <w:left w:val="nil"/>
              <w:bottom w:val="single" w:sz="4" w:space="0" w:color="auto"/>
              <w:right w:val="single" w:sz="4" w:space="0" w:color="auto"/>
            </w:tcBorders>
            <w:shd w:val="clear" w:color="auto" w:fill="auto"/>
            <w:noWrap/>
            <w:vAlign w:val="center"/>
            <w:hideMark/>
          </w:tcPr>
          <w:p w14:paraId="74227A1A"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860450098</w:t>
            </w:r>
          </w:p>
        </w:tc>
        <w:tc>
          <w:tcPr>
            <w:tcW w:w="3913" w:type="dxa"/>
            <w:tcBorders>
              <w:top w:val="nil"/>
              <w:left w:val="nil"/>
              <w:bottom w:val="single" w:sz="4" w:space="0" w:color="auto"/>
              <w:right w:val="single" w:sz="4" w:space="0" w:color="auto"/>
            </w:tcBorders>
            <w:shd w:val="clear" w:color="auto" w:fill="auto"/>
            <w:vAlign w:val="center"/>
            <w:hideMark/>
          </w:tcPr>
          <w:p w14:paraId="69B3389F"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GAS SUMAPAZ S.A. E.S.P.</w:t>
            </w:r>
          </w:p>
        </w:tc>
        <w:tc>
          <w:tcPr>
            <w:tcW w:w="1602" w:type="dxa"/>
            <w:tcBorders>
              <w:top w:val="nil"/>
              <w:left w:val="nil"/>
              <w:bottom w:val="single" w:sz="4" w:space="0" w:color="auto"/>
              <w:right w:val="single" w:sz="4" w:space="0" w:color="auto"/>
            </w:tcBorders>
            <w:shd w:val="clear" w:color="auto" w:fill="auto"/>
            <w:noWrap/>
            <w:vAlign w:val="center"/>
            <w:hideMark/>
          </w:tcPr>
          <w:p w14:paraId="1B900B4C" w14:textId="1F88D302"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261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675</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856 </w:t>
            </w:r>
          </w:p>
        </w:tc>
        <w:tc>
          <w:tcPr>
            <w:tcW w:w="1418" w:type="dxa"/>
            <w:tcBorders>
              <w:top w:val="nil"/>
              <w:left w:val="nil"/>
              <w:bottom w:val="single" w:sz="4" w:space="0" w:color="auto"/>
              <w:right w:val="single" w:sz="4" w:space="0" w:color="auto"/>
            </w:tcBorders>
            <w:shd w:val="clear" w:color="auto" w:fill="auto"/>
            <w:noWrap/>
            <w:vAlign w:val="center"/>
            <w:hideMark/>
          </w:tcPr>
          <w:p w14:paraId="000E2CCB" w14:textId="53E52FD6"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616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759 </w:t>
            </w:r>
          </w:p>
        </w:tc>
      </w:tr>
      <w:tr w:rsidR="009A21D7" w:rsidRPr="00374360" w14:paraId="7FDC85B6"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4F37705"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200</w:t>
            </w:r>
          </w:p>
        </w:tc>
        <w:tc>
          <w:tcPr>
            <w:tcW w:w="660" w:type="dxa"/>
            <w:tcBorders>
              <w:top w:val="nil"/>
              <w:left w:val="nil"/>
              <w:bottom w:val="single" w:sz="4" w:space="0" w:color="auto"/>
              <w:right w:val="single" w:sz="4" w:space="0" w:color="auto"/>
            </w:tcBorders>
            <w:shd w:val="clear" w:color="auto" w:fill="auto"/>
            <w:noWrap/>
            <w:vAlign w:val="center"/>
            <w:hideMark/>
          </w:tcPr>
          <w:p w14:paraId="7B29D51A"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24963</w:t>
            </w:r>
          </w:p>
        </w:tc>
        <w:tc>
          <w:tcPr>
            <w:tcW w:w="879" w:type="dxa"/>
            <w:tcBorders>
              <w:top w:val="nil"/>
              <w:left w:val="nil"/>
              <w:bottom w:val="single" w:sz="4" w:space="0" w:color="auto"/>
              <w:right w:val="single" w:sz="4" w:space="0" w:color="auto"/>
            </w:tcBorders>
            <w:shd w:val="clear" w:color="auto" w:fill="auto"/>
            <w:noWrap/>
            <w:vAlign w:val="center"/>
            <w:hideMark/>
          </w:tcPr>
          <w:p w14:paraId="0EE141EE"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900089898</w:t>
            </w:r>
          </w:p>
        </w:tc>
        <w:tc>
          <w:tcPr>
            <w:tcW w:w="3913" w:type="dxa"/>
            <w:tcBorders>
              <w:top w:val="nil"/>
              <w:left w:val="nil"/>
              <w:bottom w:val="single" w:sz="4" w:space="0" w:color="auto"/>
              <w:right w:val="single" w:sz="4" w:space="0" w:color="auto"/>
            </w:tcBorders>
            <w:shd w:val="clear" w:color="auto" w:fill="auto"/>
            <w:vAlign w:val="center"/>
            <w:hideMark/>
          </w:tcPr>
          <w:p w14:paraId="72AB081F"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GAS SUPERIOR DE COLOMBIA SA ESP</w:t>
            </w:r>
          </w:p>
        </w:tc>
        <w:tc>
          <w:tcPr>
            <w:tcW w:w="1602" w:type="dxa"/>
            <w:tcBorders>
              <w:top w:val="nil"/>
              <w:left w:val="nil"/>
              <w:bottom w:val="single" w:sz="4" w:space="0" w:color="auto"/>
              <w:right w:val="single" w:sz="4" w:space="0" w:color="auto"/>
            </w:tcBorders>
            <w:shd w:val="clear" w:color="auto" w:fill="auto"/>
            <w:noWrap/>
            <w:vAlign w:val="center"/>
            <w:hideMark/>
          </w:tcPr>
          <w:p w14:paraId="2663841A" w14:textId="1A0BFA86"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447</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124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369 </w:t>
            </w:r>
          </w:p>
        </w:tc>
        <w:tc>
          <w:tcPr>
            <w:tcW w:w="1418" w:type="dxa"/>
            <w:tcBorders>
              <w:top w:val="nil"/>
              <w:left w:val="nil"/>
              <w:bottom w:val="single" w:sz="4" w:space="0" w:color="auto"/>
              <w:right w:val="single" w:sz="4" w:space="0" w:color="auto"/>
            </w:tcBorders>
            <w:shd w:val="clear" w:color="auto" w:fill="auto"/>
            <w:noWrap/>
            <w:vAlign w:val="center"/>
            <w:hideMark/>
          </w:tcPr>
          <w:p w14:paraId="52CF9038" w14:textId="77AD033F"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471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244 </w:t>
            </w:r>
          </w:p>
        </w:tc>
      </w:tr>
      <w:tr w:rsidR="009A21D7" w:rsidRPr="00374360" w14:paraId="2BE346DC"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A02A15C"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201</w:t>
            </w:r>
          </w:p>
        </w:tc>
        <w:tc>
          <w:tcPr>
            <w:tcW w:w="660" w:type="dxa"/>
            <w:tcBorders>
              <w:top w:val="nil"/>
              <w:left w:val="nil"/>
              <w:bottom w:val="single" w:sz="4" w:space="0" w:color="auto"/>
              <w:right w:val="single" w:sz="4" w:space="0" w:color="auto"/>
            </w:tcBorders>
            <w:shd w:val="clear" w:color="auto" w:fill="auto"/>
            <w:noWrap/>
            <w:vAlign w:val="center"/>
            <w:hideMark/>
          </w:tcPr>
          <w:p w14:paraId="61F52534"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976</w:t>
            </w:r>
          </w:p>
        </w:tc>
        <w:tc>
          <w:tcPr>
            <w:tcW w:w="879" w:type="dxa"/>
            <w:tcBorders>
              <w:top w:val="nil"/>
              <w:left w:val="nil"/>
              <w:bottom w:val="single" w:sz="4" w:space="0" w:color="auto"/>
              <w:right w:val="single" w:sz="4" w:space="0" w:color="auto"/>
            </w:tcBorders>
            <w:shd w:val="clear" w:color="auto" w:fill="auto"/>
            <w:noWrap/>
            <w:vAlign w:val="center"/>
            <w:hideMark/>
          </w:tcPr>
          <w:p w14:paraId="14A1337B"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860026070</w:t>
            </w:r>
          </w:p>
        </w:tc>
        <w:tc>
          <w:tcPr>
            <w:tcW w:w="3913" w:type="dxa"/>
            <w:tcBorders>
              <w:top w:val="nil"/>
              <w:left w:val="nil"/>
              <w:bottom w:val="single" w:sz="4" w:space="0" w:color="auto"/>
              <w:right w:val="single" w:sz="4" w:space="0" w:color="auto"/>
            </w:tcBorders>
            <w:shd w:val="clear" w:color="auto" w:fill="auto"/>
            <w:vAlign w:val="center"/>
            <w:hideMark/>
          </w:tcPr>
          <w:p w14:paraId="0740A544"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GAS ZIPA SAS  ESP</w:t>
            </w:r>
          </w:p>
        </w:tc>
        <w:tc>
          <w:tcPr>
            <w:tcW w:w="1602" w:type="dxa"/>
            <w:tcBorders>
              <w:top w:val="nil"/>
              <w:left w:val="nil"/>
              <w:bottom w:val="single" w:sz="4" w:space="0" w:color="auto"/>
              <w:right w:val="single" w:sz="4" w:space="0" w:color="auto"/>
            </w:tcBorders>
            <w:shd w:val="clear" w:color="auto" w:fill="auto"/>
            <w:noWrap/>
            <w:vAlign w:val="center"/>
            <w:hideMark/>
          </w:tcPr>
          <w:p w14:paraId="5610E24A" w14:textId="64235CFC"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33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841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081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900 </w:t>
            </w:r>
          </w:p>
        </w:tc>
        <w:tc>
          <w:tcPr>
            <w:tcW w:w="1418" w:type="dxa"/>
            <w:tcBorders>
              <w:top w:val="nil"/>
              <w:left w:val="nil"/>
              <w:bottom w:val="single" w:sz="4" w:space="0" w:color="auto"/>
              <w:right w:val="single" w:sz="4" w:space="0" w:color="auto"/>
            </w:tcBorders>
            <w:shd w:val="clear" w:color="auto" w:fill="auto"/>
            <w:noWrap/>
            <w:vAlign w:val="center"/>
            <w:hideMark/>
          </w:tcPr>
          <w:p w14:paraId="60C620C0" w14:textId="54396B16"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338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410</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819 </w:t>
            </w:r>
          </w:p>
        </w:tc>
      </w:tr>
      <w:tr w:rsidR="009A21D7" w:rsidRPr="00374360" w14:paraId="7FA48354"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92228FC"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202</w:t>
            </w:r>
          </w:p>
        </w:tc>
        <w:tc>
          <w:tcPr>
            <w:tcW w:w="660" w:type="dxa"/>
            <w:tcBorders>
              <w:top w:val="nil"/>
              <w:left w:val="nil"/>
              <w:bottom w:val="single" w:sz="4" w:space="0" w:color="auto"/>
              <w:right w:val="single" w:sz="4" w:space="0" w:color="auto"/>
            </w:tcBorders>
            <w:shd w:val="clear" w:color="auto" w:fill="auto"/>
            <w:noWrap/>
            <w:vAlign w:val="center"/>
            <w:hideMark/>
          </w:tcPr>
          <w:p w14:paraId="3E8B14D4"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26548</w:t>
            </w:r>
          </w:p>
        </w:tc>
        <w:tc>
          <w:tcPr>
            <w:tcW w:w="879" w:type="dxa"/>
            <w:tcBorders>
              <w:top w:val="nil"/>
              <w:left w:val="nil"/>
              <w:bottom w:val="single" w:sz="4" w:space="0" w:color="auto"/>
              <w:right w:val="single" w:sz="4" w:space="0" w:color="auto"/>
            </w:tcBorders>
            <w:shd w:val="clear" w:color="auto" w:fill="auto"/>
            <w:noWrap/>
            <w:vAlign w:val="center"/>
            <w:hideMark/>
          </w:tcPr>
          <w:p w14:paraId="78AAD537"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900570262</w:t>
            </w:r>
          </w:p>
        </w:tc>
        <w:tc>
          <w:tcPr>
            <w:tcW w:w="3913" w:type="dxa"/>
            <w:tcBorders>
              <w:top w:val="nil"/>
              <w:left w:val="nil"/>
              <w:bottom w:val="single" w:sz="4" w:space="0" w:color="auto"/>
              <w:right w:val="single" w:sz="4" w:space="0" w:color="auto"/>
            </w:tcBorders>
            <w:shd w:val="clear" w:color="auto" w:fill="auto"/>
            <w:vAlign w:val="center"/>
            <w:hideMark/>
          </w:tcPr>
          <w:p w14:paraId="4CC294C4"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GASES ANDINOS DE COLOMBIA S.A.S. E.S.P.</w:t>
            </w:r>
          </w:p>
        </w:tc>
        <w:tc>
          <w:tcPr>
            <w:tcW w:w="1602" w:type="dxa"/>
            <w:tcBorders>
              <w:top w:val="nil"/>
              <w:left w:val="nil"/>
              <w:bottom w:val="single" w:sz="4" w:space="0" w:color="auto"/>
              <w:right w:val="single" w:sz="4" w:space="0" w:color="auto"/>
            </w:tcBorders>
            <w:shd w:val="clear" w:color="auto" w:fill="auto"/>
            <w:noWrap/>
            <w:vAlign w:val="center"/>
            <w:hideMark/>
          </w:tcPr>
          <w:p w14:paraId="5FD211B9" w14:textId="2255711A"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069</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485</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788 </w:t>
            </w:r>
          </w:p>
        </w:tc>
        <w:tc>
          <w:tcPr>
            <w:tcW w:w="1418" w:type="dxa"/>
            <w:tcBorders>
              <w:top w:val="nil"/>
              <w:left w:val="nil"/>
              <w:bottom w:val="single" w:sz="4" w:space="0" w:color="auto"/>
              <w:right w:val="single" w:sz="4" w:space="0" w:color="auto"/>
            </w:tcBorders>
            <w:shd w:val="clear" w:color="auto" w:fill="auto"/>
            <w:noWrap/>
            <w:vAlign w:val="center"/>
            <w:hideMark/>
          </w:tcPr>
          <w:p w14:paraId="18FEBCFA" w14:textId="18AFFB3D"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10</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694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858 </w:t>
            </w:r>
          </w:p>
        </w:tc>
      </w:tr>
      <w:tr w:rsidR="009A21D7" w:rsidRPr="00374360" w14:paraId="6996DE42" w14:textId="77777777" w:rsidTr="00C734CF">
        <w:trPr>
          <w:trHeight w:val="4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54F3CC7"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203</w:t>
            </w:r>
          </w:p>
        </w:tc>
        <w:tc>
          <w:tcPr>
            <w:tcW w:w="660" w:type="dxa"/>
            <w:tcBorders>
              <w:top w:val="nil"/>
              <w:left w:val="nil"/>
              <w:bottom w:val="single" w:sz="4" w:space="0" w:color="auto"/>
              <w:right w:val="single" w:sz="4" w:space="0" w:color="auto"/>
            </w:tcBorders>
            <w:shd w:val="clear" w:color="auto" w:fill="auto"/>
            <w:noWrap/>
            <w:vAlign w:val="center"/>
            <w:hideMark/>
          </w:tcPr>
          <w:p w14:paraId="2BDB8386"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978</w:t>
            </w:r>
          </w:p>
        </w:tc>
        <w:tc>
          <w:tcPr>
            <w:tcW w:w="879" w:type="dxa"/>
            <w:tcBorders>
              <w:top w:val="nil"/>
              <w:left w:val="nil"/>
              <w:bottom w:val="single" w:sz="4" w:space="0" w:color="auto"/>
              <w:right w:val="single" w:sz="4" w:space="0" w:color="auto"/>
            </w:tcBorders>
            <w:shd w:val="clear" w:color="auto" w:fill="auto"/>
            <w:noWrap/>
            <w:vAlign w:val="center"/>
            <w:hideMark/>
          </w:tcPr>
          <w:p w14:paraId="1F516E5E"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892115036</w:t>
            </w:r>
          </w:p>
        </w:tc>
        <w:tc>
          <w:tcPr>
            <w:tcW w:w="3913" w:type="dxa"/>
            <w:tcBorders>
              <w:top w:val="nil"/>
              <w:left w:val="nil"/>
              <w:bottom w:val="single" w:sz="4" w:space="0" w:color="auto"/>
              <w:right w:val="single" w:sz="4" w:space="0" w:color="auto"/>
            </w:tcBorders>
            <w:shd w:val="clear" w:color="auto" w:fill="auto"/>
            <w:vAlign w:val="center"/>
            <w:hideMark/>
          </w:tcPr>
          <w:p w14:paraId="1203D8F4"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GASES DE LA GUAJIRA S.A., EMPRESA DE SERVICIOS PUBLICOS</w:t>
            </w:r>
          </w:p>
        </w:tc>
        <w:tc>
          <w:tcPr>
            <w:tcW w:w="1602" w:type="dxa"/>
            <w:tcBorders>
              <w:top w:val="nil"/>
              <w:left w:val="nil"/>
              <w:bottom w:val="single" w:sz="4" w:space="0" w:color="auto"/>
              <w:right w:val="single" w:sz="4" w:space="0" w:color="auto"/>
            </w:tcBorders>
            <w:shd w:val="clear" w:color="auto" w:fill="auto"/>
            <w:noWrap/>
            <w:vAlign w:val="center"/>
            <w:hideMark/>
          </w:tcPr>
          <w:p w14:paraId="38A6C316" w14:textId="3D0D75AA"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5</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100</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433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975 </w:t>
            </w:r>
          </w:p>
        </w:tc>
        <w:tc>
          <w:tcPr>
            <w:tcW w:w="1418" w:type="dxa"/>
            <w:tcBorders>
              <w:top w:val="nil"/>
              <w:left w:val="nil"/>
              <w:bottom w:val="single" w:sz="4" w:space="0" w:color="auto"/>
              <w:right w:val="single" w:sz="4" w:space="0" w:color="auto"/>
            </w:tcBorders>
            <w:shd w:val="clear" w:color="auto" w:fill="auto"/>
            <w:noWrap/>
            <w:vAlign w:val="center"/>
            <w:hideMark/>
          </w:tcPr>
          <w:p w14:paraId="7096F08A" w14:textId="20BFB045"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51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004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340 </w:t>
            </w:r>
          </w:p>
        </w:tc>
      </w:tr>
      <w:tr w:rsidR="009A21D7" w:rsidRPr="00374360" w14:paraId="2E06C7D9" w14:textId="77777777" w:rsidTr="00C734CF">
        <w:trPr>
          <w:trHeight w:val="4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BD97B31"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204</w:t>
            </w:r>
          </w:p>
        </w:tc>
        <w:tc>
          <w:tcPr>
            <w:tcW w:w="660" w:type="dxa"/>
            <w:tcBorders>
              <w:top w:val="nil"/>
              <w:left w:val="nil"/>
              <w:bottom w:val="single" w:sz="4" w:space="0" w:color="auto"/>
              <w:right w:val="single" w:sz="4" w:space="0" w:color="auto"/>
            </w:tcBorders>
            <w:shd w:val="clear" w:color="auto" w:fill="auto"/>
            <w:noWrap/>
            <w:vAlign w:val="center"/>
            <w:hideMark/>
          </w:tcPr>
          <w:p w14:paraId="4157F240"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629</w:t>
            </w:r>
          </w:p>
        </w:tc>
        <w:tc>
          <w:tcPr>
            <w:tcW w:w="879" w:type="dxa"/>
            <w:tcBorders>
              <w:top w:val="nil"/>
              <w:left w:val="nil"/>
              <w:bottom w:val="single" w:sz="4" w:space="0" w:color="auto"/>
              <w:right w:val="single" w:sz="4" w:space="0" w:color="auto"/>
            </w:tcBorders>
            <w:shd w:val="clear" w:color="auto" w:fill="auto"/>
            <w:noWrap/>
            <w:vAlign w:val="center"/>
            <w:hideMark/>
          </w:tcPr>
          <w:p w14:paraId="65F546DB"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800167643</w:t>
            </w:r>
          </w:p>
        </w:tc>
        <w:tc>
          <w:tcPr>
            <w:tcW w:w="3913" w:type="dxa"/>
            <w:tcBorders>
              <w:top w:val="nil"/>
              <w:left w:val="nil"/>
              <w:bottom w:val="single" w:sz="4" w:space="0" w:color="auto"/>
              <w:right w:val="single" w:sz="4" w:space="0" w:color="auto"/>
            </w:tcBorders>
            <w:shd w:val="clear" w:color="auto" w:fill="auto"/>
            <w:vAlign w:val="center"/>
            <w:hideMark/>
          </w:tcPr>
          <w:p w14:paraId="0DAC35F3"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GASES DE OCCIDENTE S. A. EMPRESA DE SERVICIOS PUBLICOS</w:t>
            </w:r>
          </w:p>
        </w:tc>
        <w:tc>
          <w:tcPr>
            <w:tcW w:w="1602" w:type="dxa"/>
            <w:tcBorders>
              <w:top w:val="nil"/>
              <w:left w:val="nil"/>
              <w:bottom w:val="single" w:sz="4" w:space="0" w:color="auto"/>
              <w:right w:val="single" w:sz="4" w:space="0" w:color="auto"/>
            </w:tcBorders>
            <w:shd w:val="clear" w:color="auto" w:fill="auto"/>
            <w:noWrap/>
            <w:vAlign w:val="center"/>
            <w:hideMark/>
          </w:tcPr>
          <w:p w14:paraId="229E5E75" w14:textId="3797EF2E"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30</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508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956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762 </w:t>
            </w:r>
          </w:p>
        </w:tc>
        <w:tc>
          <w:tcPr>
            <w:tcW w:w="1418" w:type="dxa"/>
            <w:tcBorders>
              <w:top w:val="nil"/>
              <w:left w:val="nil"/>
              <w:bottom w:val="single" w:sz="4" w:space="0" w:color="auto"/>
              <w:right w:val="single" w:sz="4" w:space="0" w:color="auto"/>
            </w:tcBorders>
            <w:shd w:val="clear" w:color="auto" w:fill="auto"/>
            <w:noWrap/>
            <w:vAlign w:val="center"/>
            <w:hideMark/>
          </w:tcPr>
          <w:p w14:paraId="309A644E" w14:textId="467A029E"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305</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089</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568 </w:t>
            </w:r>
          </w:p>
        </w:tc>
      </w:tr>
      <w:tr w:rsidR="009A21D7" w:rsidRPr="00374360" w14:paraId="189768E8"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52D9C8F"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205</w:t>
            </w:r>
          </w:p>
        </w:tc>
        <w:tc>
          <w:tcPr>
            <w:tcW w:w="660" w:type="dxa"/>
            <w:tcBorders>
              <w:top w:val="nil"/>
              <w:left w:val="nil"/>
              <w:bottom w:val="single" w:sz="4" w:space="0" w:color="auto"/>
              <w:right w:val="single" w:sz="4" w:space="0" w:color="auto"/>
            </w:tcBorders>
            <w:shd w:val="clear" w:color="auto" w:fill="auto"/>
            <w:noWrap/>
            <w:vAlign w:val="center"/>
            <w:hideMark/>
          </w:tcPr>
          <w:p w14:paraId="51DBF3CA"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1595</w:t>
            </w:r>
          </w:p>
        </w:tc>
        <w:tc>
          <w:tcPr>
            <w:tcW w:w="879" w:type="dxa"/>
            <w:tcBorders>
              <w:top w:val="nil"/>
              <w:left w:val="nil"/>
              <w:bottom w:val="single" w:sz="4" w:space="0" w:color="auto"/>
              <w:right w:val="single" w:sz="4" w:space="0" w:color="auto"/>
            </w:tcBorders>
            <w:shd w:val="clear" w:color="auto" w:fill="auto"/>
            <w:noWrap/>
            <w:vAlign w:val="center"/>
            <w:hideMark/>
          </w:tcPr>
          <w:p w14:paraId="7E245E0D"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828000578</w:t>
            </w:r>
          </w:p>
        </w:tc>
        <w:tc>
          <w:tcPr>
            <w:tcW w:w="3913" w:type="dxa"/>
            <w:tcBorders>
              <w:top w:val="nil"/>
              <w:left w:val="nil"/>
              <w:bottom w:val="single" w:sz="4" w:space="0" w:color="auto"/>
              <w:right w:val="single" w:sz="4" w:space="0" w:color="auto"/>
            </w:tcBorders>
            <w:shd w:val="clear" w:color="auto" w:fill="auto"/>
            <w:vAlign w:val="center"/>
            <w:hideMark/>
          </w:tcPr>
          <w:p w14:paraId="54391879"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GASES DEL CAGUAN S. A. E.S.P.</w:t>
            </w:r>
          </w:p>
        </w:tc>
        <w:tc>
          <w:tcPr>
            <w:tcW w:w="1602" w:type="dxa"/>
            <w:tcBorders>
              <w:top w:val="nil"/>
              <w:left w:val="nil"/>
              <w:bottom w:val="single" w:sz="4" w:space="0" w:color="auto"/>
              <w:right w:val="single" w:sz="4" w:space="0" w:color="auto"/>
            </w:tcBorders>
            <w:shd w:val="clear" w:color="auto" w:fill="auto"/>
            <w:noWrap/>
            <w:vAlign w:val="center"/>
            <w:hideMark/>
          </w:tcPr>
          <w:p w14:paraId="2D6CCE9F" w14:textId="78352760"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137</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179</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045 </w:t>
            </w:r>
          </w:p>
        </w:tc>
        <w:tc>
          <w:tcPr>
            <w:tcW w:w="1418" w:type="dxa"/>
            <w:tcBorders>
              <w:top w:val="nil"/>
              <w:left w:val="nil"/>
              <w:bottom w:val="single" w:sz="4" w:space="0" w:color="auto"/>
              <w:right w:val="single" w:sz="4" w:space="0" w:color="auto"/>
            </w:tcBorders>
            <w:shd w:val="clear" w:color="auto" w:fill="auto"/>
            <w:noWrap/>
            <w:vAlign w:val="center"/>
            <w:hideMark/>
          </w:tcPr>
          <w:p w14:paraId="423F7C7C" w14:textId="353D700A"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371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790 </w:t>
            </w:r>
          </w:p>
        </w:tc>
      </w:tr>
      <w:tr w:rsidR="009A21D7" w:rsidRPr="00374360" w14:paraId="795D9B5F" w14:textId="77777777" w:rsidTr="00C734CF">
        <w:trPr>
          <w:trHeight w:val="4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3A0472E"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206</w:t>
            </w:r>
          </w:p>
        </w:tc>
        <w:tc>
          <w:tcPr>
            <w:tcW w:w="660" w:type="dxa"/>
            <w:tcBorders>
              <w:top w:val="nil"/>
              <w:left w:val="nil"/>
              <w:bottom w:val="single" w:sz="4" w:space="0" w:color="auto"/>
              <w:right w:val="single" w:sz="4" w:space="0" w:color="auto"/>
            </w:tcBorders>
            <w:shd w:val="clear" w:color="auto" w:fill="auto"/>
            <w:noWrap/>
            <w:vAlign w:val="center"/>
            <w:hideMark/>
          </w:tcPr>
          <w:p w14:paraId="36D75A59"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484</w:t>
            </w:r>
          </w:p>
        </w:tc>
        <w:tc>
          <w:tcPr>
            <w:tcW w:w="879" w:type="dxa"/>
            <w:tcBorders>
              <w:top w:val="nil"/>
              <w:left w:val="nil"/>
              <w:bottom w:val="single" w:sz="4" w:space="0" w:color="auto"/>
              <w:right w:val="single" w:sz="4" w:space="0" w:color="auto"/>
            </w:tcBorders>
            <w:shd w:val="clear" w:color="auto" w:fill="auto"/>
            <w:noWrap/>
            <w:vAlign w:val="center"/>
            <w:hideMark/>
          </w:tcPr>
          <w:p w14:paraId="7EB1C95E"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890101691</w:t>
            </w:r>
          </w:p>
        </w:tc>
        <w:tc>
          <w:tcPr>
            <w:tcW w:w="3913" w:type="dxa"/>
            <w:tcBorders>
              <w:top w:val="nil"/>
              <w:left w:val="nil"/>
              <w:bottom w:val="single" w:sz="4" w:space="0" w:color="auto"/>
              <w:right w:val="single" w:sz="4" w:space="0" w:color="auto"/>
            </w:tcBorders>
            <w:shd w:val="clear" w:color="auto" w:fill="auto"/>
            <w:vAlign w:val="center"/>
            <w:hideMark/>
          </w:tcPr>
          <w:p w14:paraId="05870E78"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GASES DEL CARIBE S.A. EMPRESA DE SERVICIOS PUBLICOS </w:t>
            </w:r>
          </w:p>
        </w:tc>
        <w:tc>
          <w:tcPr>
            <w:tcW w:w="1602" w:type="dxa"/>
            <w:tcBorders>
              <w:top w:val="nil"/>
              <w:left w:val="nil"/>
              <w:bottom w:val="single" w:sz="4" w:space="0" w:color="auto"/>
              <w:right w:val="single" w:sz="4" w:space="0" w:color="auto"/>
            </w:tcBorders>
            <w:shd w:val="clear" w:color="auto" w:fill="auto"/>
            <w:noWrap/>
            <w:vAlign w:val="center"/>
            <w:hideMark/>
          </w:tcPr>
          <w:p w14:paraId="2942B3B0" w14:textId="2E32B60E"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42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134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345</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900 </w:t>
            </w:r>
          </w:p>
        </w:tc>
        <w:tc>
          <w:tcPr>
            <w:tcW w:w="1418" w:type="dxa"/>
            <w:tcBorders>
              <w:top w:val="nil"/>
              <w:left w:val="nil"/>
              <w:bottom w:val="single" w:sz="4" w:space="0" w:color="auto"/>
              <w:right w:val="single" w:sz="4" w:space="0" w:color="auto"/>
            </w:tcBorders>
            <w:shd w:val="clear" w:color="auto" w:fill="auto"/>
            <w:noWrap/>
            <w:vAlign w:val="center"/>
            <w:hideMark/>
          </w:tcPr>
          <w:p w14:paraId="7EF43336" w14:textId="6D9053BB"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421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343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459 </w:t>
            </w:r>
          </w:p>
        </w:tc>
      </w:tr>
      <w:tr w:rsidR="009A21D7" w:rsidRPr="00374360" w14:paraId="72915D1E"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71E75FD"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207</w:t>
            </w:r>
          </w:p>
        </w:tc>
        <w:tc>
          <w:tcPr>
            <w:tcW w:w="660" w:type="dxa"/>
            <w:tcBorders>
              <w:top w:val="nil"/>
              <w:left w:val="nil"/>
              <w:bottom w:val="single" w:sz="4" w:space="0" w:color="auto"/>
              <w:right w:val="single" w:sz="4" w:space="0" w:color="auto"/>
            </w:tcBorders>
            <w:shd w:val="clear" w:color="auto" w:fill="auto"/>
            <w:noWrap/>
            <w:vAlign w:val="center"/>
            <w:hideMark/>
          </w:tcPr>
          <w:p w14:paraId="06A122BC"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541</w:t>
            </w:r>
          </w:p>
        </w:tc>
        <w:tc>
          <w:tcPr>
            <w:tcW w:w="879" w:type="dxa"/>
            <w:tcBorders>
              <w:top w:val="nil"/>
              <w:left w:val="nil"/>
              <w:bottom w:val="single" w:sz="4" w:space="0" w:color="auto"/>
              <w:right w:val="single" w:sz="4" w:space="0" w:color="auto"/>
            </w:tcBorders>
            <w:shd w:val="clear" w:color="auto" w:fill="auto"/>
            <w:noWrap/>
            <w:vAlign w:val="center"/>
            <w:hideMark/>
          </w:tcPr>
          <w:p w14:paraId="6EBE4622"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800218682</w:t>
            </w:r>
          </w:p>
        </w:tc>
        <w:tc>
          <w:tcPr>
            <w:tcW w:w="3913" w:type="dxa"/>
            <w:tcBorders>
              <w:top w:val="nil"/>
              <w:left w:val="nil"/>
              <w:bottom w:val="single" w:sz="4" w:space="0" w:color="auto"/>
              <w:right w:val="single" w:sz="4" w:space="0" w:color="auto"/>
            </w:tcBorders>
            <w:shd w:val="clear" w:color="auto" w:fill="auto"/>
            <w:vAlign w:val="center"/>
            <w:hideMark/>
          </w:tcPr>
          <w:p w14:paraId="14957D44"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GASES DEL CUSIANA S.A. E.S.P</w:t>
            </w:r>
          </w:p>
        </w:tc>
        <w:tc>
          <w:tcPr>
            <w:tcW w:w="1602" w:type="dxa"/>
            <w:tcBorders>
              <w:top w:val="nil"/>
              <w:left w:val="nil"/>
              <w:bottom w:val="single" w:sz="4" w:space="0" w:color="auto"/>
              <w:right w:val="single" w:sz="4" w:space="0" w:color="auto"/>
            </w:tcBorders>
            <w:shd w:val="clear" w:color="auto" w:fill="auto"/>
            <w:noWrap/>
            <w:vAlign w:val="center"/>
            <w:hideMark/>
          </w:tcPr>
          <w:p w14:paraId="45F3575E" w14:textId="213D4211"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686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056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196 </w:t>
            </w:r>
          </w:p>
        </w:tc>
        <w:tc>
          <w:tcPr>
            <w:tcW w:w="1418" w:type="dxa"/>
            <w:tcBorders>
              <w:top w:val="nil"/>
              <w:left w:val="nil"/>
              <w:bottom w:val="single" w:sz="4" w:space="0" w:color="auto"/>
              <w:right w:val="single" w:sz="4" w:space="0" w:color="auto"/>
            </w:tcBorders>
            <w:shd w:val="clear" w:color="auto" w:fill="auto"/>
            <w:noWrap/>
            <w:vAlign w:val="center"/>
            <w:hideMark/>
          </w:tcPr>
          <w:p w14:paraId="236B9DCC" w14:textId="0A614219"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860</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562 </w:t>
            </w:r>
          </w:p>
        </w:tc>
      </w:tr>
      <w:tr w:rsidR="009A21D7" w:rsidRPr="00374360" w14:paraId="49FCF4CB" w14:textId="77777777" w:rsidTr="00C734CF">
        <w:trPr>
          <w:trHeight w:val="4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DAE4913"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208</w:t>
            </w:r>
          </w:p>
        </w:tc>
        <w:tc>
          <w:tcPr>
            <w:tcW w:w="660" w:type="dxa"/>
            <w:tcBorders>
              <w:top w:val="nil"/>
              <w:left w:val="nil"/>
              <w:bottom w:val="single" w:sz="4" w:space="0" w:color="auto"/>
              <w:right w:val="single" w:sz="4" w:space="0" w:color="auto"/>
            </w:tcBorders>
            <w:shd w:val="clear" w:color="auto" w:fill="auto"/>
            <w:noWrap/>
            <w:vAlign w:val="center"/>
            <w:hideMark/>
          </w:tcPr>
          <w:p w14:paraId="32363D70"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620</w:t>
            </w:r>
          </w:p>
        </w:tc>
        <w:tc>
          <w:tcPr>
            <w:tcW w:w="879" w:type="dxa"/>
            <w:tcBorders>
              <w:top w:val="nil"/>
              <w:left w:val="nil"/>
              <w:bottom w:val="single" w:sz="4" w:space="0" w:color="auto"/>
              <w:right w:val="single" w:sz="4" w:space="0" w:color="auto"/>
            </w:tcBorders>
            <w:shd w:val="clear" w:color="auto" w:fill="auto"/>
            <w:noWrap/>
            <w:vAlign w:val="center"/>
            <w:hideMark/>
          </w:tcPr>
          <w:p w14:paraId="65DFBBDD"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800021272</w:t>
            </w:r>
          </w:p>
        </w:tc>
        <w:tc>
          <w:tcPr>
            <w:tcW w:w="3913" w:type="dxa"/>
            <w:tcBorders>
              <w:top w:val="nil"/>
              <w:left w:val="nil"/>
              <w:bottom w:val="single" w:sz="4" w:space="0" w:color="auto"/>
              <w:right w:val="single" w:sz="4" w:space="0" w:color="auto"/>
            </w:tcBorders>
            <w:shd w:val="clear" w:color="auto" w:fill="auto"/>
            <w:vAlign w:val="center"/>
            <w:hideMark/>
          </w:tcPr>
          <w:p w14:paraId="533706BE"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GASES DEL LLANO S.A EMPRESA DE SERVICIOS PUBLICOS</w:t>
            </w:r>
          </w:p>
        </w:tc>
        <w:tc>
          <w:tcPr>
            <w:tcW w:w="1602" w:type="dxa"/>
            <w:tcBorders>
              <w:top w:val="nil"/>
              <w:left w:val="nil"/>
              <w:bottom w:val="single" w:sz="4" w:space="0" w:color="auto"/>
              <w:right w:val="single" w:sz="4" w:space="0" w:color="auto"/>
            </w:tcBorders>
            <w:shd w:val="clear" w:color="auto" w:fill="auto"/>
            <w:noWrap/>
            <w:vAlign w:val="center"/>
            <w:hideMark/>
          </w:tcPr>
          <w:p w14:paraId="010A91BA" w14:textId="0250BF9E"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538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758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404 </w:t>
            </w:r>
          </w:p>
        </w:tc>
        <w:tc>
          <w:tcPr>
            <w:tcW w:w="1418" w:type="dxa"/>
            <w:tcBorders>
              <w:top w:val="nil"/>
              <w:left w:val="nil"/>
              <w:bottom w:val="single" w:sz="4" w:space="0" w:color="auto"/>
              <w:right w:val="single" w:sz="4" w:space="0" w:color="auto"/>
            </w:tcBorders>
            <w:shd w:val="clear" w:color="auto" w:fill="auto"/>
            <w:noWrap/>
            <w:vAlign w:val="center"/>
            <w:hideMark/>
          </w:tcPr>
          <w:p w14:paraId="0D8532DD" w14:textId="540E2E68"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45</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387</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584 </w:t>
            </w:r>
          </w:p>
        </w:tc>
      </w:tr>
      <w:tr w:rsidR="009A21D7" w:rsidRPr="00374360" w14:paraId="22E43C5F" w14:textId="77777777" w:rsidTr="00C734CF">
        <w:trPr>
          <w:trHeight w:val="4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847F10B"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209</w:t>
            </w:r>
          </w:p>
        </w:tc>
        <w:tc>
          <w:tcPr>
            <w:tcW w:w="660" w:type="dxa"/>
            <w:tcBorders>
              <w:top w:val="nil"/>
              <w:left w:val="nil"/>
              <w:bottom w:val="single" w:sz="4" w:space="0" w:color="auto"/>
              <w:right w:val="single" w:sz="4" w:space="0" w:color="auto"/>
            </w:tcBorders>
            <w:shd w:val="clear" w:color="auto" w:fill="auto"/>
            <w:noWrap/>
            <w:vAlign w:val="center"/>
            <w:hideMark/>
          </w:tcPr>
          <w:p w14:paraId="4AF6F455"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1302</w:t>
            </w:r>
          </w:p>
        </w:tc>
        <w:tc>
          <w:tcPr>
            <w:tcW w:w="879" w:type="dxa"/>
            <w:tcBorders>
              <w:top w:val="nil"/>
              <w:left w:val="nil"/>
              <w:bottom w:val="single" w:sz="4" w:space="0" w:color="auto"/>
              <w:right w:val="single" w:sz="4" w:space="0" w:color="auto"/>
            </w:tcBorders>
            <w:shd w:val="clear" w:color="auto" w:fill="auto"/>
            <w:noWrap/>
            <w:vAlign w:val="center"/>
            <w:hideMark/>
          </w:tcPr>
          <w:p w14:paraId="7F0849B3"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890503900</w:t>
            </w:r>
          </w:p>
        </w:tc>
        <w:tc>
          <w:tcPr>
            <w:tcW w:w="3913" w:type="dxa"/>
            <w:tcBorders>
              <w:top w:val="nil"/>
              <w:left w:val="nil"/>
              <w:bottom w:val="single" w:sz="4" w:space="0" w:color="auto"/>
              <w:right w:val="single" w:sz="4" w:space="0" w:color="auto"/>
            </w:tcBorders>
            <w:shd w:val="clear" w:color="auto" w:fill="auto"/>
            <w:vAlign w:val="center"/>
            <w:hideMark/>
          </w:tcPr>
          <w:p w14:paraId="7C005CA6"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GASES DEL ORIENTE S.A.  EMPRESA DE SERVICIOS PUBLICOS DOMICILIARIOS</w:t>
            </w:r>
          </w:p>
        </w:tc>
        <w:tc>
          <w:tcPr>
            <w:tcW w:w="1602" w:type="dxa"/>
            <w:tcBorders>
              <w:top w:val="nil"/>
              <w:left w:val="nil"/>
              <w:bottom w:val="single" w:sz="4" w:space="0" w:color="auto"/>
              <w:right w:val="single" w:sz="4" w:space="0" w:color="auto"/>
            </w:tcBorders>
            <w:shd w:val="clear" w:color="auto" w:fill="auto"/>
            <w:noWrap/>
            <w:vAlign w:val="center"/>
            <w:hideMark/>
          </w:tcPr>
          <w:p w14:paraId="34EF39A0" w14:textId="60D4FD68"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923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665</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881 </w:t>
            </w:r>
          </w:p>
        </w:tc>
        <w:tc>
          <w:tcPr>
            <w:tcW w:w="1418" w:type="dxa"/>
            <w:tcBorders>
              <w:top w:val="nil"/>
              <w:left w:val="nil"/>
              <w:bottom w:val="single" w:sz="4" w:space="0" w:color="auto"/>
              <w:right w:val="single" w:sz="4" w:space="0" w:color="auto"/>
            </w:tcBorders>
            <w:shd w:val="clear" w:color="auto" w:fill="auto"/>
            <w:noWrap/>
            <w:vAlign w:val="center"/>
            <w:hideMark/>
          </w:tcPr>
          <w:p w14:paraId="58828990" w14:textId="2F9EFC81"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39</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236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659 </w:t>
            </w:r>
          </w:p>
        </w:tc>
      </w:tr>
      <w:tr w:rsidR="009A21D7" w:rsidRPr="00374360" w14:paraId="05797E27"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8ECC0EF"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210</w:t>
            </w:r>
          </w:p>
        </w:tc>
        <w:tc>
          <w:tcPr>
            <w:tcW w:w="660" w:type="dxa"/>
            <w:tcBorders>
              <w:top w:val="nil"/>
              <w:left w:val="nil"/>
              <w:bottom w:val="single" w:sz="4" w:space="0" w:color="auto"/>
              <w:right w:val="single" w:sz="4" w:space="0" w:color="auto"/>
            </w:tcBorders>
            <w:shd w:val="clear" w:color="auto" w:fill="auto"/>
            <w:noWrap/>
            <w:vAlign w:val="center"/>
            <w:hideMark/>
          </w:tcPr>
          <w:p w14:paraId="1DB2620D"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1601</w:t>
            </w:r>
          </w:p>
        </w:tc>
        <w:tc>
          <w:tcPr>
            <w:tcW w:w="879" w:type="dxa"/>
            <w:tcBorders>
              <w:top w:val="nil"/>
              <w:left w:val="nil"/>
              <w:bottom w:val="single" w:sz="4" w:space="0" w:color="auto"/>
              <w:right w:val="single" w:sz="4" w:space="0" w:color="auto"/>
            </w:tcBorders>
            <w:shd w:val="clear" w:color="auto" w:fill="auto"/>
            <w:noWrap/>
            <w:vAlign w:val="center"/>
            <w:hideMark/>
          </w:tcPr>
          <w:p w14:paraId="5F683C4D"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804002801</w:t>
            </w:r>
          </w:p>
        </w:tc>
        <w:tc>
          <w:tcPr>
            <w:tcW w:w="3913" w:type="dxa"/>
            <w:tcBorders>
              <w:top w:val="nil"/>
              <w:left w:val="nil"/>
              <w:bottom w:val="single" w:sz="4" w:space="0" w:color="auto"/>
              <w:right w:val="single" w:sz="4" w:space="0" w:color="auto"/>
            </w:tcBorders>
            <w:shd w:val="clear" w:color="auto" w:fill="auto"/>
            <w:vAlign w:val="center"/>
            <w:hideMark/>
          </w:tcPr>
          <w:p w14:paraId="3CDE3CED"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GASES DEL SUR DE SANTANDER S.A. E.S.P.</w:t>
            </w:r>
          </w:p>
        </w:tc>
        <w:tc>
          <w:tcPr>
            <w:tcW w:w="1602" w:type="dxa"/>
            <w:tcBorders>
              <w:top w:val="nil"/>
              <w:left w:val="nil"/>
              <w:bottom w:val="single" w:sz="4" w:space="0" w:color="auto"/>
              <w:right w:val="single" w:sz="4" w:space="0" w:color="auto"/>
            </w:tcBorders>
            <w:shd w:val="clear" w:color="auto" w:fill="auto"/>
            <w:noWrap/>
            <w:vAlign w:val="center"/>
            <w:hideMark/>
          </w:tcPr>
          <w:p w14:paraId="34D4199A" w14:textId="3D8EDE4E"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7</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007</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939</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111 </w:t>
            </w:r>
          </w:p>
        </w:tc>
        <w:tc>
          <w:tcPr>
            <w:tcW w:w="1418" w:type="dxa"/>
            <w:tcBorders>
              <w:top w:val="nil"/>
              <w:left w:val="nil"/>
              <w:bottom w:val="single" w:sz="4" w:space="0" w:color="auto"/>
              <w:right w:val="single" w:sz="4" w:space="0" w:color="auto"/>
            </w:tcBorders>
            <w:shd w:val="clear" w:color="auto" w:fill="auto"/>
            <w:noWrap/>
            <w:vAlign w:val="center"/>
            <w:hideMark/>
          </w:tcPr>
          <w:p w14:paraId="47E70A0D" w14:textId="6480F9C9"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70</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079</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391 </w:t>
            </w:r>
          </w:p>
        </w:tc>
      </w:tr>
      <w:tr w:rsidR="009A21D7" w:rsidRPr="00374360" w14:paraId="1AC6EEF8"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0E94116"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211</w:t>
            </w:r>
          </w:p>
        </w:tc>
        <w:tc>
          <w:tcPr>
            <w:tcW w:w="660" w:type="dxa"/>
            <w:tcBorders>
              <w:top w:val="nil"/>
              <w:left w:val="nil"/>
              <w:bottom w:val="single" w:sz="4" w:space="0" w:color="auto"/>
              <w:right w:val="single" w:sz="4" w:space="0" w:color="auto"/>
            </w:tcBorders>
            <w:shd w:val="clear" w:color="auto" w:fill="auto"/>
            <w:noWrap/>
            <w:vAlign w:val="center"/>
            <w:hideMark/>
          </w:tcPr>
          <w:p w14:paraId="2F72B532"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40516</w:t>
            </w:r>
          </w:p>
        </w:tc>
        <w:tc>
          <w:tcPr>
            <w:tcW w:w="879" w:type="dxa"/>
            <w:tcBorders>
              <w:top w:val="nil"/>
              <w:left w:val="nil"/>
              <w:bottom w:val="single" w:sz="4" w:space="0" w:color="auto"/>
              <w:right w:val="single" w:sz="4" w:space="0" w:color="auto"/>
            </w:tcBorders>
            <w:shd w:val="clear" w:color="auto" w:fill="auto"/>
            <w:noWrap/>
            <w:vAlign w:val="center"/>
            <w:hideMark/>
          </w:tcPr>
          <w:p w14:paraId="5E9E0E96"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901021569</w:t>
            </w:r>
          </w:p>
        </w:tc>
        <w:tc>
          <w:tcPr>
            <w:tcW w:w="3913" w:type="dxa"/>
            <w:tcBorders>
              <w:top w:val="nil"/>
              <w:left w:val="nil"/>
              <w:bottom w:val="single" w:sz="4" w:space="0" w:color="auto"/>
              <w:right w:val="single" w:sz="4" w:space="0" w:color="auto"/>
            </w:tcBorders>
            <w:shd w:val="clear" w:color="auto" w:fill="auto"/>
            <w:vAlign w:val="center"/>
            <w:hideMark/>
          </w:tcPr>
          <w:p w14:paraId="70A27F02"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GASTUMACO DEL PACIFICO SAS ESP</w:t>
            </w:r>
          </w:p>
        </w:tc>
        <w:tc>
          <w:tcPr>
            <w:tcW w:w="1602" w:type="dxa"/>
            <w:tcBorders>
              <w:top w:val="nil"/>
              <w:left w:val="nil"/>
              <w:bottom w:val="single" w:sz="4" w:space="0" w:color="auto"/>
              <w:right w:val="single" w:sz="4" w:space="0" w:color="auto"/>
            </w:tcBorders>
            <w:shd w:val="clear" w:color="auto" w:fill="auto"/>
            <w:noWrap/>
            <w:vAlign w:val="center"/>
            <w:hideMark/>
          </w:tcPr>
          <w:p w14:paraId="24EF6CDC" w14:textId="6853FFB1"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390</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561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738 </w:t>
            </w:r>
          </w:p>
        </w:tc>
        <w:tc>
          <w:tcPr>
            <w:tcW w:w="1418" w:type="dxa"/>
            <w:tcBorders>
              <w:top w:val="nil"/>
              <w:left w:val="nil"/>
              <w:bottom w:val="single" w:sz="4" w:space="0" w:color="auto"/>
              <w:right w:val="single" w:sz="4" w:space="0" w:color="auto"/>
            </w:tcBorders>
            <w:shd w:val="clear" w:color="auto" w:fill="auto"/>
            <w:noWrap/>
            <w:vAlign w:val="center"/>
            <w:hideMark/>
          </w:tcPr>
          <w:p w14:paraId="102FF497" w14:textId="5E7C79A8"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905</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617 </w:t>
            </w:r>
          </w:p>
        </w:tc>
      </w:tr>
      <w:tr w:rsidR="009A21D7" w:rsidRPr="00374360" w14:paraId="13C037DD"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CCA56B7"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212</w:t>
            </w:r>
          </w:p>
        </w:tc>
        <w:tc>
          <w:tcPr>
            <w:tcW w:w="660" w:type="dxa"/>
            <w:tcBorders>
              <w:top w:val="nil"/>
              <w:left w:val="nil"/>
              <w:bottom w:val="single" w:sz="4" w:space="0" w:color="auto"/>
              <w:right w:val="single" w:sz="4" w:space="0" w:color="auto"/>
            </w:tcBorders>
            <w:shd w:val="clear" w:color="auto" w:fill="auto"/>
            <w:noWrap/>
            <w:vAlign w:val="center"/>
            <w:hideMark/>
          </w:tcPr>
          <w:p w14:paraId="596D9447"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31152</w:t>
            </w:r>
          </w:p>
        </w:tc>
        <w:tc>
          <w:tcPr>
            <w:tcW w:w="879" w:type="dxa"/>
            <w:tcBorders>
              <w:top w:val="nil"/>
              <w:left w:val="nil"/>
              <w:bottom w:val="single" w:sz="4" w:space="0" w:color="auto"/>
              <w:right w:val="single" w:sz="4" w:space="0" w:color="auto"/>
            </w:tcBorders>
            <w:shd w:val="clear" w:color="auto" w:fill="auto"/>
            <w:noWrap/>
            <w:vAlign w:val="center"/>
            <w:hideMark/>
          </w:tcPr>
          <w:p w14:paraId="5BDE53EA"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900308744</w:t>
            </w:r>
          </w:p>
        </w:tc>
        <w:tc>
          <w:tcPr>
            <w:tcW w:w="3913" w:type="dxa"/>
            <w:tcBorders>
              <w:top w:val="nil"/>
              <w:left w:val="nil"/>
              <w:bottom w:val="single" w:sz="4" w:space="0" w:color="auto"/>
              <w:right w:val="single" w:sz="4" w:space="0" w:color="auto"/>
            </w:tcBorders>
            <w:shd w:val="clear" w:color="auto" w:fill="auto"/>
            <w:vAlign w:val="center"/>
            <w:hideMark/>
          </w:tcPr>
          <w:p w14:paraId="7B4615F7"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GECELCA 3 S.A.S. E.S.P.</w:t>
            </w:r>
          </w:p>
        </w:tc>
        <w:tc>
          <w:tcPr>
            <w:tcW w:w="1602" w:type="dxa"/>
            <w:tcBorders>
              <w:top w:val="nil"/>
              <w:left w:val="nil"/>
              <w:bottom w:val="single" w:sz="4" w:space="0" w:color="auto"/>
              <w:right w:val="single" w:sz="4" w:space="0" w:color="auto"/>
            </w:tcBorders>
            <w:shd w:val="clear" w:color="auto" w:fill="auto"/>
            <w:noWrap/>
            <w:vAlign w:val="center"/>
            <w:hideMark/>
          </w:tcPr>
          <w:p w14:paraId="4AC59C64" w14:textId="79850516"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668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528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528 </w:t>
            </w:r>
          </w:p>
        </w:tc>
        <w:tc>
          <w:tcPr>
            <w:tcW w:w="1418" w:type="dxa"/>
            <w:tcBorders>
              <w:top w:val="nil"/>
              <w:left w:val="nil"/>
              <w:bottom w:val="single" w:sz="4" w:space="0" w:color="auto"/>
              <w:right w:val="single" w:sz="4" w:space="0" w:color="auto"/>
            </w:tcBorders>
            <w:shd w:val="clear" w:color="auto" w:fill="auto"/>
            <w:noWrap/>
            <w:vAlign w:val="center"/>
            <w:hideMark/>
          </w:tcPr>
          <w:p w14:paraId="1A0D8551" w14:textId="5D081A8D"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685</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285 </w:t>
            </w:r>
          </w:p>
        </w:tc>
      </w:tr>
      <w:tr w:rsidR="009A21D7" w:rsidRPr="00374360" w14:paraId="2B8E9CFA"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02BDF0B"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213</w:t>
            </w:r>
          </w:p>
        </w:tc>
        <w:tc>
          <w:tcPr>
            <w:tcW w:w="660" w:type="dxa"/>
            <w:tcBorders>
              <w:top w:val="nil"/>
              <w:left w:val="nil"/>
              <w:bottom w:val="single" w:sz="4" w:space="0" w:color="auto"/>
              <w:right w:val="single" w:sz="4" w:space="0" w:color="auto"/>
            </w:tcBorders>
            <w:shd w:val="clear" w:color="auto" w:fill="auto"/>
            <w:noWrap/>
            <w:vAlign w:val="center"/>
            <w:hideMark/>
          </w:tcPr>
          <w:p w14:paraId="3E1886F5"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22791</w:t>
            </w:r>
          </w:p>
        </w:tc>
        <w:tc>
          <w:tcPr>
            <w:tcW w:w="879" w:type="dxa"/>
            <w:tcBorders>
              <w:top w:val="nil"/>
              <w:left w:val="nil"/>
              <w:bottom w:val="single" w:sz="4" w:space="0" w:color="auto"/>
              <w:right w:val="single" w:sz="4" w:space="0" w:color="auto"/>
            </w:tcBorders>
            <w:shd w:val="clear" w:color="auto" w:fill="auto"/>
            <w:noWrap/>
            <w:vAlign w:val="center"/>
            <w:hideMark/>
          </w:tcPr>
          <w:p w14:paraId="4DFE364D"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900282370</w:t>
            </w:r>
          </w:p>
        </w:tc>
        <w:tc>
          <w:tcPr>
            <w:tcW w:w="3913" w:type="dxa"/>
            <w:tcBorders>
              <w:top w:val="nil"/>
              <w:left w:val="nil"/>
              <w:bottom w:val="single" w:sz="4" w:space="0" w:color="auto"/>
              <w:right w:val="single" w:sz="4" w:space="0" w:color="auto"/>
            </w:tcBorders>
            <w:shd w:val="clear" w:color="auto" w:fill="auto"/>
            <w:vAlign w:val="center"/>
            <w:hideMark/>
          </w:tcPr>
          <w:p w14:paraId="2C7604E3"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GENDECAR S.A. E.S.P.</w:t>
            </w:r>
          </w:p>
        </w:tc>
        <w:tc>
          <w:tcPr>
            <w:tcW w:w="1602" w:type="dxa"/>
            <w:tcBorders>
              <w:top w:val="nil"/>
              <w:left w:val="nil"/>
              <w:bottom w:val="single" w:sz="4" w:space="0" w:color="auto"/>
              <w:right w:val="single" w:sz="4" w:space="0" w:color="auto"/>
            </w:tcBorders>
            <w:shd w:val="clear" w:color="auto" w:fill="auto"/>
            <w:noWrap/>
            <w:vAlign w:val="center"/>
            <w:hideMark/>
          </w:tcPr>
          <w:p w14:paraId="46A634EF" w14:textId="7F210A62"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171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174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607 </w:t>
            </w:r>
          </w:p>
        </w:tc>
        <w:tc>
          <w:tcPr>
            <w:tcW w:w="1418" w:type="dxa"/>
            <w:tcBorders>
              <w:top w:val="nil"/>
              <w:left w:val="nil"/>
              <w:bottom w:val="single" w:sz="4" w:space="0" w:color="auto"/>
              <w:right w:val="single" w:sz="4" w:space="0" w:color="auto"/>
            </w:tcBorders>
            <w:shd w:val="clear" w:color="auto" w:fill="auto"/>
            <w:noWrap/>
            <w:vAlign w:val="center"/>
            <w:hideMark/>
          </w:tcPr>
          <w:p w14:paraId="71497EB3" w14:textId="1AEF82CB"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711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746 </w:t>
            </w:r>
          </w:p>
        </w:tc>
      </w:tr>
      <w:tr w:rsidR="009A21D7" w:rsidRPr="00374360" w14:paraId="22907A8F"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928F7B7"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214</w:t>
            </w:r>
          </w:p>
        </w:tc>
        <w:tc>
          <w:tcPr>
            <w:tcW w:w="660" w:type="dxa"/>
            <w:tcBorders>
              <w:top w:val="nil"/>
              <w:left w:val="nil"/>
              <w:bottom w:val="single" w:sz="4" w:space="0" w:color="auto"/>
              <w:right w:val="single" w:sz="4" w:space="0" w:color="auto"/>
            </w:tcBorders>
            <w:shd w:val="clear" w:color="auto" w:fill="auto"/>
            <w:noWrap/>
            <w:vAlign w:val="center"/>
            <w:hideMark/>
          </w:tcPr>
          <w:p w14:paraId="53B3F99A"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40935</w:t>
            </w:r>
          </w:p>
        </w:tc>
        <w:tc>
          <w:tcPr>
            <w:tcW w:w="879" w:type="dxa"/>
            <w:tcBorders>
              <w:top w:val="nil"/>
              <w:left w:val="nil"/>
              <w:bottom w:val="single" w:sz="4" w:space="0" w:color="auto"/>
              <w:right w:val="single" w:sz="4" w:space="0" w:color="auto"/>
            </w:tcBorders>
            <w:shd w:val="clear" w:color="auto" w:fill="auto"/>
            <w:noWrap/>
            <w:vAlign w:val="center"/>
            <w:hideMark/>
          </w:tcPr>
          <w:p w14:paraId="3A7B65C8"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900244325</w:t>
            </w:r>
          </w:p>
        </w:tc>
        <w:tc>
          <w:tcPr>
            <w:tcW w:w="3913" w:type="dxa"/>
            <w:tcBorders>
              <w:top w:val="nil"/>
              <w:left w:val="nil"/>
              <w:bottom w:val="single" w:sz="4" w:space="0" w:color="auto"/>
              <w:right w:val="single" w:sz="4" w:space="0" w:color="auto"/>
            </w:tcBorders>
            <w:shd w:val="clear" w:color="auto" w:fill="auto"/>
            <w:vAlign w:val="center"/>
            <w:hideMark/>
          </w:tcPr>
          <w:p w14:paraId="2AFC8585"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GENERACIÓN DE ENERGÍA S.A.S. E.S.P.</w:t>
            </w:r>
          </w:p>
        </w:tc>
        <w:tc>
          <w:tcPr>
            <w:tcW w:w="1602" w:type="dxa"/>
            <w:tcBorders>
              <w:top w:val="nil"/>
              <w:left w:val="nil"/>
              <w:bottom w:val="single" w:sz="4" w:space="0" w:color="auto"/>
              <w:right w:val="single" w:sz="4" w:space="0" w:color="auto"/>
            </w:tcBorders>
            <w:shd w:val="clear" w:color="auto" w:fill="auto"/>
            <w:noWrap/>
            <w:vAlign w:val="center"/>
            <w:hideMark/>
          </w:tcPr>
          <w:p w14:paraId="349B0D51" w14:textId="3198594C"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110</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792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786 </w:t>
            </w:r>
          </w:p>
        </w:tc>
        <w:tc>
          <w:tcPr>
            <w:tcW w:w="1418" w:type="dxa"/>
            <w:tcBorders>
              <w:top w:val="nil"/>
              <w:left w:val="nil"/>
              <w:bottom w:val="single" w:sz="4" w:space="0" w:color="auto"/>
              <w:right w:val="single" w:sz="4" w:space="0" w:color="auto"/>
            </w:tcBorders>
            <w:shd w:val="clear" w:color="auto" w:fill="auto"/>
            <w:noWrap/>
            <w:vAlign w:val="center"/>
            <w:hideMark/>
          </w:tcPr>
          <w:p w14:paraId="3B5AB9A3" w14:textId="52413ECC"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107</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928 </w:t>
            </w:r>
          </w:p>
        </w:tc>
      </w:tr>
      <w:tr w:rsidR="009A21D7" w:rsidRPr="00374360" w14:paraId="2DD92A18"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BBA7959"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215</w:t>
            </w:r>
          </w:p>
        </w:tc>
        <w:tc>
          <w:tcPr>
            <w:tcW w:w="660" w:type="dxa"/>
            <w:tcBorders>
              <w:top w:val="nil"/>
              <w:left w:val="nil"/>
              <w:bottom w:val="single" w:sz="4" w:space="0" w:color="auto"/>
              <w:right w:val="single" w:sz="4" w:space="0" w:color="auto"/>
            </w:tcBorders>
            <w:shd w:val="clear" w:color="auto" w:fill="auto"/>
            <w:noWrap/>
            <w:vAlign w:val="center"/>
            <w:hideMark/>
          </w:tcPr>
          <w:p w14:paraId="5BCE040D"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32593</w:t>
            </w:r>
          </w:p>
        </w:tc>
        <w:tc>
          <w:tcPr>
            <w:tcW w:w="879" w:type="dxa"/>
            <w:tcBorders>
              <w:top w:val="nil"/>
              <w:left w:val="nil"/>
              <w:bottom w:val="single" w:sz="4" w:space="0" w:color="auto"/>
              <w:right w:val="single" w:sz="4" w:space="0" w:color="auto"/>
            </w:tcBorders>
            <w:shd w:val="clear" w:color="auto" w:fill="auto"/>
            <w:noWrap/>
            <w:vAlign w:val="center"/>
            <w:hideMark/>
          </w:tcPr>
          <w:p w14:paraId="097E53D2"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900493235</w:t>
            </w:r>
          </w:p>
        </w:tc>
        <w:tc>
          <w:tcPr>
            <w:tcW w:w="3913" w:type="dxa"/>
            <w:tcBorders>
              <w:top w:val="nil"/>
              <w:left w:val="nil"/>
              <w:bottom w:val="single" w:sz="4" w:space="0" w:color="auto"/>
              <w:right w:val="single" w:sz="4" w:space="0" w:color="auto"/>
            </w:tcBorders>
            <w:shd w:val="clear" w:color="auto" w:fill="auto"/>
            <w:vAlign w:val="center"/>
            <w:hideMark/>
          </w:tcPr>
          <w:p w14:paraId="4E6264BF"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GENERADORA ALEJANDRIA S.A.S. - E.S.P.</w:t>
            </w:r>
          </w:p>
        </w:tc>
        <w:tc>
          <w:tcPr>
            <w:tcW w:w="1602" w:type="dxa"/>
            <w:tcBorders>
              <w:top w:val="nil"/>
              <w:left w:val="nil"/>
              <w:bottom w:val="single" w:sz="4" w:space="0" w:color="auto"/>
              <w:right w:val="single" w:sz="4" w:space="0" w:color="auto"/>
            </w:tcBorders>
            <w:shd w:val="clear" w:color="auto" w:fill="auto"/>
            <w:noWrap/>
            <w:vAlign w:val="center"/>
            <w:hideMark/>
          </w:tcPr>
          <w:p w14:paraId="2FBFDBD7" w14:textId="3CA690A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019</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764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107 </w:t>
            </w:r>
          </w:p>
        </w:tc>
        <w:tc>
          <w:tcPr>
            <w:tcW w:w="1418" w:type="dxa"/>
            <w:tcBorders>
              <w:top w:val="nil"/>
              <w:left w:val="nil"/>
              <w:bottom w:val="single" w:sz="4" w:space="0" w:color="auto"/>
              <w:right w:val="single" w:sz="4" w:space="0" w:color="auto"/>
            </w:tcBorders>
            <w:shd w:val="clear" w:color="auto" w:fill="auto"/>
            <w:noWrap/>
            <w:vAlign w:val="center"/>
            <w:hideMark/>
          </w:tcPr>
          <w:p w14:paraId="6E618285" w14:textId="45C129EE"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10</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197</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641 </w:t>
            </w:r>
          </w:p>
        </w:tc>
      </w:tr>
      <w:tr w:rsidR="009A21D7" w:rsidRPr="00374360" w14:paraId="654C6970"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F30A545"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216</w:t>
            </w:r>
          </w:p>
        </w:tc>
        <w:tc>
          <w:tcPr>
            <w:tcW w:w="660" w:type="dxa"/>
            <w:tcBorders>
              <w:top w:val="nil"/>
              <w:left w:val="nil"/>
              <w:bottom w:val="single" w:sz="4" w:space="0" w:color="auto"/>
              <w:right w:val="single" w:sz="4" w:space="0" w:color="auto"/>
            </w:tcBorders>
            <w:shd w:val="clear" w:color="auto" w:fill="auto"/>
            <w:noWrap/>
            <w:vAlign w:val="center"/>
            <w:hideMark/>
          </w:tcPr>
          <w:p w14:paraId="08413E02"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39854</w:t>
            </w:r>
          </w:p>
        </w:tc>
        <w:tc>
          <w:tcPr>
            <w:tcW w:w="879" w:type="dxa"/>
            <w:tcBorders>
              <w:top w:val="nil"/>
              <w:left w:val="nil"/>
              <w:bottom w:val="single" w:sz="4" w:space="0" w:color="auto"/>
              <w:right w:val="single" w:sz="4" w:space="0" w:color="auto"/>
            </w:tcBorders>
            <w:shd w:val="clear" w:color="auto" w:fill="auto"/>
            <w:noWrap/>
            <w:vAlign w:val="center"/>
            <w:hideMark/>
          </w:tcPr>
          <w:p w14:paraId="49F4829B"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900660650</w:t>
            </w:r>
          </w:p>
        </w:tc>
        <w:tc>
          <w:tcPr>
            <w:tcW w:w="3913" w:type="dxa"/>
            <w:tcBorders>
              <w:top w:val="nil"/>
              <w:left w:val="nil"/>
              <w:bottom w:val="single" w:sz="4" w:space="0" w:color="auto"/>
              <w:right w:val="single" w:sz="4" w:space="0" w:color="auto"/>
            </w:tcBorders>
            <w:shd w:val="clear" w:color="auto" w:fill="auto"/>
            <w:vAlign w:val="center"/>
            <w:hideMark/>
          </w:tcPr>
          <w:p w14:paraId="444350C5"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GENERADORA CANTAYUS SAS ESP</w:t>
            </w:r>
          </w:p>
        </w:tc>
        <w:tc>
          <w:tcPr>
            <w:tcW w:w="1602" w:type="dxa"/>
            <w:tcBorders>
              <w:top w:val="nil"/>
              <w:left w:val="nil"/>
              <w:bottom w:val="single" w:sz="4" w:space="0" w:color="auto"/>
              <w:right w:val="single" w:sz="4" w:space="0" w:color="auto"/>
            </w:tcBorders>
            <w:shd w:val="clear" w:color="auto" w:fill="auto"/>
            <w:noWrap/>
            <w:vAlign w:val="center"/>
            <w:hideMark/>
          </w:tcPr>
          <w:p w14:paraId="657E74F3" w14:textId="5A09F2BA"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230</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358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706 </w:t>
            </w:r>
          </w:p>
        </w:tc>
        <w:tc>
          <w:tcPr>
            <w:tcW w:w="1418" w:type="dxa"/>
            <w:tcBorders>
              <w:top w:val="nil"/>
              <w:left w:val="nil"/>
              <w:bottom w:val="single" w:sz="4" w:space="0" w:color="auto"/>
              <w:right w:val="single" w:sz="4" w:space="0" w:color="auto"/>
            </w:tcBorders>
            <w:shd w:val="clear" w:color="auto" w:fill="auto"/>
            <w:noWrap/>
            <w:vAlign w:val="center"/>
            <w:hideMark/>
          </w:tcPr>
          <w:p w14:paraId="3F5970E2" w14:textId="71796AFA"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303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587 </w:t>
            </w:r>
          </w:p>
        </w:tc>
      </w:tr>
      <w:tr w:rsidR="009A21D7" w:rsidRPr="00374360" w14:paraId="2C0195A4" w14:textId="77777777" w:rsidTr="00C734CF">
        <w:trPr>
          <w:trHeight w:val="4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F75D7A3"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217</w:t>
            </w:r>
          </w:p>
        </w:tc>
        <w:tc>
          <w:tcPr>
            <w:tcW w:w="660" w:type="dxa"/>
            <w:tcBorders>
              <w:top w:val="nil"/>
              <w:left w:val="nil"/>
              <w:bottom w:val="single" w:sz="4" w:space="0" w:color="auto"/>
              <w:right w:val="single" w:sz="4" w:space="0" w:color="auto"/>
            </w:tcBorders>
            <w:shd w:val="clear" w:color="auto" w:fill="auto"/>
            <w:noWrap/>
            <w:vAlign w:val="center"/>
            <w:hideMark/>
          </w:tcPr>
          <w:p w14:paraId="26DE5BE9"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1078</w:t>
            </w:r>
          </w:p>
        </w:tc>
        <w:tc>
          <w:tcPr>
            <w:tcW w:w="879" w:type="dxa"/>
            <w:tcBorders>
              <w:top w:val="nil"/>
              <w:left w:val="nil"/>
              <w:bottom w:val="single" w:sz="4" w:space="0" w:color="auto"/>
              <w:right w:val="single" w:sz="4" w:space="0" w:color="auto"/>
            </w:tcBorders>
            <w:shd w:val="clear" w:color="auto" w:fill="auto"/>
            <w:noWrap/>
            <w:vAlign w:val="center"/>
            <w:hideMark/>
          </w:tcPr>
          <w:p w14:paraId="3B78CF5D"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811003083</w:t>
            </w:r>
          </w:p>
        </w:tc>
        <w:tc>
          <w:tcPr>
            <w:tcW w:w="3913" w:type="dxa"/>
            <w:tcBorders>
              <w:top w:val="nil"/>
              <w:left w:val="nil"/>
              <w:bottom w:val="single" w:sz="4" w:space="0" w:color="auto"/>
              <w:right w:val="single" w:sz="4" w:space="0" w:color="auto"/>
            </w:tcBorders>
            <w:shd w:val="clear" w:color="auto" w:fill="auto"/>
            <w:vAlign w:val="center"/>
            <w:hideMark/>
          </w:tcPr>
          <w:p w14:paraId="24B7F4D5"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GENERADORA COLOMBIANA DE ELECTRICIDAD SA ESP</w:t>
            </w:r>
          </w:p>
        </w:tc>
        <w:tc>
          <w:tcPr>
            <w:tcW w:w="1602" w:type="dxa"/>
            <w:tcBorders>
              <w:top w:val="nil"/>
              <w:left w:val="nil"/>
              <w:bottom w:val="single" w:sz="4" w:space="0" w:color="auto"/>
              <w:right w:val="single" w:sz="4" w:space="0" w:color="auto"/>
            </w:tcBorders>
            <w:shd w:val="clear" w:color="auto" w:fill="auto"/>
            <w:noWrap/>
            <w:vAlign w:val="center"/>
            <w:hideMark/>
          </w:tcPr>
          <w:p w14:paraId="4038653F" w14:textId="4AB1B7CA"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102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000</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620 </w:t>
            </w:r>
          </w:p>
        </w:tc>
        <w:tc>
          <w:tcPr>
            <w:tcW w:w="1418" w:type="dxa"/>
            <w:tcBorders>
              <w:top w:val="nil"/>
              <w:left w:val="nil"/>
              <w:bottom w:val="single" w:sz="4" w:space="0" w:color="auto"/>
              <w:right w:val="single" w:sz="4" w:space="0" w:color="auto"/>
            </w:tcBorders>
            <w:shd w:val="clear" w:color="auto" w:fill="auto"/>
            <w:noWrap/>
            <w:vAlign w:val="center"/>
            <w:hideMark/>
          </w:tcPr>
          <w:p w14:paraId="4E9101DF" w14:textId="1983DA7D"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020</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006 </w:t>
            </w:r>
          </w:p>
        </w:tc>
      </w:tr>
      <w:tr w:rsidR="009A21D7" w:rsidRPr="00374360" w14:paraId="03099FD4"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3D66EF2"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218</w:t>
            </w:r>
          </w:p>
        </w:tc>
        <w:tc>
          <w:tcPr>
            <w:tcW w:w="660" w:type="dxa"/>
            <w:tcBorders>
              <w:top w:val="nil"/>
              <w:left w:val="nil"/>
              <w:bottom w:val="single" w:sz="4" w:space="0" w:color="auto"/>
              <w:right w:val="single" w:sz="4" w:space="0" w:color="auto"/>
            </w:tcBorders>
            <w:shd w:val="clear" w:color="auto" w:fill="auto"/>
            <w:noWrap/>
            <w:vAlign w:val="center"/>
            <w:hideMark/>
          </w:tcPr>
          <w:p w14:paraId="646B26DC"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33293</w:t>
            </w:r>
          </w:p>
        </w:tc>
        <w:tc>
          <w:tcPr>
            <w:tcW w:w="879" w:type="dxa"/>
            <w:tcBorders>
              <w:top w:val="nil"/>
              <w:left w:val="nil"/>
              <w:bottom w:val="single" w:sz="4" w:space="0" w:color="auto"/>
              <w:right w:val="single" w:sz="4" w:space="0" w:color="auto"/>
            </w:tcBorders>
            <w:shd w:val="clear" w:color="auto" w:fill="auto"/>
            <w:noWrap/>
            <w:vAlign w:val="center"/>
            <w:hideMark/>
          </w:tcPr>
          <w:p w14:paraId="7DBEA3CE"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900352197</w:t>
            </w:r>
          </w:p>
        </w:tc>
        <w:tc>
          <w:tcPr>
            <w:tcW w:w="3913" w:type="dxa"/>
            <w:tcBorders>
              <w:top w:val="nil"/>
              <w:left w:val="nil"/>
              <w:bottom w:val="single" w:sz="4" w:space="0" w:color="auto"/>
              <w:right w:val="single" w:sz="4" w:space="0" w:color="auto"/>
            </w:tcBorders>
            <w:shd w:val="clear" w:color="auto" w:fill="auto"/>
            <w:vAlign w:val="center"/>
            <w:hideMark/>
          </w:tcPr>
          <w:p w14:paraId="159F0688"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GENERADORA LUZMA S.A.S. E.S.P.</w:t>
            </w:r>
          </w:p>
        </w:tc>
        <w:tc>
          <w:tcPr>
            <w:tcW w:w="1602" w:type="dxa"/>
            <w:tcBorders>
              <w:top w:val="nil"/>
              <w:left w:val="nil"/>
              <w:bottom w:val="single" w:sz="4" w:space="0" w:color="auto"/>
              <w:right w:val="single" w:sz="4" w:space="0" w:color="auto"/>
            </w:tcBorders>
            <w:shd w:val="clear" w:color="auto" w:fill="auto"/>
            <w:noWrap/>
            <w:vAlign w:val="center"/>
            <w:hideMark/>
          </w:tcPr>
          <w:p w14:paraId="10CA4A14" w14:textId="1EE4A1A4"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363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245</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619 </w:t>
            </w:r>
          </w:p>
        </w:tc>
        <w:tc>
          <w:tcPr>
            <w:tcW w:w="1418" w:type="dxa"/>
            <w:tcBorders>
              <w:top w:val="nil"/>
              <w:left w:val="nil"/>
              <w:bottom w:val="single" w:sz="4" w:space="0" w:color="auto"/>
              <w:right w:val="single" w:sz="4" w:space="0" w:color="auto"/>
            </w:tcBorders>
            <w:shd w:val="clear" w:color="auto" w:fill="auto"/>
            <w:noWrap/>
            <w:vAlign w:val="center"/>
            <w:hideMark/>
          </w:tcPr>
          <w:p w14:paraId="3B889D5C" w14:textId="4419E193"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632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456 </w:t>
            </w:r>
          </w:p>
        </w:tc>
      </w:tr>
      <w:tr w:rsidR="009A21D7" w:rsidRPr="00374360" w14:paraId="391C20F3" w14:textId="77777777" w:rsidTr="00C734CF">
        <w:trPr>
          <w:trHeight w:val="4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3452D7B"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219</w:t>
            </w:r>
          </w:p>
        </w:tc>
        <w:tc>
          <w:tcPr>
            <w:tcW w:w="660" w:type="dxa"/>
            <w:tcBorders>
              <w:top w:val="nil"/>
              <w:left w:val="nil"/>
              <w:bottom w:val="single" w:sz="4" w:space="0" w:color="auto"/>
              <w:right w:val="single" w:sz="4" w:space="0" w:color="auto"/>
            </w:tcBorders>
            <w:shd w:val="clear" w:color="auto" w:fill="auto"/>
            <w:noWrap/>
            <w:vAlign w:val="center"/>
            <w:hideMark/>
          </w:tcPr>
          <w:p w14:paraId="2FEE9AA2"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21600</w:t>
            </w:r>
          </w:p>
        </w:tc>
        <w:tc>
          <w:tcPr>
            <w:tcW w:w="879" w:type="dxa"/>
            <w:tcBorders>
              <w:top w:val="nil"/>
              <w:left w:val="nil"/>
              <w:bottom w:val="single" w:sz="4" w:space="0" w:color="auto"/>
              <w:right w:val="single" w:sz="4" w:space="0" w:color="auto"/>
            </w:tcBorders>
            <w:shd w:val="clear" w:color="auto" w:fill="auto"/>
            <w:noWrap/>
            <w:vAlign w:val="center"/>
            <w:hideMark/>
          </w:tcPr>
          <w:p w14:paraId="6FAF0640"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900082143</w:t>
            </w:r>
          </w:p>
        </w:tc>
        <w:tc>
          <w:tcPr>
            <w:tcW w:w="3913" w:type="dxa"/>
            <w:tcBorders>
              <w:top w:val="nil"/>
              <w:left w:val="nil"/>
              <w:bottom w:val="single" w:sz="4" w:space="0" w:color="auto"/>
              <w:right w:val="single" w:sz="4" w:space="0" w:color="auto"/>
            </w:tcBorders>
            <w:shd w:val="clear" w:color="auto" w:fill="auto"/>
            <w:vAlign w:val="center"/>
            <w:hideMark/>
          </w:tcPr>
          <w:p w14:paraId="288FB771"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GENERADORA Y COMERCIALIZADORA DE ENERGIA DEL CARIBE S.A E.S.P</w:t>
            </w:r>
          </w:p>
        </w:tc>
        <w:tc>
          <w:tcPr>
            <w:tcW w:w="1602" w:type="dxa"/>
            <w:tcBorders>
              <w:top w:val="nil"/>
              <w:left w:val="nil"/>
              <w:bottom w:val="single" w:sz="4" w:space="0" w:color="auto"/>
              <w:right w:val="single" w:sz="4" w:space="0" w:color="auto"/>
            </w:tcBorders>
            <w:shd w:val="clear" w:color="auto" w:fill="auto"/>
            <w:noWrap/>
            <w:vAlign w:val="center"/>
            <w:hideMark/>
          </w:tcPr>
          <w:p w14:paraId="2C7D3CFF" w14:textId="189ECACA"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57</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678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608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060 </w:t>
            </w:r>
          </w:p>
        </w:tc>
        <w:tc>
          <w:tcPr>
            <w:tcW w:w="1418" w:type="dxa"/>
            <w:tcBorders>
              <w:top w:val="nil"/>
              <w:left w:val="nil"/>
              <w:bottom w:val="single" w:sz="4" w:space="0" w:color="auto"/>
              <w:right w:val="single" w:sz="4" w:space="0" w:color="auto"/>
            </w:tcBorders>
            <w:shd w:val="clear" w:color="auto" w:fill="auto"/>
            <w:noWrap/>
            <w:vAlign w:val="center"/>
            <w:hideMark/>
          </w:tcPr>
          <w:p w14:paraId="5B99DF66" w14:textId="2FEFABCE"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576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786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081 </w:t>
            </w:r>
          </w:p>
        </w:tc>
      </w:tr>
      <w:tr w:rsidR="009A21D7" w:rsidRPr="00374360" w14:paraId="7E665F43"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728DC67"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220</w:t>
            </w:r>
          </w:p>
        </w:tc>
        <w:tc>
          <w:tcPr>
            <w:tcW w:w="660" w:type="dxa"/>
            <w:tcBorders>
              <w:top w:val="nil"/>
              <w:left w:val="nil"/>
              <w:bottom w:val="single" w:sz="4" w:space="0" w:color="auto"/>
              <w:right w:val="single" w:sz="4" w:space="0" w:color="auto"/>
            </w:tcBorders>
            <w:shd w:val="clear" w:color="auto" w:fill="auto"/>
            <w:noWrap/>
            <w:vAlign w:val="center"/>
            <w:hideMark/>
          </w:tcPr>
          <w:p w14:paraId="459C11E4"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21570</w:t>
            </w:r>
          </w:p>
        </w:tc>
        <w:tc>
          <w:tcPr>
            <w:tcW w:w="879" w:type="dxa"/>
            <w:tcBorders>
              <w:top w:val="nil"/>
              <w:left w:val="nil"/>
              <w:bottom w:val="single" w:sz="4" w:space="0" w:color="auto"/>
              <w:right w:val="single" w:sz="4" w:space="0" w:color="auto"/>
            </w:tcBorders>
            <w:shd w:val="clear" w:color="auto" w:fill="auto"/>
            <w:noWrap/>
            <w:vAlign w:val="center"/>
            <w:hideMark/>
          </w:tcPr>
          <w:p w14:paraId="0F6733B2"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830107528</w:t>
            </w:r>
          </w:p>
        </w:tc>
        <w:tc>
          <w:tcPr>
            <w:tcW w:w="3913" w:type="dxa"/>
            <w:tcBorders>
              <w:top w:val="nil"/>
              <w:left w:val="nil"/>
              <w:bottom w:val="single" w:sz="4" w:space="0" w:color="auto"/>
              <w:right w:val="single" w:sz="4" w:space="0" w:color="auto"/>
            </w:tcBorders>
            <w:shd w:val="clear" w:color="auto" w:fill="auto"/>
            <w:vAlign w:val="center"/>
            <w:hideMark/>
          </w:tcPr>
          <w:p w14:paraId="0536DB4E"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GENERARCO S.A.S. E.S.P.</w:t>
            </w:r>
          </w:p>
        </w:tc>
        <w:tc>
          <w:tcPr>
            <w:tcW w:w="1602" w:type="dxa"/>
            <w:tcBorders>
              <w:top w:val="nil"/>
              <w:left w:val="nil"/>
              <w:bottom w:val="single" w:sz="4" w:space="0" w:color="auto"/>
              <w:right w:val="single" w:sz="4" w:space="0" w:color="auto"/>
            </w:tcBorders>
            <w:shd w:val="clear" w:color="auto" w:fill="auto"/>
            <w:noWrap/>
            <w:vAlign w:val="center"/>
            <w:hideMark/>
          </w:tcPr>
          <w:p w14:paraId="2487F62F" w14:textId="1ED66FC4"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199</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880</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242 </w:t>
            </w:r>
          </w:p>
        </w:tc>
        <w:tc>
          <w:tcPr>
            <w:tcW w:w="1418" w:type="dxa"/>
            <w:tcBorders>
              <w:top w:val="nil"/>
              <w:left w:val="nil"/>
              <w:bottom w:val="single" w:sz="4" w:space="0" w:color="auto"/>
              <w:right w:val="single" w:sz="4" w:space="0" w:color="auto"/>
            </w:tcBorders>
            <w:shd w:val="clear" w:color="auto" w:fill="auto"/>
            <w:noWrap/>
            <w:vAlign w:val="center"/>
            <w:hideMark/>
          </w:tcPr>
          <w:p w14:paraId="0EFC416B" w14:textId="238A7784"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998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802 </w:t>
            </w:r>
          </w:p>
        </w:tc>
      </w:tr>
      <w:tr w:rsidR="009A21D7" w:rsidRPr="00374360" w14:paraId="2DA4988A"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86192CA"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221</w:t>
            </w:r>
          </w:p>
        </w:tc>
        <w:tc>
          <w:tcPr>
            <w:tcW w:w="660" w:type="dxa"/>
            <w:tcBorders>
              <w:top w:val="nil"/>
              <w:left w:val="nil"/>
              <w:bottom w:val="single" w:sz="4" w:space="0" w:color="auto"/>
              <w:right w:val="single" w:sz="4" w:space="0" w:color="auto"/>
            </w:tcBorders>
            <w:shd w:val="clear" w:color="auto" w:fill="auto"/>
            <w:noWrap/>
            <w:vAlign w:val="center"/>
            <w:hideMark/>
          </w:tcPr>
          <w:p w14:paraId="12491631"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26109</w:t>
            </w:r>
          </w:p>
        </w:tc>
        <w:tc>
          <w:tcPr>
            <w:tcW w:w="879" w:type="dxa"/>
            <w:tcBorders>
              <w:top w:val="nil"/>
              <w:left w:val="nil"/>
              <w:bottom w:val="single" w:sz="4" w:space="0" w:color="auto"/>
              <w:right w:val="single" w:sz="4" w:space="0" w:color="auto"/>
            </w:tcBorders>
            <w:shd w:val="clear" w:color="auto" w:fill="auto"/>
            <w:noWrap/>
            <w:vAlign w:val="center"/>
            <w:hideMark/>
          </w:tcPr>
          <w:p w14:paraId="18E5223B"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900436006</w:t>
            </w:r>
          </w:p>
        </w:tc>
        <w:tc>
          <w:tcPr>
            <w:tcW w:w="3913" w:type="dxa"/>
            <w:tcBorders>
              <w:top w:val="nil"/>
              <w:left w:val="nil"/>
              <w:bottom w:val="single" w:sz="4" w:space="0" w:color="auto"/>
              <w:right w:val="single" w:sz="4" w:space="0" w:color="auto"/>
            </w:tcBorders>
            <w:shd w:val="clear" w:color="auto" w:fill="auto"/>
            <w:vAlign w:val="center"/>
            <w:hideMark/>
          </w:tcPr>
          <w:p w14:paraId="295EEF67"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GENERPUTUMAYO S.A.S E.S.P.</w:t>
            </w:r>
          </w:p>
        </w:tc>
        <w:tc>
          <w:tcPr>
            <w:tcW w:w="1602" w:type="dxa"/>
            <w:tcBorders>
              <w:top w:val="nil"/>
              <w:left w:val="nil"/>
              <w:bottom w:val="single" w:sz="4" w:space="0" w:color="auto"/>
              <w:right w:val="single" w:sz="4" w:space="0" w:color="auto"/>
            </w:tcBorders>
            <w:shd w:val="clear" w:color="auto" w:fill="auto"/>
            <w:noWrap/>
            <w:vAlign w:val="center"/>
            <w:hideMark/>
          </w:tcPr>
          <w:p w14:paraId="3A12FE36" w14:textId="32D84A78"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735</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141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035 </w:t>
            </w:r>
          </w:p>
        </w:tc>
        <w:tc>
          <w:tcPr>
            <w:tcW w:w="1418" w:type="dxa"/>
            <w:tcBorders>
              <w:top w:val="nil"/>
              <w:left w:val="nil"/>
              <w:bottom w:val="single" w:sz="4" w:space="0" w:color="auto"/>
              <w:right w:val="single" w:sz="4" w:space="0" w:color="auto"/>
            </w:tcBorders>
            <w:shd w:val="clear" w:color="auto" w:fill="auto"/>
            <w:noWrap/>
            <w:vAlign w:val="center"/>
            <w:hideMark/>
          </w:tcPr>
          <w:p w14:paraId="05AF3583" w14:textId="1217B71B"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7</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351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410 </w:t>
            </w:r>
          </w:p>
        </w:tc>
      </w:tr>
      <w:tr w:rsidR="009A21D7" w:rsidRPr="00374360" w14:paraId="51450643"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E7CB795"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222</w:t>
            </w:r>
          </w:p>
        </w:tc>
        <w:tc>
          <w:tcPr>
            <w:tcW w:w="660" w:type="dxa"/>
            <w:tcBorders>
              <w:top w:val="nil"/>
              <w:left w:val="nil"/>
              <w:bottom w:val="single" w:sz="4" w:space="0" w:color="auto"/>
              <w:right w:val="single" w:sz="4" w:space="0" w:color="auto"/>
            </w:tcBorders>
            <w:shd w:val="clear" w:color="auto" w:fill="auto"/>
            <w:noWrap/>
            <w:vAlign w:val="center"/>
            <w:hideMark/>
          </w:tcPr>
          <w:p w14:paraId="319B939D"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22143</w:t>
            </w:r>
          </w:p>
        </w:tc>
        <w:tc>
          <w:tcPr>
            <w:tcW w:w="879" w:type="dxa"/>
            <w:tcBorders>
              <w:top w:val="nil"/>
              <w:left w:val="nil"/>
              <w:bottom w:val="single" w:sz="4" w:space="0" w:color="auto"/>
              <w:right w:val="single" w:sz="4" w:space="0" w:color="auto"/>
            </w:tcBorders>
            <w:shd w:val="clear" w:color="auto" w:fill="auto"/>
            <w:noWrap/>
            <w:vAlign w:val="center"/>
            <w:hideMark/>
          </w:tcPr>
          <w:p w14:paraId="387AC8A0"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900154879</w:t>
            </w:r>
          </w:p>
        </w:tc>
        <w:tc>
          <w:tcPr>
            <w:tcW w:w="3913" w:type="dxa"/>
            <w:tcBorders>
              <w:top w:val="nil"/>
              <w:left w:val="nil"/>
              <w:bottom w:val="single" w:sz="4" w:space="0" w:color="auto"/>
              <w:right w:val="single" w:sz="4" w:space="0" w:color="auto"/>
            </w:tcBorders>
            <w:shd w:val="clear" w:color="auto" w:fill="auto"/>
            <w:vAlign w:val="center"/>
            <w:hideMark/>
          </w:tcPr>
          <w:p w14:paraId="596F6CC1" w14:textId="77777777" w:rsidR="00374360" w:rsidRPr="00D26825" w:rsidRDefault="00374360" w:rsidP="00374360">
            <w:pPr>
              <w:jc w:val="left"/>
              <w:rPr>
                <w:rFonts w:ascii="Arial Narrow" w:hAnsi="Arial Narrow" w:cs="Calibri"/>
                <w:color w:val="000000"/>
                <w:spacing w:val="0"/>
                <w:sz w:val="18"/>
                <w:szCs w:val="18"/>
                <w:lang w:val="en-US" w:eastAsia="es-CO"/>
              </w:rPr>
            </w:pPr>
            <w:r w:rsidRPr="00D26825">
              <w:rPr>
                <w:rFonts w:ascii="Arial Narrow" w:hAnsi="Arial Narrow" w:cs="Calibri"/>
                <w:color w:val="000000"/>
                <w:spacing w:val="0"/>
                <w:sz w:val="18"/>
                <w:szCs w:val="18"/>
                <w:lang w:val="en-US" w:eastAsia="es-CO"/>
              </w:rPr>
              <w:t>GENERSYS S.A.S E.S.P.</w:t>
            </w:r>
          </w:p>
        </w:tc>
        <w:tc>
          <w:tcPr>
            <w:tcW w:w="1602" w:type="dxa"/>
            <w:tcBorders>
              <w:top w:val="nil"/>
              <w:left w:val="nil"/>
              <w:bottom w:val="single" w:sz="4" w:space="0" w:color="auto"/>
              <w:right w:val="single" w:sz="4" w:space="0" w:color="auto"/>
            </w:tcBorders>
            <w:shd w:val="clear" w:color="auto" w:fill="auto"/>
            <w:noWrap/>
            <w:vAlign w:val="center"/>
            <w:hideMark/>
          </w:tcPr>
          <w:p w14:paraId="22ABFEA8" w14:textId="2EADB842"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150</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999</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018 </w:t>
            </w:r>
          </w:p>
        </w:tc>
        <w:tc>
          <w:tcPr>
            <w:tcW w:w="1418" w:type="dxa"/>
            <w:tcBorders>
              <w:top w:val="nil"/>
              <w:left w:val="nil"/>
              <w:bottom w:val="single" w:sz="4" w:space="0" w:color="auto"/>
              <w:right w:val="single" w:sz="4" w:space="0" w:color="auto"/>
            </w:tcBorders>
            <w:shd w:val="clear" w:color="auto" w:fill="auto"/>
            <w:noWrap/>
            <w:vAlign w:val="center"/>
            <w:hideMark/>
          </w:tcPr>
          <w:p w14:paraId="3B554501" w14:textId="59828D92"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509</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990 </w:t>
            </w:r>
          </w:p>
        </w:tc>
      </w:tr>
      <w:tr w:rsidR="009A21D7" w:rsidRPr="00374360" w14:paraId="73F903F8"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00E1C71"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223</w:t>
            </w:r>
          </w:p>
        </w:tc>
        <w:tc>
          <w:tcPr>
            <w:tcW w:w="660" w:type="dxa"/>
            <w:tcBorders>
              <w:top w:val="nil"/>
              <w:left w:val="nil"/>
              <w:bottom w:val="single" w:sz="4" w:space="0" w:color="auto"/>
              <w:right w:val="single" w:sz="4" w:space="0" w:color="auto"/>
            </w:tcBorders>
            <w:shd w:val="clear" w:color="auto" w:fill="auto"/>
            <w:noWrap/>
            <w:vAlign w:val="center"/>
            <w:hideMark/>
          </w:tcPr>
          <w:p w14:paraId="18660EAB"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26580</w:t>
            </w:r>
          </w:p>
        </w:tc>
        <w:tc>
          <w:tcPr>
            <w:tcW w:w="879" w:type="dxa"/>
            <w:tcBorders>
              <w:top w:val="nil"/>
              <w:left w:val="nil"/>
              <w:bottom w:val="single" w:sz="4" w:space="0" w:color="auto"/>
              <w:right w:val="single" w:sz="4" w:space="0" w:color="auto"/>
            </w:tcBorders>
            <w:shd w:val="clear" w:color="auto" w:fill="auto"/>
            <w:noWrap/>
            <w:vAlign w:val="center"/>
            <w:hideMark/>
          </w:tcPr>
          <w:p w14:paraId="1E4D7404"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900579800</w:t>
            </w:r>
          </w:p>
        </w:tc>
        <w:tc>
          <w:tcPr>
            <w:tcW w:w="3913" w:type="dxa"/>
            <w:tcBorders>
              <w:top w:val="nil"/>
              <w:left w:val="nil"/>
              <w:bottom w:val="single" w:sz="4" w:space="0" w:color="auto"/>
              <w:right w:val="single" w:sz="4" w:space="0" w:color="auto"/>
            </w:tcBorders>
            <w:shd w:val="clear" w:color="auto" w:fill="auto"/>
            <w:vAlign w:val="center"/>
            <w:hideMark/>
          </w:tcPr>
          <w:p w14:paraId="1C687248"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GENSER POWER SAS ESP</w:t>
            </w:r>
          </w:p>
        </w:tc>
        <w:tc>
          <w:tcPr>
            <w:tcW w:w="1602" w:type="dxa"/>
            <w:tcBorders>
              <w:top w:val="nil"/>
              <w:left w:val="nil"/>
              <w:bottom w:val="single" w:sz="4" w:space="0" w:color="auto"/>
              <w:right w:val="single" w:sz="4" w:space="0" w:color="auto"/>
            </w:tcBorders>
            <w:shd w:val="clear" w:color="auto" w:fill="auto"/>
            <w:noWrap/>
            <w:vAlign w:val="center"/>
            <w:hideMark/>
          </w:tcPr>
          <w:p w14:paraId="6DF4E9CD" w14:textId="7FA4FAFF"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574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108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313 </w:t>
            </w:r>
          </w:p>
        </w:tc>
        <w:tc>
          <w:tcPr>
            <w:tcW w:w="1418" w:type="dxa"/>
            <w:tcBorders>
              <w:top w:val="nil"/>
              <w:left w:val="nil"/>
              <w:bottom w:val="single" w:sz="4" w:space="0" w:color="auto"/>
              <w:right w:val="single" w:sz="4" w:space="0" w:color="auto"/>
            </w:tcBorders>
            <w:shd w:val="clear" w:color="auto" w:fill="auto"/>
            <w:noWrap/>
            <w:vAlign w:val="center"/>
            <w:hideMark/>
          </w:tcPr>
          <w:p w14:paraId="67BA5FC5" w14:textId="007E12D4"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5</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741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083 </w:t>
            </w:r>
          </w:p>
        </w:tc>
      </w:tr>
      <w:tr w:rsidR="009A21D7" w:rsidRPr="00374360" w14:paraId="7373FB4C" w14:textId="77777777" w:rsidTr="00C734CF">
        <w:trPr>
          <w:trHeight w:val="4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31A4784"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lastRenderedPageBreak/>
              <w:t>224</w:t>
            </w:r>
          </w:p>
        </w:tc>
        <w:tc>
          <w:tcPr>
            <w:tcW w:w="660" w:type="dxa"/>
            <w:tcBorders>
              <w:top w:val="nil"/>
              <w:left w:val="nil"/>
              <w:bottom w:val="single" w:sz="4" w:space="0" w:color="auto"/>
              <w:right w:val="single" w:sz="4" w:space="0" w:color="auto"/>
            </w:tcBorders>
            <w:shd w:val="clear" w:color="auto" w:fill="auto"/>
            <w:noWrap/>
            <w:vAlign w:val="center"/>
            <w:hideMark/>
          </w:tcPr>
          <w:p w14:paraId="123667B3"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26617</w:t>
            </w:r>
          </w:p>
        </w:tc>
        <w:tc>
          <w:tcPr>
            <w:tcW w:w="879" w:type="dxa"/>
            <w:tcBorders>
              <w:top w:val="nil"/>
              <w:left w:val="nil"/>
              <w:bottom w:val="single" w:sz="4" w:space="0" w:color="auto"/>
              <w:right w:val="single" w:sz="4" w:space="0" w:color="auto"/>
            </w:tcBorders>
            <w:shd w:val="clear" w:color="auto" w:fill="auto"/>
            <w:noWrap/>
            <w:vAlign w:val="center"/>
            <w:hideMark/>
          </w:tcPr>
          <w:p w14:paraId="4C350236"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830111971</w:t>
            </w:r>
          </w:p>
        </w:tc>
        <w:tc>
          <w:tcPr>
            <w:tcW w:w="3913" w:type="dxa"/>
            <w:tcBorders>
              <w:top w:val="nil"/>
              <w:left w:val="nil"/>
              <w:bottom w:val="single" w:sz="4" w:space="0" w:color="auto"/>
              <w:right w:val="single" w:sz="4" w:space="0" w:color="auto"/>
            </w:tcBorders>
            <w:shd w:val="clear" w:color="auto" w:fill="auto"/>
            <w:vAlign w:val="center"/>
            <w:hideMark/>
          </w:tcPr>
          <w:p w14:paraId="28A2B6B2" w14:textId="77777777" w:rsidR="00374360" w:rsidRPr="00D26825" w:rsidRDefault="00374360" w:rsidP="00374360">
            <w:pPr>
              <w:jc w:val="left"/>
              <w:rPr>
                <w:rFonts w:ascii="Arial Narrow" w:hAnsi="Arial Narrow" w:cs="Calibri"/>
                <w:color w:val="000000"/>
                <w:spacing w:val="0"/>
                <w:sz w:val="18"/>
                <w:szCs w:val="18"/>
                <w:lang w:val="en-US" w:eastAsia="es-CO"/>
              </w:rPr>
            </w:pPr>
            <w:r w:rsidRPr="00D26825">
              <w:rPr>
                <w:rFonts w:ascii="Arial Narrow" w:hAnsi="Arial Narrow" w:cs="Calibri"/>
                <w:color w:val="000000"/>
                <w:spacing w:val="0"/>
                <w:sz w:val="18"/>
                <w:szCs w:val="18"/>
                <w:lang w:val="en-US" w:eastAsia="es-CO"/>
              </w:rPr>
              <w:t>GEOPRODUCTION OIL AND GAS COMPANY OF COLOMBIA</w:t>
            </w:r>
          </w:p>
        </w:tc>
        <w:tc>
          <w:tcPr>
            <w:tcW w:w="1602" w:type="dxa"/>
            <w:tcBorders>
              <w:top w:val="nil"/>
              <w:left w:val="nil"/>
              <w:bottom w:val="single" w:sz="4" w:space="0" w:color="auto"/>
              <w:right w:val="single" w:sz="4" w:space="0" w:color="auto"/>
            </w:tcBorders>
            <w:shd w:val="clear" w:color="auto" w:fill="auto"/>
            <w:noWrap/>
            <w:vAlign w:val="center"/>
            <w:hideMark/>
          </w:tcPr>
          <w:p w14:paraId="0547A5C8" w14:textId="08D4524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166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578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424 </w:t>
            </w:r>
          </w:p>
        </w:tc>
        <w:tc>
          <w:tcPr>
            <w:tcW w:w="1418" w:type="dxa"/>
            <w:tcBorders>
              <w:top w:val="nil"/>
              <w:left w:val="nil"/>
              <w:bottom w:val="single" w:sz="4" w:space="0" w:color="auto"/>
              <w:right w:val="single" w:sz="4" w:space="0" w:color="auto"/>
            </w:tcBorders>
            <w:shd w:val="clear" w:color="auto" w:fill="auto"/>
            <w:noWrap/>
            <w:vAlign w:val="center"/>
            <w:hideMark/>
          </w:tcPr>
          <w:p w14:paraId="28AF9857" w14:textId="546535E0"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211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665</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784 </w:t>
            </w:r>
          </w:p>
        </w:tc>
      </w:tr>
      <w:tr w:rsidR="009A21D7" w:rsidRPr="00374360" w14:paraId="211016A8"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37C8D91"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225</w:t>
            </w:r>
          </w:p>
        </w:tc>
        <w:tc>
          <w:tcPr>
            <w:tcW w:w="660" w:type="dxa"/>
            <w:tcBorders>
              <w:top w:val="nil"/>
              <w:left w:val="nil"/>
              <w:bottom w:val="single" w:sz="4" w:space="0" w:color="auto"/>
              <w:right w:val="single" w:sz="4" w:space="0" w:color="auto"/>
            </w:tcBorders>
            <w:shd w:val="clear" w:color="auto" w:fill="auto"/>
            <w:noWrap/>
            <w:vAlign w:val="center"/>
            <w:hideMark/>
          </w:tcPr>
          <w:p w14:paraId="1C4FD05D"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1757</w:t>
            </w:r>
          </w:p>
        </w:tc>
        <w:tc>
          <w:tcPr>
            <w:tcW w:w="879" w:type="dxa"/>
            <w:tcBorders>
              <w:top w:val="nil"/>
              <w:left w:val="nil"/>
              <w:bottom w:val="single" w:sz="4" w:space="0" w:color="auto"/>
              <w:right w:val="single" w:sz="4" w:space="0" w:color="auto"/>
            </w:tcBorders>
            <w:shd w:val="clear" w:color="auto" w:fill="auto"/>
            <w:noWrap/>
            <w:vAlign w:val="center"/>
            <w:hideMark/>
          </w:tcPr>
          <w:p w14:paraId="3CF94DB6"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800194208</w:t>
            </w:r>
          </w:p>
        </w:tc>
        <w:tc>
          <w:tcPr>
            <w:tcW w:w="3913" w:type="dxa"/>
            <w:tcBorders>
              <w:top w:val="nil"/>
              <w:left w:val="nil"/>
              <w:bottom w:val="single" w:sz="4" w:space="0" w:color="auto"/>
              <w:right w:val="single" w:sz="4" w:space="0" w:color="auto"/>
            </w:tcBorders>
            <w:shd w:val="clear" w:color="auto" w:fill="auto"/>
            <w:vAlign w:val="center"/>
            <w:hideMark/>
          </w:tcPr>
          <w:p w14:paraId="4327155C"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GESTION ENERGETICA S.A. ESP</w:t>
            </w:r>
          </w:p>
        </w:tc>
        <w:tc>
          <w:tcPr>
            <w:tcW w:w="1602" w:type="dxa"/>
            <w:tcBorders>
              <w:top w:val="nil"/>
              <w:left w:val="nil"/>
              <w:bottom w:val="single" w:sz="4" w:space="0" w:color="auto"/>
              <w:right w:val="single" w:sz="4" w:space="0" w:color="auto"/>
            </w:tcBorders>
            <w:shd w:val="clear" w:color="auto" w:fill="auto"/>
            <w:noWrap/>
            <w:vAlign w:val="center"/>
            <w:hideMark/>
          </w:tcPr>
          <w:p w14:paraId="4D6B46E2" w14:textId="63EA5CFB"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15</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258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694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292 </w:t>
            </w:r>
          </w:p>
        </w:tc>
        <w:tc>
          <w:tcPr>
            <w:tcW w:w="1418" w:type="dxa"/>
            <w:tcBorders>
              <w:top w:val="nil"/>
              <w:left w:val="nil"/>
              <w:bottom w:val="single" w:sz="4" w:space="0" w:color="auto"/>
              <w:right w:val="single" w:sz="4" w:space="0" w:color="auto"/>
            </w:tcBorders>
            <w:shd w:val="clear" w:color="auto" w:fill="auto"/>
            <w:noWrap/>
            <w:vAlign w:val="center"/>
            <w:hideMark/>
          </w:tcPr>
          <w:p w14:paraId="278B2B7D" w14:textId="49D0A22C"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152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586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943 </w:t>
            </w:r>
          </w:p>
        </w:tc>
      </w:tr>
      <w:tr w:rsidR="009A21D7" w:rsidRPr="00374360" w14:paraId="17D05522" w14:textId="77777777" w:rsidTr="00C734CF">
        <w:trPr>
          <w:trHeight w:val="6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141E002"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226</w:t>
            </w:r>
          </w:p>
        </w:tc>
        <w:tc>
          <w:tcPr>
            <w:tcW w:w="660" w:type="dxa"/>
            <w:tcBorders>
              <w:top w:val="nil"/>
              <w:left w:val="nil"/>
              <w:bottom w:val="single" w:sz="4" w:space="0" w:color="auto"/>
              <w:right w:val="single" w:sz="4" w:space="0" w:color="auto"/>
            </w:tcBorders>
            <w:shd w:val="clear" w:color="auto" w:fill="auto"/>
            <w:noWrap/>
            <w:vAlign w:val="center"/>
            <w:hideMark/>
          </w:tcPr>
          <w:p w14:paraId="573B7050"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45396</w:t>
            </w:r>
          </w:p>
        </w:tc>
        <w:tc>
          <w:tcPr>
            <w:tcW w:w="879" w:type="dxa"/>
            <w:tcBorders>
              <w:top w:val="nil"/>
              <w:left w:val="nil"/>
              <w:bottom w:val="single" w:sz="4" w:space="0" w:color="auto"/>
              <w:right w:val="single" w:sz="4" w:space="0" w:color="auto"/>
            </w:tcBorders>
            <w:shd w:val="clear" w:color="auto" w:fill="auto"/>
            <w:noWrap/>
            <w:vAlign w:val="center"/>
            <w:hideMark/>
          </w:tcPr>
          <w:p w14:paraId="1E5080C3"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901306019</w:t>
            </w:r>
          </w:p>
        </w:tc>
        <w:tc>
          <w:tcPr>
            <w:tcW w:w="3913" w:type="dxa"/>
            <w:tcBorders>
              <w:top w:val="nil"/>
              <w:left w:val="nil"/>
              <w:bottom w:val="single" w:sz="4" w:space="0" w:color="auto"/>
              <w:right w:val="single" w:sz="4" w:space="0" w:color="auto"/>
            </w:tcBorders>
            <w:shd w:val="clear" w:color="auto" w:fill="auto"/>
            <w:vAlign w:val="center"/>
            <w:hideMark/>
          </w:tcPr>
          <w:p w14:paraId="116873A9"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GIGAS ENERGY SOCIEDAD POR ACCIONES SIMPLIFICADAS EMPRESA DE SERVICIOS PUBLICOS</w:t>
            </w:r>
          </w:p>
        </w:tc>
        <w:tc>
          <w:tcPr>
            <w:tcW w:w="1602" w:type="dxa"/>
            <w:tcBorders>
              <w:top w:val="nil"/>
              <w:left w:val="nil"/>
              <w:bottom w:val="single" w:sz="4" w:space="0" w:color="auto"/>
              <w:right w:val="single" w:sz="4" w:space="0" w:color="auto"/>
            </w:tcBorders>
            <w:shd w:val="clear" w:color="auto" w:fill="auto"/>
            <w:noWrap/>
            <w:vAlign w:val="center"/>
            <w:hideMark/>
          </w:tcPr>
          <w:p w14:paraId="6F29E46C" w14:textId="30FDF1B6"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285</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336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151 </w:t>
            </w:r>
          </w:p>
        </w:tc>
        <w:tc>
          <w:tcPr>
            <w:tcW w:w="1418" w:type="dxa"/>
            <w:tcBorders>
              <w:top w:val="nil"/>
              <w:left w:val="nil"/>
              <w:bottom w:val="single" w:sz="4" w:space="0" w:color="auto"/>
              <w:right w:val="single" w:sz="4" w:space="0" w:color="auto"/>
            </w:tcBorders>
            <w:shd w:val="clear" w:color="auto" w:fill="auto"/>
            <w:noWrap/>
            <w:vAlign w:val="center"/>
            <w:hideMark/>
          </w:tcPr>
          <w:p w14:paraId="352CEEC2" w14:textId="192E9582"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853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362 </w:t>
            </w:r>
          </w:p>
        </w:tc>
      </w:tr>
      <w:tr w:rsidR="009A21D7" w:rsidRPr="00374360" w14:paraId="0927A2B0"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E5EA5DC"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227</w:t>
            </w:r>
          </w:p>
        </w:tc>
        <w:tc>
          <w:tcPr>
            <w:tcW w:w="660" w:type="dxa"/>
            <w:tcBorders>
              <w:top w:val="nil"/>
              <w:left w:val="nil"/>
              <w:bottom w:val="single" w:sz="4" w:space="0" w:color="auto"/>
              <w:right w:val="single" w:sz="4" w:space="0" w:color="auto"/>
            </w:tcBorders>
            <w:shd w:val="clear" w:color="auto" w:fill="auto"/>
            <w:noWrap/>
            <w:vAlign w:val="center"/>
            <w:hideMark/>
          </w:tcPr>
          <w:p w14:paraId="000DBEB8"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32215</w:t>
            </w:r>
          </w:p>
        </w:tc>
        <w:tc>
          <w:tcPr>
            <w:tcW w:w="879" w:type="dxa"/>
            <w:tcBorders>
              <w:top w:val="nil"/>
              <w:left w:val="nil"/>
              <w:bottom w:val="single" w:sz="4" w:space="0" w:color="auto"/>
              <w:right w:val="single" w:sz="4" w:space="0" w:color="auto"/>
            </w:tcBorders>
            <w:shd w:val="clear" w:color="auto" w:fill="auto"/>
            <w:noWrap/>
            <w:vAlign w:val="center"/>
            <w:hideMark/>
          </w:tcPr>
          <w:p w14:paraId="2A5A4B7F"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900922760</w:t>
            </w:r>
          </w:p>
        </w:tc>
        <w:tc>
          <w:tcPr>
            <w:tcW w:w="3913" w:type="dxa"/>
            <w:tcBorders>
              <w:top w:val="nil"/>
              <w:left w:val="nil"/>
              <w:bottom w:val="single" w:sz="4" w:space="0" w:color="auto"/>
              <w:right w:val="single" w:sz="4" w:space="0" w:color="auto"/>
            </w:tcBorders>
            <w:shd w:val="clear" w:color="auto" w:fill="auto"/>
            <w:vAlign w:val="center"/>
            <w:hideMark/>
          </w:tcPr>
          <w:p w14:paraId="650F18E2"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GLOBAL, REDES Y OBRAS S.A.S. E.S.P. </w:t>
            </w:r>
          </w:p>
        </w:tc>
        <w:tc>
          <w:tcPr>
            <w:tcW w:w="1602" w:type="dxa"/>
            <w:tcBorders>
              <w:top w:val="nil"/>
              <w:left w:val="nil"/>
              <w:bottom w:val="single" w:sz="4" w:space="0" w:color="auto"/>
              <w:right w:val="single" w:sz="4" w:space="0" w:color="auto"/>
            </w:tcBorders>
            <w:shd w:val="clear" w:color="auto" w:fill="auto"/>
            <w:noWrap/>
            <w:vAlign w:val="center"/>
            <w:hideMark/>
          </w:tcPr>
          <w:p w14:paraId="0F3A8419" w14:textId="634EFD89"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381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105</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128 </w:t>
            </w:r>
          </w:p>
        </w:tc>
        <w:tc>
          <w:tcPr>
            <w:tcW w:w="1418" w:type="dxa"/>
            <w:tcBorders>
              <w:top w:val="nil"/>
              <w:left w:val="nil"/>
              <w:bottom w:val="single" w:sz="4" w:space="0" w:color="auto"/>
              <w:right w:val="single" w:sz="4" w:space="0" w:color="auto"/>
            </w:tcBorders>
            <w:shd w:val="clear" w:color="auto" w:fill="auto"/>
            <w:noWrap/>
            <w:vAlign w:val="center"/>
            <w:hideMark/>
          </w:tcPr>
          <w:p w14:paraId="52EA7F6F" w14:textId="50F60971"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811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051 </w:t>
            </w:r>
          </w:p>
        </w:tc>
      </w:tr>
      <w:tr w:rsidR="009A21D7" w:rsidRPr="00374360" w14:paraId="6B2EF13C" w14:textId="77777777" w:rsidTr="00C734CF">
        <w:trPr>
          <w:trHeight w:val="4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098F9DA"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228</w:t>
            </w:r>
          </w:p>
        </w:tc>
        <w:tc>
          <w:tcPr>
            <w:tcW w:w="660" w:type="dxa"/>
            <w:tcBorders>
              <w:top w:val="nil"/>
              <w:left w:val="nil"/>
              <w:bottom w:val="single" w:sz="4" w:space="0" w:color="auto"/>
              <w:right w:val="single" w:sz="4" w:space="0" w:color="auto"/>
            </w:tcBorders>
            <w:shd w:val="clear" w:color="auto" w:fill="auto"/>
            <w:noWrap/>
            <w:vAlign w:val="center"/>
            <w:hideMark/>
          </w:tcPr>
          <w:p w14:paraId="17B5F7B7"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22488</w:t>
            </w:r>
          </w:p>
        </w:tc>
        <w:tc>
          <w:tcPr>
            <w:tcW w:w="879" w:type="dxa"/>
            <w:tcBorders>
              <w:top w:val="nil"/>
              <w:left w:val="nil"/>
              <w:bottom w:val="single" w:sz="4" w:space="0" w:color="auto"/>
              <w:right w:val="single" w:sz="4" w:space="0" w:color="auto"/>
            </w:tcBorders>
            <w:shd w:val="clear" w:color="auto" w:fill="auto"/>
            <w:noWrap/>
            <w:vAlign w:val="center"/>
            <w:hideMark/>
          </w:tcPr>
          <w:p w14:paraId="3AECE0F3"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900103542</w:t>
            </w:r>
          </w:p>
        </w:tc>
        <w:tc>
          <w:tcPr>
            <w:tcW w:w="3913" w:type="dxa"/>
            <w:tcBorders>
              <w:top w:val="nil"/>
              <w:left w:val="nil"/>
              <w:bottom w:val="single" w:sz="4" w:space="0" w:color="auto"/>
              <w:right w:val="single" w:sz="4" w:space="0" w:color="auto"/>
            </w:tcBorders>
            <w:shd w:val="clear" w:color="auto" w:fill="auto"/>
            <w:vAlign w:val="center"/>
            <w:hideMark/>
          </w:tcPr>
          <w:p w14:paraId="2C7EB055"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GNI GAS NATURAL INDUSTRIAL DE COLOMBIA S.A.S. E.S.P.</w:t>
            </w:r>
          </w:p>
        </w:tc>
        <w:tc>
          <w:tcPr>
            <w:tcW w:w="1602" w:type="dxa"/>
            <w:tcBorders>
              <w:top w:val="nil"/>
              <w:left w:val="nil"/>
              <w:bottom w:val="single" w:sz="4" w:space="0" w:color="auto"/>
              <w:right w:val="single" w:sz="4" w:space="0" w:color="auto"/>
            </w:tcBorders>
            <w:shd w:val="clear" w:color="auto" w:fill="auto"/>
            <w:noWrap/>
            <w:vAlign w:val="center"/>
            <w:hideMark/>
          </w:tcPr>
          <w:p w14:paraId="133F6F7E" w14:textId="6142646D"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266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868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312 </w:t>
            </w:r>
          </w:p>
        </w:tc>
        <w:tc>
          <w:tcPr>
            <w:tcW w:w="1418" w:type="dxa"/>
            <w:tcBorders>
              <w:top w:val="nil"/>
              <w:left w:val="nil"/>
              <w:bottom w:val="single" w:sz="4" w:space="0" w:color="auto"/>
              <w:right w:val="single" w:sz="4" w:space="0" w:color="auto"/>
            </w:tcBorders>
            <w:shd w:val="clear" w:color="auto" w:fill="auto"/>
            <w:noWrap/>
            <w:vAlign w:val="center"/>
            <w:hideMark/>
          </w:tcPr>
          <w:p w14:paraId="03A4FA9C" w14:textId="439EA5F8"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668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683 </w:t>
            </w:r>
          </w:p>
        </w:tc>
      </w:tr>
      <w:tr w:rsidR="009A21D7" w:rsidRPr="00374360" w14:paraId="312F7535"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2E97E57"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229</w:t>
            </w:r>
          </w:p>
        </w:tc>
        <w:tc>
          <w:tcPr>
            <w:tcW w:w="660" w:type="dxa"/>
            <w:tcBorders>
              <w:top w:val="nil"/>
              <w:left w:val="nil"/>
              <w:bottom w:val="single" w:sz="4" w:space="0" w:color="auto"/>
              <w:right w:val="single" w:sz="4" w:space="0" w:color="auto"/>
            </w:tcBorders>
            <w:shd w:val="clear" w:color="auto" w:fill="auto"/>
            <w:noWrap/>
            <w:vAlign w:val="center"/>
            <w:hideMark/>
          </w:tcPr>
          <w:p w14:paraId="52A086AD"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28591</w:t>
            </w:r>
          </w:p>
        </w:tc>
        <w:tc>
          <w:tcPr>
            <w:tcW w:w="879" w:type="dxa"/>
            <w:tcBorders>
              <w:top w:val="nil"/>
              <w:left w:val="nil"/>
              <w:bottom w:val="single" w:sz="4" w:space="0" w:color="auto"/>
              <w:right w:val="single" w:sz="4" w:space="0" w:color="auto"/>
            </w:tcBorders>
            <w:shd w:val="clear" w:color="auto" w:fill="auto"/>
            <w:noWrap/>
            <w:vAlign w:val="center"/>
            <w:hideMark/>
          </w:tcPr>
          <w:p w14:paraId="735B8818"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860516431</w:t>
            </w:r>
          </w:p>
        </w:tc>
        <w:tc>
          <w:tcPr>
            <w:tcW w:w="3913" w:type="dxa"/>
            <w:tcBorders>
              <w:top w:val="nil"/>
              <w:left w:val="nil"/>
              <w:bottom w:val="single" w:sz="4" w:space="0" w:color="auto"/>
              <w:right w:val="single" w:sz="4" w:space="0" w:color="auto"/>
            </w:tcBorders>
            <w:shd w:val="clear" w:color="auto" w:fill="auto"/>
            <w:vAlign w:val="center"/>
            <w:hideMark/>
          </w:tcPr>
          <w:p w14:paraId="1980EB1F"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GRAN TIERRA ENERGY COLOMBIA LTD</w:t>
            </w:r>
          </w:p>
        </w:tc>
        <w:tc>
          <w:tcPr>
            <w:tcW w:w="1602" w:type="dxa"/>
            <w:tcBorders>
              <w:top w:val="nil"/>
              <w:left w:val="nil"/>
              <w:bottom w:val="single" w:sz="4" w:space="0" w:color="auto"/>
              <w:right w:val="single" w:sz="4" w:space="0" w:color="auto"/>
            </w:tcBorders>
            <w:shd w:val="clear" w:color="auto" w:fill="auto"/>
            <w:noWrap/>
            <w:vAlign w:val="center"/>
            <w:hideMark/>
          </w:tcPr>
          <w:p w14:paraId="01C8B50B" w14:textId="5F5E01E8"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364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456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467 </w:t>
            </w:r>
          </w:p>
        </w:tc>
        <w:tc>
          <w:tcPr>
            <w:tcW w:w="1418" w:type="dxa"/>
            <w:tcBorders>
              <w:top w:val="nil"/>
              <w:left w:val="nil"/>
              <w:bottom w:val="single" w:sz="4" w:space="0" w:color="auto"/>
              <w:right w:val="single" w:sz="4" w:space="0" w:color="auto"/>
            </w:tcBorders>
            <w:shd w:val="clear" w:color="auto" w:fill="auto"/>
            <w:noWrap/>
            <w:vAlign w:val="center"/>
            <w:hideMark/>
          </w:tcPr>
          <w:p w14:paraId="0BD623FE" w14:textId="6A61D669"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644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565 </w:t>
            </w:r>
          </w:p>
        </w:tc>
      </w:tr>
      <w:tr w:rsidR="009A21D7" w:rsidRPr="00374360" w14:paraId="2C614AB6"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4B049FD"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230</w:t>
            </w:r>
          </w:p>
        </w:tc>
        <w:tc>
          <w:tcPr>
            <w:tcW w:w="660" w:type="dxa"/>
            <w:tcBorders>
              <w:top w:val="nil"/>
              <w:left w:val="nil"/>
              <w:bottom w:val="single" w:sz="4" w:space="0" w:color="auto"/>
              <w:right w:val="single" w:sz="4" w:space="0" w:color="auto"/>
            </w:tcBorders>
            <w:shd w:val="clear" w:color="auto" w:fill="auto"/>
            <w:noWrap/>
            <w:vAlign w:val="center"/>
            <w:hideMark/>
          </w:tcPr>
          <w:p w14:paraId="7A132E09"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1330</w:t>
            </w:r>
          </w:p>
        </w:tc>
        <w:tc>
          <w:tcPr>
            <w:tcW w:w="879" w:type="dxa"/>
            <w:tcBorders>
              <w:top w:val="nil"/>
              <w:left w:val="nil"/>
              <w:bottom w:val="single" w:sz="4" w:space="0" w:color="auto"/>
              <w:right w:val="single" w:sz="4" w:space="0" w:color="auto"/>
            </w:tcBorders>
            <w:shd w:val="clear" w:color="auto" w:fill="auto"/>
            <w:noWrap/>
            <w:vAlign w:val="center"/>
            <w:hideMark/>
          </w:tcPr>
          <w:p w14:paraId="4CD9FD87"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891800082</w:t>
            </w:r>
          </w:p>
        </w:tc>
        <w:tc>
          <w:tcPr>
            <w:tcW w:w="3913" w:type="dxa"/>
            <w:tcBorders>
              <w:top w:val="nil"/>
              <w:left w:val="nil"/>
              <w:bottom w:val="single" w:sz="4" w:space="0" w:color="auto"/>
              <w:right w:val="single" w:sz="4" w:space="0" w:color="auto"/>
            </w:tcBorders>
            <w:shd w:val="clear" w:color="auto" w:fill="auto"/>
            <w:vAlign w:val="center"/>
            <w:hideMark/>
          </w:tcPr>
          <w:p w14:paraId="61DFF5A3"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GRANADOS, GOMEZ Y CIA S.A. E.S.P.</w:t>
            </w:r>
          </w:p>
        </w:tc>
        <w:tc>
          <w:tcPr>
            <w:tcW w:w="1602" w:type="dxa"/>
            <w:tcBorders>
              <w:top w:val="nil"/>
              <w:left w:val="nil"/>
              <w:bottom w:val="single" w:sz="4" w:space="0" w:color="auto"/>
              <w:right w:val="single" w:sz="4" w:space="0" w:color="auto"/>
            </w:tcBorders>
            <w:shd w:val="clear" w:color="auto" w:fill="auto"/>
            <w:noWrap/>
            <w:vAlign w:val="center"/>
            <w:hideMark/>
          </w:tcPr>
          <w:p w14:paraId="67DF66FF" w14:textId="5B0C95A2"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110</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387</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689 </w:t>
            </w:r>
          </w:p>
        </w:tc>
        <w:tc>
          <w:tcPr>
            <w:tcW w:w="1418" w:type="dxa"/>
            <w:tcBorders>
              <w:top w:val="nil"/>
              <w:left w:val="nil"/>
              <w:bottom w:val="single" w:sz="4" w:space="0" w:color="auto"/>
              <w:right w:val="single" w:sz="4" w:space="0" w:color="auto"/>
            </w:tcBorders>
            <w:shd w:val="clear" w:color="auto" w:fill="auto"/>
            <w:noWrap/>
            <w:vAlign w:val="center"/>
            <w:hideMark/>
          </w:tcPr>
          <w:p w14:paraId="007F3D5A" w14:textId="6342A05F"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103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877 </w:t>
            </w:r>
          </w:p>
        </w:tc>
      </w:tr>
      <w:tr w:rsidR="009A21D7" w:rsidRPr="00374360" w14:paraId="3E97111A"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B7BF79E"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231</w:t>
            </w:r>
          </w:p>
        </w:tc>
        <w:tc>
          <w:tcPr>
            <w:tcW w:w="660" w:type="dxa"/>
            <w:tcBorders>
              <w:top w:val="nil"/>
              <w:left w:val="nil"/>
              <w:bottom w:val="single" w:sz="4" w:space="0" w:color="auto"/>
              <w:right w:val="single" w:sz="4" w:space="0" w:color="auto"/>
            </w:tcBorders>
            <w:shd w:val="clear" w:color="auto" w:fill="auto"/>
            <w:noWrap/>
            <w:vAlign w:val="center"/>
            <w:hideMark/>
          </w:tcPr>
          <w:p w14:paraId="4DD74306"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27391</w:t>
            </w:r>
          </w:p>
        </w:tc>
        <w:tc>
          <w:tcPr>
            <w:tcW w:w="879" w:type="dxa"/>
            <w:tcBorders>
              <w:top w:val="nil"/>
              <w:left w:val="nil"/>
              <w:bottom w:val="single" w:sz="4" w:space="0" w:color="auto"/>
              <w:right w:val="single" w:sz="4" w:space="0" w:color="auto"/>
            </w:tcBorders>
            <w:shd w:val="clear" w:color="auto" w:fill="auto"/>
            <w:noWrap/>
            <w:vAlign w:val="center"/>
            <w:hideMark/>
          </w:tcPr>
          <w:p w14:paraId="56331E79"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900737783</w:t>
            </w:r>
          </w:p>
        </w:tc>
        <w:tc>
          <w:tcPr>
            <w:tcW w:w="3913" w:type="dxa"/>
            <w:tcBorders>
              <w:top w:val="nil"/>
              <w:left w:val="nil"/>
              <w:bottom w:val="single" w:sz="4" w:space="0" w:color="auto"/>
              <w:right w:val="single" w:sz="4" w:space="0" w:color="auto"/>
            </w:tcBorders>
            <w:shd w:val="clear" w:color="auto" w:fill="auto"/>
            <w:vAlign w:val="center"/>
            <w:hideMark/>
          </w:tcPr>
          <w:p w14:paraId="0224EFA9"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GRUPO BILATERAL ENERGY SAS ESP</w:t>
            </w:r>
          </w:p>
        </w:tc>
        <w:tc>
          <w:tcPr>
            <w:tcW w:w="1602" w:type="dxa"/>
            <w:tcBorders>
              <w:top w:val="nil"/>
              <w:left w:val="nil"/>
              <w:bottom w:val="single" w:sz="4" w:space="0" w:color="auto"/>
              <w:right w:val="single" w:sz="4" w:space="0" w:color="auto"/>
            </w:tcBorders>
            <w:shd w:val="clear" w:color="auto" w:fill="auto"/>
            <w:noWrap/>
            <w:vAlign w:val="center"/>
            <w:hideMark/>
          </w:tcPr>
          <w:p w14:paraId="5E0AE8DB" w14:textId="6D47D9C0"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82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303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335 </w:t>
            </w:r>
          </w:p>
        </w:tc>
        <w:tc>
          <w:tcPr>
            <w:tcW w:w="1418" w:type="dxa"/>
            <w:tcBorders>
              <w:top w:val="nil"/>
              <w:left w:val="nil"/>
              <w:bottom w:val="single" w:sz="4" w:space="0" w:color="auto"/>
              <w:right w:val="single" w:sz="4" w:space="0" w:color="auto"/>
            </w:tcBorders>
            <w:shd w:val="clear" w:color="auto" w:fill="auto"/>
            <w:noWrap/>
            <w:vAlign w:val="center"/>
            <w:hideMark/>
          </w:tcPr>
          <w:p w14:paraId="6393F7D2" w14:textId="6CE6CCA0"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823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033 </w:t>
            </w:r>
          </w:p>
        </w:tc>
      </w:tr>
      <w:tr w:rsidR="009A21D7" w:rsidRPr="00374360" w14:paraId="7D203D09"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477D5CE"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232</w:t>
            </w:r>
          </w:p>
        </w:tc>
        <w:tc>
          <w:tcPr>
            <w:tcW w:w="660" w:type="dxa"/>
            <w:tcBorders>
              <w:top w:val="nil"/>
              <w:left w:val="nil"/>
              <w:bottom w:val="single" w:sz="4" w:space="0" w:color="auto"/>
              <w:right w:val="single" w:sz="4" w:space="0" w:color="auto"/>
            </w:tcBorders>
            <w:shd w:val="clear" w:color="auto" w:fill="auto"/>
            <w:noWrap/>
            <w:vAlign w:val="center"/>
            <w:hideMark/>
          </w:tcPr>
          <w:p w14:paraId="445224FD"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23419</w:t>
            </w:r>
          </w:p>
        </w:tc>
        <w:tc>
          <w:tcPr>
            <w:tcW w:w="879" w:type="dxa"/>
            <w:tcBorders>
              <w:top w:val="nil"/>
              <w:left w:val="nil"/>
              <w:bottom w:val="single" w:sz="4" w:space="0" w:color="auto"/>
              <w:right w:val="single" w:sz="4" w:space="0" w:color="auto"/>
            </w:tcBorders>
            <w:shd w:val="clear" w:color="auto" w:fill="auto"/>
            <w:noWrap/>
            <w:vAlign w:val="center"/>
            <w:hideMark/>
          </w:tcPr>
          <w:p w14:paraId="1E61DFFE"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900210455</w:t>
            </w:r>
          </w:p>
        </w:tc>
        <w:tc>
          <w:tcPr>
            <w:tcW w:w="3913" w:type="dxa"/>
            <w:tcBorders>
              <w:top w:val="nil"/>
              <w:left w:val="nil"/>
              <w:bottom w:val="single" w:sz="4" w:space="0" w:color="auto"/>
              <w:right w:val="single" w:sz="4" w:space="0" w:color="auto"/>
            </w:tcBorders>
            <w:shd w:val="clear" w:color="auto" w:fill="auto"/>
            <w:vAlign w:val="center"/>
            <w:hideMark/>
          </w:tcPr>
          <w:p w14:paraId="2BDAE433"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GUANAQUITAS S.A.S E.S.P</w:t>
            </w:r>
          </w:p>
        </w:tc>
        <w:tc>
          <w:tcPr>
            <w:tcW w:w="1602" w:type="dxa"/>
            <w:tcBorders>
              <w:top w:val="nil"/>
              <w:left w:val="nil"/>
              <w:bottom w:val="single" w:sz="4" w:space="0" w:color="auto"/>
              <w:right w:val="single" w:sz="4" w:space="0" w:color="auto"/>
            </w:tcBorders>
            <w:shd w:val="clear" w:color="auto" w:fill="auto"/>
            <w:noWrap/>
            <w:vAlign w:val="center"/>
            <w:hideMark/>
          </w:tcPr>
          <w:p w14:paraId="0771329A" w14:textId="69C1B89D"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656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945</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079 </w:t>
            </w:r>
          </w:p>
        </w:tc>
        <w:tc>
          <w:tcPr>
            <w:tcW w:w="1418" w:type="dxa"/>
            <w:tcBorders>
              <w:top w:val="nil"/>
              <w:left w:val="nil"/>
              <w:bottom w:val="single" w:sz="4" w:space="0" w:color="auto"/>
              <w:right w:val="single" w:sz="4" w:space="0" w:color="auto"/>
            </w:tcBorders>
            <w:shd w:val="clear" w:color="auto" w:fill="auto"/>
            <w:noWrap/>
            <w:vAlign w:val="center"/>
            <w:hideMark/>
          </w:tcPr>
          <w:p w14:paraId="1CAEE8A8" w14:textId="7767601F"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569</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451 </w:t>
            </w:r>
          </w:p>
        </w:tc>
      </w:tr>
      <w:tr w:rsidR="009A21D7" w:rsidRPr="00374360" w14:paraId="73DAB2FF"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8D27176"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233</w:t>
            </w:r>
          </w:p>
        </w:tc>
        <w:tc>
          <w:tcPr>
            <w:tcW w:w="660" w:type="dxa"/>
            <w:tcBorders>
              <w:top w:val="nil"/>
              <w:left w:val="nil"/>
              <w:bottom w:val="single" w:sz="4" w:space="0" w:color="auto"/>
              <w:right w:val="single" w:sz="4" w:space="0" w:color="auto"/>
            </w:tcBorders>
            <w:shd w:val="clear" w:color="auto" w:fill="auto"/>
            <w:noWrap/>
            <w:vAlign w:val="center"/>
            <w:hideMark/>
          </w:tcPr>
          <w:p w14:paraId="1C57AAFD"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26035</w:t>
            </w:r>
          </w:p>
        </w:tc>
        <w:tc>
          <w:tcPr>
            <w:tcW w:w="879" w:type="dxa"/>
            <w:tcBorders>
              <w:top w:val="nil"/>
              <w:left w:val="nil"/>
              <w:bottom w:val="single" w:sz="4" w:space="0" w:color="auto"/>
              <w:right w:val="single" w:sz="4" w:space="0" w:color="auto"/>
            </w:tcBorders>
            <w:shd w:val="clear" w:color="auto" w:fill="auto"/>
            <w:noWrap/>
            <w:vAlign w:val="center"/>
            <w:hideMark/>
          </w:tcPr>
          <w:p w14:paraId="6A476DB2"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900197640</w:t>
            </w:r>
          </w:p>
        </w:tc>
        <w:tc>
          <w:tcPr>
            <w:tcW w:w="3913" w:type="dxa"/>
            <w:tcBorders>
              <w:top w:val="nil"/>
              <w:left w:val="nil"/>
              <w:bottom w:val="single" w:sz="4" w:space="0" w:color="auto"/>
              <w:right w:val="single" w:sz="4" w:space="0" w:color="auto"/>
            </w:tcBorders>
            <w:shd w:val="clear" w:color="auto" w:fill="auto"/>
            <w:vAlign w:val="center"/>
            <w:hideMark/>
          </w:tcPr>
          <w:p w14:paraId="514831EF"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HEGA SA ESP</w:t>
            </w:r>
          </w:p>
        </w:tc>
        <w:tc>
          <w:tcPr>
            <w:tcW w:w="1602" w:type="dxa"/>
            <w:tcBorders>
              <w:top w:val="nil"/>
              <w:left w:val="nil"/>
              <w:bottom w:val="single" w:sz="4" w:space="0" w:color="auto"/>
              <w:right w:val="single" w:sz="4" w:space="0" w:color="auto"/>
            </w:tcBorders>
            <w:shd w:val="clear" w:color="auto" w:fill="auto"/>
            <w:noWrap/>
            <w:vAlign w:val="center"/>
            <w:hideMark/>
          </w:tcPr>
          <w:p w14:paraId="59B089B8" w14:textId="5876B2FD"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312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357</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772 </w:t>
            </w:r>
          </w:p>
        </w:tc>
        <w:tc>
          <w:tcPr>
            <w:tcW w:w="1418" w:type="dxa"/>
            <w:tcBorders>
              <w:top w:val="nil"/>
              <w:left w:val="nil"/>
              <w:bottom w:val="single" w:sz="4" w:space="0" w:color="auto"/>
              <w:right w:val="single" w:sz="4" w:space="0" w:color="auto"/>
            </w:tcBorders>
            <w:shd w:val="clear" w:color="auto" w:fill="auto"/>
            <w:noWrap/>
            <w:vAlign w:val="center"/>
            <w:hideMark/>
          </w:tcPr>
          <w:p w14:paraId="64A04743" w14:textId="16D2801E"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123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578 </w:t>
            </w:r>
          </w:p>
        </w:tc>
      </w:tr>
      <w:tr w:rsidR="009A21D7" w:rsidRPr="00374360" w14:paraId="0875742B"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811E2CA"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234</w:t>
            </w:r>
          </w:p>
        </w:tc>
        <w:tc>
          <w:tcPr>
            <w:tcW w:w="660" w:type="dxa"/>
            <w:tcBorders>
              <w:top w:val="nil"/>
              <w:left w:val="nil"/>
              <w:bottom w:val="single" w:sz="4" w:space="0" w:color="auto"/>
              <w:right w:val="single" w:sz="4" w:space="0" w:color="auto"/>
            </w:tcBorders>
            <w:shd w:val="clear" w:color="auto" w:fill="auto"/>
            <w:noWrap/>
            <w:vAlign w:val="center"/>
            <w:hideMark/>
          </w:tcPr>
          <w:p w14:paraId="5136267D"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42637</w:t>
            </w:r>
          </w:p>
        </w:tc>
        <w:tc>
          <w:tcPr>
            <w:tcW w:w="879" w:type="dxa"/>
            <w:tcBorders>
              <w:top w:val="nil"/>
              <w:left w:val="nil"/>
              <w:bottom w:val="single" w:sz="4" w:space="0" w:color="auto"/>
              <w:right w:val="single" w:sz="4" w:space="0" w:color="auto"/>
            </w:tcBorders>
            <w:shd w:val="clear" w:color="auto" w:fill="auto"/>
            <w:noWrap/>
            <w:vAlign w:val="center"/>
            <w:hideMark/>
          </w:tcPr>
          <w:p w14:paraId="256F71B6"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901042368</w:t>
            </w:r>
          </w:p>
        </w:tc>
        <w:tc>
          <w:tcPr>
            <w:tcW w:w="3913" w:type="dxa"/>
            <w:tcBorders>
              <w:top w:val="nil"/>
              <w:left w:val="nil"/>
              <w:bottom w:val="single" w:sz="4" w:space="0" w:color="auto"/>
              <w:right w:val="single" w:sz="4" w:space="0" w:color="auto"/>
            </w:tcBorders>
            <w:shd w:val="clear" w:color="auto" w:fill="auto"/>
            <w:vAlign w:val="center"/>
            <w:hideMark/>
          </w:tcPr>
          <w:p w14:paraId="3F6A26F6"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HELIOS ENERGIA S.A. ESP</w:t>
            </w:r>
          </w:p>
        </w:tc>
        <w:tc>
          <w:tcPr>
            <w:tcW w:w="1602" w:type="dxa"/>
            <w:tcBorders>
              <w:top w:val="nil"/>
              <w:left w:val="nil"/>
              <w:bottom w:val="single" w:sz="4" w:space="0" w:color="auto"/>
              <w:right w:val="single" w:sz="4" w:space="0" w:color="auto"/>
            </w:tcBorders>
            <w:shd w:val="clear" w:color="auto" w:fill="auto"/>
            <w:noWrap/>
            <w:vAlign w:val="center"/>
            <w:hideMark/>
          </w:tcPr>
          <w:p w14:paraId="66658F05" w14:textId="2B511FF9"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455</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923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892 </w:t>
            </w:r>
          </w:p>
        </w:tc>
        <w:tc>
          <w:tcPr>
            <w:tcW w:w="1418" w:type="dxa"/>
            <w:tcBorders>
              <w:top w:val="nil"/>
              <w:left w:val="nil"/>
              <w:bottom w:val="single" w:sz="4" w:space="0" w:color="auto"/>
              <w:right w:val="single" w:sz="4" w:space="0" w:color="auto"/>
            </w:tcBorders>
            <w:shd w:val="clear" w:color="auto" w:fill="auto"/>
            <w:noWrap/>
            <w:vAlign w:val="center"/>
            <w:hideMark/>
          </w:tcPr>
          <w:p w14:paraId="612CA2FB" w14:textId="0E037121"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559</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239 </w:t>
            </w:r>
          </w:p>
        </w:tc>
      </w:tr>
      <w:tr w:rsidR="009A21D7" w:rsidRPr="00374360" w14:paraId="3C4879D6"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CF64833"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235</w:t>
            </w:r>
          </w:p>
        </w:tc>
        <w:tc>
          <w:tcPr>
            <w:tcW w:w="660" w:type="dxa"/>
            <w:tcBorders>
              <w:top w:val="nil"/>
              <w:left w:val="nil"/>
              <w:bottom w:val="single" w:sz="4" w:space="0" w:color="auto"/>
              <w:right w:val="single" w:sz="4" w:space="0" w:color="auto"/>
            </w:tcBorders>
            <w:shd w:val="clear" w:color="auto" w:fill="auto"/>
            <w:noWrap/>
            <w:vAlign w:val="center"/>
            <w:hideMark/>
          </w:tcPr>
          <w:p w14:paraId="2F3C974F"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47363</w:t>
            </w:r>
          </w:p>
        </w:tc>
        <w:tc>
          <w:tcPr>
            <w:tcW w:w="879" w:type="dxa"/>
            <w:tcBorders>
              <w:top w:val="nil"/>
              <w:left w:val="nil"/>
              <w:bottom w:val="single" w:sz="4" w:space="0" w:color="auto"/>
              <w:right w:val="single" w:sz="4" w:space="0" w:color="auto"/>
            </w:tcBorders>
            <w:shd w:val="clear" w:color="auto" w:fill="auto"/>
            <w:noWrap/>
            <w:vAlign w:val="center"/>
            <w:hideMark/>
          </w:tcPr>
          <w:p w14:paraId="42856FD1"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901315859</w:t>
            </w:r>
          </w:p>
        </w:tc>
        <w:tc>
          <w:tcPr>
            <w:tcW w:w="3913" w:type="dxa"/>
            <w:tcBorders>
              <w:top w:val="nil"/>
              <w:left w:val="nil"/>
              <w:bottom w:val="single" w:sz="4" w:space="0" w:color="auto"/>
              <w:right w:val="single" w:sz="4" w:space="0" w:color="auto"/>
            </w:tcBorders>
            <w:shd w:val="clear" w:color="auto" w:fill="auto"/>
            <w:vAlign w:val="center"/>
            <w:hideMark/>
          </w:tcPr>
          <w:p w14:paraId="141F6EA9"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HIDROCARBUROS TRIPLE A SAS ESP</w:t>
            </w:r>
          </w:p>
        </w:tc>
        <w:tc>
          <w:tcPr>
            <w:tcW w:w="1602" w:type="dxa"/>
            <w:tcBorders>
              <w:top w:val="nil"/>
              <w:left w:val="nil"/>
              <w:bottom w:val="single" w:sz="4" w:space="0" w:color="auto"/>
              <w:right w:val="single" w:sz="4" w:space="0" w:color="auto"/>
            </w:tcBorders>
            <w:shd w:val="clear" w:color="auto" w:fill="auto"/>
            <w:noWrap/>
            <w:vAlign w:val="center"/>
            <w:hideMark/>
          </w:tcPr>
          <w:p w14:paraId="14E4F2AF" w14:textId="40D2E518"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133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654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258 </w:t>
            </w:r>
          </w:p>
        </w:tc>
        <w:tc>
          <w:tcPr>
            <w:tcW w:w="1418" w:type="dxa"/>
            <w:tcBorders>
              <w:top w:val="nil"/>
              <w:left w:val="nil"/>
              <w:bottom w:val="single" w:sz="4" w:space="0" w:color="auto"/>
              <w:right w:val="single" w:sz="4" w:space="0" w:color="auto"/>
            </w:tcBorders>
            <w:shd w:val="clear" w:color="auto" w:fill="auto"/>
            <w:noWrap/>
            <w:vAlign w:val="center"/>
            <w:hideMark/>
          </w:tcPr>
          <w:p w14:paraId="2E3EDA46" w14:textId="05EC0243"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336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543 </w:t>
            </w:r>
          </w:p>
        </w:tc>
      </w:tr>
      <w:tr w:rsidR="009A21D7" w:rsidRPr="00374360" w14:paraId="772294E8" w14:textId="77777777" w:rsidTr="00C734CF">
        <w:trPr>
          <w:trHeight w:val="4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376C861"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236</w:t>
            </w:r>
          </w:p>
        </w:tc>
        <w:tc>
          <w:tcPr>
            <w:tcW w:w="660" w:type="dxa"/>
            <w:tcBorders>
              <w:top w:val="nil"/>
              <w:left w:val="nil"/>
              <w:bottom w:val="single" w:sz="4" w:space="0" w:color="auto"/>
              <w:right w:val="single" w:sz="4" w:space="0" w:color="auto"/>
            </w:tcBorders>
            <w:shd w:val="clear" w:color="auto" w:fill="auto"/>
            <w:noWrap/>
            <w:vAlign w:val="center"/>
            <w:hideMark/>
          </w:tcPr>
          <w:p w14:paraId="3EF20F93"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25975</w:t>
            </w:r>
          </w:p>
        </w:tc>
        <w:tc>
          <w:tcPr>
            <w:tcW w:w="879" w:type="dxa"/>
            <w:tcBorders>
              <w:top w:val="nil"/>
              <w:left w:val="nil"/>
              <w:bottom w:val="single" w:sz="4" w:space="0" w:color="auto"/>
              <w:right w:val="single" w:sz="4" w:space="0" w:color="auto"/>
            </w:tcBorders>
            <w:shd w:val="clear" w:color="auto" w:fill="auto"/>
            <w:noWrap/>
            <w:vAlign w:val="center"/>
            <w:hideMark/>
          </w:tcPr>
          <w:p w14:paraId="674C482D"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900466775</w:t>
            </w:r>
          </w:p>
        </w:tc>
        <w:tc>
          <w:tcPr>
            <w:tcW w:w="3913" w:type="dxa"/>
            <w:tcBorders>
              <w:top w:val="nil"/>
              <w:left w:val="nil"/>
              <w:bottom w:val="single" w:sz="4" w:space="0" w:color="auto"/>
              <w:right w:val="single" w:sz="4" w:space="0" w:color="auto"/>
            </w:tcBorders>
            <w:shd w:val="clear" w:color="auto" w:fill="auto"/>
            <w:vAlign w:val="center"/>
            <w:hideMark/>
          </w:tcPr>
          <w:p w14:paraId="7479D504"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HIDROELECTRICA DEL ALTO PORCE S.A.S  E.S.P</w:t>
            </w:r>
          </w:p>
        </w:tc>
        <w:tc>
          <w:tcPr>
            <w:tcW w:w="1602" w:type="dxa"/>
            <w:tcBorders>
              <w:top w:val="nil"/>
              <w:left w:val="nil"/>
              <w:bottom w:val="single" w:sz="4" w:space="0" w:color="auto"/>
              <w:right w:val="single" w:sz="4" w:space="0" w:color="auto"/>
            </w:tcBorders>
            <w:shd w:val="clear" w:color="auto" w:fill="auto"/>
            <w:noWrap/>
            <w:vAlign w:val="center"/>
            <w:hideMark/>
          </w:tcPr>
          <w:p w14:paraId="00EDDF29" w14:textId="4942102D"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239</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676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919 </w:t>
            </w:r>
          </w:p>
        </w:tc>
        <w:tc>
          <w:tcPr>
            <w:tcW w:w="1418" w:type="dxa"/>
            <w:tcBorders>
              <w:top w:val="nil"/>
              <w:left w:val="nil"/>
              <w:bottom w:val="single" w:sz="4" w:space="0" w:color="auto"/>
              <w:right w:val="single" w:sz="4" w:space="0" w:color="auto"/>
            </w:tcBorders>
            <w:shd w:val="clear" w:color="auto" w:fill="auto"/>
            <w:noWrap/>
            <w:vAlign w:val="center"/>
            <w:hideMark/>
          </w:tcPr>
          <w:p w14:paraId="4096E02A" w14:textId="1A7C1A6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396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769 </w:t>
            </w:r>
          </w:p>
        </w:tc>
      </w:tr>
      <w:tr w:rsidR="009A21D7" w:rsidRPr="00374360" w14:paraId="5276B3C0"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4B771EF"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237</w:t>
            </w:r>
          </w:p>
        </w:tc>
        <w:tc>
          <w:tcPr>
            <w:tcW w:w="660" w:type="dxa"/>
            <w:tcBorders>
              <w:top w:val="nil"/>
              <w:left w:val="nil"/>
              <w:bottom w:val="single" w:sz="4" w:space="0" w:color="auto"/>
              <w:right w:val="single" w:sz="4" w:space="0" w:color="auto"/>
            </w:tcBorders>
            <w:shd w:val="clear" w:color="auto" w:fill="auto"/>
            <w:noWrap/>
            <w:vAlign w:val="center"/>
            <w:hideMark/>
          </w:tcPr>
          <w:p w14:paraId="0C9A95CD"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21938</w:t>
            </w:r>
          </w:p>
        </w:tc>
        <w:tc>
          <w:tcPr>
            <w:tcW w:w="879" w:type="dxa"/>
            <w:tcBorders>
              <w:top w:val="nil"/>
              <w:left w:val="nil"/>
              <w:bottom w:val="single" w:sz="4" w:space="0" w:color="auto"/>
              <w:right w:val="single" w:sz="4" w:space="0" w:color="auto"/>
            </w:tcBorders>
            <w:shd w:val="clear" w:color="auto" w:fill="auto"/>
            <w:noWrap/>
            <w:vAlign w:val="center"/>
            <w:hideMark/>
          </w:tcPr>
          <w:p w14:paraId="217180E3"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900097320</w:t>
            </w:r>
          </w:p>
        </w:tc>
        <w:tc>
          <w:tcPr>
            <w:tcW w:w="3913" w:type="dxa"/>
            <w:tcBorders>
              <w:top w:val="nil"/>
              <w:left w:val="nil"/>
              <w:bottom w:val="single" w:sz="4" w:space="0" w:color="auto"/>
              <w:right w:val="single" w:sz="4" w:space="0" w:color="auto"/>
            </w:tcBorders>
            <w:shd w:val="clear" w:color="auto" w:fill="auto"/>
            <w:vAlign w:val="center"/>
            <w:hideMark/>
          </w:tcPr>
          <w:p w14:paraId="1A6A4CC6"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HIDROTOLIMA S.A.S E.S.P</w:t>
            </w:r>
          </w:p>
        </w:tc>
        <w:tc>
          <w:tcPr>
            <w:tcW w:w="1602" w:type="dxa"/>
            <w:tcBorders>
              <w:top w:val="nil"/>
              <w:left w:val="nil"/>
              <w:bottom w:val="single" w:sz="4" w:space="0" w:color="auto"/>
              <w:right w:val="single" w:sz="4" w:space="0" w:color="auto"/>
            </w:tcBorders>
            <w:shd w:val="clear" w:color="auto" w:fill="auto"/>
            <w:noWrap/>
            <w:vAlign w:val="center"/>
            <w:hideMark/>
          </w:tcPr>
          <w:p w14:paraId="7B100644" w14:textId="1D7EC344"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744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961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656 </w:t>
            </w:r>
          </w:p>
        </w:tc>
        <w:tc>
          <w:tcPr>
            <w:tcW w:w="1418" w:type="dxa"/>
            <w:tcBorders>
              <w:top w:val="nil"/>
              <w:left w:val="nil"/>
              <w:bottom w:val="single" w:sz="4" w:space="0" w:color="auto"/>
              <w:right w:val="single" w:sz="4" w:space="0" w:color="auto"/>
            </w:tcBorders>
            <w:shd w:val="clear" w:color="auto" w:fill="auto"/>
            <w:noWrap/>
            <w:vAlign w:val="center"/>
            <w:hideMark/>
          </w:tcPr>
          <w:p w14:paraId="30CD63B4" w14:textId="3D1BE7CB"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7</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449</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617 </w:t>
            </w:r>
          </w:p>
        </w:tc>
      </w:tr>
      <w:tr w:rsidR="009A21D7" w:rsidRPr="00374360" w14:paraId="60385450"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EDAB1E8"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238</w:t>
            </w:r>
          </w:p>
        </w:tc>
        <w:tc>
          <w:tcPr>
            <w:tcW w:w="660" w:type="dxa"/>
            <w:tcBorders>
              <w:top w:val="nil"/>
              <w:left w:val="nil"/>
              <w:bottom w:val="single" w:sz="4" w:space="0" w:color="auto"/>
              <w:right w:val="single" w:sz="4" w:space="0" w:color="auto"/>
            </w:tcBorders>
            <w:shd w:val="clear" w:color="auto" w:fill="auto"/>
            <w:noWrap/>
            <w:vAlign w:val="center"/>
            <w:hideMark/>
          </w:tcPr>
          <w:p w14:paraId="16E7CD00"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22068</w:t>
            </w:r>
          </w:p>
        </w:tc>
        <w:tc>
          <w:tcPr>
            <w:tcW w:w="879" w:type="dxa"/>
            <w:tcBorders>
              <w:top w:val="nil"/>
              <w:left w:val="nil"/>
              <w:bottom w:val="single" w:sz="4" w:space="0" w:color="auto"/>
              <w:right w:val="single" w:sz="4" w:space="0" w:color="auto"/>
            </w:tcBorders>
            <w:shd w:val="clear" w:color="auto" w:fill="auto"/>
            <w:noWrap/>
            <w:vAlign w:val="center"/>
            <w:hideMark/>
          </w:tcPr>
          <w:p w14:paraId="55B049EC"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860072134</w:t>
            </w:r>
          </w:p>
        </w:tc>
        <w:tc>
          <w:tcPr>
            <w:tcW w:w="3913" w:type="dxa"/>
            <w:tcBorders>
              <w:top w:val="nil"/>
              <w:left w:val="nil"/>
              <w:bottom w:val="single" w:sz="4" w:space="0" w:color="auto"/>
              <w:right w:val="single" w:sz="4" w:space="0" w:color="auto"/>
            </w:tcBorders>
            <w:shd w:val="clear" w:color="auto" w:fill="auto"/>
            <w:vAlign w:val="center"/>
            <w:hideMark/>
          </w:tcPr>
          <w:p w14:paraId="6710C32A"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HOCOL S.A</w:t>
            </w:r>
          </w:p>
        </w:tc>
        <w:tc>
          <w:tcPr>
            <w:tcW w:w="1602" w:type="dxa"/>
            <w:tcBorders>
              <w:top w:val="nil"/>
              <w:left w:val="nil"/>
              <w:bottom w:val="single" w:sz="4" w:space="0" w:color="auto"/>
              <w:right w:val="single" w:sz="4" w:space="0" w:color="auto"/>
            </w:tcBorders>
            <w:shd w:val="clear" w:color="auto" w:fill="auto"/>
            <w:noWrap/>
            <w:vAlign w:val="center"/>
            <w:hideMark/>
          </w:tcPr>
          <w:p w14:paraId="091C19B2" w14:textId="7854536F"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21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279</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001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233 </w:t>
            </w:r>
          </w:p>
        </w:tc>
        <w:tc>
          <w:tcPr>
            <w:tcW w:w="1418" w:type="dxa"/>
            <w:tcBorders>
              <w:top w:val="nil"/>
              <w:left w:val="nil"/>
              <w:bottom w:val="single" w:sz="4" w:space="0" w:color="auto"/>
              <w:right w:val="single" w:sz="4" w:space="0" w:color="auto"/>
            </w:tcBorders>
            <w:shd w:val="clear" w:color="auto" w:fill="auto"/>
            <w:noWrap/>
            <w:vAlign w:val="center"/>
            <w:hideMark/>
          </w:tcPr>
          <w:p w14:paraId="161289AC" w14:textId="19971A1B"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212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790</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012 </w:t>
            </w:r>
          </w:p>
        </w:tc>
      </w:tr>
      <w:tr w:rsidR="009A21D7" w:rsidRPr="00374360" w14:paraId="1BFCC3B0"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C07702E"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239</w:t>
            </w:r>
          </w:p>
        </w:tc>
        <w:tc>
          <w:tcPr>
            <w:tcW w:w="660" w:type="dxa"/>
            <w:tcBorders>
              <w:top w:val="nil"/>
              <w:left w:val="nil"/>
              <w:bottom w:val="single" w:sz="4" w:space="0" w:color="auto"/>
              <w:right w:val="single" w:sz="4" w:space="0" w:color="auto"/>
            </w:tcBorders>
            <w:shd w:val="clear" w:color="auto" w:fill="auto"/>
            <w:noWrap/>
            <w:vAlign w:val="center"/>
            <w:hideMark/>
          </w:tcPr>
          <w:p w14:paraId="74677CDC"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24838</w:t>
            </w:r>
          </w:p>
        </w:tc>
        <w:tc>
          <w:tcPr>
            <w:tcW w:w="879" w:type="dxa"/>
            <w:tcBorders>
              <w:top w:val="nil"/>
              <w:left w:val="nil"/>
              <w:bottom w:val="single" w:sz="4" w:space="0" w:color="auto"/>
              <w:right w:val="single" w:sz="4" w:space="0" w:color="auto"/>
            </w:tcBorders>
            <w:shd w:val="clear" w:color="auto" w:fill="auto"/>
            <w:noWrap/>
            <w:vAlign w:val="center"/>
            <w:hideMark/>
          </w:tcPr>
          <w:p w14:paraId="412DF058"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900358272</w:t>
            </w:r>
          </w:p>
        </w:tc>
        <w:tc>
          <w:tcPr>
            <w:tcW w:w="3913" w:type="dxa"/>
            <w:tcBorders>
              <w:top w:val="nil"/>
              <w:left w:val="nil"/>
              <w:bottom w:val="single" w:sz="4" w:space="0" w:color="auto"/>
              <w:right w:val="single" w:sz="4" w:space="0" w:color="auto"/>
            </w:tcBorders>
            <w:shd w:val="clear" w:color="auto" w:fill="auto"/>
            <w:vAlign w:val="center"/>
            <w:hideMark/>
          </w:tcPr>
          <w:p w14:paraId="1A6A3384"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HZ ENERGY S.A.S. E.S.P.</w:t>
            </w:r>
          </w:p>
        </w:tc>
        <w:tc>
          <w:tcPr>
            <w:tcW w:w="1602" w:type="dxa"/>
            <w:tcBorders>
              <w:top w:val="nil"/>
              <w:left w:val="nil"/>
              <w:bottom w:val="single" w:sz="4" w:space="0" w:color="auto"/>
              <w:right w:val="single" w:sz="4" w:space="0" w:color="auto"/>
            </w:tcBorders>
            <w:shd w:val="clear" w:color="auto" w:fill="auto"/>
            <w:noWrap/>
            <w:vAlign w:val="center"/>
            <w:hideMark/>
          </w:tcPr>
          <w:p w14:paraId="774716BB" w14:textId="081659DE"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641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767</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249 </w:t>
            </w:r>
          </w:p>
        </w:tc>
        <w:tc>
          <w:tcPr>
            <w:tcW w:w="1418" w:type="dxa"/>
            <w:tcBorders>
              <w:top w:val="nil"/>
              <w:left w:val="nil"/>
              <w:bottom w:val="single" w:sz="4" w:space="0" w:color="auto"/>
              <w:right w:val="single" w:sz="4" w:space="0" w:color="auto"/>
            </w:tcBorders>
            <w:shd w:val="clear" w:color="auto" w:fill="auto"/>
            <w:noWrap/>
            <w:vAlign w:val="center"/>
            <w:hideMark/>
          </w:tcPr>
          <w:p w14:paraId="7D400495" w14:textId="7B20E4E9"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417</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672 </w:t>
            </w:r>
          </w:p>
        </w:tc>
      </w:tr>
      <w:tr w:rsidR="009A21D7" w:rsidRPr="00374360" w14:paraId="3C47B64D"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AEBFEA5"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240</w:t>
            </w:r>
          </w:p>
        </w:tc>
        <w:tc>
          <w:tcPr>
            <w:tcW w:w="660" w:type="dxa"/>
            <w:tcBorders>
              <w:top w:val="nil"/>
              <w:left w:val="nil"/>
              <w:bottom w:val="single" w:sz="4" w:space="0" w:color="auto"/>
              <w:right w:val="single" w:sz="4" w:space="0" w:color="auto"/>
            </w:tcBorders>
            <w:shd w:val="clear" w:color="auto" w:fill="auto"/>
            <w:noWrap/>
            <w:vAlign w:val="center"/>
            <w:hideMark/>
          </w:tcPr>
          <w:p w14:paraId="5A94D343"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26559</w:t>
            </w:r>
          </w:p>
        </w:tc>
        <w:tc>
          <w:tcPr>
            <w:tcW w:w="879" w:type="dxa"/>
            <w:tcBorders>
              <w:top w:val="nil"/>
              <w:left w:val="nil"/>
              <w:bottom w:val="single" w:sz="4" w:space="0" w:color="auto"/>
              <w:right w:val="single" w:sz="4" w:space="0" w:color="auto"/>
            </w:tcBorders>
            <w:shd w:val="clear" w:color="auto" w:fill="auto"/>
            <w:noWrap/>
            <w:vAlign w:val="center"/>
            <w:hideMark/>
          </w:tcPr>
          <w:p w14:paraId="1A798A95"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900344208</w:t>
            </w:r>
          </w:p>
        </w:tc>
        <w:tc>
          <w:tcPr>
            <w:tcW w:w="3913" w:type="dxa"/>
            <w:tcBorders>
              <w:top w:val="nil"/>
              <w:left w:val="nil"/>
              <w:bottom w:val="single" w:sz="4" w:space="0" w:color="auto"/>
              <w:right w:val="single" w:sz="4" w:space="0" w:color="auto"/>
            </w:tcBorders>
            <w:shd w:val="clear" w:color="auto" w:fill="auto"/>
            <w:vAlign w:val="center"/>
            <w:hideMark/>
          </w:tcPr>
          <w:p w14:paraId="43C6366B"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IA ENERGIA Y GESTION S.A.S. E.S.P.</w:t>
            </w:r>
          </w:p>
        </w:tc>
        <w:tc>
          <w:tcPr>
            <w:tcW w:w="1602" w:type="dxa"/>
            <w:tcBorders>
              <w:top w:val="nil"/>
              <w:left w:val="nil"/>
              <w:bottom w:val="single" w:sz="4" w:space="0" w:color="auto"/>
              <w:right w:val="single" w:sz="4" w:space="0" w:color="auto"/>
            </w:tcBorders>
            <w:shd w:val="clear" w:color="auto" w:fill="auto"/>
            <w:noWrap/>
            <w:vAlign w:val="center"/>
            <w:hideMark/>
          </w:tcPr>
          <w:p w14:paraId="26227ADE" w14:textId="2D7782F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203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890</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275 </w:t>
            </w:r>
          </w:p>
        </w:tc>
        <w:tc>
          <w:tcPr>
            <w:tcW w:w="1418" w:type="dxa"/>
            <w:tcBorders>
              <w:top w:val="nil"/>
              <w:left w:val="nil"/>
              <w:bottom w:val="single" w:sz="4" w:space="0" w:color="auto"/>
              <w:right w:val="single" w:sz="4" w:space="0" w:color="auto"/>
            </w:tcBorders>
            <w:shd w:val="clear" w:color="auto" w:fill="auto"/>
            <w:noWrap/>
            <w:vAlign w:val="center"/>
            <w:hideMark/>
          </w:tcPr>
          <w:p w14:paraId="13D061E1" w14:textId="5F70E37A"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038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903 </w:t>
            </w:r>
          </w:p>
        </w:tc>
      </w:tr>
      <w:tr w:rsidR="009A21D7" w:rsidRPr="00374360" w14:paraId="72BCF075"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6297F57"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241</w:t>
            </w:r>
          </w:p>
        </w:tc>
        <w:tc>
          <w:tcPr>
            <w:tcW w:w="660" w:type="dxa"/>
            <w:tcBorders>
              <w:top w:val="nil"/>
              <w:left w:val="nil"/>
              <w:bottom w:val="single" w:sz="4" w:space="0" w:color="auto"/>
              <w:right w:val="single" w:sz="4" w:space="0" w:color="auto"/>
            </w:tcBorders>
            <w:shd w:val="clear" w:color="auto" w:fill="auto"/>
            <w:noWrap/>
            <w:vAlign w:val="center"/>
            <w:hideMark/>
          </w:tcPr>
          <w:p w14:paraId="2106FE81"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28071</w:t>
            </w:r>
          </w:p>
        </w:tc>
        <w:tc>
          <w:tcPr>
            <w:tcW w:w="879" w:type="dxa"/>
            <w:tcBorders>
              <w:top w:val="nil"/>
              <w:left w:val="nil"/>
              <w:bottom w:val="single" w:sz="4" w:space="0" w:color="auto"/>
              <w:right w:val="single" w:sz="4" w:space="0" w:color="auto"/>
            </w:tcBorders>
            <w:shd w:val="clear" w:color="auto" w:fill="auto"/>
            <w:noWrap/>
            <w:vAlign w:val="center"/>
            <w:hideMark/>
          </w:tcPr>
          <w:p w14:paraId="245E62CC"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900516015</w:t>
            </w:r>
          </w:p>
        </w:tc>
        <w:tc>
          <w:tcPr>
            <w:tcW w:w="3913" w:type="dxa"/>
            <w:tcBorders>
              <w:top w:val="nil"/>
              <w:left w:val="nil"/>
              <w:bottom w:val="single" w:sz="4" w:space="0" w:color="auto"/>
              <w:right w:val="single" w:sz="4" w:space="0" w:color="auto"/>
            </w:tcBorders>
            <w:shd w:val="clear" w:color="auto" w:fill="auto"/>
            <w:vAlign w:val="center"/>
            <w:hideMark/>
          </w:tcPr>
          <w:p w14:paraId="5400EDF8"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IAC ENERGY SAS ESP</w:t>
            </w:r>
          </w:p>
        </w:tc>
        <w:tc>
          <w:tcPr>
            <w:tcW w:w="1602" w:type="dxa"/>
            <w:tcBorders>
              <w:top w:val="nil"/>
              <w:left w:val="nil"/>
              <w:bottom w:val="single" w:sz="4" w:space="0" w:color="auto"/>
              <w:right w:val="single" w:sz="4" w:space="0" w:color="auto"/>
            </w:tcBorders>
            <w:shd w:val="clear" w:color="auto" w:fill="auto"/>
            <w:noWrap/>
            <w:vAlign w:val="center"/>
            <w:hideMark/>
          </w:tcPr>
          <w:p w14:paraId="42B63655" w14:textId="31DCEB9D"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177</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196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845 </w:t>
            </w:r>
          </w:p>
        </w:tc>
        <w:tc>
          <w:tcPr>
            <w:tcW w:w="1418" w:type="dxa"/>
            <w:tcBorders>
              <w:top w:val="nil"/>
              <w:left w:val="nil"/>
              <w:bottom w:val="single" w:sz="4" w:space="0" w:color="auto"/>
              <w:right w:val="single" w:sz="4" w:space="0" w:color="auto"/>
            </w:tcBorders>
            <w:shd w:val="clear" w:color="auto" w:fill="auto"/>
            <w:noWrap/>
            <w:vAlign w:val="center"/>
            <w:hideMark/>
          </w:tcPr>
          <w:p w14:paraId="634F42A7" w14:textId="5578B5A0"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771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968 </w:t>
            </w:r>
          </w:p>
        </w:tc>
      </w:tr>
      <w:tr w:rsidR="009A21D7" w:rsidRPr="00374360" w14:paraId="4F336572" w14:textId="77777777" w:rsidTr="00C734CF">
        <w:trPr>
          <w:trHeight w:val="4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561B901"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242</w:t>
            </w:r>
          </w:p>
        </w:tc>
        <w:tc>
          <w:tcPr>
            <w:tcW w:w="660" w:type="dxa"/>
            <w:tcBorders>
              <w:top w:val="nil"/>
              <w:left w:val="nil"/>
              <w:bottom w:val="single" w:sz="4" w:space="0" w:color="auto"/>
              <w:right w:val="single" w:sz="4" w:space="0" w:color="auto"/>
            </w:tcBorders>
            <w:shd w:val="clear" w:color="auto" w:fill="auto"/>
            <w:noWrap/>
            <w:vAlign w:val="center"/>
            <w:hideMark/>
          </w:tcPr>
          <w:p w14:paraId="210348FC"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22910</w:t>
            </w:r>
          </w:p>
        </w:tc>
        <w:tc>
          <w:tcPr>
            <w:tcW w:w="879" w:type="dxa"/>
            <w:tcBorders>
              <w:top w:val="nil"/>
              <w:left w:val="nil"/>
              <w:bottom w:val="single" w:sz="4" w:space="0" w:color="auto"/>
              <w:right w:val="single" w:sz="4" w:space="0" w:color="auto"/>
            </w:tcBorders>
            <w:shd w:val="clear" w:color="auto" w:fill="auto"/>
            <w:noWrap/>
            <w:vAlign w:val="center"/>
            <w:hideMark/>
          </w:tcPr>
          <w:p w14:paraId="1613BB6C"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804011800</w:t>
            </w:r>
          </w:p>
        </w:tc>
        <w:tc>
          <w:tcPr>
            <w:tcW w:w="3913" w:type="dxa"/>
            <w:tcBorders>
              <w:top w:val="nil"/>
              <w:left w:val="nil"/>
              <w:bottom w:val="single" w:sz="4" w:space="0" w:color="auto"/>
              <w:right w:val="single" w:sz="4" w:space="0" w:color="auto"/>
            </w:tcBorders>
            <w:shd w:val="clear" w:color="auto" w:fill="auto"/>
            <w:vAlign w:val="center"/>
            <w:hideMark/>
          </w:tcPr>
          <w:p w14:paraId="0E09E9D7"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INGENIERÍA Y SERVICIOS SOCIEDAD ANÓNIMA EMPRESA DE SERVICIOS PÚBLICOS</w:t>
            </w:r>
          </w:p>
        </w:tc>
        <w:tc>
          <w:tcPr>
            <w:tcW w:w="1602" w:type="dxa"/>
            <w:tcBorders>
              <w:top w:val="nil"/>
              <w:left w:val="nil"/>
              <w:bottom w:val="single" w:sz="4" w:space="0" w:color="auto"/>
              <w:right w:val="single" w:sz="4" w:space="0" w:color="auto"/>
            </w:tcBorders>
            <w:shd w:val="clear" w:color="auto" w:fill="auto"/>
            <w:noWrap/>
            <w:vAlign w:val="center"/>
            <w:hideMark/>
          </w:tcPr>
          <w:p w14:paraId="2D5C9B26" w14:textId="4D0579AE"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767</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607</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572 </w:t>
            </w:r>
          </w:p>
        </w:tc>
        <w:tc>
          <w:tcPr>
            <w:tcW w:w="1418" w:type="dxa"/>
            <w:tcBorders>
              <w:top w:val="nil"/>
              <w:left w:val="nil"/>
              <w:bottom w:val="single" w:sz="4" w:space="0" w:color="auto"/>
              <w:right w:val="single" w:sz="4" w:space="0" w:color="auto"/>
            </w:tcBorders>
            <w:shd w:val="clear" w:color="auto" w:fill="auto"/>
            <w:noWrap/>
            <w:vAlign w:val="center"/>
            <w:hideMark/>
          </w:tcPr>
          <w:p w14:paraId="54B8C391" w14:textId="38D4FA5F"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7</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676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076 </w:t>
            </w:r>
          </w:p>
        </w:tc>
      </w:tr>
      <w:tr w:rsidR="009A21D7" w:rsidRPr="00374360" w14:paraId="51E432B6"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1C7A31B"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243</w:t>
            </w:r>
          </w:p>
        </w:tc>
        <w:tc>
          <w:tcPr>
            <w:tcW w:w="660" w:type="dxa"/>
            <w:tcBorders>
              <w:top w:val="nil"/>
              <w:left w:val="nil"/>
              <w:bottom w:val="single" w:sz="4" w:space="0" w:color="auto"/>
              <w:right w:val="single" w:sz="4" w:space="0" w:color="auto"/>
            </w:tcBorders>
            <w:shd w:val="clear" w:color="auto" w:fill="auto"/>
            <w:noWrap/>
            <w:vAlign w:val="center"/>
            <w:hideMark/>
          </w:tcPr>
          <w:p w14:paraId="62C8EA5E"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26730</w:t>
            </w:r>
          </w:p>
        </w:tc>
        <w:tc>
          <w:tcPr>
            <w:tcW w:w="879" w:type="dxa"/>
            <w:tcBorders>
              <w:top w:val="nil"/>
              <w:left w:val="nil"/>
              <w:bottom w:val="single" w:sz="4" w:space="0" w:color="auto"/>
              <w:right w:val="single" w:sz="4" w:space="0" w:color="auto"/>
            </w:tcBorders>
            <w:shd w:val="clear" w:color="auto" w:fill="auto"/>
            <w:noWrap/>
            <w:vAlign w:val="center"/>
            <w:hideMark/>
          </w:tcPr>
          <w:p w14:paraId="50D414C1"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900667590</w:t>
            </w:r>
          </w:p>
        </w:tc>
        <w:tc>
          <w:tcPr>
            <w:tcW w:w="3913" w:type="dxa"/>
            <w:tcBorders>
              <w:top w:val="nil"/>
              <w:left w:val="nil"/>
              <w:bottom w:val="single" w:sz="4" w:space="0" w:color="auto"/>
              <w:right w:val="single" w:sz="4" w:space="0" w:color="auto"/>
            </w:tcBorders>
            <w:shd w:val="clear" w:color="auto" w:fill="auto"/>
            <w:vAlign w:val="center"/>
            <w:hideMark/>
          </w:tcPr>
          <w:p w14:paraId="732D2393"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INTERCOLOMBIA S.A. E.S.P</w:t>
            </w:r>
          </w:p>
        </w:tc>
        <w:tc>
          <w:tcPr>
            <w:tcW w:w="1602" w:type="dxa"/>
            <w:tcBorders>
              <w:top w:val="nil"/>
              <w:left w:val="nil"/>
              <w:bottom w:val="single" w:sz="4" w:space="0" w:color="auto"/>
              <w:right w:val="single" w:sz="4" w:space="0" w:color="auto"/>
            </w:tcBorders>
            <w:shd w:val="clear" w:color="auto" w:fill="auto"/>
            <w:noWrap/>
            <w:vAlign w:val="center"/>
            <w:hideMark/>
          </w:tcPr>
          <w:p w14:paraId="25BABB16" w14:textId="0907A5D5"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53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715</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290</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925 </w:t>
            </w:r>
          </w:p>
        </w:tc>
        <w:tc>
          <w:tcPr>
            <w:tcW w:w="1418" w:type="dxa"/>
            <w:tcBorders>
              <w:top w:val="nil"/>
              <w:left w:val="nil"/>
              <w:bottom w:val="single" w:sz="4" w:space="0" w:color="auto"/>
              <w:right w:val="single" w:sz="4" w:space="0" w:color="auto"/>
            </w:tcBorders>
            <w:shd w:val="clear" w:color="auto" w:fill="auto"/>
            <w:noWrap/>
            <w:vAlign w:val="center"/>
            <w:hideMark/>
          </w:tcPr>
          <w:p w14:paraId="07A7F810" w14:textId="6A139941"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537</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152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909 </w:t>
            </w:r>
          </w:p>
        </w:tc>
      </w:tr>
      <w:tr w:rsidR="009A21D7" w:rsidRPr="00374360" w14:paraId="3EB01339"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A7A5319"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244</w:t>
            </w:r>
          </w:p>
        </w:tc>
        <w:tc>
          <w:tcPr>
            <w:tcW w:w="660" w:type="dxa"/>
            <w:tcBorders>
              <w:top w:val="nil"/>
              <w:left w:val="nil"/>
              <w:bottom w:val="single" w:sz="4" w:space="0" w:color="auto"/>
              <w:right w:val="single" w:sz="4" w:space="0" w:color="auto"/>
            </w:tcBorders>
            <w:shd w:val="clear" w:color="auto" w:fill="auto"/>
            <w:noWrap/>
            <w:vAlign w:val="center"/>
            <w:hideMark/>
          </w:tcPr>
          <w:p w14:paraId="01D2BDE7"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592</w:t>
            </w:r>
          </w:p>
        </w:tc>
        <w:tc>
          <w:tcPr>
            <w:tcW w:w="879" w:type="dxa"/>
            <w:tcBorders>
              <w:top w:val="nil"/>
              <w:left w:val="nil"/>
              <w:bottom w:val="single" w:sz="4" w:space="0" w:color="auto"/>
              <w:right w:val="single" w:sz="4" w:space="0" w:color="auto"/>
            </w:tcBorders>
            <w:shd w:val="clear" w:color="auto" w:fill="auto"/>
            <w:noWrap/>
            <w:vAlign w:val="center"/>
            <w:hideMark/>
          </w:tcPr>
          <w:p w14:paraId="0CCBF5E7"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860016610</w:t>
            </w:r>
          </w:p>
        </w:tc>
        <w:tc>
          <w:tcPr>
            <w:tcW w:w="3913" w:type="dxa"/>
            <w:tcBorders>
              <w:top w:val="nil"/>
              <w:left w:val="nil"/>
              <w:bottom w:val="single" w:sz="4" w:space="0" w:color="auto"/>
              <w:right w:val="single" w:sz="4" w:space="0" w:color="auto"/>
            </w:tcBorders>
            <w:shd w:val="clear" w:color="auto" w:fill="auto"/>
            <w:vAlign w:val="center"/>
            <w:hideMark/>
          </w:tcPr>
          <w:p w14:paraId="07A54E21"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INTERCONEXION ELECTRICA S.A. E.S.P.</w:t>
            </w:r>
          </w:p>
        </w:tc>
        <w:tc>
          <w:tcPr>
            <w:tcW w:w="1602" w:type="dxa"/>
            <w:tcBorders>
              <w:top w:val="nil"/>
              <w:left w:val="nil"/>
              <w:bottom w:val="single" w:sz="4" w:space="0" w:color="auto"/>
              <w:right w:val="single" w:sz="4" w:space="0" w:color="auto"/>
            </w:tcBorders>
            <w:shd w:val="clear" w:color="auto" w:fill="auto"/>
            <w:noWrap/>
            <w:vAlign w:val="center"/>
            <w:hideMark/>
          </w:tcPr>
          <w:p w14:paraId="6BB2FCBA" w14:textId="459179F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342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951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378 </w:t>
            </w:r>
          </w:p>
        </w:tc>
        <w:tc>
          <w:tcPr>
            <w:tcW w:w="1418" w:type="dxa"/>
            <w:tcBorders>
              <w:top w:val="nil"/>
              <w:left w:val="nil"/>
              <w:bottom w:val="single" w:sz="4" w:space="0" w:color="auto"/>
              <w:right w:val="single" w:sz="4" w:space="0" w:color="auto"/>
            </w:tcBorders>
            <w:shd w:val="clear" w:color="auto" w:fill="auto"/>
            <w:noWrap/>
            <w:vAlign w:val="center"/>
            <w:hideMark/>
          </w:tcPr>
          <w:p w14:paraId="4C9657B8" w14:textId="45E8386A"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123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429</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514 </w:t>
            </w:r>
          </w:p>
        </w:tc>
      </w:tr>
      <w:tr w:rsidR="009A21D7" w:rsidRPr="00374360" w14:paraId="75E4E433"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3DE4255"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245</w:t>
            </w:r>
          </w:p>
        </w:tc>
        <w:tc>
          <w:tcPr>
            <w:tcW w:w="660" w:type="dxa"/>
            <w:tcBorders>
              <w:top w:val="nil"/>
              <w:left w:val="nil"/>
              <w:bottom w:val="single" w:sz="4" w:space="0" w:color="auto"/>
              <w:right w:val="single" w:sz="4" w:space="0" w:color="auto"/>
            </w:tcBorders>
            <w:shd w:val="clear" w:color="auto" w:fill="auto"/>
            <w:noWrap/>
            <w:vAlign w:val="center"/>
            <w:hideMark/>
          </w:tcPr>
          <w:p w14:paraId="00A37B71"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1713</w:t>
            </w:r>
          </w:p>
        </w:tc>
        <w:tc>
          <w:tcPr>
            <w:tcW w:w="879" w:type="dxa"/>
            <w:tcBorders>
              <w:top w:val="nil"/>
              <w:left w:val="nil"/>
              <w:bottom w:val="single" w:sz="4" w:space="0" w:color="auto"/>
              <w:right w:val="single" w:sz="4" w:space="0" w:color="auto"/>
            </w:tcBorders>
            <w:shd w:val="clear" w:color="auto" w:fill="auto"/>
            <w:noWrap/>
            <w:vAlign w:val="center"/>
            <w:hideMark/>
          </w:tcPr>
          <w:p w14:paraId="1AC3593F"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890600185</w:t>
            </w:r>
          </w:p>
        </w:tc>
        <w:tc>
          <w:tcPr>
            <w:tcW w:w="3913" w:type="dxa"/>
            <w:tcBorders>
              <w:top w:val="nil"/>
              <w:left w:val="nil"/>
              <w:bottom w:val="single" w:sz="4" w:space="0" w:color="auto"/>
              <w:right w:val="single" w:sz="4" w:space="0" w:color="auto"/>
            </w:tcBorders>
            <w:shd w:val="clear" w:color="auto" w:fill="auto"/>
            <w:vAlign w:val="center"/>
            <w:hideMark/>
          </w:tcPr>
          <w:p w14:paraId="53438C65"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INTERMUNICIPAL DE GAS S.A. E.S.P.</w:t>
            </w:r>
          </w:p>
        </w:tc>
        <w:tc>
          <w:tcPr>
            <w:tcW w:w="1602" w:type="dxa"/>
            <w:tcBorders>
              <w:top w:val="nil"/>
              <w:left w:val="nil"/>
              <w:bottom w:val="single" w:sz="4" w:space="0" w:color="auto"/>
              <w:right w:val="single" w:sz="4" w:space="0" w:color="auto"/>
            </w:tcBorders>
            <w:shd w:val="clear" w:color="auto" w:fill="auto"/>
            <w:noWrap/>
            <w:vAlign w:val="center"/>
            <w:hideMark/>
          </w:tcPr>
          <w:p w14:paraId="616DE11C" w14:textId="38AF110B"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128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485</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905 </w:t>
            </w:r>
          </w:p>
        </w:tc>
        <w:tc>
          <w:tcPr>
            <w:tcW w:w="1418" w:type="dxa"/>
            <w:tcBorders>
              <w:top w:val="nil"/>
              <w:left w:val="nil"/>
              <w:bottom w:val="single" w:sz="4" w:space="0" w:color="auto"/>
              <w:right w:val="single" w:sz="4" w:space="0" w:color="auto"/>
            </w:tcBorders>
            <w:shd w:val="clear" w:color="auto" w:fill="auto"/>
            <w:noWrap/>
            <w:vAlign w:val="center"/>
            <w:hideMark/>
          </w:tcPr>
          <w:p w14:paraId="4F61CC3B" w14:textId="6189FAC8"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284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859 </w:t>
            </w:r>
          </w:p>
        </w:tc>
      </w:tr>
      <w:tr w:rsidR="009A21D7" w:rsidRPr="00374360" w14:paraId="32CA509E" w14:textId="77777777" w:rsidTr="00C734CF">
        <w:trPr>
          <w:trHeight w:val="4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9136087"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246</w:t>
            </w:r>
          </w:p>
        </w:tc>
        <w:tc>
          <w:tcPr>
            <w:tcW w:w="660" w:type="dxa"/>
            <w:tcBorders>
              <w:top w:val="nil"/>
              <w:left w:val="nil"/>
              <w:bottom w:val="single" w:sz="4" w:space="0" w:color="auto"/>
              <w:right w:val="single" w:sz="4" w:space="0" w:color="auto"/>
            </w:tcBorders>
            <w:shd w:val="clear" w:color="auto" w:fill="auto"/>
            <w:noWrap/>
            <w:vAlign w:val="center"/>
            <w:hideMark/>
          </w:tcPr>
          <w:p w14:paraId="276AF961"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20000</w:t>
            </w:r>
          </w:p>
        </w:tc>
        <w:tc>
          <w:tcPr>
            <w:tcW w:w="879" w:type="dxa"/>
            <w:tcBorders>
              <w:top w:val="nil"/>
              <w:left w:val="nil"/>
              <w:bottom w:val="single" w:sz="4" w:space="0" w:color="auto"/>
              <w:right w:val="single" w:sz="4" w:space="0" w:color="auto"/>
            </w:tcBorders>
            <w:shd w:val="clear" w:color="auto" w:fill="auto"/>
            <w:noWrap/>
            <w:vAlign w:val="center"/>
            <w:hideMark/>
          </w:tcPr>
          <w:p w14:paraId="4DEDCC03"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860529657</w:t>
            </w:r>
          </w:p>
        </w:tc>
        <w:tc>
          <w:tcPr>
            <w:tcW w:w="3913" w:type="dxa"/>
            <w:tcBorders>
              <w:top w:val="nil"/>
              <w:left w:val="nil"/>
              <w:bottom w:val="single" w:sz="4" w:space="0" w:color="auto"/>
              <w:right w:val="single" w:sz="4" w:space="0" w:color="auto"/>
            </w:tcBorders>
            <w:shd w:val="clear" w:color="auto" w:fill="auto"/>
            <w:vAlign w:val="center"/>
            <w:hideMark/>
          </w:tcPr>
          <w:p w14:paraId="36B87DC3" w14:textId="77777777" w:rsidR="00374360" w:rsidRPr="00D26825" w:rsidRDefault="00374360" w:rsidP="00374360">
            <w:pPr>
              <w:jc w:val="left"/>
              <w:rPr>
                <w:rFonts w:ascii="Arial Narrow" w:hAnsi="Arial Narrow" w:cs="Calibri"/>
                <w:color w:val="000000"/>
                <w:spacing w:val="0"/>
                <w:sz w:val="18"/>
                <w:szCs w:val="18"/>
                <w:lang w:val="en-US" w:eastAsia="es-CO"/>
              </w:rPr>
            </w:pPr>
            <w:r w:rsidRPr="00D26825">
              <w:rPr>
                <w:rFonts w:ascii="Arial Narrow" w:hAnsi="Arial Narrow" w:cs="Calibri"/>
                <w:color w:val="000000"/>
                <w:spacing w:val="0"/>
                <w:sz w:val="18"/>
                <w:szCs w:val="18"/>
                <w:lang w:val="en-US" w:eastAsia="es-CO"/>
              </w:rPr>
              <w:t>INTEROIL COLOMBIA EXPLORATION AND PRODUCTION</w:t>
            </w:r>
          </w:p>
        </w:tc>
        <w:tc>
          <w:tcPr>
            <w:tcW w:w="1602" w:type="dxa"/>
            <w:tcBorders>
              <w:top w:val="nil"/>
              <w:left w:val="nil"/>
              <w:bottom w:val="single" w:sz="4" w:space="0" w:color="auto"/>
              <w:right w:val="single" w:sz="4" w:space="0" w:color="auto"/>
            </w:tcBorders>
            <w:shd w:val="clear" w:color="auto" w:fill="auto"/>
            <w:noWrap/>
            <w:vAlign w:val="center"/>
            <w:hideMark/>
          </w:tcPr>
          <w:p w14:paraId="5EBD602E" w14:textId="348D6145" w:rsidR="00374360" w:rsidRPr="00374360" w:rsidRDefault="00374360" w:rsidP="00374360">
            <w:pPr>
              <w:jc w:val="right"/>
              <w:rPr>
                <w:rFonts w:ascii="Arial Narrow" w:hAnsi="Arial Narrow" w:cs="Calibri"/>
                <w:color w:val="000000"/>
                <w:spacing w:val="0"/>
                <w:sz w:val="18"/>
                <w:szCs w:val="18"/>
                <w:lang w:eastAsia="es-CO"/>
              </w:rPr>
            </w:pPr>
            <w:r w:rsidRPr="00D26825">
              <w:rPr>
                <w:rFonts w:ascii="Arial Narrow" w:hAnsi="Arial Narrow" w:cs="Calibri"/>
                <w:color w:val="000000"/>
                <w:spacing w:val="0"/>
                <w:sz w:val="18"/>
                <w:szCs w:val="18"/>
                <w:lang w:val="en-US" w:eastAsia="es-CO"/>
              </w:rPr>
              <w:t xml:space="preserve">                           </w:t>
            </w:r>
            <w:r w:rsidRPr="00374360">
              <w:rPr>
                <w:rFonts w:ascii="Arial Narrow" w:hAnsi="Arial Narrow" w:cs="Calibri"/>
                <w:color w:val="000000"/>
                <w:spacing w:val="0"/>
                <w:sz w:val="18"/>
                <w:szCs w:val="18"/>
                <w:lang w:eastAsia="es-CO"/>
              </w:rPr>
              <w:t>516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476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029 </w:t>
            </w:r>
          </w:p>
        </w:tc>
        <w:tc>
          <w:tcPr>
            <w:tcW w:w="1418" w:type="dxa"/>
            <w:tcBorders>
              <w:top w:val="nil"/>
              <w:left w:val="nil"/>
              <w:bottom w:val="single" w:sz="4" w:space="0" w:color="auto"/>
              <w:right w:val="single" w:sz="4" w:space="0" w:color="auto"/>
            </w:tcBorders>
            <w:shd w:val="clear" w:color="auto" w:fill="auto"/>
            <w:noWrap/>
            <w:vAlign w:val="center"/>
            <w:hideMark/>
          </w:tcPr>
          <w:p w14:paraId="221FA359" w14:textId="22F351C3"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5</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164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760 </w:t>
            </w:r>
          </w:p>
        </w:tc>
      </w:tr>
      <w:tr w:rsidR="009A21D7" w:rsidRPr="00374360" w14:paraId="5AF2E629"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6839B96"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247</w:t>
            </w:r>
          </w:p>
        </w:tc>
        <w:tc>
          <w:tcPr>
            <w:tcW w:w="660" w:type="dxa"/>
            <w:tcBorders>
              <w:top w:val="nil"/>
              <w:left w:val="nil"/>
              <w:bottom w:val="single" w:sz="4" w:space="0" w:color="auto"/>
              <w:right w:val="single" w:sz="4" w:space="0" w:color="auto"/>
            </w:tcBorders>
            <w:shd w:val="clear" w:color="auto" w:fill="auto"/>
            <w:noWrap/>
            <w:vAlign w:val="center"/>
            <w:hideMark/>
          </w:tcPr>
          <w:p w14:paraId="51F48955"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23312</w:t>
            </w:r>
          </w:p>
        </w:tc>
        <w:tc>
          <w:tcPr>
            <w:tcW w:w="879" w:type="dxa"/>
            <w:tcBorders>
              <w:top w:val="nil"/>
              <w:left w:val="nil"/>
              <w:bottom w:val="single" w:sz="4" w:space="0" w:color="auto"/>
              <w:right w:val="single" w:sz="4" w:space="0" w:color="auto"/>
            </w:tcBorders>
            <w:shd w:val="clear" w:color="auto" w:fill="auto"/>
            <w:noWrap/>
            <w:vAlign w:val="center"/>
            <w:hideMark/>
          </w:tcPr>
          <w:p w14:paraId="2D45526E"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900335279</w:t>
            </w:r>
          </w:p>
        </w:tc>
        <w:tc>
          <w:tcPr>
            <w:tcW w:w="3913" w:type="dxa"/>
            <w:tcBorders>
              <w:top w:val="nil"/>
              <w:left w:val="nil"/>
              <w:bottom w:val="single" w:sz="4" w:space="0" w:color="auto"/>
              <w:right w:val="single" w:sz="4" w:space="0" w:color="auto"/>
            </w:tcBorders>
            <w:shd w:val="clear" w:color="auto" w:fill="auto"/>
            <w:vAlign w:val="center"/>
            <w:hideMark/>
          </w:tcPr>
          <w:p w14:paraId="5778038D"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INVERSIONES GLP SAS ESP</w:t>
            </w:r>
          </w:p>
        </w:tc>
        <w:tc>
          <w:tcPr>
            <w:tcW w:w="1602" w:type="dxa"/>
            <w:tcBorders>
              <w:top w:val="nil"/>
              <w:left w:val="nil"/>
              <w:bottom w:val="single" w:sz="4" w:space="0" w:color="auto"/>
              <w:right w:val="single" w:sz="4" w:space="0" w:color="auto"/>
            </w:tcBorders>
            <w:shd w:val="clear" w:color="auto" w:fill="auto"/>
            <w:noWrap/>
            <w:vAlign w:val="center"/>
            <w:hideMark/>
          </w:tcPr>
          <w:p w14:paraId="322D1DE7" w14:textId="0A4F643D"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399</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232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468 </w:t>
            </w:r>
          </w:p>
        </w:tc>
        <w:tc>
          <w:tcPr>
            <w:tcW w:w="1418" w:type="dxa"/>
            <w:tcBorders>
              <w:top w:val="nil"/>
              <w:left w:val="nil"/>
              <w:bottom w:val="single" w:sz="4" w:space="0" w:color="auto"/>
              <w:right w:val="single" w:sz="4" w:space="0" w:color="auto"/>
            </w:tcBorders>
            <w:shd w:val="clear" w:color="auto" w:fill="auto"/>
            <w:noWrap/>
            <w:vAlign w:val="center"/>
            <w:hideMark/>
          </w:tcPr>
          <w:p w14:paraId="07E0ED0E" w14:textId="1BA5F512"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83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992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325 </w:t>
            </w:r>
          </w:p>
        </w:tc>
      </w:tr>
      <w:tr w:rsidR="009A21D7" w:rsidRPr="00374360" w14:paraId="6378437E"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37495F3"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lastRenderedPageBreak/>
              <w:t>248</w:t>
            </w:r>
          </w:p>
        </w:tc>
        <w:tc>
          <w:tcPr>
            <w:tcW w:w="660" w:type="dxa"/>
            <w:tcBorders>
              <w:top w:val="nil"/>
              <w:left w:val="nil"/>
              <w:bottom w:val="single" w:sz="4" w:space="0" w:color="auto"/>
              <w:right w:val="single" w:sz="4" w:space="0" w:color="auto"/>
            </w:tcBorders>
            <w:shd w:val="clear" w:color="auto" w:fill="auto"/>
            <w:noWrap/>
            <w:vAlign w:val="center"/>
            <w:hideMark/>
          </w:tcPr>
          <w:p w14:paraId="1AA96A10"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480</w:t>
            </w:r>
          </w:p>
        </w:tc>
        <w:tc>
          <w:tcPr>
            <w:tcW w:w="879" w:type="dxa"/>
            <w:tcBorders>
              <w:top w:val="nil"/>
              <w:left w:val="nil"/>
              <w:bottom w:val="single" w:sz="4" w:space="0" w:color="auto"/>
              <w:right w:val="single" w:sz="4" w:space="0" w:color="auto"/>
            </w:tcBorders>
            <w:shd w:val="clear" w:color="auto" w:fill="auto"/>
            <w:noWrap/>
            <w:vAlign w:val="center"/>
            <w:hideMark/>
          </w:tcPr>
          <w:p w14:paraId="7056B908"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811000740</w:t>
            </w:r>
          </w:p>
        </w:tc>
        <w:tc>
          <w:tcPr>
            <w:tcW w:w="3913" w:type="dxa"/>
            <w:tcBorders>
              <w:top w:val="nil"/>
              <w:left w:val="nil"/>
              <w:bottom w:val="single" w:sz="4" w:space="0" w:color="auto"/>
              <w:right w:val="single" w:sz="4" w:space="0" w:color="auto"/>
            </w:tcBorders>
            <w:shd w:val="clear" w:color="auto" w:fill="auto"/>
            <w:vAlign w:val="center"/>
            <w:hideMark/>
          </w:tcPr>
          <w:p w14:paraId="4A056436" w14:textId="77777777" w:rsidR="00374360" w:rsidRPr="00D26825" w:rsidRDefault="00374360" w:rsidP="00374360">
            <w:pPr>
              <w:jc w:val="left"/>
              <w:rPr>
                <w:rFonts w:ascii="Arial Narrow" w:hAnsi="Arial Narrow" w:cs="Calibri"/>
                <w:color w:val="000000"/>
                <w:spacing w:val="0"/>
                <w:sz w:val="18"/>
                <w:szCs w:val="18"/>
                <w:lang w:val="en-US" w:eastAsia="es-CO"/>
              </w:rPr>
            </w:pPr>
            <w:r w:rsidRPr="00D26825">
              <w:rPr>
                <w:rFonts w:ascii="Arial Narrow" w:hAnsi="Arial Narrow" w:cs="Calibri"/>
                <w:color w:val="000000"/>
                <w:spacing w:val="0"/>
                <w:sz w:val="18"/>
                <w:szCs w:val="18"/>
                <w:lang w:val="en-US" w:eastAsia="es-CO"/>
              </w:rPr>
              <w:t>ISAGEN S.A. E.S.P.</w:t>
            </w:r>
          </w:p>
        </w:tc>
        <w:tc>
          <w:tcPr>
            <w:tcW w:w="1602" w:type="dxa"/>
            <w:tcBorders>
              <w:top w:val="nil"/>
              <w:left w:val="nil"/>
              <w:bottom w:val="single" w:sz="4" w:space="0" w:color="auto"/>
              <w:right w:val="single" w:sz="4" w:space="0" w:color="auto"/>
            </w:tcBorders>
            <w:shd w:val="clear" w:color="auto" w:fill="auto"/>
            <w:noWrap/>
            <w:vAlign w:val="center"/>
            <w:hideMark/>
          </w:tcPr>
          <w:p w14:paraId="4BE252A5" w14:textId="6F8D9552" w:rsidR="00374360" w:rsidRPr="00374360" w:rsidRDefault="00374360" w:rsidP="00374360">
            <w:pPr>
              <w:jc w:val="right"/>
              <w:rPr>
                <w:rFonts w:ascii="Arial Narrow" w:hAnsi="Arial Narrow" w:cs="Calibri"/>
                <w:color w:val="000000"/>
                <w:spacing w:val="0"/>
                <w:sz w:val="18"/>
                <w:szCs w:val="18"/>
                <w:lang w:eastAsia="es-CO"/>
              </w:rPr>
            </w:pPr>
            <w:r w:rsidRPr="00D26825">
              <w:rPr>
                <w:rFonts w:ascii="Arial Narrow" w:hAnsi="Arial Narrow" w:cs="Calibri"/>
                <w:color w:val="000000"/>
                <w:spacing w:val="0"/>
                <w:sz w:val="18"/>
                <w:szCs w:val="18"/>
                <w:lang w:val="en-US" w:eastAsia="es-CO"/>
              </w:rPr>
              <w:t xml:space="preserve">                      </w:t>
            </w:r>
            <w:r w:rsidRPr="00374360">
              <w:rPr>
                <w:rFonts w:ascii="Arial Narrow" w:hAnsi="Arial Narrow" w:cs="Calibri"/>
                <w:color w:val="000000"/>
                <w:spacing w:val="0"/>
                <w:sz w:val="18"/>
                <w:szCs w:val="18"/>
                <w:lang w:eastAsia="es-CO"/>
              </w:rPr>
              <w:t>88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332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599</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714 </w:t>
            </w:r>
          </w:p>
        </w:tc>
        <w:tc>
          <w:tcPr>
            <w:tcW w:w="1418" w:type="dxa"/>
            <w:tcBorders>
              <w:top w:val="nil"/>
              <w:left w:val="nil"/>
              <w:bottom w:val="single" w:sz="4" w:space="0" w:color="auto"/>
              <w:right w:val="single" w:sz="4" w:space="0" w:color="auto"/>
            </w:tcBorders>
            <w:shd w:val="clear" w:color="auto" w:fill="auto"/>
            <w:noWrap/>
            <w:vAlign w:val="center"/>
            <w:hideMark/>
          </w:tcPr>
          <w:p w14:paraId="4489546A" w14:textId="365D1F8D"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883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325</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997 </w:t>
            </w:r>
          </w:p>
        </w:tc>
      </w:tr>
      <w:tr w:rsidR="009A21D7" w:rsidRPr="00374360" w14:paraId="4B01B45E"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7C22293"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249</w:t>
            </w:r>
          </w:p>
        </w:tc>
        <w:tc>
          <w:tcPr>
            <w:tcW w:w="660" w:type="dxa"/>
            <w:tcBorders>
              <w:top w:val="nil"/>
              <w:left w:val="nil"/>
              <w:bottom w:val="single" w:sz="4" w:space="0" w:color="auto"/>
              <w:right w:val="single" w:sz="4" w:space="0" w:color="auto"/>
            </w:tcBorders>
            <w:shd w:val="clear" w:color="auto" w:fill="auto"/>
            <w:noWrap/>
            <w:vAlign w:val="center"/>
            <w:hideMark/>
          </w:tcPr>
          <w:p w14:paraId="0DB5272A"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25984</w:t>
            </w:r>
          </w:p>
        </w:tc>
        <w:tc>
          <w:tcPr>
            <w:tcW w:w="879" w:type="dxa"/>
            <w:tcBorders>
              <w:top w:val="nil"/>
              <w:left w:val="nil"/>
              <w:bottom w:val="single" w:sz="4" w:space="0" w:color="auto"/>
              <w:right w:val="single" w:sz="4" w:space="0" w:color="auto"/>
            </w:tcBorders>
            <w:shd w:val="clear" w:color="auto" w:fill="auto"/>
            <w:noWrap/>
            <w:vAlign w:val="center"/>
            <w:hideMark/>
          </w:tcPr>
          <w:p w14:paraId="79AC2DDA"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900428468</w:t>
            </w:r>
          </w:p>
        </w:tc>
        <w:tc>
          <w:tcPr>
            <w:tcW w:w="3913" w:type="dxa"/>
            <w:tcBorders>
              <w:top w:val="nil"/>
              <w:left w:val="nil"/>
              <w:bottom w:val="single" w:sz="4" w:space="0" w:color="auto"/>
              <w:right w:val="single" w:sz="4" w:space="0" w:color="auto"/>
            </w:tcBorders>
            <w:shd w:val="clear" w:color="auto" w:fill="auto"/>
            <w:vAlign w:val="center"/>
            <w:hideMark/>
          </w:tcPr>
          <w:p w14:paraId="5D67FBDB"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ITALCOL ENERGIA S.A. ESP.</w:t>
            </w:r>
          </w:p>
        </w:tc>
        <w:tc>
          <w:tcPr>
            <w:tcW w:w="1602" w:type="dxa"/>
            <w:tcBorders>
              <w:top w:val="nil"/>
              <w:left w:val="nil"/>
              <w:bottom w:val="single" w:sz="4" w:space="0" w:color="auto"/>
              <w:right w:val="single" w:sz="4" w:space="0" w:color="auto"/>
            </w:tcBorders>
            <w:shd w:val="clear" w:color="auto" w:fill="auto"/>
            <w:noWrap/>
            <w:vAlign w:val="center"/>
            <w:hideMark/>
          </w:tcPr>
          <w:p w14:paraId="7935DD8B" w14:textId="1994442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495</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903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569 </w:t>
            </w:r>
          </w:p>
        </w:tc>
        <w:tc>
          <w:tcPr>
            <w:tcW w:w="1418" w:type="dxa"/>
            <w:tcBorders>
              <w:top w:val="nil"/>
              <w:left w:val="nil"/>
              <w:bottom w:val="single" w:sz="4" w:space="0" w:color="auto"/>
              <w:right w:val="single" w:sz="4" w:space="0" w:color="auto"/>
            </w:tcBorders>
            <w:shd w:val="clear" w:color="auto" w:fill="auto"/>
            <w:noWrap/>
            <w:vAlign w:val="center"/>
            <w:hideMark/>
          </w:tcPr>
          <w:p w14:paraId="2281074C" w14:textId="5D259B8A"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959</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036 </w:t>
            </w:r>
          </w:p>
        </w:tc>
      </w:tr>
      <w:tr w:rsidR="009A21D7" w:rsidRPr="00374360" w14:paraId="1E081473"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B71581C"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250</w:t>
            </w:r>
          </w:p>
        </w:tc>
        <w:tc>
          <w:tcPr>
            <w:tcW w:w="660" w:type="dxa"/>
            <w:tcBorders>
              <w:top w:val="nil"/>
              <w:left w:val="nil"/>
              <w:bottom w:val="single" w:sz="4" w:space="0" w:color="auto"/>
              <w:right w:val="single" w:sz="4" w:space="0" w:color="auto"/>
            </w:tcBorders>
            <w:shd w:val="clear" w:color="auto" w:fill="auto"/>
            <w:noWrap/>
            <w:vAlign w:val="center"/>
            <w:hideMark/>
          </w:tcPr>
          <w:p w14:paraId="664DFB78"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38033</w:t>
            </w:r>
          </w:p>
        </w:tc>
        <w:tc>
          <w:tcPr>
            <w:tcW w:w="879" w:type="dxa"/>
            <w:tcBorders>
              <w:top w:val="nil"/>
              <w:left w:val="nil"/>
              <w:bottom w:val="single" w:sz="4" w:space="0" w:color="auto"/>
              <w:right w:val="single" w:sz="4" w:space="0" w:color="auto"/>
            </w:tcBorders>
            <w:shd w:val="clear" w:color="auto" w:fill="auto"/>
            <w:noWrap/>
            <w:vAlign w:val="center"/>
            <w:hideMark/>
          </w:tcPr>
          <w:p w14:paraId="58B50781"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900440491</w:t>
            </w:r>
          </w:p>
        </w:tc>
        <w:tc>
          <w:tcPr>
            <w:tcW w:w="3913" w:type="dxa"/>
            <w:tcBorders>
              <w:top w:val="nil"/>
              <w:left w:val="nil"/>
              <w:bottom w:val="single" w:sz="4" w:space="0" w:color="auto"/>
              <w:right w:val="single" w:sz="4" w:space="0" w:color="auto"/>
            </w:tcBorders>
            <w:shd w:val="clear" w:color="auto" w:fill="auto"/>
            <w:vAlign w:val="center"/>
            <w:hideMark/>
          </w:tcPr>
          <w:p w14:paraId="33EDC2B2"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JADAPE SAS ESP</w:t>
            </w:r>
          </w:p>
        </w:tc>
        <w:tc>
          <w:tcPr>
            <w:tcW w:w="1602" w:type="dxa"/>
            <w:tcBorders>
              <w:top w:val="nil"/>
              <w:left w:val="nil"/>
              <w:bottom w:val="single" w:sz="4" w:space="0" w:color="auto"/>
              <w:right w:val="single" w:sz="4" w:space="0" w:color="auto"/>
            </w:tcBorders>
            <w:shd w:val="clear" w:color="auto" w:fill="auto"/>
            <w:noWrap/>
            <w:vAlign w:val="center"/>
            <w:hideMark/>
          </w:tcPr>
          <w:p w14:paraId="4352F08B" w14:textId="077B78EB"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128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787</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202 </w:t>
            </w:r>
          </w:p>
        </w:tc>
        <w:tc>
          <w:tcPr>
            <w:tcW w:w="1418" w:type="dxa"/>
            <w:tcBorders>
              <w:top w:val="nil"/>
              <w:left w:val="nil"/>
              <w:bottom w:val="single" w:sz="4" w:space="0" w:color="auto"/>
              <w:right w:val="single" w:sz="4" w:space="0" w:color="auto"/>
            </w:tcBorders>
            <w:shd w:val="clear" w:color="auto" w:fill="auto"/>
            <w:noWrap/>
            <w:vAlign w:val="center"/>
            <w:hideMark/>
          </w:tcPr>
          <w:p w14:paraId="5FE2E214" w14:textId="2B271ED6"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287</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872 </w:t>
            </w:r>
          </w:p>
        </w:tc>
      </w:tr>
      <w:tr w:rsidR="009A21D7" w:rsidRPr="00374360" w14:paraId="2113D6B1"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7054AEE"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251</w:t>
            </w:r>
          </w:p>
        </w:tc>
        <w:tc>
          <w:tcPr>
            <w:tcW w:w="660" w:type="dxa"/>
            <w:tcBorders>
              <w:top w:val="nil"/>
              <w:left w:val="nil"/>
              <w:bottom w:val="single" w:sz="4" w:space="0" w:color="auto"/>
              <w:right w:val="single" w:sz="4" w:space="0" w:color="auto"/>
            </w:tcBorders>
            <w:shd w:val="clear" w:color="auto" w:fill="auto"/>
            <w:noWrap/>
            <w:vAlign w:val="center"/>
            <w:hideMark/>
          </w:tcPr>
          <w:p w14:paraId="61186D6B"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39313</w:t>
            </w:r>
          </w:p>
        </w:tc>
        <w:tc>
          <w:tcPr>
            <w:tcW w:w="879" w:type="dxa"/>
            <w:tcBorders>
              <w:top w:val="nil"/>
              <w:left w:val="nil"/>
              <w:bottom w:val="single" w:sz="4" w:space="0" w:color="auto"/>
              <w:right w:val="single" w:sz="4" w:space="0" w:color="auto"/>
            </w:tcBorders>
            <w:shd w:val="clear" w:color="auto" w:fill="auto"/>
            <w:noWrap/>
            <w:vAlign w:val="center"/>
            <w:hideMark/>
          </w:tcPr>
          <w:p w14:paraId="012A7D5D"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901125404</w:t>
            </w:r>
          </w:p>
        </w:tc>
        <w:tc>
          <w:tcPr>
            <w:tcW w:w="3913" w:type="dxa"/>
            <w:tcBorders>
              <w:top w:val="nil"/>
              <w:left w:val="nil"/>
              <w:bottom w:val="single" w:sz="4" w:space="0" w:color="auto"/>
              <w:right w:val="single" w:sz="4" w:space="0" w:color="auto"/>
            </w:tcBorders>
            <w:shd w:val="clear" w:color="auto" w:fill="auto"/>
            <w:vAlign w:val="center"/>
            <w:hideMark/>
          </w:tcPr>
          <w:p w14:paraId="561803F1"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JULIA-RD SA ESP</w:t>
            </w:r>
          </w:p>
        </w:tc>
        <w:tc>
          <w:tcPr>
            <w:tcW w:w="1602" w:type="dxa"/>
            <w:tcBorders>
              <w:top w:val="nil"/>
              <w:left w:val="nil"/>
              <w:bottom w:val="single" w:sz="4" w:space="0" w:color="auto"/>
              <w:right w:val="single" w:sz="4" w:space="0" w:color="auto"/>
            </w:tcBorders>
            <w:shd w:val="clear" w:color="auto" w:fill="auto"/>
            <w:noWrap/>
            <w:vAlign w:val="center"/>
            <w:hideMark/>
          </w:tcPr>
          <w:p w14:paraId="725C265E" w14:textId="7F5B489D"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894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422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689 </w:t>
            </w:r>
          </w:p>
        </w:tc>
        <w:tc>
          <w:tcPr>
            <w:tcW w:w="1418" w:type="dxa"/>
            <w:tcBorders>
              <w:top w:val="nil"/>
              <w:left w:val="nil"/>
              <w:bottom w:val="single" w:sz="4" w:space="0" w:color="auto"/>
              <w:right w:val="single" w:sz="4" w:space="0" w:color="auto"/>
            </w:tcBorders>
            <w:shd w:val="clear" w:color="auto" w:fill="auto"/>
            <w:noWrap/>
            <w:vAlign w:val="center"/>
            <w:hideMark/>
          </w:tcPr>
          <w:p w14:paraId="5438C614" w14:textId="4F63EE19"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28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944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227 </w:t>
            </w:r>
          </w:p>
        </w:tc>
      </w:tr>
      <w:tr w:rsidR="009A21D7" w:rsidRPr="00374360" w14:paraId="7686A162" w14:textId="77777777" w:rsidTr="00C734CF">
        <w:trPr>
          <w:trHeight w:val="4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1200D95"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252</w:t>
            </w:r>
          </w:p>
        </w:tc>
        <w:tc>
          <w:tcPr>
            <w:tcW w:w="660" w:type="dxa"/>
            <w:tcBorders>
              <w:top w:val="nil"/>
              <w:left w:val="nil"/>
              <w:bottom w:val="single" w:sz="4" w:space="0" w:color="auto"/>
              <w:right w:val="single" w:sz="4" w:space="0" w:color="auto"/>
            </w:tcBorders>
            <w:shd w:val="clear" w:color="auto" w:fill="auto"/>
            <w:noWrap/>
            <w:vAlign w:val="center"/>
            <w:hideMark/>
          </w:tcPr>
          <w:p w14:paraId="15B5D955"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2080</w:t>
            </w:r>
          </w:p>
        </w:tc>
        <w:tc>
          <w:tcPr>
            <w:tcW w:w="879" w:type="dxa"/>
            <w:tcBorders>
              <w:top w:val="nil"/>
              <w:left w:val="nil"/>
              <w:bottom w:val="single" w:sz="4" w:space="0" w:color="auto"/>
              <w:right w:val="single" w:sz="4" w:space="0" w:color="auto"/>
            </w:tcBorders>
            <w:shd w:val="clear" w:color="000000" w:fill="FFFFFF"/>
            <w:noWrap/>
            <w:vAlign w:val="center"/>
            <w:hideMark/>
          </w:tcPr>
          <w:p w14:paraId="7C5F614D"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818000276</w:t>
            </w:r>
          </w:p>
        </w:tc>
        <w:tc>
          <w:tcPr>
            <w:tcW w:w="3913" w:type="dxa"/>
            <w:tcBorders>
              <w:top w:val="nil"/>
              <w:left w:val="nil"/>
              <w:bottom w:val="single" w:sz="4" w:space="0" w:color="auto"/>
              <w:right w:val="single" w:sz="4" w:space="0" w:color="auto"/>
            </w:tcBorders>
            <w:shd w:val="clear" w:color="000000" w:fill="FFFFFF"/>
            <w:vAlign w:val="center"/>
            <w:hideMark/>
          </w:tcPr>
          <w:p w14:paraId="7224B57D"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JUNTA ADMINISTRADORA DE SERVICIOS PÚBLICOS  DE  CAPURGANA</w:t>
            </w:r>
          </w:p>
        </w:tc>
        <w:tc>
          <w:tcPr>
            <w:tcW w:w="1602" w:type="dxa"/>
            <w:tcBorders>
              <w:top w:val="nil"/>
              <w:left w:val="nil"/>
              <w:bottom w:val="single" w:sz="4" w:space="0" w:color="auto"/>
              <w:right w:val="single" w:sz="4" w:space="0" w:color="auto"/>
            </w:tcBorders>
            <w:shd w:val="clear" w:color="auto" w:fill="auto"/>
            <w:noWrap/>
            <w:vAlign w:val="center"/>
            <w:hideMark/>
          </w:tcPr>
          <w:p w14:paraId="0553799F" w14:textId="2F06B660"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280</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625</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836 </w:t>
            </w:r>
          </w:p>
        </w:tc>
        <w:tc>
          <w:tcPr>
            <w:tcW w:w="1418" w:type="dxa"/>
            <w:tcBorders>
              <w:top w:val="nil"/>
              <w:left w:val="nil"/>
              <w:bottom w:val="single" w:sz="4" w:space="0" w:color="auto"/>
              <w:right w:val="single" w:sz="4" w:space="0" w:color="auto"/>
            </w:tcBorders>
            <w:shd w:val="clear" w:color="auto" w:fill="auto"/>
            <w:noWrap/>
            <w:vAlign w:val="center"/>
            <w:hideMark/>
          </w:tcPr>
          <w:p w14:paraId="6E6D69F4" w14:textId="67892DD6"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806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258 </w:t>
            </w:r>
          </w:p>
        </w:tc>
      </w:tr>
      <w:tr w:rsidR="009A21D7" w:rsidRPr="00374360" w14:paraId="5BF31B55"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5EA3499"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253</w:t>
            </w:r>
          </w:p>
        </w:tc>
        <w:tc>
          <w:tcPr>
            <w:tcW w:w="660" w:type="dxa"/>
            <w:tcBorders>
              <w:top w:val="nil"/>
              <w:left w:val="nil"/>
              <w:bottom w:val="single" w:sz="4" w:space="0" w:color="auto"/>
              <w:right w:val="single" w:sz="4" w:space="0" w:color="auto"/>
            </w:tcBorders>
            <w:shd w:val="clear" w:color="auto" w:fill="auto"/>
            <w:noWrap/>
            <w:vAlign w:val="center"/>
            <w:hideMark/>
          </w:tcPr>
          <w:p w14:paraId="24F09F23"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32213</w:t>
            </w:r>
          </w:p>
        </w:tc>
        <w:tc>
          <w:tcPr>
            <w:tcW w:w="879" w:type="dxa"/>
            <w:tcBorders>
              <w:top w:val="nil"/>
              <w:left w:val="nil"/>
              <w:bottom w:val="single" w:sz="4" w:space="0" w:color="auto"/>
              <w:right w:val="single" w:sz="4" w:space="0" w:color="auto"/>
            </w:tcBorders>
            <w:shd w:val="clear" w:color="auto" w:fill="auto"/>
            <w:noWrap/>
            <w:vAlign w:val="center"/>
            <w:hideMark/>
          </w:tcPr>
          <w:p w14:paraId="3E15B51E"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900653272</w:t>
            </w:r>
          </w:p>
        </w:tc>
        <w:tc>
          <w:tcPr>
            <w:tcW w:w="3913" w:type="dxa"/>
            <w:tcBorders>
              <w:top w:val="nil"/>
              <w:left w:val="nil"/>
              <w:bottom w:val="single" w:sz="4" w:space="0" w:color="auto"/>
              <w:right w:val="single" w:sz="4" w:space="0" w:color="auto"/>
            </w:tcBorders>
            <w:shd w:val="clear" w:color="auto" w:fill="auto"/>
            <w:vAlign w:val="center"/>
            <w:hideMark/>
          </w:tcPr>
          <w:p w14:paraId="61D20A9A"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KEOPS Y ASOCIADOS SAS ESP</w:t>
            </w:r>
          </w:p>
        </w:tc>
        <w:tc>
          <w:tcPr>
            <w:tcW w:w="1602" w:type="dxa"/>
            <w:tcBorders>
              <w:top w:val="nil"/>
              <w:left w:val="nil"/>
              <w:bottom w:val="single" w:sz="4" w:space="0" w:color="auto"/>
              <w:right w:val="single" w:sz="4" w:space="0" w:color="auto"/>
            </w:tcBorders>
            <w:shd w:val="clear" w:color="auto" w:fill="auto"/>
            <w:noWrap/>
            <w:vAlign w:val="center"/>
            <w:hideMark/>
          </w:tcPr>
          <w:p w14:paraId="51ED9374" w14:textId="6699A0A6"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215</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746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270 </w:t>
            </w:r>
          </w:p>
        </w:tc>
        <w:tc>
          <w:tcPr>
            <w:tcW w:w="1418" w:type="dxa"/>
            <w:tcBorders>
              <w:top w:val="nil"/>
              <w:left w:val="nil"/>
              <w:bottom w:val="single" w:sz="4" w:space="0" w:color="auto"/>
              <w:right w:val="single" w:sz="4" w:space="0" w:color="auto"/>
            </w:tcBorders>
            <w:shd w:val="clear" w:color="auto" w:fill="auto"/>
            <w:noWrap/>
            <w:vAlign w:val="center"/>
            <w:hideMark/>
          </w:tcPr>
          <w:p w14:paraId="223EBD5B" w14:textId="62692318"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157</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463 </w:t>
            </w:r>
          </w:p>
        </w:tc>
      </w:tr>
      <w:tr w:rsidR="009A21D7" w:rsidRPr="00374360" w14:paraId="5EF2051D"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86C6C77"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254</w:t>
            </w:r>
          </w:p>
        </w:tc>
        <w:tc>
          <w:tcPr>
            <w:tcW w:w="660" w:type="dxa"/>
            <w:tcBorders>
              <w:top w:val="nil"/>
              <w:left w:val="nil"/>
              <w:bottom w:val="single" w:sz="4" w:space="0" w:color="auto"/>
              <w:right w:val="single" w:sz="4" w:space="0" w:color="auto"/>
            </w:tcBorders>
            <w:shd w:val="clear" w:color="auto" w:fill="auto"/>
            <w:noWrap/>
            <w:vAlign w:val="center"/>
            <w:hideMark/>
          </w:tcPr>
          <w:p w14:paraId="1289C9E1"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26178</w:t>
            </w:r>
          </w:p>
        </w:tc>
        <w:tc>
          <w:tcPr>
            <w:tcW w:w="879" w:type="dxa"/>
            <w:tcBorders>
              <w:top w:val="nil"/>
              <w:left w:val="nil"/>
              <w:bottom w:val="single" w:sz="4" w:space="0" w:color="auto"/>
              <w:right w:val="single" w:sz="4" w:space="0" w:color="auto"/>
            </w:tcBorders>
            <w:shd w:val="clear" w:color="auto" w:fill="auto"/>
            <w:noWrap/>
            <w:vAlign w:val="center"/>
            <w:hideMark/>
          </w:tcPr>
          <w:p w14:paraId="4B127C80"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900555031</w:t>
            </w:r>
          </w:p>
        </w:tc>
        <w:tc>
          <w:tcPr>
            <w:tcW w:w="3913" w:type="dxa"/>
            <w:tcBorders>
              <w:top w:val="nil"/>
              <w:left w:val="nil"/>
              <w:bottom w:val="single" w:sz="4" w:space="0" w:color="auto"/>
              <w:right w:val="single" w:sz="4" w:space="0" w:color="auto"/>
            </w:tcBorders>
            <w:shd w:val="clear" w:color="auto" w:fill="auto"/>
            <w:vAlign w:val="center"/>
            <w:hideMark/>
          </w:tcPr>
          <w:p w14:paraId="1F3F2A72"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KRONOS ENERGY S.A. E.S.P.</w:t>
            </w:r>
          </w:p>
        </w:tc>
        <w:tc>
          <w:tcPr>
            <w:tcW w:w="1602" w:type="dxa"/>
            <w:tcBorders>
              <w:top w:val="nil"/>
              <w:left w:val="nil"/>
              <w:bottom w:val="single" w:sz="4" w:space="0" w:color="auto"/>
              <w:right w:val="single" w:sz="4" w:space="0" w:color="auto"/>
            </w:tcBorders>
            <w:shd w:val="clear" w:color="auto" w:fill="auto"/>
            <w:noWrap/>
            <w:vAlign w:val="center"/>
            <w:hideMark/>
          </w:tcPr>
          <w:p w14:paraId="554C1920" w14:textId="6CAD72F8"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115</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569</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445 </w:t>
            </w:r>
          </w:p>
        </w:tc>
        <w:tc>
          <w:tcPr>
            <w:tcW w:w="1418" w:type="dxa"/>
            <w:tcBorders>
              <w:top w:val="nil"/>
              <w:left w:val="nil"/>
              <w:bottom w:val="single" w:sz="4" w:space="0" w:color="auto"/>
              <w:right w:val="single" w:sz="4" w:space="0" w:color="auto"/>
            </w:tcBorders>
            <w:shd w:val="clear" w:color="auto" w:fill="auto"/>
            <w:noWrap/>
            <w:vAlign w:val="center"/>
            <w:hideMark/>
          </w:tcPr>
          <w:p w14:paraId="636CC5ED" w14:textId="65A25260"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31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155</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694 </w:t>
            </w:r>
          </w:p>
        </w:tc>
      </w:tr>
      <w:tr w:rsidR="009A21D7" w:rsidRPr="00374360" w14:paraId="7EAA8825"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5BB1895"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255</w:t>
            </w:r>
          </w:p>
        </w:tc>
        <w:tc>
          <w:tcPr>
            <w:tcW w:w="660" w:type="dxa"/>
            <w:tcBorders>
              <w:top w:val="nil"/>
              <w:left w:val="nil"/>
              <w:bottom w:val="single" w:sz="4" w:space="0" w:color="auto"/>
              <w:right w:val="single" w:sz="4" w:space="0" w:color="auto"/>
            </w:tcBorders>
            <w:shd w:val="clear" w:color="auto" w:fill="auto"/>
            <w:noWrap/>
            <w:vAlign w:val="center"/>
            <w:hideMark/>
          </w:tcPr>
          <w:p w14:paraId="75AAC6F2"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21770</w:t>
            </w:r>
          </w:p>
        </w:tc>
        <w:tc>
          <w:tcPr>
            <w:tcW w:w="879" w:type="dxa"/>
            <w:tcBorders>
              <w:top w:val="nil"/>
              <w:left w:val="nil"/>
              <w:bottom w:val="single" w:sz="4" w:space="0" w:color="auto"/>
              <w:right w:val="single" w:sz="4" w:space="0" w:color="auto"/>
            </w:tcBorders>
            <w:shd w:val="clear" w:color="auto" w:fill="auto"/>
            <w:noWrap/>
            <w:vAlign w:val="center"/>
            <w:hideMark/>
          </w:tcPr>
          <w:p w14:paraId="339F224F"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900073583</w:t>
            </w:r>
          </w:p>
        </w:tc>
        <w:tc>
          <w:tcPr>
            <w:tcW w:w="3913" w:type="dxa"/>
            <w:tcBorders>
              <w:top w:val="nil"/>
              <w:left w:val="nil"/>
              <w:bottom w:val="single" w:sz="4" w:space="0" w:color="auto"/>
              <w:right w:val="single" w:sz="4" w:space="0" w:color="auto"/>
            </w:tcBorders>
            <w:shd w:val="clear" w:color="auto" w:fill="auto"/>
            <w:vAlign w:val="center"/>
            <w:hideMark/>
          </w:tcPr>
          <w:p w14:paraId="7AF3F5DB"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LA CASCADA S.A.S E.S.P.</w:t>
            </w:r>
          </w:p>
        </w:tc>
        <w:tc>
          <w:tcPr>
            <w:tcW w:w="1602" w:type="dxa"/>
            <w:tcBorders>
              <w:top w:val="nil"/>
              <w:left w:val="nil"/>
              <w:bottom w:val="single" w:sz="4" w:space="0" w:color="auto"/>
              <w:right w:val="single" w:sz="4" w:space="0" w:color="auto"/>
            </w:tcBorders>
            <w:shd w:val="clear" w:color="auto" w:fill="auto"/>
            <w:noWrap/>
            <w:vAlign w:val="center"/>
            <w:hideMark/>
          </w:tcPr>
          <w:p w14:paraId="7C2BC57F" w14:textId="294A1A19"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312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115</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267 </w:t>
            </w:r>
          </w:p>
        </w:tc>
        <w:tc>
          <w:tcPr>
            <w:tcW w:w="1418" w:type="dxa"/>
            <w:tcBorders>
              <w:top w:val="nil"/>
              <w:left w:val="nil"/>
              <w:bottom w:val="single" w:sz="4" w:space="0" w:color="auto"/>
              <w:right w:val="single" w:sz="4" w:space="0" w:color="auto"/>
            </w:tcBorders>
            <w:shd w:val="clear" w:color="auto" w:fill="auto"/>
            <w:noWrap/>
            <w:vAlign w:val="center"/>
            <w:hideMark/>
          </w:tcPr>
          <w:p w14:paraId="36448B8E" w14:textId="0EA98080"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121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153 </w:t>
            </w:r>
          </w:p>
        </w:tc>
      </w:tr>
      <w:tr w:rsidR="009A21D7" w:rsidRPr="00374360" w14:paraId="28877B72"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F35F12B"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256</w:t>
            </w:r>
          </w:p>
        </w:tc>
        <w:tc>
          <w:tcPr>
            <w:tcW w:w="660" w:type="dxa"/>
            <w:tcBorders>
              <w:top w:val="nil"/>
              <w:left w:val="nil"/>
              <w:bottom w:val="single" w:sz="4" w:space="0" w:color="auto"/>
              <w:right w:val="single" w:sz="4" w:space="0" w:color="auto"/>
            </w:tcBorders>
            <w:shd w:val="clear" w:color="auto" w:fill="auto"/>
            <w:noWrap/>
            <w:vAlign w:val="center"/>
            <w:hideMark/>
          </w:tcPr>
          <w:p w14:paraId="0371F709"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29191</w:t>
            </w:r>
          </w:p>
        </w:tc>
        <w:tc>
          <w:tcPr>
            <w:tcW w:w="879" w:type="dxa"/>
            <w:tcBorders>
              <w:top w:val="nil"/>
              <w:left w:val="nil"/>
              <w:bottom w:val="single" w:sz="4" w:space="0" w:color="auto"/>
              <w:right w:val="single" w:sz="4" w:space="0" w:color="auto"/>
            </w:tcBorders>
            <w:shd w:val="clear" w:color="auto" w:fill="auto"/>
            <w:noWrap/>
            <w:vAlign w:val="center"/>
            <w:hideMark/>
          </w:tcPr>
          <w:p w14:paraId="461EC3D9"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900089276</w:t>
            </w:r>
          </w:p>
        </w:tc>
        <w:tc>
          <w:tcPr>
            <w:tcW w:w="3913" w:type="dxa"/>
            <w:tcBorders>
              <w:top w:val="nil"/>
              <w:left w:val="nil"/>
              <w:bottom w:val="single" w:sz="4" w:space="0" w:color="auto"/>
              <w:right w:val="single" w:sz="4" w:space="0" w:color="auto"/>
            </w:tcBorders>
            <w:shd w:val="clear" w:color="auto" w:fill="auto"/>
            <w:vAlign w:val="center"/>
            <w:hideMark/>
          </w:tcPr>
          <w:p w14:paraId="254C42C9"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LEWIS ENERGY COLOMBIA INC </w:t>
            </w:r>
          </w:p>
        </w:tc>
        <w:tc>
          <w:tcPr>
            <w:tcW w:w="1602" w:type="dxa"/>
            <w:tcBorders>
              <w:top w:val="nil"/>
              <w:left w:val="nil"/>
              <w:bottom w:val="single" w:sz="4" w:space="0" w:color="auto"/>
              <w:right w:val="single" w:sz="4" w:space="0" w:color="auto"/>
            </w:tcBorders>
            <w:shd w:val="clear" w:color="auto" w:fill="auto"/>
            <w:noWrap/>
            <w:vAlign w:val="center"/>
            <w:hideMark/>
          </w:tcPr>
          <w:p w14:paraId="79AAE285" w14:textId="5702E6D3"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7</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849</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876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381 </w:t>
            </w:r>
          </w:p>
        </w:tc>
        <w:tc>
          <w:tcPr>
            <w:tcW w:w="1418" w:type="dxa"/>
            <w:tcBorders>
              <w:top w:val="nil"/>
              <w:left w:val="nil"/>
              <w:bottom w:val="single" w:sz="4" w:space="0" w:color="auto"/>
              <w:right w:val="single" w:sz="4" w:space="0" w:color="auto"/>
            </w:tcBorders>
            <w:shd w:val="clear" w:color="auto" w:fill="auto"/>
            <w:noWrap/>
            <w:vAlign w:val="center"/>
            <w:hideMark/>
          </w:tcPr>
          <w:p w14:paraId="2BC10FCA" w14:textId="0281FF25"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78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498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764 </w:t>
            </w:r>
          </w:p>
        </w:tc>
      </w:tr>
      <w:tr w:rsidR="009A21D7" w:rsidRPr="00374360" w14:paraId="0CC78B1A"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0978DB1"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257</w:t>
            </w:r>
          </w:p>
        </w:tc>
        <w:tc>
          <w:tcPr>
            <w:tcW w:w="660" w:type="dxa"/>
            <w:tcBorders>
              <w:top w:val="nil"/>
              <w:left w:val="nil"/>
              <w:bottom w:val="single" w:sz="4" w:space="0" w:color="auto"/>
              <w:right w:val="single" w:sz="4" w:space="0" w:color="auto"/>
            </w:tcBorders>
            <w:shd w:val="clear" w:color="auto" w:fill="auto"/>
            <w:noWrap/>
            <w:vAlign w:val="center"/>
            <w:hideMark/>
          </w:tcPr>
          <w:p w14:paraId="0123B1DF"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1854</w:t>
            </w:r>
          </w:p>
        </w:tc>
        <w:tc>
          <w:tcPr>
            <w:tcW w:w="879" w:type="dxa"/>
            <w:tcBorders>
              <w:top w:val="nil"/>
              <w:left w:val="nil"/>
              <w:bottom w:val="single" w:sz="4" w:space="0" w:color="auto"/>
              <w:right w:val="single" w:sz="4" w:space="0" w:color="auto"/>
            </w:tcBorders>
            <w:shd w:val="clear" w:color="auto" w:fill="auto"/>
            <w:noWrap/>
            <w:vAlign w:val="center"/>
            <w:hideMark/>
          </w:tcPr>
          <w:p w14:paraId="516B6126"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891300973</w:t>
            </w:r>
          </w:p>
        </w:tc>
        <w:tc>
          <w:tcPr>
            <w:tcW w:w="3913" w:type="dxa"/>
            <w:tcBorders>
              <w:top w:val="nil"/>
              <w:left w:val="nil"/>
              <w:bottom w:val="single" w:sz="4" w:space="0" w:color="auto"/>
              <w:right w:val="single" w:sz="4" w:space="0" w:color="auto"/>
            </w:tcBorders>
            <w:shd w:val="clear" w:color="auto" w:fill="auto"/>
            <w:vAlign w:val="center"/>
            <w:hideMark/>
          </w:tcPr>
          <w:p w14:paraId="1F7ABDEF"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LIDAGAS S.A E.S.P.</w:t>
            </w:r>
          </w:p>
        </w:tc>
        <w:tc>
          <w:tcPr>
            <w:tcW w:w="1602" w:type="dxa"/>
            <w:tcBorders>
              <w:top w:val="nil"/>
              <w:left w:val="nil"/>
              <w:bottom w:val="single" w:sz="4" w:space="0" w:color="auto"/>
              <w:right w:val="single" w:sz="4" w:space="0" w:color="auto"/>
            </w:tcBorders>
            <w:shd w:val="clear" w:color="auto" w:fill="auto"/>
            <w:noWrap/>
            <w:vAlign w:val="center"/>
            <w:hideMark/>
          </w:tcPr>
          <w:p w14:paraId="42D53192" w14:textId="6D3FEF99"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052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166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486 </w:t>
            </w:r>
          </w:p>
        </w:tc>
        <w:tc>
          <w:tcPr>
            <w:tcW w:w="1418" w:type="dxa"/>
            <w:tcBorders>
              <w:top w:val="nil"/>
              <w:left w:val="nil"/>
              <w:bottom w:val="single" w:sz="4" w:space="0" w:color="auto"/>
              <w:right w:val="single" w:sz="4" w:space="0" w:color="auto"/>
            </w:tcBorders>
            <w:shd w:val="clear" w:color="auto" w:fill="auto"/>
            <w:noWrap/>
            <w:vAlign w:val="center"/>
            <w:hideMark/>
          </w:tcPr>
          <w:p w14:paraId="07DB8D47" w14:textId="516F4E3D"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10</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521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665 </w:t>
            </w:r>
          </w:p>
        </w:tc>
      </w:tr>
      <w:tr w:rsidR="009A21D7" w:rsidRPr="00374360" w14:paraId="73670292" w14:textId="77777777" w:rsidTr="00C734CF">
        <w:trPr>
          <w:trHeight w:val="4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E3021A9"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258</w:t>
            </w:r>
          </w:p>
        </w:tc>
        <w:tc>
          <w:tcPr>
            <w:tcW w:w="660" w:type="dxa"/>
            <w:tcBorders>
              <w:top w:val="nil"/>
              <w:left w:val="nil"/>
              <w:bottom w:val="single" w:sz="4" w:space="0" w:color="auto"/>
              <w:right w:val="single" w:sz="4" w:space="0" w:color="auto"/>
            </w:tcBorders>
            <w:shd w:val="clear" w:color="auto" w:fill="auto"/>
            <w:noWrap/>
            <w:vAlign w:val="center"/>
            <w:hideMark/>
          </w:tcPr>
          <w:p w14:paraId="77883997"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1681</w:t>
            </w:r>
          </w:p>
        </w:tc>
        <w:tc>
          <w:tcPr>
            <w:tcW w:w="879" w:type="dxa"/>
            <w:tcBorders>
              <w:top w:val="nil"/>
              <w:left w:val="nil"/>
              <w:bottom w:val="single" w:sz="4" w:space="0" w:color="auto"/>
              <w:right w:val="single" w:sz="4" w:space="0" w:color="auto"/>
            </w:tcBorders>
            <w:shd w:val="clear" w:color="auto" w:fill="auto"/>
            <w:noWrap/>
            <w:vAlign w:val="center"/>
            <w:hideMark/>
          </w:tcPr>
          <w:p w14:paraId="401656F5"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890503966</w:t>
            </w:r>
          </w:p>
        </w:tc>
        <w:tc>
          <w:tcPr>
            <w:tcW w:w="3913" w:type="dxa"/>
            <w:tcBorders>
              <w:top w:val="nil"/>
              <w:left w:val="nil"/>
              <w:bottom w:val="single" w:sz="4" w:space="0" w:color="auto"/>
              <w:right w:val="single" w:sz="4" w:space="0" w:color="auto"/>
            </w:tcBorders>
            <w:shd w:val="clear" w:color="auto" w:fill="auto"/>
            <w:vAlign w:val="center"/>
            <w:hideMark/>
          </w:tcPr>
          <w:p w14:paraId="3412CDA5"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LUSTRIGAS S.A EMPRESA DE SERVICIOS PUBLICOS</w:t>
            </w:r>
          </w:p>
        </w:tc>
        <w:tc>
          <w:tcPr>
            <w:tcW w:w="1602" w:type="dxa"/>
            <w:tcBorders>
              <w:top w:val="nil"/>
              <w:left w:val="nil"/>
              <w:bottom w:val="single" w:sz="4" w:space="0" w:color="auto"/>
              <w:right w:val="single" w:sz="4" w:space="0" w:color="auto"/>
            </w:tcBorders>
            <w:shd w:val="clear" w:color="auto" w:fill="auto"/>
            <w:noWrap/>
            <w:vAlign w:val="center"/>
            <w:hideMark/>
          </w:tcPr>
          <w:p w14:paraId="50680836" w14:textId="022D8199"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292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660</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269 </w:t>
            </w:r>
          </w:p>
        </w:tc>
        <w:tc>
          <w:tcPr>
            <w:tcW w:w="1418" w:type="dxa"/>
            <w:tcBorders>
              <w:top w:val="nil"/>
              <w:left w:val="nil"/>
              <w:bottom w:val="single" w:sz="4" w:space="0" w:color="auto"/>
              <w:right w:val="single" w:sz="4" w:space="0" w:color="auto"/>
            </w:tcBorders>
            <w:shd w:val="clear" w:color="auto" w:fill="auto"/>
            <w:noWrap/>
            <w:vAlign w:val="center"/>
            <w:hideMark/>
          </w:tcPr>
          <w:p w14:paraId="420FCE38" w14:textId="31230F89"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926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603 </w:t>
            </w:r>
          </w:p>
        </w:tc>
      </w:tr>
      <w:tr w:rsidR="009A21D7" w:rsidRPr="00374360" w14:paraId="0E684622"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1DA9F23"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259</w:t>
            </w:r>
          </w:p>
        </w:tc>
        <w:tc>
          <w:tcPr>
            <w:tcW w:w="660" w:type="dxa"/>
            <w:tcBorders>
              <w:top w:val="nil"/>
              <w:left w:val="nil"/>
              <w:bottom w:val="single" w:sz="4" w:space="0" w:color="auto"/>
              <w:right w:val="single" w:sz="4" w:space="0" w:color="auto"/>
            </w:tcBorders>
            <w:shd w:val="clear" w:color="auto" w:fill="auto"/>
            <w:noWrap/>
            <w:vAlign w:val="center"/>
            <w:hideMark/>
          </w:tcPr>
          <w:p w14:paraId="4B17E48B"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2097</w:t>
            </w:r>
          </w:p>
        </w:tc>
        <w:tc>
          <w:tcPr>
            <w:tcW w:w="879" w:type="dxa"/>
            <w:tcBorders>
              <w:top w:val="nil"/>
              <w:left w:val="nil"/>
              <w:bottom w:val="single" w:sz="4" w:space="0" w:color="auto"/>
              <w:right w:val="single" w:sz="4" w:space="0" w:color="auto"/>
            </w:tcBorders>
            <w:shd w:val="clear" w:color="auto" w:fill="auto"/>
            <w:noWrap/>
            <w:vAlign w:val="center"/>
            <w:hideMark/>
          </w:tcPr>
          <w:p w14:paraId="6EA798BC"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822001073</w:t>
            </w:r>
          </w:p>
        </w:tc>
        <w:tc>
          <w:tcPr>
            <w:tcW w:w="3913" w:type="dxa"/>
            <w:tcBorders>
              <w:top w:val="nil"/>
              <w:left w:val="nil"/>
              <w:bottom w:val="single" w:sz="4" w:space="0" w:color="auto"/>
              <w:right w:val="single" w:sz="4" w:space="0" w:color="auto"/>
            </w:tcBorders>
            <w:shd w:val="clear" w:color="auto" w:fill="auto"/>
            <w:vAlign w:val="center"/>
            <w:hideMark/>
          </w:tcPr>
          <w:p w14:paraId="2E9B683F"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MADIGAS INGENIEROS S.A. E.S.P.</w:t>
            </w:r>
          </w:p>
        </w:tc>
        <w:tc>
          <w:tcPr>
            <w:tcW w:w="1602" w:type="dxa"/>
            <w:tcBorders>
              <w:top w:val="nil"/>
              <w:left w:val="nil"/>
              <w:bottom w:val="single" w:sz="4" w:space="0" w:color="auto"/>
              <w:right w:val="single" w:sz="4" w:space="0" w:color="auto"/>
            </w:tcBorders>
            <w:shd w:val="clear" w:color="auto" w:fill="auto"/>
            <w:noWrap/>
            <w:vAlign w:val="center"/>
            <w:hideMark/>
          </w:tcPr>
          <w:p w14:paraId="1AFB0DC8" w14:textId="76863CFC"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801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348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735 </w:t>
            </w:r>
          </w:p>
        </w:tc>
        <w:tc>
          <w:tcPr>
            <w:tcW w:w="1418" w:type="dxa"/>
            <w:tcBorders>
              <w:top w:val="nil"/>
              <w:left w:val="nil"/>
              <w:bottom w:val="single" w:sz="4" w:space="0" w:color="auto"/>
              <w:right w:val="single" w:sz="4" w:space="0" w:color="auto"/>
            </w:tcBorders>
            <w:shd w:val="clear" w:color="auto" w:fill="auto"/>
            <w:noWrap/>
            <w:vAlign w:val="center"/>
            <w:hideMark/>
          </w:tcPr>
          <w:p w14:paraId="2C4C83C7" w14:textId="2E2D093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013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487 </w:t>
            </w:r>
          </w:p>
        </w:tc>
      </w:tr>
      <w:tr w:rsidR="009A21D7" w:rsidRPr="00374360" w14:paraId="72A8321E" w14:textId="77777777" w:rsidTr="00C734CF">
        <w:trPr>
          <w:trHeight w:val="4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1573BDA"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260</w:t>
            </w:r>
          </w:p>
        </w:tc>
        <w:tc>
          <w:tcPr>
            <w:tcW w:w="660" w:type="dxa"/>
            <w:tcBorders>
              <w:top w:val="nil"/>
              <w:left w:val="nil"/>
              <w:bottom w:val="single" w:sz="4" w:space="0" w:color="auto"/>
              <w:right w:val="single" w:sz="4" w:space="0" w:color="auto"/>
            </w:tcBorders>
            <w:shd w:val="clear" w:color="auto" w:fill="auto"/>
            <w:noWrap/>
            <w:vAlign w:val="center"/>
            <w:hideMark/>
          </w:tcPr>
          <w:p w14:paraId="1A9FE833"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26207</w:t>
            </w:r>
          </w:p>
        </w:tc>
        <w:tc>
          <w:tcPr>
            <w:tcW w:w="879" w:type="dxa"/>
            <w:tcBorders>
              <w:top w:val="nil"/>
              <w:left w:val="nil"/>
              <w:bottom w:val="single" w:sz="4" w:space="0" w:color="auto"/>
              <w:right w:val="single" w:sz="4" w:space="0" w:color="auto"/>
            </w:tcBorders>
            <w:shd w:val="clear" w:color="auto" w:fill="auto"/>
            <w:noWrap/>
            <w:vAlign w:val="center"/>
            <w:hideMark/>
          </w:tcPr>
          <w:p w14:paraId="039BA361"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900090229</w:t>
            </w:r>
          </w:p>
        </w:tc>
        <w:tc>
          <w:tcPr>
            <w:tcW w:w="3913" w:type="dxa"/>
            <w:tcBorders>
              <w:top w:val="nil"/>
              <w:left w:val="nil"/>
              <w:bottom w:val="single" w:sz="4" w:space="0" w:color="auto"/>
              <w:right w:val="single" w:sz="4" w:space="0" w:color="auto"/>
            </w:tcBorders>
            <w:shd w:val="clear" w:color="auto" w:fill="auto"/>
            <w:vAlign w:val="center"/>
            <w:hideMark/>
          </w:tcPr>
          <w:p w14:paraId="04D77238"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MC2 SOCIEDAD POR ACCIONES SIMPLIFICADA EMPRESA DE SERVICIOS PUBLICOS</w:t>
            </w:r>
          </w:p>
        </w:tc>
        <w:tc>
          <w:tcPr>
            <w:tcW w:w="1602" w:type="dxa"/>
            <w:tcBorders>
              <w:top w:val="nil"/>
              <w:left w:val="nil"/>
              <w:bottom w:val="single" w:sz="4" w:space="0" w:color="auto"/>
              <w:right w:val="single" w:sz="4" w:space="0" w:color="auto"/>
            </w:tcBorders>
            <w:shd w:val="clear" w:color="auto" w:fill="auto"/>
            <w:noWrap/>
            <w:vAlign w:val="center"/>
            <w:hideMark/>
          </w:tcPr>
          <w:p w14:paraId="584587BD" w14:textId="61D3B950"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330</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371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121 </w:t>
            </w:r>
          </w:p>
        </w:tc>
        <w:tc>
          <w:tcPr>
            <w:tcW w:w="1418" w:type="dxa"/>
            <w:tcBorders>
              <w:top w:val="nil"/>
              <w:left w:val="nil"/>
              <w:bottom w:val="single" w:sz="4" w:space="0" w:color="auto"/>
              <w:right w:val="single" w:sz="4" w:space="0" w:color="auto"/>
            </w:tcBorders>
            <w:shd w:val="clear" w:color="auto" w:fill="auto"/>
            <w:noWrap/>
            <w:vAlign w:val="center"/>
            <w:hideMark/>
          </w:tcPr>
          <w:p w14:paraId="7E753CBE" w14:textId="716AA64C"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303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711 </w:t>
            </w:r>
          </w:p>
        </w:tc>
      </w:tr>
      <w:tr w:rsidR="009A21D7" w:rsidRPr="00374360" w14:paraId="19E3C4AE"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99794B9"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261</w:t>
            </w:r>
          </w:p>
        </w:tc>
        <w:tc>
          <w:tcPr>
            <w:tcW w:w="660" w:type="dxa"/>
            <w:tcBorders>
              <w:top w:val="nil"/>
              <w:left w:val="nil"/>
              <w:bottom w:val="single" w:sz="4" w:space="0" w:color="auto"/>
              <w:right w:val="single" w:sz="4" w:space="0" w:color="auto"/>
            </w:tcBorders>
            <w:shd w:val="clear" w:color="auto" w:fill="auto"/>
            <w:noWrap/>
            <w:vAlign w:val="center"/>
            <w:hideMark/>
          </w:tcPr>
          <w:p w14:paraId="07313F5F"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32073</w:t>
            </w:r>
          </w:p>
        </w:tc>
        <w:tc>
          <w:tcPr>
            <w:tcW w:w="879" w:type="dxa"/>
            <w:tcBorders>
              <w:top w:val="nil"/>
              <w:left w:val="nil"/>
              <w:bottom w:val="single" w:sz="4" w:space="0" w:color="auto"/>
              <w:right w:val="single" w:sz="4" w:space="0" w:color="auto"/>
            </w:tcBorders>
            <w:shd w:val="clear" w:color="auto" w:fill="auto"/>
            <w:noWrap/>
            <w:vAlign w:val="center"/>
            <w:hideMark/>
          </w:tcPr>
          <w:p w14:paraId="0758E1E7"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900913507</w:t>
            </w:r>
          </w:p>
        </w:tc>
        <w:tc>
          <w:tcPr>
            <w:tcW w:w="3913" w:type="dxa"/>
            <w:tcBorders>
              <w:top w:val="nil"/>
              <w:left w:val="nil"/>
              <w:bottom w:val="single" w:sz="4" w:space="0" w:color="auto"/>
              <w:right w:val="single" w:sz="4" w:space="0" w:color="auto"/>
            </w:tcBorders>
            <w:shd w:val="clear" w:color="auto" w:fill="auto"/>
            <w:vAlign w:val="center"/>
            <w:hideMark/>
          </w:tcPr>
          <w:p w14:paraId="77DF0BD8"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MEGAS S.A.S. ESP</w:t>
            </w:r>
          </w:p>
        </w:tc>
        <w:tc>
          <w:tcPr>
            <w:tcW w:w="1602" w:type="dxa"/>
            <w:tcBorders>
              <w:top w:val="nil"/>
              <w:left w:val="nil"/>
              <w:bottom w:val="single" w:sz="4" w:space="0" w:color="auto"/>
              <w:right w:val="single" w:sz="4" w:space="0" w:color="auto"/>
            </w:tcBorders>
            <w:shd w:val="clear" w:color="auto" w:fill="auto"/>
            <w:noWrap/>
            <w:vAlign w:val="center"/>
            <w:hideMark/>
          </w:tcPr>
          <w:p w14:paraId="42D64EC3" w14:textId="33499844"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294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434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830 </w:t>
            </w:r>
          </w:p>
        </w:tc>
        <w:tc>
          <w:tcPr>
            <w:tcW w:w="1418" w:type="dxa"/>
            <w:tcBorders>
              <w:top w:val="nil"/>
              <w:left w:val="nil"/>
              <w:bottom w:val="single" w:sz="4" w:space="0" w:color="auto"/>
              <w:right w:val="single" w:sz="4" w:space="0" w:color="auto"/>
            </w:tcBorders>
            <w:shd w:val="clear" w:color="auto" w:fill="auto"/>
            <w:noWrap/>
            <w:vAlign w:val="center"/>
            <w:hideMark/>
          </w:tcPr>
          <w:p w14:paraId="32985AE5" w14:textId="3F4F0C05"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944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348 </w:t>
            </w:r>
          </w:p>
        </w:tc>
      </w:tr>
      <w:tr w:rsidR="009A21D7" w:rsidRPr="00374360" w14:paraId="4F424EFF"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1FD179C"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262</w:t>
            </w:r>
          </w:p>
        </w:tc>
        <w:tc>
          <w:tcPr>
            <w:tcW w:w="660" w:type="dxa"/>
            <w:tcBorders>
              <w:top w:val="nil"/>
              <w:left w:val="nil"/>
              <w:bottom w:val="single" w:sz="4" w:space="0" w:color="auto"/>
              <w:right w:val="single" w:sz="4" w:space="0" w:color="auto"/>
            </w:tcBorders>
            <w:shd w:val="clear" w:color="auto" w:fill="auto"/>
            <w:noWrap/>
            <w:vAlign w:val="center"/>
            <w:hideMark/>
          </w:tcPr>
          <w:p w14:paraId="757F91B0"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39136</w:t>
            </w:r>
          </w:p>
        </w:tc>
        <w:tc>
          <w:tcPr>
            <w:tcW w:w="879" w:type="dxa"/>
            <w:tcBorders>
              <w:top w:val="nil"/>
              <w:left w:val="nil"/>
              <w:bottom w:val="single" w:sz="4" w:space="0" w:color="auto"/>
              <w:right w:val="single" w:sz="4" w:space="0" w:color="auto"/>
            </w:tcBorders>
            <w:shd w:val="clear" w:color="auto" w:fill="auto"/>
            <w:noWrap/>
            <w:vAlign w:val="center"/>
            <w:hideMark/>
          </w:tcPr>
          <w:p w14:paraId="3A04FADC"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901033186</w:t>
            </w:r>
          </w:p>
        </w:tc>
        <w:tc>
          <w:tcPr>
            <w:tcW w:w="3913" w:type="dxa"/>
            <w:tcBorders>
              <w:top w:val="nil"/>
              <w:left w:val="nil"/>
              <w:bottom w:val="single" w:sz="4" w:space="0" w:color="auto"/>
              <w:right w:val="single" w:sz="4" w:space="0" w:color="auto"/>
            </w:tcBorders>
            <w:shd w:val="clear" w:color="auto" w:fill="auto"/>
            <w:vAlign w:val="center"/>
            <w:hideMark/>
          </w:tcPr>
          <w:p w14:paraId="6C188F61"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MESSER ENERGY SERVICES SAS ESP</w:t>
            </w:r>
          </w:p>
        </w:tc>
        <w:tc>
          <w:tcPr>
            <w:tcW w:w="1602" w:type="dxa"/>
            <w:tcBorders>
              <w:top w:val="nil"/>
              <w:left w:val="nil"/>
              <w:bottom w:val="single" w:sz="4" w:space="0" w:color="auto"/>
              <w:right w:val="single" w:sz="4" w:space="0" w:color="auto"/>
            </w:tcBorders>
            <w:shd w:val="clear" w:color="auto" w:fill="auto"/>
            <w:noWrap/>
            <w:vAlign w:val="center"/>
            <w:hideMark/>
          </w:tcPr>
          <w:p w14:paraId="054164B1" w14:textId="6D279EB8"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96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561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727 </w:t>
            </w:r>
          </w:p>
        </w:tc>
        <w:tc>
          <w:tcPr>
            <w:tcW w:w="1418" w:type="dxa"/>
            <w:tcBorders>
              <w:top w:val="nil"/>
              <w:left w:val="nil"/>
              <w:bottom w:val="single" w:sz="4" w:space="0" w:color="auto"/>
              <w:right w:val="single" w:sz="4" w:space="0" w:color="auto"/>
            </w:tcBorders>
            <w:shd w:val="clear" w:color="auto" w:fill="auto"/>
            <w:noWrap/>
            <w:vAlign w:val="center"/>
            <w:hideMark/>
          </w:tcPr>
          <w:p w14:paraId="38C095DF" w14:textId="542E3561"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965</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617 </w:t>
            </w:r>
          </w:p>
        </w:tc>
      </w:tr>
      <w:tr w:rsidR="009A21D7" w:rsidRPr="00374360" w14:paraId="32B682D6"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DDD7550"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263</w:t>
            </w:r>
          </w:p>
        </w:tc>
        <w:tc>
          <w:tcPr>
            <w:tcW w:w="660" w:type="dxa"/>
            <w:tcBorders>
              <w:top w:val="nil"/>
              <w:left w:val="nil"/>
              <w:bottom w:val="single" w:sz="4" w:space="0" w:color="auto"/>
              <w:right w:val="single" w:sz="4" w:space="0" w:color="auto"/>
            </w:tcBorders>
            <w:shd w:val="clear" w:color="auto" w:fill="auto"/>
            <w:noWrap/>
            <w:vAlign w:val="center"/>
            <w:hideMark/>
          </w:tcPr>
          <w:p w14:paraId="73EA4E62"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1173</w:t>
            </w:r>
          </w:p>
        </w:tc>
        <w:tc>
          <w:tcPr>
            <w:tcW w:w="879" w:type="dxa"/>
            <w:tcBorders>
              <w:top w:val="nil"/>
              <w:left w:val="nil"/>
              <w:bottom w:val="single" w:sz="4" w:space="0" w:color="auto"/>
              <w:right w:val="single" w:sz="4" w:space="0" w:color="auto"/>
            </w:tcBorders>
            <w:shd w:val="clear" w:color="auto" w:fill="auto"/>
            <w:noWrap/>
            <w:vAlign w:val="center"/>
            <w:hideMark/>
          </w:tcPr>
          <w:p w14:paraId="7ECDFB03"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890208316</w:t>
            </w:r>
          </w:p>
        </w:tc>
        <w:tc>
          <w:tcPr>
            <w:tcW w:w="3913" w:type="dxa"/>
            <w:tcBorders>
              <w:top w:val="nil"/>
              <w:left w:val="nil"/>
              <w:bottom w:val="single" w:sz="4" w:space="0" w:color="auto"/>
              <w:right w:val="single" w:sz="4" w:space="0" w:color="auto"/>
            </w:tcBorders>
            <w:shd w:val="clear" w:color="auto" w:fill="auto"/>
            <w:vAlign w:val="center"/>
            <w:hideMark/>
          </w:tcPr>
          <w:p w14:paraId="3F239435"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METROGAS DE COLOMBIA S.A. E.S.P. </w:t>
            </w:r>
          </w:p>
        </w:tc>
        <w:tc>
          <w:tcPr>
            <w:tcW w:w="1602" w:type="dxa"/>
            <w:tcBorders>
              <w:top w:val="nil"/>
              <w:left w:val="nil"/>
              <w:bottom w:val="single" w:sz="4" w:space="0" w:color="auto"/>
              <w:right w:val="single" w:sz="4" w:space="0" w:color="auto"/>
            </w:tcBorders>
            <w:shd w:val="clear" w:color="auto" w:fill="auto"/>
            <w:noWrap/>
            <w:vAlign w:val="center"/>
            <w:hideMark/>
          </w:tcPr>
          <w:p w14:paraId="52F9814E" w14:textId="06FE5429"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657</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951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916 </w:t>
            </w:r>
          </w:p>
        </w:tc>
        <w:tc>
          <w:tcPr>
            <w:tcW w:w="1418" w:type="dxa"/>
            <w:tcBorders>
              <w:top w:val="nil"/>
              <w:left w:val="nil"/>
              <w:bottom w:val="single" w:sz="4" w:space="0" w:color="auto"/>
              <w:right w:val="single" w:sz="4" w:space="0" w:color="auto"/>
            </w:tcBorders>
            <w:shd w:val="clear" w:color="auto" w:fill="auto"/>
            <w:noWrap/>
            <w:vAlign w:val="center"/>
            <w:hideMark/>
          </w:tcPr>
          <w:p w14:paraId="48E27530" w14:textId="59D3B071"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26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579</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519 </w:t>
            </w:r>
          </w:p>
        </w:tc>
      </w:tr>
      <w:tr w:rsidR="009A21D7" w:rsidRPr="00374360" w14:paraId="68FC7BEB"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EC621C3"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264</w:t>
            </w:r>
          </w:p>
        </w:tc>
        <w:tc>
          <w:tcPr>
            <w:tcW w:w="660" w:type="dxa"/>
            <w:tcBorders>
              <w:top w:val="nil"/>
              <w:left w:val="nil"/>
              <w:bottom w:val="single" w:sz="4" w:space="0" w:color="auto"/>
              <w:right w:val="single" w:sz="4" w:space="0" w:color="auto"/>
            </w:tcBorders>
            <w:shd w:val="clear" w:color="auto" w:fill="auto"/>
            <w:noWrap/>
            <w:vAlign w:val="center"/>
            <w:hideMark/>
          </w:tcPr>
          <w:p w14:paraId="3209FD66"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6026</w:t>
            </w:r>
          </w:p>
        </w:tc>
        <w:tc>
          <w:tcPr>
            <w:tcW w:w="879" w:type="dxa"/>
            <w:tcBorders>
              <w:top w:val="nil"/>
              <w:left w:val="nil"/>
              <w:bottom w:val="single" w:sz="4" w:space="0" w:color="auto"/>
              <w:right w:val="single" w:sz="4" w:space="0" w:color="auto"/>
            </w:tcBorders>
            <w:shd w:val="clear" w:color="auto" w:fill="auto"/>
            <w:noWrap/>
            <w:vAlign w:val="center"/>
            <w:hideMark/>
          </w:tcPr>
          <w:p w14:paraId="444AF770"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891202203</w:t>
            </w:r>
          </w:p>
        </w:tc>
        <w:tc>
          <w:tcPr>
            <w:tcW w:w="3913" w:type="dxa"/>
            <w:tcBorders>
              <w:top w:val="nil"/>
              <w:left w:val="nil"/>
              <w:bottom w:val="single" w:sz="4" w:space="0" w:color="auto"/>
              <w:right w:val="single" w:sz="4" w:space="0" w:color="auto"/>
            </w:tcBorders>
            <w:shd w:val="clear" w:color="auto" w:fill="auto"/>
            <w:vAlign w:val="center"/>
            <w:hideMark/>
          </w:tcPr>
          <w:p w14:paraId="0B03652C" w14:textId="77777777" w:rsidR="00374360" w:rsidRPr="00D26825" w:rsidRDefault="00374360" w:rsidP="00374360">
            <w:pPr>
              <w:jc w:val="left"/>
              <w:rPr>
                <w:rFonts w:ascii="Arial Narrow" w:hAnsi="Arial Narrow" w:cs="Calibri"/>
                <w:color w:val="000000"/>
                <w:spacing w:val="0"/>
                <w:sz w:val="18"/>
                <w:szCs w:val="18"/>
                <w:lang w:val="en-US" w:eastAsia="es-CO"/>
              </w:rPr>
            </w:pPr>
            <w:r w:rsidRPr="00D26825">
              <w:rPr>
                <w:rFonts w:ascii="Arial Narrow" w:hAnsi="Arial Narrow" w:cs="Calibri"/>
                <w:color w:val="000000"/>
                <w:spacing w:val="0"/>
                <w:sz w:val="18"/>
                <w:szCs w:val="18"/>
                <w:lang w:val="en-US" w:eastAsia="es-CO"/>
              </w:rPr>
              <w:t>MONTAGAS S.A. E.S.P.</w:t>
            </w:r>
          </w:p>
        </w:tc>
        <w:tc>
          <w:tcPr>
            <w:tcW w:w="1602" w:type="dxa"/>
            <w:tcBorders>
              <w:top w:val="nil"/>
              <w:left w:val="nil"/>
              <w:bottom w:val="single" w:sz="4" w:space="0" w:color="auto"/>
              <w:right w:val="single" w:sz="4" w:space="0" w:color="auto"/>
            </w:tcBorders>
            <w:shd w:val="clear" w:color="auto" w:fill="auto"/>
            <w:noWrap/>
            <w:vAlign w:val="center"/>
            <w:hideMark/>
          </w:tcPr>
          <w:p w14:paraId="1C4D0887" w14:textId="4798A4E7" w:rsidR="00374360" w:rsidRPr="00374360" w:rsidRDefault="00374360" w:rsidP="00374360">
            <w:pPr>
              <w:jc w:val="right"/>
              <w:rPr>
                <w:rFonts w:ascii="Arial Narrow" w:hAnsi="Arial Narrow" w:cs="Calibri"/>
                <w:color w:val="000000"/>
                <w:spacing w:val="0"/>
                <w:sz w:val="18"/>
                <w:szCs w:val="18"/>
                <w:lang w:eastAsia="es-CO"/>
              </w:rPr>
            </w:pPr>
            <w:r w:rsidRPr="00D26825">
              <w:rPr>
                <w:rFonts w:ascii="Arial Narrow" w:hAnsi="Arial Narrow" w:cs="Calibri"/>
                <w:color w:val="000000"/>
                <w:spacing w:val="0"/>
                <w:sz w:val="18"/>
                <w:szCs w:val="18"/>
                <w:lang w:val="en-US" w:eastAsia="es-CO"/>
              </w:rPr>
              <w:t xml:space="preserve">                        </w:t>
            </w:r>
            <w:r w:rsidRPr="00374360">
              <w:rPr>
                <w:rFonts w:ascii="Arial Narrow" w:hAnsi="Arial Narrow" w:cs="Calibri"/>
                <w:color w:val="000000"/>
                <w:spacing w:val="0"/>
                <w:sz w:val="18"/>
                <w:szCs w:val="18"/>
                <w:lang w:eastAsia="es-CO"/>
              </w:rPr>
              <w:t>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906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558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513 </w:t>
            </w:r>
          </w:p>
        </w:tc>
        <w:tc>
          <w:tcPr>
            <w:tcW w:w="1418" w:type="dxa"/>
            <w:tcBorders>
              <w:top w:val="nil"/>
              <w:left w:val="nil"/>
              <w:bottom w:val="single" w:sz="4" w:space="0" w:color="auto"/>
              <w:right w:val="single" w:sz="4" w:space="0" w:color="auto"/>
            </w:tcBorders>
            <w:shd w:val="clear" w:color="auto" w:fill="auto"/>
            <w:noWrap/>
            <w:vAlign w:val="center"/>
            <w:hideMark/>
          </w:tcPr>
          <w:p w14:paraId="524CD7B7" w14:textId="429CB148"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39</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065</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585 </w:t>
            </w:r>
          </w:p>
        </w:tc>
      </w:tr>
      <w:tr w:rsidR="009A21D7" w:rsidRPr="00374360" w14:paraId="3A6942D6"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92ACA8D"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265</w:t>
            </w:r>
          </w:p>
        </w:tc>
        <w:tc>
          <w:tcPr>
            <w:tcW w:w="660" w:type="dxa"/>
            <w:tcBorders>
              <w:top w:val="nil"/>
              <w:left w:val="nil"/>
              <w:bottom w:val="single" w:sz="4" w:space="0" w:color="auto"/>
              <w:right w:val="single" w:sz="4" w:space="0" w:color="auto"/>
            </w:tcBorders>
            <w:shd w:val="clear" w:color="auto" w:fill="auto"/>
            <w:noWrap/>
            <w:vAlign w:val="center"/>
            <w:hideMark/>
          </w:tcPr>
          <w:p w14:paraId="39A95771"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26878</w:t>
            </w:r>
          </w:p>
        </w:tc>
        <w:tc>
          <w:tcPr>
            <w:tcW w:w="879" w:type="dxa"/>
            <w:tcBorders>
              <w:top w:val="nil"/>
              <w:left w:val="nil"/>
              <w:bottom w:val="single" w:sz="4" w:space="0" w:color="auto"/>
              <w:right w:val="single" w:sz="4" w:space="0" w:color="auto"/>
            </w:tcBorders>
            <w:shd w:val="clear" w:color="auto" w:fill="auto"/>
            <w:noWrap/>
            <w:vAlign w:val="center"/>
            <w:hideMark/>
          </w:tcPr>
          <w:p w14:paraId="308C6A2F"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900719749</w:t>
            </w:r>
          </w:p>
        </w:tc>
        <w:tc>
          <w:tcPr>
            <w:tcW w:w="3913" w:type="dxa"/>
            <w:tcBorders>
              <w:top w:val="nil"/>
              <w:left w:val="nil"/>
              <w:bottom w:val="single" w:sz="4" w:space="0" w:color="auto"/>
              <w:right w:val="single" w:sz="4" w:space="0" w:color="auto"/>
            </w:tcBorders>
            <w:shd w:val="clear" w:color="auto" w:fill="auto"/>
            <w:vAlign w:val="center"/>
            <w:hideMark/>
          </w:tcPr>
          <w:p w14:paraId="15D268A4"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MULTIGAS DE COLOMBIA S.A.S. E.S.P.</w:t>
            </w:r>
          </w:p>
        </w:tc>
        <w:tc>
          <w:tcPr>
            <w:tcW w:w="1602" w:type="dxa"/>
            <w:tcBorders>
              <w:top w:val="nil"/>
              <w:left w:val="nil"/>
              <w:bottom w:val="single" w:sz="4" w:space="0" w:color="auto"/>
              <w:right w:val="single" w:sz="4" w:space="0" w:color="auto"/>
            </w:tcBorders>
            <w:shd w:val="clear" w:color="auto" w:fill="auto"/>
            <w:noWrap/>
            <w:vAlign w:val="center"/>
            <w:hideMark/>
          </w:tcPr>
          <w:p w14:paraId="44050DB5" w14:textId="5AF46565"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476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084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241 </w:t>
            </w:r>
          </w:p>
        </w:tc>
        <w:tc>
          <w:tcPr>
            <w:tcW w:w="1418" w:type="dxa"/>
            <w:tcBorders>
              <w:top w:val="nil"/>
              <w:left w:val="nil"/>
              <w:bottom w:val="single" w:sz="4" w:space="0" w:color="auto"/>
              <w:right w:val="single" w:sz="4" w:space="0" w:color="auto"/>
            </w:tcBorders>
            <w:shd w:val="clear" w:color="auto" w:fill="auto"/>
            <w:noWrap/>
            <w:vAlign w:val="center"/>
            <w:hideMark/>
          </w:tcPr>
          <w:p w14:paraId="10EBA017" w14:textId="18F1D953"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760</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842 </w:t>
            </w:r>
          </w:p>
        </w:tc>
      </w:tr>
      <w:tr w:rsidR="009A21D7" w:rsidRPr="00374360" w14:paraId="7819C586"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335D339"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266</w:t>
            </w:r>
          </w:p>
        </w:tc>
        <w:tc>
          <w:tcPr>
            <w:tcW w:w="660" w:type="dxa"/>
            <w:tcBorders>
              <w:top w:val="nil"/>
              <w:left w:val="nil"/>
              <w:bottom w:val="single" w:sz="4" w:space="0" w:color="auto"/>
              <w:right w:val="single" w:sz="4" w:space="0" w:color="auto"/>
            </w:tcBorders>
            <w:shd w:val="clear" w:color="auto" w:fill="auto"/>
            <w:noWrap/>
            <w:vAlign w:val="center"/>
            <w:hideMark/>
          </w:tcPr>
          <w:p w14:paraId="72F5167C"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22042</w:t>
            </w:r>
          </w:p>
        </w:tc>
        <w:tc>
          <w:tcPr>
            <w:tcW w:w="879" w:type="dxa"/>
            <w:tcBorders>
              <w:top w:val="nil"/>
              <w:left w:val="nil"/>
              <w:bottom w:val="single" w:sz="4" w:space="0" w:color="auto"/>
              <w:right w:val="single" w:sz="4" w:space="0" w:color="auto"/>
            </w:tcBorders>
            <w:shd w:val="clear" w:color="auto" w:fill="auto"/>
            <w:noWrap/>
            <w:vAlign w:val="center"/>
            <w:hideMark/>
          </w:tcPr>
          <w:p w14:paraId="3F6C78BA"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800070375</w:t>
            </w:r>
          </w:p>
        </w:tc>
        <w:tc>
          <w:tcPr>
            <w:tcW w:w="3913" w:type="dxa"/>
            <w:tcBorders>
              <w:top w:val="nil"/>
              <w:left w:val="nil"/>
              <w:bottom w:val="single" w:sz="4" w:space="0" w:color="auto"/>
              <w:right w:val="single" w:sz="4" w:space="0" w:color="auto"/>
            </w:tcBorders>
            <w:shd w:val="clear" w:color="auto" w:fill="auto"/>
            <w:vAlign w:val="center"/>
            <w:hideMark/>
          </w:tcPr>
          <w:p w14:paraId="3F603DC7"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MUNICIPIO DE BOJAYA</w:t>
            </w:r>
          </w:p>
        </w:tc>
        <w:tc>
          <w:tcPr>
            <w:tcW w:w="1602" w:type="dxa"/>
            <w:tcBorders>
              <w:top w:val="nil"/>
              <w:left w:val="nil"/>
              <w:bottom w:val="single" w:sz="4" w:space="0" w:color="auto"/>
              <w:right w:val="single" w:sz="4" w:space="0" w:color="auto"/>
            </w:tcBorders>
            <w:shd w:val="clear" w:color="auto" w:fill="auto"/>
            <w:noWrap/>
            <w:vAlign w:val="center"/>
            <w:hideMark/>
          </w:tcPr>
          <w:p w14:paraId="6A2EDCB3" w14:textId="232AFD88"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53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971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424 </w:t>
            </w:r>
          </w:p>
        </w:tc>
        <w:tc>
          <w:tcPr>
            <w:tcW w:w="1418" w:type="dxa"/>
            <w:tcBorders>
              <w:top w:val="nil"/>
              <w:left w:val="nil"/>
              <w:bottom w:val="single" w:sz="4" w:space="0" w:color="auto"/>
              <w:right w:val="single" w:sz="4" w:space="0" w:color="auto"/>
            </w:tcBorders>
            <w:shd w:val="clear" w:color="auto" w:fill="auto"/>
            <w:noWrap/>
            <w:vAlign w:val="center"/>
            <w:hideMark/>
          </w:tcPr>
          <w:p w14:paraId="22D59DF7" w14:textId="7CC2CC9D"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539</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714 </w:t>
            </w:r>
          </w:p>
        </w:tc>
      </w:tr>
      <w:tr w:rsidR="009A21D7" w:rsidRPr="00374360" w14:paraId="579C8533"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FBB99BF"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267</w:t>
            </w:r>
          </w:p>
        </w:tc>
        <w:tc>
          <w:tcPr>
            <w:tcW w:w="660" w:type="dxa"/>
            <w:tcBorders>
              <w:top w:val="nil"/>
              <w:left w:val="nil"/>
              <w:bottom w:val="single" w:sz="4" w:space="0" w:color="auto"/>
              <w:right w:val="single" w:sz="4" w:space="0" w:color="auto"/>
            </w:tcBorders>
            <w:shd w:val="clear" w:color="auto" w:fill="auto"/>
            <w:noWrap/>
            <w:vAlign w:val="center"/>
            <w:hideMark/>
          </w:tcPr>
          <w:p w14:paraId="2B05F5CD"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2994</w:t>
            </w:r>
          </w:p>
        </w:tc>
        <w:tc>
          <w:tcPr>
            <w:tcW w:w="879" w:type="dxa"/>
            <w:tcBorders>
              <w:top w:val="nil"/>
              <w:left w:val="nil"/>
              <w:bottom w:val="single" w:sz="4" w:space="0" w:color="auto"/>
              <w:right w:val="single" w:sz="4" w:space="0" w:color="auto"/>
            </w:tcBorders>
            <w:shd w:val="clear" w:color="auto" w:fill="auto"/>
            <w:noWrap/>
            <w:vAlign w:val="center"/>
            <w:hideMark/>
          </w:tcPr>
          <w:p w14:paraId="1EB382E8"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800103198</w:t>
            </w:r>
          </w:p>
        </w:tc>
        <w:tc>
          <w:tcPr>
            <w:tcW w:w="3913" w:type="dxa"/>
            <w:tcBorders>
              <w:top w:val="nil"/>
              <w:left w:val="nil"/>
              <w:bottom w:val="single" w:sz="4" w:space="0" w:color="auto"/>
              <w:right w:val="single" w:sz="4" w:space="0" w:color="auto"/>
            </w:tcBorders>
            <w:shd w:val="clear" w:color="auto" w:fill="auto"/>
            <w:vAlign w:val="center"/>
            <w:hideMark/>
          </w:tcPr>
          <w:p w14:paraId="67B1B20E"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MUNICIPIO DE MIRAFLORES GUAVIARE</w:t>
            </w:r>
          </w:p>
        </w:tc>
        <w:tc>
          <w:tcPr>
            <w:tcW w:w="1602" w:type="dxa"/>
            <w:tcBorders>
              <w:top w:val="nil"/>
              <w:left w:val="nil"/>
              <w:bottom w:val="single" w:sz="4" w:space="0" w:color="auto"/>
              <w:right w:val="single" w:sz="4" w:space="0" w:color="auto"/>
            </w:tcBorders>
            <w:shd w:val="clear" w:color="auto" w:fill="auto"/>
            <w:noWrap/>
            <w:vAlign w:val="center"/>
            <w:hideMark/>
          </w:tcPr>
          <w:p w14:paraId="2708B0A2" w14:textId="2B83F254"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408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462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399 </w:t>
            </w:r>
          </w:p>
        </w:tc>
        <w:tc>
          <w:tcPr>
            <w:tcW w:w="1418" w:type="dxa"/>
            <w:tcBorders>
              <w:top w:val="nil"/>
              <w:left w:val="nil"/>
              <w:bottom w:val="single" w:sz="4" w:space="0" w:color="auto"/>
              <w:right w:val="single" w:sz="4" w:space="0" w:color="auto"/>
            </w:tcBorders>
            <w:shd w:val="clear" w:color="auto" w:fill="auto"/>
            <w:noWrap/>
            <w:vAlign w:val="center"/>
            <w:hideMark/>
          </w:tcPr>
          <w:p w14:paraId="136CFFC3" w14:textId="0B7730BF"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084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624 </w:t>
            </w:r>
          </w:p>
        </w:tc>
      </w:tr>
      <w:tr w:rsidR="009A21D7" w:rsidRPr="00374360" w14:paraId="663DBD6E"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AAED98F"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268</w:t>
            </w:r>
          </w:p>
        </w:tc>
        <w:tc>
          <w:tcPr>
            <w:tcW w:w="660" w:type="dxa"/>
            <w:tcBorders>
              <w:top w:val="nil"/>
              <w:left w:val="nil"/>
              <w:bottom w:val="single" w:sz="4" w:space="0" w:color="auto"/>
              <w:right w:val="single" w:sz="4" w:space="0" w:color="auto"/>
            </w:tcBorders>
            <w:shd w:val="clear" w:color="auto" w:fill="auto"/>
            <w:noWrap/>
            <w:vAlign w:val="center"/>
            <w:hideMark/>
          </w:tcPr>
          <w:p w14:paraId="10DD093C"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20153</w:t>
            </w:r>
          </w:p>
        </w:tc>
        <w:tc>
          <w:tcPr>
            <w:tcW w:w="879" w:type="dxa"/>
            <w:tcBorders>
              <w:top w:val="nil"/>
              <w:left w:val="nil"/>
              <w:bottom w:val="single" w:sz="4" w:space="0" w:color="auto"/>
              <w:right w:val="single" w:sz="4" w:space="0" w:color="auto"/>
            </w:tcBorders>
            <w:shd w:val="clear" w:color="auto" w:fill="auto"/>
            <w:noWrap/>
            <w:vAlign w:val="center"/>
            <w:hideMark/>
          </w:tcPr>
          <w:p w14:paraId="0AB804D0"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800095613</w:t>
            </w:r>
          </w:p>
        </w:tc>
        <w:tc>
          <w:tcPr>
            <w:tcW w:w="3913" w:type="dxa"/>
            <w:tcBorders>
              <w:top w:val="nil"/>
              <w:left w:val="nil"/>
              <w:bottom w:val="single" w:sz="4" w:space="0" w:color="auto"/>
              <w:right w:val="single" w:sz="4" w:space="0" w:color="auto"/>
            </w:tcBorders>
            <w:shd w:val="clear" w:color="auto" w:fill="auto"/>
            <w:vAlign w:val="center"/>
            <w:hideMark/>
          </w:tcPr>
          <w:p w14:paraId="509D5403"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MUNICIPIO DE SIPI</w:t>
            </w:r>
          </w:p>
        </w:tc>
        <w:tc>
          <w:tcPr>
            <w:tcW w:w="1602" w:type="dxa"/>
            <w:tcBorders>
              <w:top w:val="nil"/>
              <w:left w:val="nil"/>
              <w:bottom w:val="single" w:sz="4" w:space="0" w:color="auto"/>
              <w:right w:val="single" w:sz="4" w:space="0" w:color="auto"/>
            </w:tcBorders>
            <w:shd w:val="clear" w:color="auto" w:fill="auto"/>
            <w:noWrap/>
            <w:vAlign w:val="center"/>
            <w:hideMark/>
          </w:tcPr>
          <w:p w14:paraId="3EACD6A0" w14:textId="65FF7F43"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488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646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947 </w:t>
            </w:r>
          </w:p>
        </w:tc>
        <w:tc>
          <w:tcPr>
            <w:tcW w:w="1418" w:type="dxa"/>
            <w:tcBorders>
              <w:top w:val="nil"/>
              <w:left w:val="nil"/>
              <w:bottom w:val="single" w:sz="4" w:space="0" w:color="auto"/>
              <w:right w:val="single" w:sz="4" w:space="0" w:color="auto"/>
            </w:tcBorders>
            <w:shd w:val="clear" w:color="auto" w:fill="auto"/>
            <w:noWrap/>
            <w:vAlign w:val="center"/>
            <w:hideMark/>
          </w:tcPr>
          <w:p w14:paraId="07B2824F" w14:textId="47D6152D"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124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886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469 </w:t>
            </w:r>
          </w:p>
        </w:tc>
      </w:tr>
      <w:tr w:rsidR="009A21D7" w:rsidRPr="00374360" w14:paraId="34885D05"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9990FA8"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269</w:t>
            </w:r>
          </w:p>
        </w:tc>
        <w:tc>
          <w:tcPr>
            <w:tcW w:w="660" w:type="dxa"/>
            <w:tcBorders>
              <w:top w:val="nil"/>
              <w:left w:val="nil"/>
              <w:bottom w:val="single" w:sz="4" w:space="0" w:color="auto"/>
              <w:right w:val="single" w:sz="4" w:space="0" w:color="auto"/>
            </w:tcBorders>
            <w:shd w:val="clear" w:color="auto" w:fill="auto"/>
            <w:noWrap/>
            <w:vAlign w:val="center"/>
            <w:hideMark/>
          </w:tcPr>
          <w:p w14:paraId="2FFA930C"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20169</w:t>
            </w:r>
          </w:p>
        </w:tc>
        <w:tc>
          <w:tcPr>
            <w:tcW w:w="879" w:type="dxa"/>
            <w:tcBorders>
              <w:top w:val="nil"/>
              <w:left w:val="nil"/>
              <w:bottom w:val="single" w:sz="4" w:space="0" w:color="auto"/>
              <w:right w:val="single" w:sz="4" w:space="0" w:color="auto"/>
            </w:tcBorders>
            <w:shd w:val="clear" w:color="auto" w:fill="auto"/>
            <w:noWrap/>
            <w:vAlign w:val="center"/>
            <w:hideMark/>
          </w:tcPr>
          <w:p w14:paraId="3AE8063B"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818001341</w:t>
            </w:r>
          </w:p>
        </w:tc>
        <w:tc>
          <w:tcPr>
            <w:tcW w:w="3913" w:type="dxa"/>
            <w:tcBorders>
              <w:top w:val="nil"/>
              <w:left w:val="nil"/>
              <w:bottom w:val="single" w:sz="4" w:space="0" w:color="auto"/>
              <w:right w:val="single" w:sz="4" w:space="0" w:color="auto"/>
            </w:tcBorders>
            <w:shd w:val="clear" w:color="auto" w:fill="auto"/>
            <w:vAlign w:val="center"/>
            <w:hideMark/>
          </w:tcPr>
          <w:p w14:paraId="7243DB39"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MUNICIPIO DEL CARMEN DEL DARIEN </w:t>
            </w:r>
          </w:p>
        </w:tc>
        <w:tc>
          <w:tcPr>
            <w:tcW w:w="1602" w:type="dxa"/>
            <w:tcBorders>
              <w:top w:val="nil"/>
              <w:left w:val="nil"/>
              <w:bottom w:val="single" w:sz="4" w:space="0" w:color="auto"/>
              <w:right w:val="single" w:sz="4" w:space="0" w:color="auto"/>
            </w:tcBorders>
            <w:shd w:val="clear" w:color="auto" w:fill="auto"/>
            <w:noWrap/>
            <w:vAlign w:val="center"/>
            <w:hideMark/>
          </w:tcPr>
          <w:p w14:paraId="303E1916" w14:textId="2DCE9FD8"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332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945</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892 </w:t>
            </w:r>
          </w:p>
        </w:tc>
        <w:tc>
          <w:tcPr>
            <w:tcW w:w="1418" w:type="dxa"/>
            <w:tcBorders>
              <w:top w:val="nil"/>
              <w:left w:val="nil"/>
              <w:bottom w:val="single" w:sz="4" w:space="0" w:color="auto"/>
              <w:right w:val="single" w:sz="4" w:space="0" w:color="auto"/>
            </w:tcBorders>
            <w:shd w:val="clear" w:color="auto" w:fill="auto"/>
            <w:noWrap/>
            <w:vAlign w:val="center"/>
            <w:hideMark/>
          </w:tcPr>
          <w:p w14:paraId="595532BD" w14:textId="7C4388EF"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329</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459 </w:t>
            </w:r>
          </w:p>
        </w:tc>
      </w:tr>
      <w:tr w:rsidR="009A21D7" w:rsidRPr="00374360" w14:paraId="7E248A36" w14:textId="77777777" w:rsidTr="00C734CF">
        <w:trPr>
          <w:trHeight w:val="4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E6552EB"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270</w:t>
            </w:r>
          </w:p>
        </w:tc>
        <w:tc>
          <w:tcPr>
            <w:tcW w:w="660" w:type="dxa"/>
            <w:tcBorders>
              <w:top w:val="nil"/>
              <w:left w:val="nil"/>
              <w:bottom w:val="single" w:sz="4" w:space="0" w:color="auto"/>
              <w:right w:val="single" w:sz="4" w:space="0" w:color="auto"/>
            </w:tcBorders>
            <w:shd w:val="clear" w:color="auto" w:fill="auto"/>
            <w:noWrap/>
            <w:vAlign w:val="center"/>
            <w:hideMark/>
          </w:tcPr>
          <w:p w14:paraId="402AF3DD"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3359</w:t>
            </w:r>
          </w:p>
        </w:tc>
        <w:tc>
          <w:tcPr>
            <w:tcW w:w="879" w:type="dxa"/>
            <w:tcBorders>
              <w:top w:val="nil"/>
              <w:left w:val="nil"/>
              <w:bottom w:val="single" w:sz="4" w:space="0" w:color="auto"/>
              <w:right w:val="single" w:sz="4" w:space="0" w:color="auto"/>
            </w:tcBorders>
            <w:shd w:val="clear" w:color="auto" w:fill="auto"/>
            <w:noWrap/>
            <w:vAlign w:val="center"/>
            <w:hideMark/>
          </w:tcPr>
          <w:p w14:paraId="4ADA2DBE"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830118416</w:t>
            </w:r>
          </w:p>
        </w:tc>
        <w:tc>
          <w:tcPr>
            <w:tcW w:w="3913" w:type="dxa"/>
            <w:tcBorders>
              <w:top w:val="nil"/>
              <w:left w:val="nil"/>
              <w:bottom w:val="single" w:sz="4" w:space="0" w:color="auto"/>
              <w:right w:val="single" w:sz="4" w:space="0" w:color="auto"/>
            </w:tcBorders>
            <w:shd w:val="clear" w:color="auto" w:fill="auto"/>
            <w:vAlign w:val="center"/>
            <w:hideMark/>
          </w:tcPr>
          <w:p w14:paraId="2F199E4D"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NACIONAL DE SERVICIOS PÚBLICOS DOMICILIARIOS S.A. E.S.P.</w:t>
            </w:r>
          </w:p>
        </w:tc>
        <w:tc>
          <w:tcPr>
            <w:tcW w:w="1602" w:type="dxa"/>
            <w:tcBorders>
              <w:top w:val="nil"/>
              <w:left w:val="nil"/>
              <w:bottom w:val="single" w:sz="4" w:space="0" w:color="auto"/>
              <w:right w:val="single" w:sz="4" w:space="0" w:color="auto"/>
            </w:tcBorders>
            <w:shd w:val="clear" w:color="auto" w:fill="auto"/>
            <w:noWrap/>
            <w:vAlign w:val="center"/>
            <w:hideMark/>
          </w:tcPr>
          <w:p w14:paraId="04DAC65E" w14:textId="40B4FCFD"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677</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008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825 </w:t>
            </w:r>
          </w:p>
        </w:tc>
        <w:tc>
          <w:tcPr>
            <w:tcW w:w="1418" w:type="dxa"/>
            <w:tcBorders>
              <w:top w:val="nil"/>
              <w:left w:val="nil"/>
              <w:bottom w:val="single" w:sz="4" w:space="0" w:color="auto"/>
              <w:right w:val="single" w:sz="4" w:space="0" w:color="auto"/>
            </w:tcBorders>
            <w:shd w:val="clear" w:color="auto" w:fill="auto"/>
            <w:noWrap/>
            <w:vAlign w:val="center"/>
            <w:hideMark/>
          </w:tcPr>
          <w:p w14:paraId="57F8C82F" w14:textId="09A54B76"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770</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088 </w:t>
            </w:r>
          </w:p>
        </w:tc>
      </w:tr>
      <w:tr w:rsidR="009A21D7" w:rsidRPr="00374360" w14:paraId="6DBBF365"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AD74356"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271</w:t>
            </w:r>
          </w:p>
        </w:tc>
        <w:tc>
          <w:tcPr>
            <w:tcW w:w="660" w:type="dxa"/>
            <w:tcBorders>
              <w:top w:val="nil"/>
              <w:left w:val="nil"/>
              <w:bottom w:val="single" w:sz="4" w:space="0" w:color="auto"/>
              <w:right w:val="single" w:sz="4" w:space="0" w:color="auto"/>
            </w:tcBorders>
            <w:shd w:val="clear" w:color="auto" w:fill="auto"/>
            <w:noWrap/>
            <w:vAlign w:val="center"/>
            <w:hideMark/>
          </w:tcPr>
          <w:p w14:paraId="0F3F0EB1"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34533</w:t>
            </w:r>
          </w:p>
        </w:tc>
        <w:tc>
          <w:tcPr>
            <w:tcW w:w="879" w:type="dxa"/>
            <w:tcBorders>
              <w:top w:val="nil"/>
              <w:left w:val="nil"/>
              <w:bottom w:val="single" w:sz="4" w:space="0" w:color="auto"/>
              <w:right w:val="single" w:sz="4" w:space="0" w:color="auto"/>
            </w:tcBorders>
            <w:shd w:val="clear" w:color="auto" w:fill="auto"/>
            <w:noWrap/>
            <w:vAlign w:val="center"/>
            <w:hideMark/>
          </w:tcPr>
          <w:p w14:paraId="0123449E"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830104866</w:t>
            </w:r>
          </w:p>
        </w:tc>
        <w:tc>
          <w:tcPr>
            <w:tcW w:w="3913" w:type="dxa"/>
            <w:tcBorders>
              <w:top w:val="nil"/>
              <w:left w:val="nil"/>
              <w:bottom w:val="single" w:sz="4" w:space="0" w:color="auto"/>
              <w:right w:val="single" w:sz="4" w:space="0" w:color="auto"/>
            </w:tcBorders>
            <w:shd w:val="clear" w:color="auto" w:fill="auto"/>
            <w:vAlign w:val="center"/>
            <w:hideMark/>
          </w:tcPr>
          <w:p w14:paraId="410C0A3C"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NIKOIL ENERGY CORP SUC COLOMBIA</w:t>
            </w:r>
          </w:p>
        </w:tc>
        <w:tc>
          <w:tcPr>
            <w:tcW w:w="1602" w:type="dxa"/>
            <w:tcBorders>
              <w:top w:val="nil"/>
              <w:left w:val="nil"/>
              <w:bottom w:val="single" w:sz="4" w:space="0" w:color="auto"/>
              <w:right w:val="single" w:sz="4" w:space="0" w:color="auto"/>
            </w:tcBorders>
            <w:shd w:val="clear" w:color="auto" w:fill="auto"/>
            <w:noWrap/>
            <w:vAlign w:val="center"/>
            <w:hideMark/>
          </w:tcPr>
          <w:p w14:paraId="05F1796B" w14:textId="73A030D5"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439</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996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167 </w:t>
            </w:r>
          </w:p>
        </w:tc>
        <w:tc>
          <w:tcPr>
            <w:tcW w:w="1418" w:type="dxa"/>
            <w:tcBorders>
              <w:top w:val="nil"/>
              <w:left w:val="nil"/>
              <w:bottom w:val="single" w:sz="4" w:space="0" w:color="auto"/>
              <w:right w:val="single" w:sz="4" w:space="0" w:color="auto"/>
            </w:tcBorders>
            <w:shd w:val="clear" w:color="auto" w:fill="auto"/>
            <w:noWrap/>
            <w:vAlign w:val="center"/>
            <w:hideMark/>
          </w:tcPr>
          <w:p w14:paraId="1BCB9FBE" w14:textId="0948EDED"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399</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962 </w:t>
            </w:r>
          </w:p>
        </w:tc>
      </w:tr>
      <w:tr w:rsidR="009A21D7" w:rsidRPr="00374360" w14:paraId="693EF8CB"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E754C72"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lastRenderedPageBreak/>
              <w:t>272</w:t>
            </w:r>
          </w:p>
        </w:tc>
        <w:tc>
          <w:tcPr>
            <w:tcW w:w="660" w:type="dxa"/>
            <w:tcBorders>
              <w:top w:val="nil"/>
              <w:left w:val="nil"/>
              <w:bottom w:val="single" w:sz="4" w:space="0" w:color="auto"/>
              <w:right w:val="single" w:sz="4" w:space="0" w:color="auto"/>
            </w:tcBorders>
            <w:shd w:val="clear" w:color="auto" w:fill="auto"/>
            <w:noWrap/>
            <w:vAlign w:val="center"/>
            <w:hideMark/>
          </w:tcPr>
          <w:p w14:paraId="55029AD6"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28491</w:t>
            </w:r>
          </w:p>
        </w:tc>
        <w:tc>
          <w:tcPr>
            <w:tcW w:w="879" w:type="dxa"/>
            <w:tcBorders>
              <w:top w:val="nil"/>
              <w:left w:val="nil"/>
              <w:bottom w:val="single" w:sz="4" w:space="0" w:color="auto"/>
              <w:right w:val="single" w:sz="4" w:space="0" w:color="auto"/>
            </w:tcBorders>
            <w:shd w:val="clear" w:color="auto" w:fill="auto"/>
            <w:noWrap/>
            <w:vAlign w:val="center"/>
            <w:hideMark/>
          </w:tcPr>
          <w:p w14:paraId="5FFAF362"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900691280</w:t>
            </w:r>
          </w:p>
        </w:tc>
        <w:tc>
          <w:tcPr>
            <w:tcW w:w="3913" w:type="dxa"/>
            <w:tcBorders>
              <w:top w:val="nil"/>
              <w:left w:val="nil"/>
              <w:bottom w:val="single" w:sz="4" w:space="0" w:color="auto"/>
              <w:right w:val="single" w:sz="4" w:space="0" w:color="auto"/>
            </w:tcBorders>
            <w:shd w:val="clear" w:color="auto" w:fill="auto"/>
            <w:vAlign w:val="center"/>
            <w:hideMark/>
          </w:tcPr>
          <w:p w14:paraId="3957E92B"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NITRO ENERGY COLOMBIA S.A.S. E.S.P.</w:t>
            </w:r>
          </w:p>
        </w:tc>
        <w:tc>
          <w:tcPr>
            <w:tcW w:w="1602" w:type="dxa"/>
            <w:tcBorders>
              <w:top w:val="nil"/>
              <w:left w:val="nil"/>
              <w:bottom w:val="single" w:sz="4" w:space="0" w:color="auto"/>
              <w:right w:val="single" w:sz="4" w:space="0" w:color="auto"/>
            </w:tcBorders>
            <w:shd w:val="clear" w:color="auto" w:fill="auto"/>
            <w:noWrap/>
            <w:vAlign w:val="center"/>
            <w:hideMark/>
          </w:tcPr>
          <w:p w14:paraId="7C98E60B" w14:textId="1752D60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111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711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402 </w:t>
            </w:r>
          </w:p>
        </w:tc>
        <w:tc>
          <w:tcPr>
            <w:tcW w:w="1418" w:type="dxa"/>
            <w:tcBorders>
              <w:top w:val="nil"/>
              <w:left w:val="nil"/>
              <w:bottom w:val="single" w:sz="4" w:space="0" w:color="auto"/>
              <w:right w:val="single" w:sz="4" w:space="0" w:color="auto"/>
            </w:tcBorders>
            <w:shd w:val="clear" w:color="auto" w:fill="auto"/>
            <w:noWrap/>
            <w:vAlign w:val="center"/>
            <w:hideMark/>
          </w:tcPr>
          <w:p w14:paraId="10BE2285" w14:textId="4F852365"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31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117</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114 </w:t>
            </w:r>
          </w:p>
        </w:tc>
      </w:tr>
      <w:tr w:rsidR="009A21D7" w:rsidRPr="00374360" w14:paraId="19DB7536"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FDB7198"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273</w:t>
            </w:r>
          </w:p>
        </w:tc>
        <w:tc>
          <w:tcPr>
            <w:tcW w:w="660" w:type="dxa"/>
            <w:tcBorders>
              <w:top w:val="nil"/>
              <w:left w:val="nil"/>
              <w:bottom w:val="single" w:sz="4" w:space="0" w:color="auto"/>
              <w:right w:val="single" w:sz="4" w:space="0" w:color="auto"/>
            </w:tcBorders>
            <w:shd w:val="clear" w:color="auto" w:fill="auto"/>
            <w:noWrap/>
            <w:vAlign w:val="center"/>
            <w:hideMark/>
          </w:tcPr>
          <w:p w14:paraId="10A192A3"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522</w:t>
            </w:r>
          </w:p>
        </w:tc>
        <w:tc>
          <w:tcPr>
            <w:tcW w:w="879" w:type="dxa"/>
            <w:tcBorders>
              <w:top w:val="nil"/>
              <w:left w:val="nil"/>
              <w:bottom w:val="single" w:sz="4" w:space="0" w:color="auto"/>
              <w:right w:val="single" w:sz="4" w:space="0" w:color="auto"/>
            </w:tcBorders>
            <w:shd w:val="clear" w:color="auto" w:fill="auto"/>
            <w:noWrap/>
            <w:vAlign w:val="center"/>
            <w:hideMark/>
          </w:tcPr>
          <w:p w14:paraId="21833675"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890500726</w:t>
            </w:r>
          </w:p>
        </w:tc>
        <w:tc>
          <w:tcPr>
            <w:tcW w:w="3913" w:type="dxa"/>
            <w:tcBorders>
              <w:top w:val="nil"/>
              <w:left w:val="nil"/>
              <w:bottom w:val="single" w:sz="4" w:space="0" w:color="auto"/>
              <w:right w:val="single" w:sz="4" w:space="0" w:color="auto"/>
            </w:tcBorders>
            <w:shd w:val="clear" w:color="auto" w:fill="auto"/>
            <w:vAlign w:val="center"/>
            <w:hideMark/>
          </w:tcPr>
          <w:p w14:paraId="41CCE5AB"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NORTESANTANDEREANA DE GAS S.A. E.S.P.</w:t>
            </w:r>
          </w:p>
        </w:tc>
        <w:tc>
          <w:tcPr>
            <w:tcW w:w="1602" w:type="dxa"/>
            <w:tcBorders>
              <w:top w:val="nil"/>
              <w:left w:val="nil"/>
              <w:bottom w:val="single" w:sz="4" w:space="0" w:color="auto"/>
              <w:right w:val="single" w:sz="4" w:space="0" w:color="auto"/>
            </w:tcBorders>
            <w:shd w:val="clear" w:color="auto" w:fill="auto"/>
            <w:noWrap/>
            <w:vAlign w:val="center"/>
            <w:hideMark/>
          </w:tcPr>
          <w:p w14:paraId="6C93AFAE" w14:textId="36BF62B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23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576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286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350 </w:t>
            </w:r>
          </w:p>
        </w:tc>
        <w:tc>
          <w:tcPr>
            <w:tcW w:w="1418" w:type="dxa"/>
            <w:tcBorders>
              <w:top w:val="nil"/>
              <w:left w:val="nil"/>
              <w:bottom w:val="single" w:sz="4" w:space="0" w:color="auto"/>
              <w:right w:val="single" w:sz="4" w:space="0" w:color="auto"/>
            </w:tcBorders>
            <w:shd w:val="clear" w:color="auto" w:fill="auto"/>
            <w:noWrap/>
            <w:vAlign w:val="center"/>
            <w:hideMark/>
          </w:tcPr>
          <w:p w14:paraId="78C788E3" w14:textId="7CFE44A0"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235</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762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863 </w:t>
            </w:r>
          </w:p>
        </w:tc>
      </w:tr>
      <w:tr w:rsidR="009A21D7" w:rsidRPr="00374360" w14:paraId="500B7DC4" w14:textId="77777777" w:rsidTr="00C734CF">
        <w:trPr>
          <w:trHeight w:val="4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32C5F21"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274</w:t>
            </w:r>
          </w:p>
        </w:tc>
        <w:tc>
          <w:tcPr>
            <w:tcW w:w="660" w:type="dxa"/>
            <w:tcBorders>
              <w:top w:val="nil"/>
              <w:left w:val="nil"/>
              <w:bottom w:val="single" w:sz="4" w:space="0" w:color="auto"/>
              <w:right w:val="single" w:sz="4" w:space="0" w:color="auto"/>
            </w:tcBorders>
            <w:shd w:val="clear" w:color="auto" w:fill="auto"/>
            <w:noWrap/>
            <w:vAlign w:val="center"/>
            <w:hideMark/>
          </w:tcPr>
          <w:p w14:paraId="284A258B"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32173</w:t>
            </w:r>
          </w:p>
        </w:tc>
        <w:tc>
          <w:tcPr>
            <w:tcW w:w="879" w:type="dxa"/>
            <w:tcBorders>
              <w:top w:val="nil"/>
              <w:left w:val="nil"/>
              <w:bottom w:val="single" w:sz="4" w:space="0" w:color="auto"/>
              <w:right w:val="single" w:sz="4" w:space="0" w:color="auto"/>
            </w:tcBorders>
            <w:shd w:val="clear" w:color="auto" w:fill="auto"/>
            <w:noWrap/>
            <w:vAlign w:val="center"/>
            <w:hideMark/>
          </w:tcPr>
          <w:p w14:paraId="3F8F13F2"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900924778</w:t>
            </w:r>
          </w:p>
        </w:tc>
        <w:tc>
          <w:tcPr>
            <w:tcW w:w="3913" w:type="dxa"/>
            <w:tcBorders>
              <w:top w:val="nil"/>
              <w:left w:val="nil"/>
              <w:bottom w:val="single" w:sz="4" w:space="0" w:color="auto"/>
              <w:right w:val="single" w:sz="4" w:space="0" w:color="auto"/>
            </w:tcBorders>
            <w:shd w:val="clear" w:color="auto" w:fill="auto"/>
            <w:vAlign w:val="center"/>
            <w:hideMark/>
          </w:tcPr>
          <w:p w14:paraId="6EFD0B92" w14:textId="77777777" w:rsidR="00374360" w:rsidRPr="00D26825" w:rsidRDefault="00374360" w:rsidP="00374360">
            <w:pPr>
              <w:jc w:val="left"/>
              <w:rPr>
                <w:rFonts w:ascii="Arial Narrow" w:hAnsi="Arial Narrow" w:cs="Calibri"/>
                <w:color w:val="000000"/>
                <w:spacing w:val="0"/>
                <w:sz w:val="18"/>
                <w:szCs w:val="18"/>
                <w:lang w:val="en-US" w:eastAsia="es-CO"/>
              </w:rPr>
            </w:pPr>
            <w:r w:rsidRPr="00D26825">
              <w:rPr>
                <w:rFonts w:ascii="Arial Narrow" w:hAnsi="Arial Narrow" w:cs="Calibri"/>
                <w:color w:val="000000"/>
                <w:spacing w:val="0"/>
                <w:sz w:val="18"/>
                <w:szCs w:val="18"/>
                <w:lang w:val="en-US" w:eastAsia="es-CO"/>
              </w:rPr>
              <w:t>OIL &amp; GAS MAINTENANCE AND SERVICE SAS ESP</w:t>
            </w:r>
          </w:p>
        </w:tc>
        <w:tc>
          <w:tcPr>
            <w:tcW w:w="1602" w:type="dxa"/>
            <w:tcBorders>
              <w:top w:val="nil"/>
              <w:left w:val="nil"/>
              <w:bottom w:val="single" w:sz="4" w:space="0" w:color="auto"/>
              <w:right w:val="single" w:sz="4" w:space="0" w:color="auto"/>
            </w:tcBorders>
            <w:shd w:val="clear" w:color="auto" w:fill="auto"/>
            <w:noWrap/>
            <w:vAlign w:val="center"/>
            <w:hideMark/>
          </w:tcPr>
          <w:p w14:paraId="7CB1C603" w14:textId="79E86C95" w:rsidR="00374360" w:rsidRPr="00374360" w:rsidRDefault="00374360" w:rsidP="00374360">
            <w:pPr>
              <w:jc w:val="right"/>
              <w:rPr>
                <w:rFonts w:ascii="Arial Narrow" w:hAnsi="Arial Narrow" w:cs="Calibri"/>
                <w:color w:val="000000"/>
                <w:spacing w:val="0"/>
                <w:sz w:val="18"/>
                <w:szCs w:val="18"/>
                <w:lang w:eastAsia="es-CO"/>
              </w:rPr>
            </w:pPr>
            <w:r w:rsidRPr="00D26825">
              <w:rPr>
                <w:rFonts w:ascii="Arial Narrow" w:hAnsi="Arial Narrow" w:cs="Calibri"/>
                <w:color w:val="000000"/>
                <w:spacing w:val="0"/>
                <w:sz w:val="18"/>
                <w:szCs w:val="18"/>
                <w:lang w:val="en-US" w:eastAsia="es-CO"/>
              </w:rPr>
              <w:t xml:space="preserve">                           </w:t>
            </w:r>
            <w:r w:rsidRPr="00374360">
              <w:rPr>
                <w:rFonts w:ascii="Arial Narrow" w:hAnsi="Arial Narrow" w:cs="Calibri"/>
                <w:color w:val="000000"/>
                <w:spacing w:val="0"/>
                <w:sz w:val="18"/>
                <w:szCs w:val="18"/>
                <w:lang w:eastAsia="es-CO"/>
              </w:rPr>
              <w:t>104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132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011 </w:t>
            </w:r>
          </w:p>
        </w:tc>
        <w:tc>
          <w:tcPr>
            <w:tcW w:w="1418" w:type="dxa"/>
            <w:tcBorders>
              <w:top w:val="nil"/>
              <w:left w:val="nil"/>
              <w:bottom w:val="single" w:sz="4" w:space="0" w:color="auto"/>
              <w:right w:val="single" w:sz="4" w:space="0" w:color="auto"/>
            </w:tcBorders>
            <w:shd w:val="clear" w:color="auto" w:fill="auto"/>
            <w:noWrap/>
            <w:vAlign w:val="center"/>
            <w:hideMark/>
          </w:tcPr>
          <w:p w14:paraId="4B066989" w14:textId="0B28D5B0"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041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320 </w:t>
            </w:r>
          </w:p>
        </w:tc>
      </w:tr>
      <w:tr w:rsidR="009A21D7" w:rsidRPr="00374360" w14:paraId="2A32A747" w14:textId="77777777" w:rsidTr="00C734CF">
        <w:trPr>
          <w:trHeight w:val="4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3E4AF9A"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275</w:t>
            </w:r>
          </w:p>
        </w:tc>
        <w:tc>
          <w:tcPr>
            <w:tcW w:w="660" w:type="dxa"/>
            <w:tcBorders>
              <w:top w:val="nil"/>
              <w:left w:val="nil"/>
              <w:bottom w:val="single" w:sz="4" w:space="0" w:color="auto"/>
              <w:right w:val="single" w:sz="4" w:space="0" w:color="auto"/>
            </w:tcBorders>
            <w:shd w:val="clear" w:color="auto" w:fill="auto"/>
            <w:noWrap/>
            <w:vAlign w:val="center"/>
            <w:hideMark/>
          </w:tcPr>
          <w:p w14:paraId="57319A42"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26645</w:t>
            </w:r>
          </w:p>
        </w:tc>
        <w:tc>
          <w:tcPr>
            <w:tcW w:w="879" w:type="dxa"/>
            <w:tcBorders>
              <w:top w:val="nil"/>
              <w:left w:val="nil"/>
              <w:bottom w:val="single" w:sz="4" w:space="0" w:color="auto"/>
              <w:right w:val="single" w:sz="4" w:space="0" w:color="auto"/>
            </w:tcBorders>
            <w:shd w:val="clear" w:color="auto" w:fill="auto"/>
            <w:noWrap/>
            <w:vAlign w:val="center"/>
            <w:hideMark/>
          </w:tcPr>
          <w:p w14:paraId="24F7C4B9"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900268747</w:t>
            </w:r>
          </w:p>
        </w:tc>
        <w:tc>
          <w:tcPr>
            <w:tcW w:w="3913" w:type="dxa"/>
            <w:tcBorders>
              <w:top w:val="nil"/>
              <w:left w:val="nil"/>
              <w:bottom w:val="single" w:sz="4" w:space="0" w:color="auto"/>
              <w:right w:val="single" w:sz="4" w:space="0" w:color="auto"/>
            </w:tcBorders>
            <w:shd w:val="clear" w:color="auto" w:fill="auto"/>
            <w:vAlign w:val="center"/>
            <w:hideMark/>
          </w:tcPr>
          <w:p w14:paraId="5042B284"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PAREX RESOURCES COLOMBIA LTD SUCURSAL</w:t>
            </w:r>
          </w:p>
        </w:tc>
        <w:tc>
          <w:tcPr>
            <w:tcW w:w="1602" w:type="dxa"/>
            <w:tcBorders>
              <w:top w:val="nil"/>
              <w:left w:val="nil"/>
              <w:bottom w:val="single" w:sz="4" w:space="0" w:color="auto"/>
              <w:right w:val="single" w:sz="4" w:space="0" w:color="auto"/>
            </w:tcBorders>
            <w:shd w:val="clear" w:color="auto" w:fill="auto"/>
            <w:noWrap/>
            <w:vAlign w:val="center"/>
            <w:hideMark/>
          </w:tcPr>
          <w:p w14:paraId="29C74C78" w14:textId="4C3BF8B0"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5</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679</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471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879 </w:t>
            </w:r>
          </w:p>
        </w:tc>
        <w:tc>
          <w:tcPr>
            <w:tcW w:w="1418" w:type="dxa"/>
            <w:tcBorders>
              <w:top w:val="nil"/>
              <w:left w:val="nil"/>
              <w:bottom w:val="single" w:sz="4" w:space="0" w:color="auto"/>
              <w:right w:val="single" w:sz="4" w:space="0" w:color="auto"/>
            </w:tcBorders>
            <w:shd w:val="clear" w:color="auto" w:fill="auto"/>
            <w:noWrap/>
            <w:vAlign w:val="center"/>
            <w:hideMark/>
          </w:tcPr>
          <w:p w14:paraId="5DCD5B41" w14:textId="166DC874"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56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794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719 </w:t>
            </w:r>
          </w:p>
        </w:tc>
      </w:tr>
      <w:tr w:rsidR="009A21D7" w:rsidRPr="00374360" w14:paraId="7ADB4B2F"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4482063"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276</w:t>
            </w:r>
          </w:p>
        </w:tc>
        <w:tc>
          <w:tcPr>
            <w:tcW w:w="660" w:type="dxa"/>
            <w:tcBorders>
              <w:top w:val="nil"/>
              <w:left w:val="nil"/>
              <w:bottom w:val="single" w:sz="4" w:space="0" w:color="auto"/>
              <w:right w:val="single" w:sz="4" w:space="0" w:color="auto"/>
            </w:tcBorders>
            <w:shd w:val="clear" w:color="auto" w:fill="auto"/>
            <w:noWrap/>
            <w:vAlign w:val="center"/>
            <w:hideMark/>
          </w:tcPr>
          <w:p w14:paraId="0E0F6EC1"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31993</w:t>
            </w:r>
          </w:p>
        </w:tc>
        <w:tc>
          <w:tcPr>
            <w:tcW w:w="879" w:type="dxa"/>
            <w:tcBorders>
              <w:top w:val="nil"/>
              <w:left w:val="nil"/>
              <w:bottom w:val="single" w:sz="4" w:space="0" w:color="auto"/>
              <w:right w:val="single" w:sz="4" w:space="0" w:color="auto"/>
            </w:tcBorders>
            <w:shd w:val="clear" w:color="auto" w:fill="auto"/>
            <w:noWrap/>
            <w:vAlign w:val="center"/>
            <w:hideMark/>
          </w:tcPr>
          <w:p w14:paraId="01188E1A"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900331322</w:t>
            </w:r>
          </w:p>
        </w:tc>
        <w:tc>
          <w:tcPr>
            <w:tcW w:w="3913" w:type="dxa"/>
            <w:tcBorders>
              <w:top w:val="nil"/>
              <w:left w:val="nil"/>
              <w:bottom w:val="single" w:sz="4" w:space="0" w:color="auto"/>
              <w:right w:val="single" w:sz="4" w:space="0" w:color="auto"/>
            </w:tcBorders>
            <w:shd w:val="clear" w:color="auto" w:fill="auto"/>
            <w:vAlign w:val="center"/>
            <w:hideMark/>
          </w:tcPr>
          <w:p w14:paraId="26102076"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PAREX VERANO LIMITED SUCURSAL</w:t>
            </w:r>
          </w:p>
        </w:tc>
        <w:tc>
          <w:tcPr>
            <w:tcW w:w="1602" w:type="dxa"/>
            <w:tcBorders>
              <w:top w:val="nil"/>
              <w:left w:val="nil"/>
              <w:bottom w:val="single" w:sz="4" w:space="0" w:color="auto"/>
              <w:right w:val="single" w:sz="4" w:space="0" w:color="auto"/>
            </w:tcBorders>
            <w:shd w:val="clear" w:color="auto" w:fill="auto"/>
            <w:noWrap/>
            <w:vAlign w:val="center"/>
            <w:hideMark/>
          </w:tcPr>
          <w:p w14:paraId="53BA1E5E" w14:textId="0F098AE6"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364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771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580 </w:t>
            </w:r>
          </w:p>
        </w:tc>
        <w:tc>
          <w:tcPr>
            <w:tcW w:w="1418" w:type="dxa"/>
            <w:tcBorders>
              <w:top w:val="nil"/>
              <w:left w:val="nil"/>
              <w:bottom w:val="single" w:sz="4" w:space="0" w:color="auto"/>
              <w:right w:val="single" w:sz="4" w:space="0" w:color="auto"/>
            </w:tcBorders>
            <w:shd w:val="clear" w:color="auto" w:fill="auto"/>
            <w:noWrap/>
            <w:vAlign w:val="center"/>
            <w:hideMark/>
          </w:tcPr>
          <w:p w14:paraId="262BD6C7" w14:textId="47B7529E"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43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647</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716 </w:t>
            </w:r>
          </w:p>
        </w:tc>
      </w:tr>
      <w:tr w:rsidR="009A21D7" w:rsidRPr="00374360" w14:paraId="56D2699A"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9E0416F"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277</w:t>
            </w:r>
          </w:p>
        </w:tc>
        <w:tc>
          <w:tcPr>
            <w:tcW w:w="660" w:type="dxa"/>
            <w:tcBorders>
              <w:top w:val="nil"/>
              <w:left w:val="nil"/>
              <w:bottom w:val="single" w:sz="4" w:space="0" w:color="auto"/>
              <w:right w:val="single" w:sz="4" w:space="0" w:color="auto"/>
            </w:tcBorders>
            <w:shd w:val="clear" w:color="auto" w:fill="auto"/>
            <w:noWrap/>
            <w:vAlign w:val="center"/>
            <w:hideMark/>
          </w:tcPr>
          <w:p w14:paraId="3B3B26CD"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38014</w:t>
            </w:r>
          </w:p>
        </w:tc>
        <w:tc>
          <w:tcPr>
            <w:tcW w:w="879" w:type="dxa"/>
            <w:tcBorders>
              <w:top w:val="nil"/>
              <w:left w:val="nil"/>
              <w:bottom w:val="single" w:sz="4" w:space="0" w:color="auto"/>
              <w:right w:val="single" w:sz="4" w:space="0" w:color="auto"/>
            </w:tcBorders>
            <w:shd w:val="clear" w:color="auto" w:fill="auto"/>
            <w:noWrap/>
            <w:vAlign w:val="center"/>
            <w:hideMark/>
          </w:tcPr>
          <w:p w14:paraId="674C5A64"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900582235</w:t>
            </w:r>
          </w:p>
        </w:tc>
        <w:tc>
          <w:tcPr>
            <w:tcW w:w="3913" w:type="dxa"/>
            <w:tcBorders>
              <w:top w:val="nil"/>
              <w:left w:val="nil"/>
              <w:bottom w:val="single" w:sz="4" w:space="0" w:color="auto"/>
              <w:right w:val="single" w:sz="4" w:space="0" w:color="auto"/>
            </w:tcBorders>
            <w:shd w:val="clear" w:color="auto" w:fill="auto"/>
            <w:vAlign w:val="center"/>
            <w:hideMark/>
          </w:tcPr>
          <w:p w14:paraId="773498F3"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PCHS LOS MOLINOS S.A.S. E.S.P.</w:t>
            </w:r>
          </w:p>
        </w:tc>
        <w:tc>
          <w:tcPr>
            <w:tcW w:w="1602" w:type="dxa"/>
            <w:tcBorders>
              <w:top w:val="nil"/>
              <w:left w:val="nil"/>
              <w:bottom w:val="single" w:sz="4" w:space="0" w:color="auto"/>
              <w:right w:val="single" w:sz="4" w:space="0" w:color="auto"/>
            </w:tcBorders>
            <w:shd w:val="clear" w:color="auto" w:fill="auto"/>
            <w:noWrap/>
            <w:vAlign w:val="center"/>
            <w:hideMark/>
          </w:tcPr>
          <w:p w14:paraId="37DC8E53" w14:textId="0504C1D1"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418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548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409 </w:t>
            </w:r>
          </w:p>
        </w:tc>
        <w:tc>
          <w:tcPr>
            <w:tcW w:w="1418" w:type="dxa"/>
            <w:tcBorders>
              <w:top w:val="nil"/>
              <w:left w:val="nil"/>
              <w:bottom w:val="single" w:sz="4" w:space="0" w:color="auto"/>
              <w:right w:val="single" w:sz="4" w:space="0" w:color="auto"/>
            </w:tcBorders>
            <w:shd w:val="clear" w:color="auto" w:fill="auto"/>
            <w:noWrap/>
            <w:vAlign w:val="center"/>
            <w:hideMark/>
          </w:tcPr>
          <w:p w14:paraId="234CDD4C" w14:textId="068745BD"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24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185</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484 </w:t>
            </w:r>
          </w:p>
        </w:tc>
      </w:tr>
      <w:tr w:rsidR="009A21D7" w:rsidRPr="00374360" w14:paraId="329FA272" w14:textId="77777777" w:rsidTr="00C734CF">
        <w:trPr>
          <w:trHeight w:val="4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12A0D3D"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278</w:t>
            </w:r>
          </w:p>
        </w:tc>
        <w:tc>
          <w:tcPr>
            <w:tcW w:w="660" w:type="dxa"/>
            <w:tcBorders>
              <w:top w:val="nil"/>
              <w:left w:val="nil"/>
              <w:bottom w:val="single" w:sz="4" w:space="0" w:color="auto"/>
              <w:right w:val="single" w:sz="4" w:space="0" w:color="auto"/>
            </w:tcBorders>
            <w:shd w:val="clear" w:color="auto" w:fill="auto"/>
            <w:noWrap/>
            <w:vAlign w:val="center"/>
            <w:hideMark/>
          </w:tcPr>
          <w:p w14:paraId="254AC443"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25688</w:t>
            </w:r>
          </w:p>
        </w:tc>
        <w:tc>
          <w:tcPr>
            <w:tcW w:w="879" w:type="dxa"/>
            <w:tcBorders>
              <w:top w:val="nil"/>
              <w:left w:val="nil"/>
              <w:bottom w:val="single" w:sz="4" w:space="0" w:color="auto"/>
              <w:right w:val="single" w:sz="4" w:space="0" w:color="auto"/>
            </w:tcBorders>
            <w:shd w:val="clear" w:color="auto" w:fill="auto"/>
            <w:noWrap/>
            <w:vAlign w:val="center"/>
            <w:hideMark/>
          </w:tcPr>
          <w:p w14:paraId="405815C8"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900319306</w:t>
            </w:r>
          </w:p>
        </w:tc>
        <w:tc>
          <w:tcPr>
            <w:tcW w:w="3913" w:type="dxa"/>
            <w:tcBorders>
              <w:top w:val="nil"/>
              <w:left w:val="nil"/>
              <w:bottom w:val="single" w:sz="4" w:space="0" w:color="auto"/>
              <w:right w:val="single" w:sz="4" w:space="0" w:color="auto"/>
            </w:tcBorders>
            <w:shd w:val="clear" w:color="auto" w:fill="auto"/>
            <w:vAlign w:val="center"/>
            <w:hideMark/>
          </w:tcPr>
          <w:p w14:paraId="0E487286"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PEGASUS BLENDING INTERNATIONAL S.A.S. EMPRESA DE SERVICIOS PUBLICOS E.S.P</w:t>
            </w:r>
          </w:p>
        </w:tc>
        <w:tc>
          <w:tcPr>
            <w:tcW w:w="1602" w:type="dxa"/>
            <w:tcBorders>
              <w:top w:val="nil"/>
              <w:left w:val="nil"/>
              <w:bottom w:val="single" w:sz="4" w:space="0" w:color="auto"/>
              <w:right w:val="single" w:sz="4" w:space="0" w:color="auto"/>
            </w:tcBorders>
            <w:shd w:val="clear" w:color="auto" w:fill="auto"/>
            <w:noWrap/>
            <w:vAlign w:val="center"/>
            <w:hideMark/>
          </w:tcPr>
          <w:p w14:paraId="0C5E427E" w14:textId="22A37A46"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87</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148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173 </w:t>
            </w:r>
          </w:p>
        </w:tc>
        <w:tc>
          <w:tcPr>
            <w:tcW w:w="1418" w:type="dxa"/>
            <w:tcBorders>
              <w:top w:val="nil"/>
              <w:left w:val="nil"/>
              <w:bottom w:val="single" w:sz="4" w:space="0" w:color="auto"/>
              <w:right w:val="single" w:sz="4" w:space="0" w:color="auto"/>
            </w:tcBorders>
            <w:shd w:val="clear" w:color="auto" w:fill="auto"/>
            <w:noWrap/>
            <w:vAlign w:val="center"/>
            <w:hideMark/>
          </w:tcPr>
          <w:p w14:paraId="17299E03" w14:textId="4D3A0F2D"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871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482 </w:t>
            </w:r>
          </w:p>
        </w:tc>
      </w:tr>
      <w:tr w:rsidR="009A21D7" w:rsidRPr="00374360" w14:paraId="5CC8B1D8" w14:textId="77777777" w:rsidTr="00C734CF">
        <w:trPr>
          <w:trHeight w:val="4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127C296"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279</w:t>
            </w:r>
          </w:p>
        </w:tc>
        <w:tc>
          <w:tcPr>
            <w:tcW w:w="660" w:type="dxa"/>
            <w:tcBorders>
              <w:top w:val="nil"/>
              <w:left w:val="nil"/>
              <w:bottom w:val="single" w:sz="4" w:space="0" w:color="auto"/>
              <w:right w:val="single" w:sz="4" w:space="0" w:color="auto"/>
            </w:tcBorders>
            <w:shd w:val="clear" w:color="auto" w:fill="auto"/>
            <w:noWrap/>
            <w:vAlign w:val="center"/>
            <w:hideMark/>
          </w:tcPr>
          <w:p w14:paraId="5D60BFCB"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28391</w:t>
            </w:r>
          </w:p>
        </w:tc>
        <w:tc>
          <w:tcPr>
            <w:tcW w:w="879" w:type="dxa"/>
            <w:tcBorders>
              <w:top w:val="nil"/>
              <w:left w:val="nil"/>
              <w:bottom w:val="single" w:sz="4" w:space="0" w:color="auto"/>
              <w:right w:val="single" w:sz="4" w:space="0" w:color="auto"/>
            </w:tcBorders>
            <w:shd w:val="clear" w:color="auto" w:fill="auto"/>
            <w:noWrap/>
            <w:vAlign w:val="center"/>
            <w:hideMark/>
          </w:tcPr>
          <w:p w14:paraId="63AABDA3"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900495129</w:t>
            </w:r>
          </w:p>
        </w:tc>
        <w:tc>
          <w:tcPr>
            <w:tcW w:w="3913" w:type="dxa"/>
            <w:tcBorders>
              <w:top w:val="nil"/>
              <w:left w:val="nil"/>
              <w:bottom w:val="single" w:sz="4" w:space="0" w:color="auto"/>
              <w:right w:val="single" w:sz="4" w:space="0" w:color="auto"/>
            </w:tcBorders>
            <w:shd w:val="clear" w:color="auto" w:fill="auto"/>
            <w:vAlign w:val="center"/>
            <w:hideMark/>
          </w:tcPr>
          <w:p w14:paraId="283A0FD3"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PETROLEOS SUD AMERICANOS SUCURSAL COLOMBIA</w:t>
            </w:r>
          </w:p>
        </w:tc>
        <w:tc>
          <w:tcPr>
            <w:tcW w:w="1602" w:type="dxa"/>
            <w:tcBorders>
              <w:top w:val="nil"/>
              <w:left w:val="nil"/>
              <w:bottom w:val="single" w:sz="4" w:space="0" w:color="auto"/>
              <w:right w:val="single" w:sz="4" w:space="0" w:color="auto"/>
            </w:tcBorders>
            <w:shd w:val="clear" w:color="auto" w:fill="auto"/>
            <w:noWrap/>
            <w:vAlign w:val="center"/>
            <w:hideMark/>
          </w:tcPr>
          <w:p w14:paraId="567DE3EC" w14:textId="3B0C8FFA"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5</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099</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345</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450 </w:t>
            </w:r>
          </w:p>
        </w:tc>
        <w:tc>
          <w:tcPr>
            <w:tcW w:w="1418" w:type="dxa"/>
            <w:tcBorders>
              <w:top w:val="nil"/>
              <w:left w:val="nil"/>
              <w:bottom w:val="single" w:sz="4" w:space="0" w:color="auto"/>
              <w:right w:val="single" w:sz="4" w:space="0" w:color="auto"/>
            </w:tcBorders>
            <w:shd w:val="clear" w:color="auto" w:fill="auto"/>
            <w:noWrap/>
            <w:vAlign w:val="center"/>
            <w:hideMark/>
          </w:tcPr>
          <w:p w14:paraId="369DBF82" w14:textId="3F45DEC9"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50</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993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455 </w:t>
            </w:r>
          </w:p>
        </w:tc>
      </w:tr>
      <w:tr w:rsidR="009A21D7" w:rsidRPr="00374360" w14:paraId="529F752F"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A5BA096"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280</w:t>
            </w:r>
          </w:p>
        </w:tc>
        <w:tc>
          <w:tcPr>
            <w:tcW w:w="660" w:type="dxa"/>
            <w:tcBorders>
              <w:top w:val="nil"/>
              <w:left w:val="nil"/>
              <w:bottom w:val="single" w:sz="4" w:space="0" w:color="auto"/>
              <w:right w:val="single" w:sz="4" w:space="0" w:color="auto"/>
            </w:tcBorders>
            <w:shd w:val="clear" w:color="auto" w:fill="auto"/>
            <w:noWrap/>
            <w:vAlign w:val="center"/>
            <w:hideMark/>
          </w:tcPr>
          <w:p w14:paraId="482C4A4C"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23250</w:t>
            </w:r>
          </w:p>
        </w:tc>
        <w:tc>
          <w:tcPr>
            <w:tcW w:w="879" w:type="dxa"/>
            <w:tcBorders>
              <w:top w:val="nil"/>
              <w:left w:val="nil"/>
              <w:bottom w:val="single" w:sz="4" w:space="0" w:color="auto"/>
              <w:right w:val="single" w:sz="4" w:space="0" w:color="auto"/>
            </w:tcBorders>
            <w:shd w:val="clear" w:color="auto" w:fill="auto"/>
            <w:noWrap/>
            <w:vAlign w:val="center"/>
            <w:hideMark/>
          </w:tcPr>
          <w:p w14:paraId="662B1B1A"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900330027</w:t>
            </w:r>
          </w:p>
        </w:tc>
        <w:tc>
          <w:tcPr>
            <w:tcW w:w="3913" w:type="dxa"/>
            <w:tcBorders>
              <w:top w:val="nil"/>
              <w:left w:val="nil"/>
              <w:bottom w:val="single" w:sz="4" w:space="0" w:color="auto"/>
              <w:right w:val="single" w:sz="4" w:space="0" w:color="auto"/>
            </w:tcBorders>
            <w:shd w:val="clear" w:color="auto" w:fill="auto"/>
            <w:vAlign w:val="center"/>
            <w:hideMark/>
          </w:tcPr>
          <w:p w14:paraId="1EBB97F4"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PETROMILGAS S.A. ESP</w:t>
            </w:r>
          </w:p>
        </w:tc>
        <w:tc>
          <w:tcPr>
            <w:tcW w:w="1602" w:type="dxa"/>
            <w:tcBorders>
              <w:top w:val="nil"/>
              <w:left w:val="nil"/>
              <w:bottom w:val="single" w:sz="4" w:space="0" w:color="auto"/>
              <w:right w:val="single" w:sz="4" w:space="0" w:color="auto"/>
            </w:tcBorders>
            <w:shd w:val="clear" w:color="auto" w:fill="auto"/>
            <w:noWrap/>
            <w:vAlign w:val="center"/>
            <w:hideMark/>
          </w:tcPr>
          <w:p w14:paraId="1DC12783" w14:textId="0099A801"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556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858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791 </w:t>
            </w:r>
          </w:p>
        </w:tc>
        <w:tc>
          <w:tcPr>
            <w:tcW w:w="1418" w:type="dxa"/>
            <w:tcBorders>
              <w:top w:val="nil"/>
              <w:left w:val="nil"/>
              <w:bottom w:val="single" w:sz="4" w:space="0" w:color="auto"/>
              <w:right w:val="single" w:sz="4" w:space="0" w:color="auto"/>
            </w:tcBorders>
            <w:shd w:val="clear" w:color="auto" w:fill="auto"/>
            <w:noWrap/>
            <w:vAlign w:val="center"/>
            <w:hideMark/>
          </w:tcPr>
          <w:p w14:paraId="16158517" w14:textId="6059B204"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45</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568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588 </w:t>
            </w:r>
          </w:p>
        </w:tc>
      </w:tr>
      <w:tr w:rsidR="009A21D7" w:rsidRPr="00374360" w14:paraId="6AD7CB91"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A5F5DE5"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281</w:t>
            </w:r>
          </w:p>
        </w:tc>
        <w:tc>
          <w:tcPr>
            <w:tcW w:w="660" w:type="dxa"/>
            <w:tcBorders>
              <w:top w:val="nil"/>
              <w:left w:val="nil"/>
              <w:bottom w:val="single" w:sz="4" w:space="0" w:color="auto"/>
              <w:right w:val="single" w:sz="4" w:space="0" w:color="auto"/>
            </w:tcBorders>
            <w:shd w:val="clear" w:color="auto" w:fill="auto"/>
            <w:noWrap/>
            <w:vAlign w:val="center"/>
            <w:hideMark/>
          </w:tcPr>
          <w:p w14:paraId="47A20184"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23112</w:t>
            </w:r>
          </w:p>
        </w:tc>
        <w:tc>
          <w:tcPr>
            <w:tcW w:w="879" w:type="dxa"/>
            <w:tcBorders>
              <w:top w:val="nil"/>
              <w:left w:val="nil"/>
              <w:bottom w:val="single" w:sz="4" w:space="0" w:color="auto"/>
              <w:right w:val="single" w:sz="4" w:space="0" w:color="auto"/>
            </w:tcBorders>
            <w:shd w:val="clear" w:color="auto" w:fill="auto"/>
            <w:noWrap/>
            <w:vAlign w:val="center"/>
            <w:hideMark/>
          </w:tcPr>
          <w:p w14:paraId="2D21114D"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811036688</w:t>
            </w:r>
          </w:p>
        </w:tc>
        <w:tc>
          <w:tcPr>
            <w:tcW w:w="3913" w:type="dxa"/>
            <w:tcBorders>
              <w:top w:val="nil"/>
              <w:left w:val="nil"/>
              <w:bottom w:val="single" w:sz="4" w:space="0" w:color="auto"/>
              <w:right w:val="single" w:sz="4" w:space="0" w:color="auto"/>
            </w:tcBorders>
            <w:shd w:val="clear" w:color="auto" w:fill="auto"/>
            <w:vAlign w:val="center"/>
            <w:hideMark/>
          </w:tcPr>
          <w:p w14:paraId="68A18379"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PIPEGAS S.A.S. E.S.P</w:t>
            </w:r>
          </w:p>
        </w:tc>
        <w:tc>
          <w:tcPr>
            <w:tcW w:w="1602" w:type="dxa"/>
            <w:tcBorders>
              <w:top w:val="nil"/>
              <w:left w:val="nil"/>
              <w:bottom w:val="single" w:sz="4" w:space="0" w:color="auto"/>
              <w:right w:val="single" w:sz="4" w:space="0" w:color="auto"/>
            </w:tcBorders>
            <w:shd w:val="clear" w:color="auto" w:fill="auto"/>
            <w:noWrap/>
            <w:vAlign w:val="center"/>
            <w:hideMark/>
          </w:tcPr>
          <w:p w14:paraId="173DA442" w14:textId="26D26EA2"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559</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888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232 </w:t>
            </w:r>
          </w:p>
        </w:tc>
        <w:tc>
          <w:tcPr>
            <w:tcW w:w="1418" w:type="dxa"/>
            <w:tcBorders>
              <w:top w:val="nil"/>
              <w:left w:val="nil"/>
              <w:bottom w:val="single" w:sz="4" w:space="0" w:color="auto"/>
              <w:right w:val="single" w:sz="4" w:space="0" w:color="auto"/>
            </w:tcBorders>
            <w:shd w:val="clear" w:color="auto" w:fill="auto"/>
            <w:noWrap/>
            <w:vAlign w:val="center"/>
            <w:hideMark/>
          </w:tcPr>
          <w:p w14:paraId="32D32FA6" w14:textId="68FA005F"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5</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598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882 </w:t>
            </w:r>
          </w:p>
        </w:tc>
      </w:tr>
      <w:tr w:rsidR="009A21D7" w:rsidRPr="00374360" w14:paraId="5C305754"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3A978D4"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282</w:t>
            </w:r>
          </w:p>
        </w:tc>
        <w:tc>
          <w:tcPr>
            <w:tcW w:w="660" w:type="dxa"/>
            <w:tcBorders>
              <w:top w:val="nil"/>
              <w:left w:val="nil"/>
              <w:bottom w:val="single" w:sz="4" w:space="0" w:color="auto"/>
              <w:right w:val="single" w:sz="4" w:space="0" w:color="auto"/>
            </w:tcBorders>
            <w:shd w:val="clear" w:color="auto" w:fill="auto"/>
            <w:noWrap/>
            <w:vAlign w:val="center"/>
            <w:hideMark/>
          </w:tcPr>
          <w:p w14:paraId="478D404C"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513</w:t>
            </w:r>
          </w:p>
        </w:tc>
        <w:tc>
          <w:tcPr>
            <w:tcW w:w="879" w:type="dxa"/>
            <w:tcBorders>
              <w:top w:val="nil"/>
              <w:left w:val="nil"/>
              <w:bottom w:val="single" w:sz="4" w:space="0" w:color="auto"/>
              <w:right w:val="single" w:sz="4" w:space="0" w:color="auto"/>
            </w:tcBorders>
            <w:shd w:val="clear" w:color="auto" w:fill="auto"/>
            <w:noWrap/>
            <w:vAlign w:val="center"/>
            <w:hideMark/>
          </w:tcPr>
          <w:p w14:paraId="10E87103"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860515802</w:t>
            </w:r>
          </w:p>
        </w:tc>
        <w:tc>
          <w:tcPr>
            <w:tcW w:w="3913" w:type="dxa"/>
            <w:tcBorders>
              <w:top w:val="nil"/>
              <w:left w:val="nil"/>
              <w:bottom w:val="single" w:sz="4" w:space="0" w:color="auto"/>
              <w:right w:val="single" w:sz="4" w:space="0" w:color="auto"/>
            </w:tcBorders>
            <w:shd w:val="clear" w:color="auto" w:fill="auto"/>
            <w:vAlign w:val="center"/>
            <w:hideMark/>
          </w:tcPr>
          <w:p w14:paraId="40444BEB"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PLEXA SAS ESP</w:t>
            </w:r>
          </w:p>
        </w:tc>
        <w:tc>
          <w:tcPr>
            <w:tcW w:w="1602" w:type="dxa"/>
            <w:tcBorders>
              <w:top w:val="nil"/>
              <w:left w:val="nil"/>
              <w:bottom w:val="single" w:sz="4" w:space="0" w:color="auto"/>
              <w:right w:val="single" w:sz="4" w:space="0" w:color="auto"/>
            </w:tcBorders>
            <w:shd w:val="clear" w:color="auto" w:fill="auto"/>
            <w:noWrap/>
            <w:vAlign w:val="center"/>
            <w:hideMark/>
          </w:tcPr>
          <w:p w14:paraId="17214952" w14:textId="6F6F727F"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7</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091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641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555 </w:t>
            </w:r>
          </w:p>
        </w:tc>
        <w:tc>
          <w:tcPr>
            <w:tcW w:w="1418" w:type="dxa"/>
            <w:tcBorders>
              <w:top w:val="nil"/>
              <w:left w:val="nil"/>
              <w:bottom w:val="single" w:sz="4" w:space="0" w:color="auto"/>
              <w:right w:val="single" w:sz="4" w:space="0" w:color="auto"/>
            </w:tcBorders>
            <w:shd w:val="clear" w:color="auto" w:fill="auto"/>
            <w:noWrap/>
            <w:vAlign w:val="center"/>
            <w:hideMark/>
          </w:tcPr>
          <w:p w14:paraId="7306852F" w14:textId="0A7BC93D"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70</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916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416 </w:t>
            </w:r>
          </w:p>
        </w:tc>
      </w:tr>
      <w:tr w:rsidR="009A21D7" w:rsidRPr="00374360" w14:paraId="79EEB354"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5932A13"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283</w:t>
            </w:r>
          </w:p>
        </w:tc>
        <w:tc>
          <w:tcPr>
            <w:tcW w:w="660" w:type="dxa"/>
            <w:tcBorders>
              <w:top w:val="nil"/>
              <w:left w:val="nil"/>
              <w:bottom w:val="single" w:sz="4" w:space="0" w:color="auto"/>
              <w:right w:val="single" w:sz="4" w:space="0" w:color="auto"/>
            </w:tcBorders>
            <w:shd w:val="clear" w:color="auto" w:fill="auto"/>
            <w:noWrap/>
            <w:vAlign w:val="center"/>
            <w:hideMark/>
          </w:tcPr>
          <w:p w14:paraId="39C1FEB5"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41456</w:t>
            </w:r>
          </w:p>
        </w:tc>
        <w:tc>
          <w:tcPr>
            <w:tcW w:w="879" w:type="dxa"/>
            <w:tcBorders>
              <w:top w:val="nil"/>
              <w:left w:val="nil"/>
              <w:bottom w:val="single" w:sz="4" w:space="0" w:color="auto"/>
              <w:right w:val="single" w:sz="4" w:space="0" w:color="auto"/>
            </w:tcBorders>
            <w:shd w:val="clear" w:color="auto" w:fill="auto"/>
            <w:noWrap/>
            <w:vAlign w:val="center"/>
            <w:hideMark/>
          </w:tcPr>
          <w:p w14:paraId="62553D7E"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901043956</w:t>
            </w:r>
          </w:p>
        </w:tc>
        <w:tc>
          <w:tcPr>
            <w:tcW w:w="3913" w:type="dxa"/>
            <w:tcBorders>
              <w:top w:val="nil"/>
              <w:left w:val="nil"/>
              <w:bottom w:val="single" w:sz="4" w:space="0" w:color="auto"/>
              <w:right w:val="single" w:sz="4" w:space="0" w:color="auto"/>
            </w:tcBorders>
            <w:shd w:val="clear" w:color="auto" w:fill="auto"/>
            <w:vAlign w:val="center"/>
            <w:hideMark/>
          </w:tcPr>
          <w:p w14:paraId="7B24FF82"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PLUSENERGY SAS ESP</w:t>
            </w:r>
          </w:p>
        </w:tc>
        <w:tc>
          <w:tcPr>
            <w:tcW w:w="1602" w:type="dxa"/>
            <w:tcBorders>
              <w:top w:val="nil"/>
              <w:left w:val="nil"/>
              <w:bottom w:val="single" w:sz="4" w:space="0" w:color="auto"/>
              <w:right w:val="single" w:sz="4" w:space="0" w:color="auto"/>
            </w:tcBorders>
            <w:shd w:val="clear" w:color="auto" w:fill="auto"/>
            <w:noWrap/>
            <w:vAlign w:val="center"/>
            <w:hideMark/>
          </w:tcPr>
          <w:p w14:paraId="556B1E47" w14:textId="2DEA80C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164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343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802 </w:t>
            </w:r>
          </w:p>
        </w:tc>
        <w:tc>
          <w:tcPr>
            <w:tcW w:w="1418" w:type="dxa"/>
            <w:tcBorders>
              <w:top w:val="nil"/>
              <w:left w:val="nil"/>
              <w:bottom w:val="single" w:sz="4" w:space="0" w:color="auto"/>
              <w:right w:val="single" w:sz="4" w:space="0" w:color="auto"/>
            </w:tcBorders>
            <w:shd w:val="clear" w:color="auto" w:fill="auto"/>
            <w:noWrap/>
            <w:vAlign w:val="center"/>
            <w:hideMark/>
          </w:tcPr>
          <w:p w14:paraId="097573F8" w14:textId="62712F9E"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643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438 </w:t>
            </w:r>
          </w:p>
        </w:tc>
      </w:tr>
      <w:tr w:rsidR="009A21D7" w:rsidRPr="00374360" w14:paraId="35C31024"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5628D3C"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284</w:t>
            </w:r>
          </w:p>
        </w:tc>
        <w:tc>
          <w:tcPr>
            <w:tcW w:w="660" w:type="dxa"/>
            <w:tcBorders>
              <w:top w:val="nil"/>
              <w:left w:val="nil"/>
              <w:bottom w:val="single" w:sz="4" w:space="0" w:color="auto"/>
              <w:right w:val="single" w:sz="4" w:space="0" w:color="auto"/>
            </w:tcBorders>
            <w:shd w:val="clear" w:color="auto" w:fill="auto"/>
            <w:noWrap/>
            <w:vAlign w:val="center"/>
            <w:hideMark/>
          </w:tcPr>
          <w:p w14:paraId="40D10A0B"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26847</w:t>
            </w:r>
          </w:p>
        </w:tc>
        <w:tc>
          <w:tcPr>
            <w:tcW w:w="879" w:type="dxa"/>
            <w:tcBorders>
              <w:top w:val="nil"/>
              <w:left w:val="nil"/>
              <w:bottom w:val="single" w:sz="4" w:space="0" w:color="auto"/>
              <w:right w:val="single" w:sz="4" w:space="0" w:color="auto"/>
            </w:tcBorders>
            <w:shd w:val="clear" w:color="auto" w:fill="auto"/>
            <w:noWrap/>
            <w:vAlign w:val="center"/>
            <w:hideMark/>
          </w:tcPr>
          <w:p w14:paraId="2E7B1A45"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900374375</w:t>
            </w:r>
          </w:p>
        </w:tc>
        <w:tc>
          <w:tcPr>
            <w:tcW w:w="3913" w:type="dxa"/>
            <w:tcBorders>
              <w:top w:val="nil"/>
              <w:left w:val="nil"/>
              <w:bottom w:val="single" w:sz="4" w:space="0" w:color="auto"/>
              <w:right w:val="single" w:sz="4" w:space="0" w:color="auto"/>
            </w:tcBorders>
            <w:shd w:val="clear" w:color="auto" w:fill="auto"/>
            <w:vAlign w:val="center"/>
            <w:hideMark/>
          </w:tcPr>
          <w:p w14:paraId="43AB8D7A"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POPAL SAS ESP</w:t>
            </w:r>
          </w:p>
        </w:tc>
        <w:tc>
          <w:tcPr>
            <w:tcW w:w="1602" w:type="dxa"/>
            <w:tcBorders>
              <w:top w:val="nil"/>
              <w:left w:val="nil"/>
              <w:bottom w:val="single" w:sz="4" w:space="0" w:color="auto"/>
              <w:right w:val="single" w:sz="4" w:space="0" w:color="auto"/>
            </w:tcBorders>
            <w:shd w:val="clear" w:color="auto" w:fill="auto"/>
            <w:noWrap/>
            <w:vAlign w:val="center"/>
            <w:hideMark/>
          </w:tcPr>
          <w:p w14:paraId="275F54F1" w14:textId="72BAD2E9"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658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470</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501 </w:t>
            </w:r>
          </w:p>
        </w:tc>
        <w:tc>
          <w:tcPr>
            <w:tcW w:w="1418" w:type="dxa"/>
            <w:tcBorders>
              <w:top w:val="nil"/>
              <w:left w:val="nil"/>
              <w:bottom w:val="single" w:sz="4" w:space="0" w:color="auto"/>
              <w:right w:val="single" w:sz="4" w:space="0" w:color="auto"/>
            </w:tcBorders>
            <w:shd w:val="clear" w:color="auto" w:fill="auto"/>
            <w:noWrap/>
            <w:vAlign w:val="center"/>
            <w:hideMark/>
          </w:tcPr>
          <w:p w14:paraId="0F4A704E" w14:textId="60CAD7FC"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584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705 </w:t>
            </w:r>
          </w:p>
        </w:tc>
      </w:tr>
      <w:tr w:rsidR="009A21D7" w:rsidRPr="00374360" w14:paraId="500DE43C" w14:textId="77777777" w:rsidTr="00C734CF">
        <w:trPr>
          <w:trHeight w:val="4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74F0A93"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285</w:t>
            </w:r>
          </w:p>
        </w:tc>
        <w:tc>
          <w:tcPr>
            <w:tcW w:w="660" w:type="dxa"/>
            <w:tcBorders>
              <w:top w:val="nil"/>
              <w:left w:val="nil"/>
              <w:bottom w:val="single" w:sz="4" w:space="0" w:color="auto"/>
              <w:right w:val="single" w:sz="4" w:space="0" w:color="auto"/>
            </w:tcBorders>
            <w:shd w:val="clear" w:color="auto" w:fill="auto"/>
            <w:noWrap/>
            <w:vAlign w:val="center"/>
            <w:hideMark/>
          </w:tcPr>
          <w:p w14:paraId="4E55668B"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37953</w:t>
            </w:r>
          </w:p>
        </w:tc>
        <w:tc>
          <w:tcPr>
            <w:tcW w:w="879" w:type="dxa"/>
            <w:tcBorders>
              <w:top w:val="nil"/>
              <w:left w:val="nil"/>
              <w:bottom w:val="single" w:sz="4" w:space="0" w:color="auto"/>
              <w:right w:val="single" w:sz="4" w:space="0" w:color="auto"/>
            </w:tcBorders>
            <w:shd w:val="clear" w:color="auto" w:fill="auto"/>
            <w:noWrap/>
            <w:vAlign w:val="center"/>
            <w:hideMark/>
          </w:tcPr>
          <w:p w14:paraId="3D4BC4BA"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901063452</w:t>
            </w:r>
          </w:p>
        </w:tc>
        <w:tc>
          <w:tcPr>
            <w:tcW w:w="3913" w:type="dxa"/>
            <w:tcBorders>
              <w:top w:val="nil"/>
              <w:left w:val="nil"/>
              <w:bottom w:val="single" w:sz="4" w:space="0" w:color="auto"/>
              <w:right w:val="single" w:sz="4" w:space="0" w:color="auto"/>
            </w:tcBorders>
            <w:shd w:val="clear" w:color="auto" w:fill="auto"/>
            <w:vAlign w:val="center"/>
            <w:hideMark/>
          </w:tcPr>
          <w:p w14:paraId="1EC6F26F"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Prestadora de Servicios Públicos y Energía en ZOnas No Conectadas ESP SAS</w:t>
            </w:r>
          </w:p>
        </w:tc>
        <w:tc>
          <w:tcPr>
            <w:tcW w:w="1602" w:type="dxa"/>
            <w:tcBorders>
              <w:top w:val="nil"/>
              <w:left w:val="nil"/>
              <w:bottom w:val="single" w:sz="4" w:space="0" w:color="auto"/>
              <w:right w:val="single" w:sz="4" w:space="0" w:color="auto"/>
            </w:tcBorders>
            <w:shd w:val="clear" w:color="auto" w:fill="auto"/>
            <w:noWrap/>
            <w:vAlign w:val="center"/>
            <w:hideMark/>
          </w:tcPr>
          <w:p w14:paraId="514F3E27" w14:textId="445BA4AB"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58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285</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575 </w:t>
            </w:r>
          </w:p>
        </w:tc>
        <w:tc>
          <w:tcPr>
            <w:tcW w:w="1418" w:type="dxa"/>
            <w:tcBorders>
              <w:top w:val="nil"/>
              <w:left w:val="nil"/>
              <w:bottom w:val="single" w:sz="4" w:space="0" w:color="auto"/>
              <w:right w:val="single" w:sz="4" w:space="0" w:color="auto"/>
            </w:tcBorders>
            <w:shd w:val="clear" w:color="auto" w:fill="auto"/>
            <w:noWrap/>
            <w:vAlign w:val="center"/>
            <w:hideMark/>
          </w:tcPr>
          <w:p w14:paraId="68102FFD" w14:textId="5DADCD99"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582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856 </w:t>
            </w:r>
          </w:p>
        </w:tc>
      </w:tr>
      <w:tr w:rsidR="009A21D7" w:rsidRPr="00374360" w14:paraId="1763610F"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FF9BE25"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286</w:t>
            </w:r>
          </w:p>
        </w:tc>
        <w:tc>
          <w:tcPr>
            <w:tcW w:w="660" w:type="dxa"/>
            <w:tcBorders>
              <w:top w:val="nil"/>
              <w:left w:val="nil"/>
              <w:bottom w:val="single" w:sz="4" w:space="0" w:color="auto"/>
              <w:right w:val="single" w:sz="4" w:space="0" w:color="auto"/>
            </w:tcBorders>
            <w:shd w:val="clear" w:color="auto" w:fill="auto"/>
            <w:noWrap/>
            <w:vAlign w:val="center"/>
            <w:hideMark/>
          </w:tcPr>
          <w:p w14:paraId="6B005DF1"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23330</w:t>
            </w:r>
          </w:p>
        </w:tc>
        <w:tc>
          <w:tcPr>
            <w:tcW w:w="879" w:type="dxa"/>
            <w:tcBorders>
              <w:top w:val="nil"/>
              <w:left w:val="nil"/>
              <w:bottom w:val="single" w:sz="4" w:space="0" w:color="auto"/>
              <w:right w:val="single" w:sz="4" w:space="0" w:color="auto"/>
            </w:tcBorders>
            <w:shd w:val="clear" w:color="auto" w:fill="auto"/>
            <w:noWrap/>
            <w:vAlign w:val="center"/>
            <w:hideMark/>
          </w:tcPr>
          <w:p w14:paraId="0820D1DA"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900341483</w:t>
            </w:r>
          </w:p>
        </w:tc>
        <w:tc>
          <w:tcPr>
            <w:tcW w:w="3913" w:type="dxa"/>
            <w:tcBorders>
              <w:top w:val="nil"/>
              <w:left w:val="nil"/>
              <w:bottom w:val="single" w:sz="4" w:space="0" w:color="auto"/>
              <w:right w:val="single" w:sz="4" w:space="0" w:color="auto"/>
            </w:tcBorders>
            <w:shd w:val="clear" w:color="auto" w:fill="auto"/>
            <w:vAlign w:val="center"/>
            <w:hideMark/>
          </w:tcPr>
          <w:p w14:paraId="6E1F4FDD"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PROFESIONALES EN ENERGÍA S.A E.S.P</w:t>
            </w:r>
          </w:p>
        </w:tc>
        <w:tc>
          <w:tcPr>
            <w:tcW w:w="1602" w:type="dxa"/>
            <w:tcBorders>
              <w:top w:val="nil"/>
              <w:left w:val="nil"/>
              <w:bottom w:val="single" w:sz="4" w:space="0" w:color="auto"/>
              <w:right w:val="single" w:sz="4" w:space="0" w:color="auto"/>
            </w:tcBorders>
            <w:shd w:val="clear" w:color="auto" w:fill="auto"/>
            <w:noWrap/>
            <w:vAlign w:val="center"/>
            <w:hideMark/>
          </w:tcPr>
          <w:p w14:paraId="4247CFEA" w14:textId="10678119"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289</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726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482 </w:t>
            </w:r>
          </w:p>
        </w:tc>
        <w:tc>
          <w:tcPr>
            <w:tcW w:w="1418" w:type="dxa"/>
            <w:tcBorders>
              <w:top w:val="nil"/>
              <w:left w:val="nil"/>
              <w:bottom w:val="single" w:sz="4" w:space="0" w:color="auto"/>
              <w:right w:val="single" w:sz="4" w:space="0" w:color="auto"/>
            </w:tcBorders>
            <w:shd w:val="clear" w:color="auto" w:fill="auto"/>
            <w:noWrap/>
            <w:vAlign w:val="center"/>
            <w:hideMark/>
          </w:tcPr>
          <w:p w14:paraId="58001CF2" w14:textId="5497FE43"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897</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265 </w:t>
            </w:r>
          </w:p>
        </w:tc>
      </w:tr>
      <w:tr w:rsidR="009A21D7" w:rsidRPr="00374360" w14:paraId="6262DC52"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A8F3A90"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287</w:t>
            </w:r>
          </w:p>
        </w:tc>
        <w:tc>
          <w:tcPr>
            <w:tcW w:w="660" w:type="dxa"/>
            <w:tcBorders>
              <w:top w:val="nil"/>
              <w:left w:val="nil"/>
              <w:bottom w:val="single" w:sz="4" w:space="0" w:color="auto"/>
              <w:right w:val="single" w:sz="4" w:space="0" w:color="auto"/>
            </w:tcBorders>
            <w:shd w:val="clear" w:color="auto" w:fill="auto"/>
            <w:noWrap/>
            <w:vAlign w:val="center"/>
            <w:hideMark/>
          </w:tcPr>
          <w:p w14:paraId="43C69668"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3325</w:t>
            </w:r>
          </w:p>
        </w:tc>
        <w:tc>
          <w:tcPr>
            <w:tcW w:w="879" w:type="dxa"/>
            <w:tcBorders>
              <w:top w:val="nil"/>
              <w:left w:val="nil"/>
              <w:bottom w:val="single" w:sz="4" w:space="0" w:color="auto"/>
              <w:right w:val="single" w:sz="4" w:space="0" w:color="auto"/>
            </w:tcBorders>
            <w:shd w:val="clear" w:color="auto" w:fill="auto"/>
            <w:noWrap/>
            <w:vAlign w:val="center"/>
            <w:hideMark/>
          </w:tcPr>
          <w:p w14:paraId="3484E36E"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804014818</w:t>
            </w:r>
          </w:p>
        </w:tc>
        <w:tc>
          <w:tcPr>
            <w:tcW w:w="3913" w:type="dxa"/>
            <w:tcBorders>
              <w:top w:val="nil"/>
              <w:left w:val="nil"/>
              <w:bottom w:val="single" w:sz="4" w:space="0" w:color="auto"/>
              <w:right w:val="single" w:sz="4" w:space="0" w:color="auto"/>
            </w:tcBorders>
            <w:shd w:val="clear" w:color="auto" w:fill="auto"/>
            <w:vAlign w:val="center"/>
            <w:hideMark/>
          </w:tcPr>
          <w:p w14:paraId="6915D005"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PROMESA S.A. ESP</w:t>
            </w:r>
          </w:p>
        </w:tc>
        <w:tc>
          <w:tcPr>
            <w:tcW w:w="1602" w:type="dxa"/>
            <w:tcBorders>
              <w:top w:val="nil"/>
              <w:left w:val="nil"/>
              <w:bottom w:val="single" w:sz="4" w:space="0" w:color="auto"/>
              <w:right w:val="single" w:sz="4" w:space="0" w:color="auto"/>
            </w:tcBorders>
            <w:shd w:val="clear" w:color="auto" w:fill="auto"/>
            <w:noWrap/>
            <w:vAlign w:val="center"/>
            <w:hideMark/>
          </w:tcPr>
          <w:p w14:paraId="04DA4096" w14:textId="7C669795"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320</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127</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124 </w:t>
            </w:r>
          </w:p>
        </w:tc>
        <w:tc>
          <w:tcPr>
            <w:tcW w:w="1418" w:type="dxa"/>
            <w:tcBorders>
              <w:top w:val="nil"/>
              <w:left w:val="nil"/>
              <w:bottom w:val="single" w:sz="4" w:space="0" w:color="auto"/>
              <w:right w:val="single" w:sz="4" w:space="0" w:color="auto"/>
            </w:tcBorders>
            <w:shd w:val="clear" w:color="auto" w:fill="auto"/>
            <w:noWrap/>
            <w:vAlign w:val="center"/>
            <w:hideMark/>
          </w:tcPr>
          <w:p w14:paraId="43EC7C21" w14:textId="12C354A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201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271 </w:t>
            </w:r>
          </w:p>
        </w:tc>
      </w:tr>
      <w:tr w:rsidR="009A21D7" w:rsidRPr="00374360" w14:paraId="6252D52E"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5AB29EF"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288</w:t>
            </w:r>
          </w:p>
        </w:tc>
        <w:tc>
          <w:tcPr>
            <w:tcW w:w="660" w:type="dxa"/>
            <w:tcBorders>
              <w:top w:val="nil"/>
              <w:left w:val="nil"/>
              <w:bottom w:val="single" w:sz="4" w:space="0" w:color="auto"/>
              <w:right w:val="single" w:sz="4" w:space="0" w:color="auto"/>
            </w:tcBorders>
            <w:shd w:val="clear" w:color="auto" w:fill="auto"/>
            <w:noWrap/>
            <w:vAlign w:val="center"/>
            <w:hideMark/>
          </w:tcPr>
          <w:p w14:paraId="127457C5"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1069</w:t>
            </w:r>
          </w:p>
        </w:tc>
        <w:tc>
          <w:tcPr>
            <w:tcW w:w="879" w:type="dxa"/>
            <w:tcBorders>
              <w:top w:val="nil"/>
              <w:left w:val="nil"/>
              <w:bottom w:val="single" w:sz="4" w:space="0" w:color="auto"/>
              <w:right w:val="single" w:sz="4" w:space="0" w:color="auto"/>
            </w:tcBorders>
            <w:shd w:val="clear" w:color="auto" w:fill="auto"/>
            <w:noWrap/>
            <w:vAlign w:val="center"/>
            <w:hideMark/>
          </w:tcPr>
          <w:p w14:paraId="1457DEE9"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890105526</w:t>
            </w:r>
          </w:p>
        </w:tc>
        <w:tc>
          <w:tcPr>
            <w:tcW w:w="3913" w:type="dxa"/>
            <w:tcBorders>
              <w:top w:val="nil"/>
              <w:left w:val="nil"/>
              <w:bottom w:val="single" w:sz="4" w:space="0" w:color="auto"/>
              <w:right w:val="single" w:sz="4" w:space="0" w:color="auto"/>
            </w:tcBorders>
            <w:shd w:val="clear" w:color="auto" w:fill="auto"/>
            <w:vAlign w:val="center"/>
            <w:hideMark/>
          </w:tcPr>
          <w:p w14:paraId="0A0F48EB"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PROMIGAS S.A. E.S.P.</w:t>
            </w:r>
          </w:p>
        </w:tc>
        <w:tc>
          <w:tcPr>
            <w:tcW w:w="1602" w:type="dxa"/>
            <w:tcBorders>
              <w:top w:val="nil"/>
              <w:left w:val="nil"/>
              <w:bottom w:val="single" w:sz="4" w:space="0" w:color="auto"/>
              <w:right w:val="single" w:sz="4" w:space="0" w:color="auto"/>
            </w:tcBorders>
            <w:shd w:val="clear" w:color="auto" w:fill="auto"/>
            <w:noWrap/>
            <w:vAlign w:val="center"/>
            <w:hideMark/>
          </w:tcPr>
          <w:p w14:paraId="076D22A9" w14:textId="6090FA12"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85</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636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134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976 </w:t>
            </w:r>
          </w:p>
        </w:tc>
        <w:tc>
          <w:tcPr>
            <w:tcW w:w="1418" w:type="dxa"/>
            <w:tcBorders>
              <w:top w:val="nil"/>
              <w:left w:val="nil"/>
              <w:bottom w:val="single" w:sz="4" w:space="0" w:color="auto"/>
              <w:right w:val="single" w:sz="4" w:space="0" w:color="auto"/>
            </w:tcBorders>
            <w:shd w:val="clear" w:color="auto" w:fill="auto"/>
            <w:noWrap/>
            <w:vAlign w:val="center"/>
            <w:hideMark/>
          </w:tcPr>
          <w:p w14:paraId="00D76538" w14:textId="7A5C0F66"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856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361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350 </w:t>
            </w:r>
          </w:p>
        </w:tc>
      </w:tr>
      <w:tr w:rsidR="009A21D7" w:rsidRPr="00374360" w14:paraId="16324F86"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EC93CA0"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289</w:t>
            </w:r>
          </w:p>
        </w:tc>
        <w:tc>
          <w:tcPr>
            <w:tcW w:w="660" w:type="dxa"/>
            <w:tcBorders>
              <w:top w:val="nil"/>
              <w:left w:val="nil"/>
              <w:bottom w:val="single" w:sz="4" w:space="0" w:color="auto"/>
              <w:right w:val="single" w:sz="4" w:space="0" w:color="auto"/>
            </w:tcBorders>
            <w:shd w:val="clear" w:color="auto" w:fill="auto"/>
            <w:noWrap/>
            <w:vAlign w:val="center"/>
            <w:hideMark/>
          </w:tcPr>
          <w:p w14:paraId="29278F2F"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527</w:t>
            </w:r>
          </w:p>
        </w:tc>
        <w:tc>
          <w:tcPr>
            <w:tcW w:w="879" w:type="dxa"/>
            <w:tcBorders>
              <w:top w:val="nil"/>
              <w:left w:val="nil"/>
              <w:bottom w:val="single" w:sz="4" w:space="0" w:color="auto"/>
              <w:right w:val="single" w:sz="4" w:space="0" w:color="auto"/>
            </w:tcBorders>
            <w:shd w:val="clear" w:color="auto" w:fill="auto"/>
            <w:noWrap/>
            <w:vAlign w:val="center"/>
            <w:hideMark/>
          </w:tcPr>
          <w:p w14:paraId="6DACB55E"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800226766</w:t>
            </w:r>
          </w:p>
        </w:tc>
        <w:tc>
          <w:tcPr>
            <w:tcW w:w="3913" w:type="dxa"/>
            <w:tcBorders>
              <w:top w:val="nil"/>
              <w:left w:val="nil"/>
              <w:bottom w:val="single" w:sz="4" w:space="0" w:color="auto"/>
              <w:right w:val="single" w:sz="4" w:space="0" w:color="auto"/>
            </w:tcBorders>
            <w:shd w:val="clear" w:color="auto" w:fill="auto"/>
            <w:vAlign w:val="center"/>
            <w:hideMark/>
          </w:tcPr>
          <w:p w14:paraId="15B6D94D"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PROMIORIENTE S.A. E.S.P.</w:t>
            </w:r>
          </w:p>
        </w:tc>
        <w:tc>
          <w:tcPr>
            <w:tcW w:w="1602" w:type="dxa"/>
            <w:tcBorders>
              <w:top w:val="nil"/>
              <w:left w:val="nil"/>
              <w:bottom w:val="single" w:sz="4" w:space="0" w:color="auto"/>
              <w:right w:val="single" w:sz="4" w:space="0" w:color="auto"/>
            </w:tcBorders>
            <w:shd w:val="clear" w:color="auto" w:fill="auto"/>
            <w:noWrap/>
            <w:vAlign w:val="center"/>
            <w:hideMark/>
          </w:tcPr>
          <w:p w14:paraId="22BB2615" w14:textId="152C531E"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284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627</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932 </w:t>
            </w:r>
          </w:p>
        </w:tc>
        <w:tc>
          <w:tcPr>
            <w:tcW w:w="1418" w:type="dxa"/>
            <w:tcBorders>
              <w:top w:val="nil"/>
              <w:left w:val="nil"/>
              <w:bottom w:val="single" w:sz="4" w:space="0" w:color="auto"/>
              <w:right w:val="single" w:sz="4" w:space="0" w:color="auto"/>
            </w:tcBorders>
            <w:shd w:val="clear" w:color="auto" w:fill="auto"/>
            <w:noWrap/>
            <w:vAlign w:val="center"/>
            <w:hideMark/>
          </w:tcPr>
          <w:p w14:paraId="00B0B592" w14:textId="1BCDF73C"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62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846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279 </w:t>
            </w:r>
          </w:p>
        </w:tc>
      </w:tr>
      <w:tr w:rsidR="009A21D7" w:rsidRPr="00374360" w14:paraId="4D39D96C" w14:textId="77777777" w:rsidTr="00C734CF">
        <w:trPr>
          <w:trHeight w:val="9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32184F9"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290</w:t>
            </w:r>
          </w:p>
        </w:tc>
        <w:tc>
          <w:tcPr>
            <w:tcW w:w="660" w:type="dxa"/>
            <w:tcBorders>
              <w:top w:val="nil"/>
              <w:left w:val="nil"/>
              <w:bottom w:val="single" w:sz="4" w:space="0" w:color="auto"/>
              <w:right w:val="single" w:sz="4" w:space="0" w:color="auto"/>
            </w:tcBorders>
            <w:shd w:val="clear" w:color="auto" w:fill="auto"/>
            <w:noWrap/>
            <w:vAlign w:val="center"/>
            <w:hideMark/>
          </w:tcPr>
          <w:p w14:paraId="57F719C3"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497</w:t>
            </w:r>
          </w:p>
        </w:tc>
        <w:tc>
          <w:tcPr>
            <w:tcW w:w="879" w:type="dxa"/>
            <w:tcBorders>
              <w:top w:val="nil"/>
              <w:left w:val="nil"/>
              <w:bottom w:val="single" w:sz="4" w:space="0" w:color="auto"/>
              <w:right w:val="single" w:sz="4" w:space="0" w:color="auto"/>
            </w:tcBorders>
            <w:shd w:val="clear" w:color="auto" w:fill="auto"/>
            <w:noWrap/>
            <w:vAlign w:val="center"/>
            <w:hideMark/>
          </w:tcPr>
          <w:p w14:paraId="3DA4331B"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800149537</w:t>
            </w:r>
          </w:p>
        </w:tc>
        <w:tc>
          <w:tcPr>
            <w:tcW w:w="3913" w:type="dxa"/>
            <w:tcBorders>
              <w:top w:val="nil"/>
              <w:left w:val="nil"/>
              <w:bottom w:val="single" w:sz="4" w:space="0" w:color="auto"/>
              <w:right w:val="single" w:sz="4" w:space="0" w:color="auto"/>
            </w:tcBorders>
            <w:shd w:val="clear" w:color="auto" w:fill="auto"/>
            <w:vAlign w:val="center"/>
            <w:hideMark/>
          </w:tcPr>
          <w:p w14:paraId="5F496C1F"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PROMOTORA DE ENERGIA ELECTRICA DE CARTAGENA Y COMPANIA SOCIEDAD EN COMANDITA POR ACCIONES-EMPRESA DE SERVICIOS PUBLICOS</w:t>
            </w:r>
          </w:p>
        </w:tc>
        <w:tc>
          <w:tcPr>
            <w:tcW w:w="1602" w:type="dxa"/>
            <w:tcBorders>
              <w:top w:val="nil"/>
              <w:left w:val="nil"/>
              <w:bottom w:val="single" w:sz="4" w:space="0" w:color="auto"/>
              <w:right w:val="single" w:sz="4" w:space="0" w:color="auto"/>
            </w:tcBorders>
            <w:shd w:val="clear" w:color="auto" w:fill="auto"/>
            <w:noWrap/>
            <w:vAlign w:val="center"/>
            <w:hideMark/>
          </w:tcPr>
          <w:p w14:paraId="1EC5CEE2" w14:textId="39C730F2"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043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659</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974 </w:t>
            </w:r>
          </w:p>
        </w:tc>
        <w:tc>
          <w:tcPr>
            <w:tcW w:w="1418" w:type="dxa"/>
            <w:tcBorders>
              <w:top w:val="nil"/>
              <w:left w:val="nil"/>
              <w:bottom w:val="single" w:sz="4" w:space="0" w:color="auto"/>
              <w:right w:val="single" w:sz="4" w:space="0" w:color="auto"/>
            </w:tcBorders>
            <w:shd w:val="clear" w:color="auto" w:fill="auto"/>
            <w:noWrap/>
            <w:vAlign w:val="center"/>
            <w:hideMark/>
          </w:tcPr>
          <w:p w14:paraId="259E83FA" w14:textId="4B0E4B94"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40</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436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600 </w:t>
            </w:r>
          </w:p>
        </w:tc>
      </w:tr>
      <w:tr w:rsidR="009A21D7" w:rsidRPr="00374360" w14:paraId="2C5167C6"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F56E8A3"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291</w:t>
            </w:r>
          </w:p>
        </w:tc>
        <w:tc>
          <w:tcPr>
            <w:tcW w:w="660" w:type="dxa"/>
            <w:tcBorders>
              <w:top w:val="nil"/>
              <w:left w:val="nil"/>
              <w:bottom w:val="single" w:sz="4" w:space="0" w:color="auto"/>
              <w:right w:val="single" w:sz="4" w:space="0" w:color="auto"/>
            </w:tcBorders>
            <w:shd w:val="clear" w:color="auto" w:fill="auto"/>
            <w:noWrap/>
            <w:vAlign w:val="center"/>
            <w:hideMark/>
          </w:tcPr>
          <w:p w14:paraId="04279E58"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1626</w:t>
            </w:r>
          </w:p>
        </w:tc>
        <w:tc>
          <w:tcPr>
            <w:tcW w:w="879" w:type="dxa"/>
            <w:tcBorders>
              <w:top w:val="nil"/>
              <w:left w:val="nil"/>
              <w:bottom w:val="single" w:sz="4" w:space="0" w:color="auto"/>
              <w:right w:val="single" w:sz="4" w:space="0" w:color="auto"/>
            </w:tcBorders>
            <w:shd w:val="clear" w:color="auto" w:fill="auto"/>
            <w:noWrap/>
            <w:vAlign w:val="center"/>
            <w:hideMark/>
          </w:tcPr>
          <w:p w14:paraId="7EF2435F"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800170118</w:t>
            </w:r>
          </w:p>
        </w:tc>
        <w:tc>
          <w:tcPr>
            <w:tcW w:w="3913" w:type="dxa"/>
            <w:tcBorders>
              <w:top w:val="nil"/>
              <w:left w:val="nil"/>
              <w:bottom w:val="single" w:sz="4" w:space="0" w:color="auto"/>
              <w:right w:val="single" w:sz="4" w:space="0" w:color="auto"/>
            </w:tcBorders>
            <w:shd w:val="clear" w:color="auto" w:fill="auto"/>
            <w:vAlign w:val="center"/>
            <w:hideMark/>
          </w:tcPr>
          <w:p w14:paraId="2F0F9690"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PROMOTORA DE GASES DEL SUR S.A. E.S.P.</w:t>
            </w:r>
          </w:p>
        </w:tc>
        <w:tc>
          <w:tcPr>
            <w:tcW w:w="1602" w:type="dxa"/>
            <w:tcBorders>
              <w:top w:val="nil"/>
              <w:left w:val="nil"/>
              <w:bottom w:val="single" w:sz="4" w:space="0" w:color="auto"/>
              <w:right w:val="single" w:sz="4" w:space="0" w:color="auto"/>
            </w:tcBorders>
            <w:shd w:val="clear" w:color="auto" w:fill="auto"/>
            <w:noWrap/>
            <w:vAlign w:val="center"/>
            <w:hideMark/>
          </w:tcPr>
          <w:p w14:paraId="040FE051" w14:textId="7DC8424D"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241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323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778 </w:t>
            </w:r>
          </w:p>
        </w:tc>
        <w:tc>
          <w:tcPr>
            <w:tcW w:w="1418" w:type="dxa"/>
            <w:tcBorders>
              <w:top w:val="nil"/>
              <w:left w:val="nil"/>
              <w:bottom w:val="single" w:sz="4" w:space="0" w:color="auto"/>
              <w:right w:val="single" w:sz="4" w:space="0" w:color="auto"/>
            </w:tcBorders>
            <w:shd w:val="clear" w:color="auto" w:fill="auto"/>
            <w:noWrap/>
            <w:vAlign w:val="center"/>
            <w:hideMark/>
          </w:tcPr>
          <w:p w14:paraId="701D3A45" w14:textId="1C6B2CE1"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22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413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238 </w:t>
            </w:r>
          </w:p>
        </w:tc>
      </w:tr>
      <w:tr w:rsidR="009A21D7" w:rsidRPr="00374360" w14:paraId="162CBF16" w14:textId="77777777" w:rsidTr="00C734CF">
        <w:trPr>
          <w:trHeight w:val="4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A06D066"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292</w:t>
            </w:r>
          </w:p>
        </w:tc>
        <w:tc>
          <w:tcPr>
            <w:tcW w:w="660" w:type="dxa"/>
            <w:tcBorders>
              <w:top w:val="nil"/>
              <w:left w:val="nil"/>
              <w:bottom w:val="single" w:sz="4" w:space="0" w:color="auto"/>
              <w:right w:val="single" w:sz="4" w:space="0" w:color="auto"/>
            </w:tcBorders>
            <w:shd w:val="clear" w:color="auto" w:fill="auto"/>
            <w:noWrap/>
            <w:vAlign w:val="center"/>
            <w:hideMark/>
          </w:tcPr>
          <w:p w14:paraId="0275BF1C"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3227</w:t>
            </w:r>
          </w:p>
        </w:tc>
        <w:tc>
          <w:tcPr>
            <w:tcW w:w="879" w:type="dxa"/>
            <w:tcBorders>
              <w:top w:val="nil"/>
              <w:left w:val="nil"/>
              <w:bottom w:val="single" w:sz="4" w:space="0" w:color="auto"/>
              <w:right w:val="single" w:sz="4" w:space="0" w:color="auto"/>
            </w:tcBorders>
            <w:shd w:val="clear" w:color="auto" w:fill="auto"/>
            <w:noWrap/>
            <w:vAlign w:val="center"/>
            <w:hideMark/>
          </w:tcPr>
          <w:p w14:paraId="7A3157C8"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804013578</w:t>
            </w:r>
          </w:p>
        </w:tc>
        <w:tc>
          <w:tcPr>
            <w:tcW w:w="3913" w:type="dxa"/>
            <w:tcBorders>
              <w:top w:val="nil"/>
              <w:left w:val="nil"/>
              <w:bottom w:val="single" w:sz="4" w:space="0" w:color="auto"/>
              <w:right w:val="single" w:sz="4" w:space="0" w:color="auto"/>
            </w:tcBorders>
            <w:shd w:val="clear" w:color="auto" w:fill="auto"/>
            <w:vAlign w:val="center"/>
            <w:hideMark/>
          </w:tcPr>
          <w:p w14:paraId="52017FDB"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PROMOTORA DE SERVICIOS PÚBLICOS S.A. E.S.P.</w:t>
            </w:r>
          </w:p>
        </w:tc>
        <w:tc>
          <w:tcPr>
            <w:tcW w:w="1602" w:type="dxa"/>
            <w:tcBorders>
              <w:top w:val="nil"/>
              <w:left w:val="nil"/>
              <w:bottom w:val="single" w:sz="4" w:space="0" w:color="auto"/>
              <w:right w:val="single" w:sz="4" w:space="0" w:color="auto"/>
            </w:tcBorders>
            <w:shd w:val="clear" w:color="auto" w:fill="auto"/>
            <w:noWrap/>
            <w:vAlign w:val="center"/>
            <w:hideMark/>
          </w:tcPr>
          <w:p w14:paraId="1E92CA34" w14:textId="2EF6D20E"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097</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706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016 </w:t>
            </w:r>
          </w:p>
        </w:tc>
        <w:tc>
          <w:tcPr>
            <w:tcW w:w="1418" w:type="dxa"/>
            <w:tcBorders>
              <w:top w:val="nil"/>
              <w:left w:val="nil"/>
              <w:bottom w:val="single" w:sz="4" w:space="0" w:color="auto"/>
              <w:right w:val="single" w:sz="4" w:space="0" w:color="auto"/>
            </w:tcBorders>
            <w:shd w:val="clear" w:color="auto" w:fill="auto"/>
            <w:noWrap/>
            <w:vAlign w:val="center"/>
            <w:hideMark/>
          </w:tcPr>
          <w:p w14:paraId="0063F7F9" w14:textId="0AC4F17D"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30</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977</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060 </w:t>
            </w:r>
          </w:p>
        </w:tc>
      </w:tr>
      <w:tr w:rsidR="009A21D7" w:rsidRPr="00374360" w14:paraId="0B67C503"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DAB683D"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293</w:t>
            </w:r>
          </w:p>
        </w:tc>
        <w:tc>
          <w:tcPr>
            <w:tcW w:w="660" w:type="dxa"/>
            <w:tcBorders>
              <w:top w:val="nil"/>
              <w:left w:val="nil"/>
              <w:bottom w:val="single" w:sz="4" w:space="0" w:color="auto"/>
              <w:right w:val="single" w:sz="4" w:space="0" w:color="auto"/>
            </w:tcBorders>
            <w:shd w:val="clear" w:color="auto" w:fill="auto"/>
            <w:noWrap/>
            <w:vAlign w:val="center"/>
            <w:hideMark/>
          </w:tcPr>
          <w:p w14:paraId="43CACBAD"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37294</w:t>
            </w:r>
          </w:p>
        </w:tc>
        <w:tc>
          <w:tcPr>
            <w:tcW w:w="879" w:type="dxa"/>
            <w:tcBorders>
              <w:top w:val="nil"/>
              <w:left w:val="nil"/>
              <w:bottom w:val="single" w:sz="4" w:space="0" w:color="auto"/>
              <w:right w:val="single" w:sz="4" w:space="0" w:color="auto"/>
            </w:tcBorders>
            <w:shd w:val="clear" w:color="auto" w:fill="auto"/>
            <w:noWrap/>
            <w:vAlign w:val="center"/>
            <w:hideMark/>
          </w:tcPr>
          <w:p w14:paraId="55F47DE5"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900438187</w:t>
            </w:r>
          </w:p>
        </w:tc>
        <w:tc>
          <w:tcPr>
            <w:tcW w:w="3913" w:type="dxa"/>
            <w:tcBorders>
              <w:top w:val="nil"/>
              <w:left w:val="nil"/>
              <w:bottom w:val="single" w:sz="4" w:space="0" w:color="auto"/>
              <w:right w:val="single" w:sz="4" w:space="0" w:color="auto"/>
            </w:tcBorders>
            <w:shd w:val="clear" w:color="auto" w:fill="auto"/>
            <w:vAlign w:val="center"/>
            <w:hideMark/>
          </w:tcPr>
          <w:p w14:paraId="1F8E9010"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PROVIGAS COLOMBIA S.A. ESP</w:t>
            </w:r>
          </w:p>
        </w:tc>
        <w:tc>
          <w:tcPr>
            <w:tcW w:w="1602" w:type="dxa"/>
            <w:tcBorders>
              <w:top w:val="nil"/>
              <w:left w:val="nil"/>
              <w:bottom w:val="single" w:sz="4" w:space="0" w:color="auto"/>
              <w:right w:val="single" w:sz="4" w:space="0" w:color="auto"/>
            </w:tcBorders>
            <w:shd w:val="clear" w:color="auto" w:fill="auto"/>
            <w:noWrap/>
            <w:vAlign w:val="center"/>
            <w:hideMark/>
          </w:tcPr>
          <w:p w14:paraId="3B396F6F" w14:textId="5BEE72E3"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151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626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691 </w:t>
            </w:r>
          </w:p>
        </w:tc>
        <w:tc>
          <w:tcPr>
            <w:tcW w:w="1418" w:type="dxa"/>
            <w:tcBorders>
              <w:top w:val="nil"/>
              <w:left w:val="nil"/>
              <w:bottom w:val="single" w:sz="4" w:space="0" w:color="auto"/>
              <w:right w:val="single" w:sz="4" w:space="0" w:color="auto"/>
            </w:tcBorders>
            <w:shd w:val="clear" w:color="auto" w:fill="auto"/>
            <w:noWrap/>
            <w:vAlign w:val="center"/>
            <w:hideMark/>
          </w:tcPr>
          <w:p w14:paraId="2574C2F4" w14:textId="5F99B990"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516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267 </w:t>
            </w:r>
          </w:p>
        </w:tc>
      </w:tr>
      <w:tr w:rsidR="009A21D7" w:rsidRPr="00374360" w14:paraId="23C02CDF"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6FDCAAD"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294</w:t>
            </w:r>
          </w:p>
        </w:tc>
        <w:tc>
          <w:tcPr>
            <w:tcW w:w="660" w:type="dxa"/>
            <w:tcBorders>
              <w:top w:val="nil"/>
              <w:left w:val="nil"/>
              <w:bottom w:val="single" w:sz="4" w:space="0" w:color="auto"/>
              <w:right w:val="single" w:sz="4" w:space="0" w:color="auto"/>
            </w:tcBorders>
            <w:shd w:val="clear" w:color="auto" w:fill="auto"/>
            <w:noWrap/>
            <w:vAlign w:val="center"/>
            <w:hideMark/>
          </w:tcPr>
          <w:p w14:paraId="7155065E"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543</w:t>
            </w:r>
          </w:p>
        </w:tc>
        <w:tc>
          <w:tcPr>
            <w:tcW w:w="879" w:type="dxa"/>
            <w:tcBorders>
              <w:top w:val="nil"/>
              <w:left w:val="nil"/>
              <w:bottom w:val="single" w:sz="4" w:space="0" w:color="auto"/>
              <w:right w:val="single" w:sz="4" w:space="0" w:color="auto"/>
            </w:tcBorders>
            <w:shd w:val="clear" w:color="auto" w:fill="auto"/>
            <w:noWrap/>
            <w:vAlign w:val="center"/>
            <w:hideMark/>
          </w:tcPr>
          <w:p w14:paraId="65E234D7"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827000149</w:t>
            </w:r>
          </w:p>
        </w:tc>
        <w:tc>
          <w:tcPr>
            <w:tcW w:w="3913" w:type="dxa"/>
            <w:tcBorders>
              <w:top w:val="nil"/>
              <w:left w:val="nil"/>
              <w:bottom w:val="single" w:sz="4" w:space="0" w:color="auto"/>
              <w:right w:val="single" w:sz="4" w:space="0" w:color="auto"/>
            </w:tcBorders>
            <w:shd w:val="clear" w:color="auto" w:fill="auto"/>
            <w:vAlign w:val="center"/>
            <w:hideMark/>
          </w:tcPr>
          <w:p w14:paraId="3211FD24"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PROVIGAS S.A.  E.S.P.</w:t>
            </w:r>
          </w:p>
        </w:tc>
        <w:tc>
          <w:tcPr>
            <w:tcW w:w="1602" w:type="dxa"/>
            <w:tcBorders>
              <w:top w:val="nil"/>
              <w:left w:val="nil"/>
              <w:bottom w:val="single" w:sz="4" w:space="0" w:color="auto"/>
              <w:right w:val="single" w:sz="4" w:space="0" w:color="auto"/>
            </w:tcBorders>
            <w:shd w:val="clear" w:color="auto" w:fill="auto"/>
            <w:noWrap/>
            <w:vAlign w:val="center"/>
            <w:hideMark/>
          </w:tcPr>
          <w:p w14:paraId="77290A2B" w14:textId="1D0AAD31"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945</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258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796 </w:t>
            </w:r>
          </w:p>
        </w:tc>
        <w:tc>
          <w:tcPr>
            <w:tcW w:w="1418" w:type="dxa"/>
            <w:tcBorders>
              <w:top w:val="nil"/>
              <w:left w:val="nil"/>
              <w:bottom w:val="single" w:sz="4" w:space="0" w:color="auto"/>
              <w:right w:val="single" w:sz="4" w:space="0" w:color="auto"/>
            </w:tcBorders>
            <w:shd w:val="clear" w:color="auto" w:fill="auto"/>
            <w:noWrap/>
            <w:vAlign w:val="center"/>
            <w:hideMark/>
          </w:tcPr>
          <w:p w14:paraId="7C780762" w14:textId="0F26D58B"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9</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452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588 </w:t>
            </w:r>
          </w:p>
        </w:tc>
      </w:tr>
      <w:tr w:rsidR="009A21D7" w:rsidRPr="00374360" w14:paraId="718E8EA1" w14:textId="77777777" w:rsidTr="00C734CF">
        <w:trPr>
          <w:trHeight w:val="4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E861AA4"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lastRenderedPageBreak/>
              <w:t>295</w:t>
            </w:r>
          </w:p>
        </w:tc>
        <w:tc>
          <w:tcPr>
            <w:tcW w:w="660" w:type="dxa"/>
            <w:tcBorders>
              <w:top w:val="nil"/>
              <w:left w:val="nil"/>
              <w:bottom w:val="single" w:sz="4" w:space="0" w:color="auto"/>
              <w:right w:val="single" w:sz="4" w:space="0" w:color="auto"/>
            </w:tcBorders>
            <w:shd w:val="clear" w:color="auto" w:fill="auto"/>
            <w:noWrap/>
            <w:vAlign w:val="center"/>
            <w:hideMark/>
          </w:tcPr>
          <w:p w14:paraId="19B8BED3"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20527</w:t>
            </w:r>
          </w:p>
        </w:tc>
        <w:tc>
          <w:tcPr>
            <w:tcW w:w="879" w:type="dxa"/>
            <w:tcBorders>
              <w:top w:val="nil"/>
              <w:left w:val="nil"/>
              <w:bottom w:val="single" w:sz="4" w:space="0" w:color="auto"/>
              <w:right w:val="single" w:sz="4" w:space="0" w:color="auto"/>
            </w:tcBorders>
            <w:shd w:val="clear" w:color="auto" w:fill="auto"/>
            <w:noWrap/>
            <w:vAlign w:val="center"/>
            <w:hideMark/>
          </w:tcPr>
          <w:p w14:paraId="5F7D75CC"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804002825</w:t>
            </w:r>
          </w:p>
        </w:tc>
        <w:tc>
          <w:tcPr>
            <w:tcW w:w="3913" w:type="dxa"/>
            <w:tcBorders>
              <w:top w:val="nil"/>
              <w:left w:val="nil"/>
              <w:bottom w:val="single" w:sz="4" w:space="0" w:color="auto"/>
              <w:right w:val="single" w:sz="4" w:space="0" w:color="auto"/>
            </w:tcBorders>
            <w:shd w:val="clear" w:color="auto" w:fill="auto"/>
            <w:vAlign w:val="center"/>
            <w:hideMark/>
          </w:tcPr>
          <w:p w14:paraId="6B1D0872"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PROYECTOS DE INGENIERIA Y COMERCIALIZACION DE GAS S.A. ESP.</w:t>
            </w:r>
          </w:p>
        </w:tc>
        <w:tc>
          <w:tcPr>
            <w:tcW w:w="1602" w:type="dxa"/>
            <w:tcBorders>
              <w:top w:val="nil"/>
              <w:left w:val="nil"/>
              <w:bottom w:val="single" w:sz="4" w:space="0" w:color="auto"/>
              <w:right w:val="single" w:sz="4" w:space="0" w:color="auto"/>
            </w:tcBorders>
            <w:shd w:val="clear" w:color="auto" w:fill="auto"/>
            <w:noWrap/>
            <w:vAlign w:val="center"/>
            <w:hideMark/>
          </w:tcPr>
          <w:p w14:paraId="53D9E87C" w14:textId="3334548A"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509</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208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624 </w:t>
            </w:r>
          </w:p>
        </w:tc>
        <w:tc>
          <w:tcPr>
            <w:tcW w:w="1418" w:type="dxa"/>
            <w:tcBorders>
              <w:top w:val="nil"/>
              <w:left w:val="nil"/>
              <w:bottom w:val="single" w:sz="4" w:space="0" w:color="auto"/>
              <w:right w:val="single" w:sz="4" w:space="0" w:color="auto"/>
            </w:tcBorders>
            <w:shd w:val="clear" w:color="auto" w:fill="auto"/>
            <w:noWrap/>
            <w:vAlign w:val="center"/>
            <w:hideMark/>
          </w:tcPr>
          <w:p w14:paraId="69B8CC9D" w14:textId="295CE02B"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5</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092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086 </w:t>
            </w:r>
          </w:p>
        </w:tc>
      </w:tr>
      <w:tr w:rsidR="009A21D7" w:rsidRPr="00374360" w14:paraId="3912E58A" w14:textId="77777777" w:rsidTr="00C734CF">
        <w:trPr>
          <w:trHeight w:val="4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502B067"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296</w:t>
            </w:r>
          </w:p>
        </w:tc>
        <w:tc>
          <w:tcPr>
            <w:tcW w:w="660" w:type="dxa"/>
            <w:tcBorders>
              <w:top w:val="nil"/>
              <w:left w:val="nil"/>
              <w:bottom w:val="single" w:sz="4" w:space="0" w:color="auto"/>
              <w:right w:val="single" w:sz="4" w:space="0" w:color="auto"/>
            </w:tcBorders>
            <w:shd w:val="clear" w:color="auto" w:fill="auto"/>
            <w:noWrap/>
            <w:vAlign w:val="center"/>
            <w:hideMark/>
          </w:tcPr>
          <w:p w14:paraId="533600E9"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2398</w:t>
            </w:r>
          </w:p>
        </w:tc>
        <w:tc>
          <w:tcPr>
            <w:tcW w:w="879" w:type="dxa"/>
            <w:tcBorders>
              <w:top w:val="nil"/>
              <w:left w:val="nil"/>
              <w:bottom w:val="single" w:sz="4" w:space="0" w:color="auto"/>
              <w:right w:val="single" w:sz="4" w:space="0" w:color="auto"/>
            </w:tcBorders>
            <w:shd w:val="clear" w:color="auto" w:fill="auto"/>
            <w:noWrap/>
            <w:vAlign w:val="center"/>
            <w:hideMark/>
          </w:tcPr>
          <w:p w14:paraId="59CDCBE6"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817000362</w:t>
            </w:r>
          </w:p>
        </w:tc>
        <w:tc>
          <w:tcPr>
            <w:tcW w:w="3913" w:type="dxa"/>
            <w:tcBorders>
              <w:top w:val="nil"/>
              <w:left w:val="nil"/>
              <w:bottom w:val="single" w:sz="4" w:space="0" w:color="auto"/>
              <w:right w:val="single" w:sz="4" w:space="0" w:color="auto"/>
            </w:tcBorders>
            <w:shd w:val="clear" w:color="auto" w:fill="auto"/>
            <w:vAlign w:val="center"/>
            <w:hideMark/>
          </w:tcPr>
          <w:p w14:paraId="47142DEA"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PROYECTOS ENERGETICOS DEL CAUCA S.A. E.S.P.</w:t>
            </w:r>
          </w:p>
        </w:tc>
        <w:tc>
          <w:tcPr>
            <w:tcW w:w="1602" w:type="dxa"/>
            <w:tcBorders>
              <w:top w:val="nil"/>
              <w:left w:val="nil"/>
              <w:bottom w:val="single" w:sz="4" w:space="0" w:color="auto"/>
              <w:right w:val="single" w:sz="4" w:space="0" w:color="auto"/>
            </w:tcBorders>
            <w:shd w:val="clear" w:color="auto" w:fill="auto"/>
            <w:noWrap/>
            <w:vAlign w:val="center"/>
            <w:hideMark/>
          </w:tcPr>
          <w:p w14:paraId="6C325168" w14:textId="7FA5E43B"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135</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485</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074 </w:t>
            </w:r>
          </w:p>
        </w:tc>
        <w:tc>
          <w:tcPr>
            <w:tcW w:w="1418" w:type="dxa"/>
            <w:tcBorders>
              <w:top w:val="nil"/>
              <w:left w:val="nil"/>
              <w:bottom w:val="single" w:sz="4" w:space="0" w:color="auto"/>
              <w:right w:val="single" w:sz="4" w:space="0" w:color="auto"/>
            </w:tcBorders>
            <w:shd w:val="clear" w:color="auto" w:fill="auto"/>
            <w:noWrap/>
            <w:vAlign w:val="center"/>
            <w:hideMark/>
          </w:tcPr>
          <w:p w14:paraId="6169F618" w14:textId="691439EA"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354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851 </w:t>
            </w:r>
          </w:p>
        </w:tc>
      </w:tr>
      <w:tr w:rsidR="009A21D7" w:rsidRPr="00374360" w14:paraId="1E7C8C9C"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4FCAB69"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297</w:t>
            </w:r>
          </w:p>
        </w:tc>
        <w:tc>
          <w:tcPr>
            <w:tcW w:w="660" w:type="dxa"/>
            <w:tcBorders>
              <w:top w:val="nil"/>
              <w:left w:val="nil"/>
              <w:bottom w:val="single" w:sz="4" w:space="0" w:color="auto"/>
              <w:right w:val="single" w:sz="4" w:space="0" w:color="auto"/>
            </w:tcBorders>
            <w:shd w:val="clear" w:color="auto" w:fill="auto"/>
            <w:noWrap/>
            <w:vAlign w:val="center"/>
            <w:hideMark/>
          </w:tcPr>
          <w:p w14:paraId="0C48B18A"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27691</w:t>
            </w:r>
          </w:p>
        </w:tc>
        <w:tc>
          <w:tcPr>
            <w:tcW w:w="879" w:type="dxa"/>
            <w:tcBorders>
              <w:top w:val="nil"/>
              <w:left w:val="nil"/>
              <w:bottom w:val="single" w:sz="4" w:space="0" w:color="auto"/>
              <w:right w:val="single" w:sz="4" w:space="0" w:color="auto"/>
            </w:tcBorders>
            <w:shd w:val="clear" w:color="auto" w:fill="auto"/>
            <w:noWrap/>
            <w:vAlign w:val="center"/>
            <w:hideMark/>
          </w:tcPr>
          <w:p w14:paraId="5BCFBF2B"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900677732</w:t>
            </w:r>
          </w:p>
        </w:tc>
        <w:tc>
          <w:tcPr>
            <w:tcW w:w="3913" w:type="dxa"/>
            <w:tcBorders>
              <w:top w:val="nil"/>
              <w:left w:val="nil"/>
              <w:bottom w:val="single" w:sz="4" w:space="0" w:color="auto"/>
              <w:right w:val="single" w:sz="4" w:space="0" w:color="auto"/>
            </w:tcBorders>
            <w:shd w:val="clear" w:color="auto" w:fill="auto"/>
            <w:vAlign w:val="center"/>
            <w:hideMark/>
          </w:tcPr>
          <w:p w14:paraId="4BE5ABC3"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QI ENERGY SAS ESP</w:t>
            </w:r>
          </w:p>
        </w:tc>
        <w:tc>
          <w:tcPr>
            <w:tcW w:w="1602" w:type="dxa"/>
            <w:tcBorders>
              <w:top w:val="nil"/>
              <w:left w:val="nil"/>
              <w:bottom w:val="single" w:sz="4" w:space="0" w:color="auto"/>
              <w:right w:val="single" w:sz="4" w:space="0" w:color="auto"/>
            </w:tcBorders>
            <w:shd w:val="clear" w:color="auto" w:fill="auto"/>
            <w:noWrap/>
            <w:vAlign w:val="center"/>
            <w:hideMark/>
          </w:tcPr>
          <w:p w14:paraId="44FB3B32" w14:textId="5E7B1E10"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618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221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744 </w:t>
            </w:r>
          </w:p>
        </w:tc>
        <w:tc>
          <w:tcPr>
            <w:tcW w:w="1418" w:type="dxa"/>
            <w:tcBorders>
              <w:top w:val="nil"/>
              <w:left w:val="nil"/>
              <w:bottom w:val="single" w:sz="4" w:space="0" w:color="auto"/>
              <w:right w:val="single" w:sz="4" w:space="0" w:color="auto"/>
            </w:tcBorders>
            <w:shd w:val="clear" w:color="auto" w:fill="auto"/>
            <w:noWrap/>
            <w:vAlign w:val="center"/>
            <w:hideMark/>
          </w:tcPr>
          <w:p w14:paraId="751AC175" w14:textId="4A5EDBAD"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182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217 </w:t>
            </w:r>
          </w:p>
        </w:tc>
      </w:tr>
      <w:tr w:rsidR="009A21D7" w:rsidRPr="00374360" w14:paraId="6F495729"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B2AEDC0"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298</w:t>
            </w:r>
          </w:p>
        </w:tc>
        <w:tc>
          <w:tcPr>
            <w:tcW w:w="660" w:type="dxa"/>
            <w:tcBorders>
              <w:top w:val="nil"/>
              <w:left w:val="nil"/>
              <w:bottom w:val="single" w:sz="4" w:space="0" w:color="auto"/>
              <w:right w:val="single" w:sz="4" w:space="0" w:color="auto"/>
            </w:tcBorders>
            <w:shd w:val="clear" w:color="auto" w:fill="auto"/>
            <w:noWrap/>
            <w:vAlign w:val="center"/>
            <w:hideMark/>
          </w:tcPr>
          <w:p w14:paraId="28EFB79E"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25709</w:t>
            </w:r>
          </w:p>
        </w:tc>
        <w:tc>
          <w:tcPr>
            <w:tcW w:w="879" w:type="dxa"/>
            <w:tcBorders>
              <w:top w:val="nil"/>
              <w:left w:val="nil"/>
              <w:bottom w:val="single" w:sz="4" w:space="0" w:color="auto"/>
              <w:right w:val="single" w:sz="4" w:space="0" w:color="auto"/>
            </w:tcBorders>
            <w:shd w:val="clear" w:color="auto" w:fill="auto"/>
            <w:noWrap/>
            <w:vAlign w:val="center"/>
            <w:hideMark/>
          </w:tcPr>
          <w:p w14:paraId="0F63EC36"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900443684</w:t>
            </w:r>
          </w:p>
        </w:tc>
        <w:tc>
          <w:tcPr>
            <w:tcW w:w="3913" w:type="dxa"/>
            <w:tcBorders>
              <w:top w:val="nil"/>
              <w:left w:val="nil"/>
              <w:bottom w:val="single" w:sz="4" w:space="0" w:color="auto"/>
              <w:right w:val="single" w:sz="4" w:space="0" w:color="auto"/>
            </w:tcBorders>
            <w:shd w:val="clear" w:color="auto" w:fill="auto"/>
            <w:vAlign w:val="center"/>
            <w:hideMark/>
          </w:tcPr>
          <w:p w14:paraId="076995DC"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RAPIDGAS SAS ESP</w:t>
            </w:r>
          </w:p>
        </w:tc>
        <w:tc>
          <w:tcPr>
            <w:tcW w:w="1602" w:type="dxa"/>
            <w:tcBorders>
              <w:top w:val="nil"/>
              <w:left w:val="nil"/>
              <w:bottom w:val="single" w:sz="4" w:space="0" w:color="auto"/>
              <w:right w:val="single" w:sz="4" w:space="0" w:color="auto"/>
            </w:tcBorders>
            <w:shd w:val="clear" w:color="auto" w:fill="auto"/>
            <w:noWrap/>
            <w:vAlign w:val="center"/>
            <w:hideMark/>
          </w:tcPr>
          <w:p w14:paraId="78A6BBE9" w14:textId="166F61A0"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182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195</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388 </w:t>
            </w:r>
          </w:p>
        </w:tc>
        <w:tc>
          <w:tcPr>
            <w:tcW w:w="1418" w:type="dxa"/>
            <w:tcBorders>
              <w:top w:val="nil"/>
              <w:left w:val="nil"/>
              <w:bottom w:val="single" w:sz="4" w:space="0" w:color="auto"/>
              <w:right w:val="single" w:sz="4" w:space="0" w:color="auto"/>
            </w:tcBorders>
            <w:shd w:val="clear" w:color="auto" w:fill="auto"/>
            <w:noWrap/>
            <w:vAlign w:val="center"/>
            <w:hideMark/>
          </w:tcPr>
          <w:p w14:paraId="2F83D32E" w14:textId="4A425B01"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821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954 </w:t>
            </w:r>
          </w:p>
        </w:tc>
      </w:tr>
      <w:tr w:rsidR="009A21D7" w:rsidRPr="00374360" w14:paraId="4877B0EB"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BA1BCB9"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299</w:t>
            </w:r>
          </w:p>
        </w:tc>
        <w:tc>
          <w:tcPr>
            <w:tcW w:w="660" w:type="dxa"/>
            <w:tcBorders>
              <w:top w:val="nil"/>
              <w:left w:val="nil"/>
              <w:bottom w:val="single" w:sz="4" w:space="0" w:color="auto"/>
              <w:right w:val="single" w:sz="4" w:space="0" w:color="auto"/>
            </w:tcBorders>
            <w:shd w:val="clear" w:color="auto" w:fill="auto"/>
            <w:noWrap/>
            <w:vAlign w:val="center"/>
            <w:hideMark/>
          </w:tcPr>
          <w:p w14:paraId="36D1F6B9"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1634</w:t>
            </w:r>
          </w:p>
        </w:tc>
        <w:tc>
          <w:tcPr>
            <w:tcW w:w="879" w:type="dxa"/>
            <w:tcBorders>
              <w:top w:val="nil"/>
              <w:left w:val="nil"/>
              <w:bottom w:val="single" w:sz="4" w:space="0" w:color="auto"/>
              <w:right w:val="single" w:sz="4" w:space="0" w:color="auto"/>
            </w:tcBorders>
            <w:shd w:val="clear" w:color="auto" w:fill="auto"/>
            <w:noWrap/>
            <w:vAlign w:val="center"/>
            <w:hideMark/>
          </w:tcPr>
          <w:p w14:paraId="2FF2F83E"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860033633</w:t>
            </w:r>
          </w:p>
        </w:tc>
        <w:tc>
          <w:tcPr>
            <w:tcW w:w="3913" w:type="dxa"/>
            <w:tcBorders>
              <w:top w:val="nil"/>
              <w:left w:val="nil"/>
              <w:bottom w:val="single" w:sz="4" w:space="0" w:color="auto"/>
              <w:right w:val="single" w:sz="4" w:space="0" w:color="auto"/>
            </w:tcBorders>
            <w:shd w:val="clear" w:color="auto" w:fill="auto"/>
            <w:vAlign w:val="center"/>
            <w:hideMark/>
          </w:tcPr>
          <w:p w14:paraId="172A1E9E"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RAYOGAS S.A. ESP</w:t>
            </w:r>
          </w:p>
        </w:tc>
        <w:tc>
          <w:tcPr>
            <w:tcW w:w="1602" w:type="dxa"/>
            <w:tcBorders>
              <w:top w:val="nil"/>
              <w:left w:val="nil"/>
              <w:bottom w:val="single" w:sz="4" w:space="0" w:color="auto"/>
              <w:right w:val="single" w:sz="4" w:space="0" w:color="auto"/>
            </w:tcBorders>
            <w:shd w:val="clear" w:color="auto" w:fill="auto"/>
            <w:noWrap/>
            <w:vAlign w:val="center"/>
            <w:hideMark/>
          </w:tcPr>
          <w:p w14:paraId="45E560CD" w14:textId="0BD8FB33"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676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334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761 </w:t>
            </w:r>
          </w:p>
        </w:tc>
        <w:tc>
          <w:tcPr>
            <w:tcW w:w="1418" w:type="dxa"/>
            <w:tcBorders>
              <w:top w:val="nil"/>
              <w:left w:val="nil"/>
              <w:bottom w:val="single" w:sz="4" w:space="0" w:color="auto"/>
              <w:right w:val="single" w:sz="4" w:space="0" w:color="auto"/>
            </w:tcBorders>
            <w:shd w:val="clear" w:color="auto" w:fill="auto"/>
            <w:noWrap/>
            <w:vAlign w:val="center"/>
            <w:hideMark/>
          </w:tcPr>
          <w:p w14:paraId="0BBF644E" w14:textId="6A65DA74"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66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763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348 </w:t>
            </w:r>
          </w:p>
        </w:tc>
      </w:tr>
      <w:tr w:rsidR="009A21D7" w:rsidRPr="00374360" w14:paraId="7BDF0C48"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2CB0422"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300</w:t>
            </w:r>
          </w:p>
        </w:tc>
        <w:tc>
          <w:tcPr>
            <w:tcW w:w="660" w:type="dxa"/>
            <w:tcBorders>
              <w:top w:val="nil"/>
              <w:left w:val="nil"/>
              <w:bottom w:val="single" w:sz="4" w:space="0" w:color="auto"/>
              <w:right w:val="single" w:sz="4" w:space="0" w:color="auto"/>
            </w:tcBorders>
            <w:shd w:val="clear" w:color="auto" w:fill="auto"/>
            <w:noWrap/>
            <w:vAlign w:val="center"/>
            <w:hideMark/>
          </w:tcPr>
          <w:p w14:paraId="316A613F"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26992</w:t>
            </w:r>
          </w:p>
        </w:tc>
        <w:tc>
          <w:tcPr>
            <w:tcW w:w="879" w:type="dxa"/>
            <w:tcBorders>
              <w:top w:val="nil"/>
              <w:left w:val="nil"/>
              <w:bottom w:val="single" w:sz="4" w:space="0" w:color="auto"/>
              <w:right w:val="single" w:sz="4" w:space="0" w:color="auto"/>
            </w:tcBorders>
            <w:shd w:val="clear" w:color="auto" w:fill="auto"/>
            <w:noWrap/>
            <w:vAlign w:val="center"/>
            <w:hideMark/>
          </w:tcPr>
          <w:p w14:paraId="59218002"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900652188</w:t>
            </w:r>
          </w:p>
        </w:tc>
        <w:tc>
          <w:tcPr>
            <w:tcW w:w="3913" w:type="dxa"/>
            <w:tcBorders>
              <w:top w:val="nil"/>
              <w:left w:val="nil"/>
              <w:bottom w:val="single" w:sz="4" w:space="0" w:color="auto"/>
              <w:right w:val="single" w:sz="4" w:space="0" w:color="auto"/>
            </w:tcBorders>
            <w:shd w:val="clear" w:color="auto" w:fill="auto"/>
            <w:vAlign w:val="center"/>
            <w:hideMark/>
          </w:tcPr>
          <w:p w14:paraId="7538A98F"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REDEGAS DOMICILIARIO S. A.  ESP</w:t>
            </w:r>
          </w:p>
        </w:tc>
        <w:tc>
          <w:tcPr>
            <w:tcW w:w="1602" w:type="dxa"/>
            <w:tcBorders>
              <w:top w:val="nil"/>
              <w:left w:val="nil"/>
              <w:bottom w:val="single" w:sz="4" w:space="0" w:color="auto"/>
              <w:right w:val="single" w:sz="4" w:space="0" w:color="auto"/>
            </w:tcBorders>
            <w:shd w:val="clear" w:color="auto" w:fill="auto"/>
            <w:noWrap/>
            <w:vAlign w:val="center"/>
            <w:hideMark/>
          </w:tcPr>
          <w:p w14:paraId="19CDD52D" w14:textId="35D5081A"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430</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140</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330 </w:t>
            </w:r>
          </w:p>
        </w:tc>
        <w:tc>
          <w:tcPr>
            <w:tcW w:w="1418" w:type="dxa"/>
            <w:tcBorders>
              <w:top w:val="nil"/>
              <w:left w:val="nil"/>
              <w:bottom w:val="single" w:sz="4" w:space="0" w:color="auto"/>
              <w:right w:val="single" w:sz="4" w:space="0" w:color="auto"/>
            </w:tcBorders>
            <w:shd w:val="clear" w:color="auto" w:fill="auto"/>
            <w:noWrap/>
            <w:vAlign w:val="center"/>
            <w:hideMark/>
          </w:tcPr>
          <w:p w14:paraId="0877ED80" w14:textId="58D44A88"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301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403 </w:t>
            </w:r>
          </w:p>
        </w:tc>
      </w:tr>
      <w:tr w:rsidR="009A21D7" w:rsidRPr="00374360" w14:paraId="5D39360E"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6E71C9E"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301</w:t>
            </w:r>
          </w:p>
        </w:tc>
        <w:tc>
          <w:tcPr>
            <w:tcW w:w="660" w:type="dxa"/>
            <w:tcBorders>
              <w:top w:val="nil"/>
              <w:left w:val="nil"/>
              <w:bottom w:val="single" w:sz="4" w:space="0" w:color="auto"/>
              <w:right w:val="single" w:sz="4" w:space="0" w:color="auto"/>
            </w:tcBorders>
            <w:shd w:val="clear" w:color="auto" w:fill="auto"/>
            <w:noWrap/>
            <w:vAlign w:val="center"/>
            <w:hideMark/>
          </w:tcPr>
          <w:p w14:paraId="5B41B9FB"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36633</w:t>
            </w:r>
          </w:p>
        </w:tc>
        <w:tc>
          <w:tcPr>
            <w:tcW w:w="879" w:type="dxa"/>
            <w:tcBorders>
              <w:top w:val="nil"/>
              <w:left w:val="nil"/>
              <w:bottom w:val="single" w:sz="4" w:space="0" w:color="auto"/>
              <w:right w:val="single" w:sz="4" w:space="0" w:color="auto"/>
            </w:tcBorders>
            <w:shd w:val="clear" w:color="auto" w:fill="auto"/>
            <w:noWrap/>
            <w:vAlign w:val="center"/>
            <w:hideMark/>
          </w:tcPr>
          <w:p w14:paraId="0388B132"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901042814</w:t>
            </w:r>
          </w:p>
        </w:tc>
        <w:tc>
          <w:tcPr>
            <w:tcW w:w="3913" w:type="dxa"/>
            <w:tcBorders>
              <w:top w:val="nil"/>
              <w:left w:val="nil"/>
              <w:bottom w:val="single" w:sz="4" w:space="0" w:color="auto"/>
              <w:right w:val="single" w:sz="4" w:space="0" w:color="auto"/>
            </w:tcBorders>
            <w:shd w:val="clear" w:color="auto" w:fill="auto"/>
            <w:vAlign w:val="center"/>
            <w:hideMark/>
          </w:tcPr>
          <w:p w14:paraId="2E028AEE"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REDNOVA SAS  ESP</w:t>
            </w:r>
          </w:p>
        </w:tc>
        <w:tc>
          <w:tcPr>
            <w:tcW w:w="1602" w:type="dxa"/>
            <w:tcBorders>
              <w:top w:val="nil"/>
              <w:left w:val="nil"/>
              <w:bottom w:val="single" w:sz="4" w:space="0" w:color="auto"/>
              <w:right w:val="single" w:sz="4" w:space="0" w:color="auto"/>
            </w:tcBorders>
            <w:shd w:val="clear" w:color="auto" w:fill="auto"/>
            <w:noWrap/>
            <w:vAlign w:val="center"/>
            <w:hideMark/>
          </w:tcPr>
          <w:p w14:paraId="3298960B" w14:textId="7B1CB12D"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857</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040</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212 </w:t>
            </w:r>
          </w:p>
        </w:tc>
        <w:tc>
          <w:tcPr>
            <w:tcW w:w="1418" w:type="dxa"/>
            <w:tcBorders>
              <w:top w:val="nil"/>
              <w:left w:val="nil"/>
              <w:bottom w:val="single" w:sz="4" w:space="0" w:color="auto"/>
              <w:right w:val="single" w:sz="4" w:space="0" w:color="auto"/>
            </w:tcBorders>
            <w:shd w:val="clear" w:color="auto" w:fill="auto"/>
            <w:noWrap/>
            <w:vAlign w:val="center"/>
            <w:hideMark/>
          </w:tcPr>
          <w:p w14:paraId="22C0E5B6" w14:textId="1DC0480F"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570</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402 </w:t>
            </w:r>
          </w:p>
        </w:tc>
      </w:tr>
      <w:tr w:rsidR="009A21D7" w:rsidRPr="00374360" w14:paraId="31659BD9"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6DBA71A"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302</w:t>
            </w:r>
          </w:p>
        </w:tc>
        <w:tc>
          <w:tcPr>
            <w:tcW w:w="660" w:type="dxa"/>
            <w:tcBorders>
              <w:top w:val="nil"/>
              <w:left w:val="nil"/>
              <w:bottom w:val="single" w:sz="4" w:space="0" w:color="auto"/>
              <w:right w:val="single" w:sz="4" w:space="0" w:color="auto"/>
            </w:tcBorders>
            <w:shd w:val="clear" w:color="auto" w:fill="auto"/>
            <w:noWrap/>
            <w:vAlign w:val="center"/>
            <w:hideMark/>
          </w:tcPr>
          <w:p w14:paraId="63A67F7D"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21870</w:t>
            </w:r>
          </w:p>
        </w:tc>
        <w:tc>
          <w:tcPr>
            <w:tcW w:w="879" w:type="dxa"/>
            <w:tcBorders>
              <w:top w:val="nil"/>
              <w:left w:val="nil"/>
              <w:bottom w:val="single" w:sz="4" w:space="0" w:color="auto"/>
              <w:right w:val="single" w:sz="4" w:space="0" w:color="auto"/>
            </w:tcBorders>
            <w:shd w:val="clear" w:color="auto" w:fill="auto"/>
            <w:noWrap/>
            <w:vAlign w:val="center"/>
            <w:hideMark/>
          </w:tcPr>
          <w:p w14:paraId="0575BFBF"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900112515</w:t>
            </w:r>
          </w:p>
        </w:tc>
        <w:tc>
          <w:tcPr>
            <w:tcW w:w="3913" w:type="dxa"/>
            <w:tcBorders>
              <w:top w:val="nil"/>
              <w:left w:val="nil"/>
              <w:bottom w:val="single" w:sz="4" w:space="0" w:color="auto"/>
              <w:right w:val="single" w:sz="4" w:space="0" w:color="auto"/>
            </w:tcBorders>
            <w:shd w:val="clear" w:color="auto" w:fill="auto"/>
            <w:vAlign w:val="center"/>
            <w:hideMark/>
          </w:tcPr>
          <w:p w14:paraId="1149B3FE"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REFINERIA DE CARTAGENA S.A.</w:t>
            </w:r>
          </w:p>
        </w:tc>
        <w:tc>
          <w:tcPr>
            <w:tcW w:w="1602" w:type="dxa"/>
            <w:tcBorders>
              <w:top w:val="nil"/>
              <w:left w:val="nil"/>
              <w:bottom w:val="single" w:sz="4" w:space="0" w:color="auto"/>
              <w:right w:val="single" w:sz="4" w:space="0" w:color="auto"/>
            </w:tcBorders>
            <w:shd w:val="clear" w:color="auto" w:fill="auto"/>
            <w:noWrap/>
            <w:vAlign w:val="center"/>
            <w:hideMark/>
          </w:tcPr>
          <w:p w14:paraId="538AD430" w14:textId="1C95186E"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9</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766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736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255 </w:t>
            </w:r>
          </w:p>
        </w:tc>
        <w:tc>
          <w:tcPr>
            <w:tcW w:w="1418" w:type="dxa"/>
            <w:tcBorders>
              <w:top w:val="nil"/>
              <w:left w:val="nil"/>
              <w:bottom w:val="single" w:sz="4" w:space="0" w:color="auto"/>
              <w:right w:val="single" w:sz="4" w:space="0" w:color="auto"/>
            </w:tcBorders>
            <w:shd w:val="clear" w:color="auto" w:fill="auto"/>
            <w:noWrap/>
            <w:vAlign w:val="center"/>
            <w:hideMark/>
          </w:tcPr>
          <w:p w14:paraId="0FFB2921" w14:textId="2EEB7E5B"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97</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667</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363 </w:t>
            </w:r>
          </w:p>
        </w:tc>
      </w:tr>
      <w:tr w:rsidR="009A21D7" w:rsidRPr="00374360" w14:paraId="0DB40F55"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218AAE7"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303</w:t>
            </w:r>
          </w:p>
        </w:tc>
        <w:tc>
          <w:tcPr>
            <w:tcW w:w="660" w:type="dxa"/>
            <w:tcBorders>
              <w:top w:val="nil"/>
              <w:left w:val="nil"/>
              <w:bottom w:val="single" w:sz="4" w:space="0" w:color="auto"/>
              <w:right w:val="single" w:sz="4" w:space="0" w:color="auto"/>
            </w:tcBorders>
            <w:shd w:val="clear" w:color="auto" w:fill="auto"/>
            <w:noWrap/>
            <w:vAlign w:val="center"/>
            <w:hideMark/>
          </w:tcPr>
          <w:p w14:paraId="276115F1"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26641</w:t>
            </w:r>
          </w:p>
        </w:tc>
        <w:tc>
          <w:tcPr>
            <w:tcW w:w="879" w:type="dxa"/>
            <w:tcBorders>
              <w:top w:val="nil"/>
              <w:left w:val="nil"/>
              <w:bottom w:val="single" w:sz="4" w:space="0" w:color="auto"/>
              <w:right w:val="single" w:sz="4" w:space="0" w:color="auto"/>
            </w:tcBorders>
            <w:shd w:val="clear" w:color="auto" w:fill="auto"/>
            <w:noWrap/>
            <w:vAlign w:val="center"/>
            <w:hideMark/>
          </w:tcPr>
          <w:p w14:paraId="529396F7"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900589503</w:t>
            </w:r>
          </w:p>
        </w:tc>
        <w:tc>
          <w:tcPr>
            <w:tcW w:w="3913" w:type="dxa"/>
            <w:tcBorders>
              <w:top w:val="nil"/>
              <w:left w:val="nil"/>
              <w:bottom w:val="single" w:sz="4" w:space="0" w:color="auto"/>
              <w:right w:val="single" w:sz="4" w:space="0" w:color="auto"/>
            </w:tcBorders>
            <w:shd w:val="clear" w:color="auto" w:fill="auto"/>
            <w:vAlign w:val="center"/>
            <w:hideMark/>
          </w:tcPr>
          <w:p w14:paraId="03136876"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RENOVATIO TRADING AMERICAS SAS ESP</w:t>
            </w:r>
          </w:p>
        </w:tc>
        <w:tc>
          <w:tcPr>
            <w:tcW w:w="1602" w:type="dxa"/>
            <w:tcBorders>
              <w:top w:val="nil"/>
              <w:left w:val="nil"/>
              <w:bottom w:val="single" w:sz="4" w:space="0" w:color="auto"/>
              <w:right w:val="single" w:sz="4" w:space="0" w:color="auto"/>
            </w:tcBorders>
            <w:shd w:val="clear" w:color="auto" w:fill="auto"/>
            <w:noWrap/>
            <w:vAlign w:val="center"/>
            <w:hideMark/>
          </w:tcPr>
          <w:p w14:paraId="1A9B2B78" w14:textId="1DFA57AA"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364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616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187 </w:t>
            </w:r>
          </w:p>
        </w:tc>
        <w:tc>
          <w:tcPr>
            <w:tcW w:w="1418" w:type="dxa"/>
            <w:tcBorders>
              <w:top w:val="nil"/>
              <w:left w:val="nil"/>
              <w:bottom w:val="single" w:sz="4" w:space="0" w:color="auto"/>
              <w:right w:val="single" w:sz="4" w:space="0" w:color="auto"/>
            </w:tcBorders>
            <w:shd w:val="clear" w:color="auto" w:fill="auto"/>
            <w:noWrap/>
            <w:vAlign w:val="center"/>
            <w:hideMark/>
          </w:tcPr>
          <w:p w14:paraId="4DDF61B4" w14:textId="61E6349B"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23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646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162 </w:t>
            </w:r>
          </w:p>
        </w:tc>
      </w:tr>
      <w:tr w:rsidR="009A21D7" w:rsidRPr="00374360" w14:paraId="167B9C2C"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FBCFAA8"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304</w:t>
            </w:r>
          </w:p>
        </w:tc>
        <w:tc>
          <w:tcPr>
            <w:tcW w:w="660" w:type="dxa"/>
            <w:tcBorders>
              <w:top w:val="nil"/>
              <w:left w:val="nil"/>
              <w:bottom w:val="single" w:sz="4" w:space="0" w:color="auto"/>
              <w:right w:val="single" w:sz="4" w:space="0" w:color="auto"/>
            </w:tcBorders>
            <w:shd w:val="clear" w:color="auto" w:fill="auto"/>
            <w:noWrap/>
            <w:vAlign w:val="center"/>
            <w:hideMark/>
          </w:tcPr>
          <w:p w14:paraId="1FE8E383"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27631</w:t>
            </w:r>
          </w:p>
        </w:tc>
        <w:tc>
          <w:tcPr>
            <w:tcW w:w="879" w:type="dxa"/>
            <w:tcBorders>
              <w:top w:val="nil"/>
              <w:left w:val="nil"/>
              <w:bottom w:val="single" w:sz="4" w:space="0" w:color="auto"/>
              <w:right w:val="single" w:sz="4" w:space="0" w:color="auto"/>
            </w:tcBorders>
            <w:shd w:val="clear" w:color="auto" w:fill="auto"/>
            <w:noWrap/>
            <w:vAlign w:val="center"/>
            <w:hideMark/>
          </w:tcPr>
          <w:p w14:paraId="446CE252"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900652334</w:t>
            </w:r>
          </w:p>
        </w:tc>
        <w:tc>
          <w:tcPr>
            <w:tcW w:w="3913" w:type="dxa"/>
            <w:tcBorders>
              <w:top w:val="nil"/>
              <w:left w:val="nil"/>
              <w:bottom w:val="single" w:sz="4" w:space="0" w:color="auto"/>
              <w:right w:val="single" w:sz="4" w:space="0" w:color="auto"/>
            </w:tcBorders>
            <w:shd w:val="clear" w:color="auto" w:fill="auto"/>
            <w:vAlign w:val="center"/>
            <w:hideMark/>
          </w:tcPr>
          <w:p w14:paraId="20333371"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RIOPAILA ENERGÍA SAS ESP</w:t>
            </w:r>
          </w:p>
        </w:tc>
        <w:tc>
          <w:tcPr>
            <w:tcW w:w="1602" w:type="dxa"/>
            <w:tcBorders>
              <w:top w:val="nil"/>
              <w:left w:val="nil"/>
              <w:bottom w:val="single" w:sz="4" w:space="0" w:color="auto"/>
              <w:right w:val="single" w:sz="4" w:space="0" w:color="auto"/>
            </w:tcBorders>
            <w:shd w:val="clear" w:color="auto" w:fill="auto"/>
            <w:noWrap/>
            <w:vAlign w:val="center"/>
            <w:hideMark/>
          </w:tcPr>
          <w:p w14:paraId="67492CBF" w14:textId="5697B57A"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64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771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208 </w:t>
            </w:r>
          </w:p>
        </w:tc>
        <w:tc>
          <w:tcPr>
            <w:tcW w:w="1418" w:type="dxa"/>
            <w:tcBorders>
              <w:top w:val="nil"/>
              <w:left w:val="nil"/>
              <w:bottom w:val="single" w:sz="4" w:space="0" w:color="auto"/>
              <w:right w:val="single" w:sz="4" w:space="0" w:color="auto"/>
            </w:tcBorders>
            <w:shd w:val="clear" w:color="auto" w:fill="auto"/>
            <w:noWrap/>
            <w:vAlign w:val="center"/>
            <w:hideMark/>
          </w:tcPr>
          <w:p w14:paraId="7D468C26" w14:textId="1519E795"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647</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712 </w:t>
            </w:r>
          </w:p>
        </w:tc>
      </w:tr>
      <w:tr w:rsidR="009A21D7" w:rsidRPr="00374360" w14:paraId="10781C0A"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F22FBF5"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305</w:t>
            </w:r>
          </w:p>
        </w:tc>
        <w:tc>
          <w:tcPr>
            <w:tcW w:w="660" w:type="dxa"/>
            <w:tcBorders>
              <w:top w:val="nil"/>
              <w:left w:val="nil"/>
              <w:bottom w:val="single" w:sz="4" w:space="0" w:color="auto"/>
              <w:right w:val="single" w:sz="4" w:space="0" w:color="auto"/>
            </w:tcBorders>
            <w:shd w:val="clear" w:color="auto" w:fill="auto"/>
            <w:noWrap/>
            <w:vAlign w:val="center"/>
            <w:hideMark/>
          </w:tcPr>
          <w:p w14:paraId="1C28B3C8"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26192</w:t>
            </w:r>
          </w:p>
        </w:tc>
        <w:tc>
          <w:tcPr>
            <w:tcW w:w="879" w:type="dxa"/>
            <w:tcBorders>
              <w:top w:val="nil"/>
              <w:left w:val="nil"/>
              <w:bottom w:val="single" w:sz="4" w:space="0" w:color="auto"/>
              <w:right w:val="single" w:sz="4" w:space="0" w:color="auto"/>
            </w:tcBorders>
            <w:shd w:val="clear" w:color="auto" w:fill="auto"/>
            <w:noWrap/>
            <w:vAlign w:val="center"/>
            <w:hideMark/>
          </w:tcPr>
          <w:p w14:paraId="6085C7F6"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900462761</w:t>
            </w:r>
          </w:p>
        </w:tc>
        <w:tc>
          <w:tcPr>
            <w:tcW w:w="3913" w:type="dxa"/>
            <w:tcBorders>
              <w:top w:val="nil"/>
              <w:left w:val="nil"/>
              <w:bottom w:val="single" w:sz="4" w:space="0" w:color="auto"/>
              <w:right w:val="single" w:sz="4" w:space="0" w:color="auto"/>
            </w:tcBorders>
            <w:shd w:val="clear" w:color="auto" w:fill="auto"/>
            <w:vAlign w:val="center"/>
            <w:hideMark/>
          </w:tcPr>
          <w:p w14:paraId="07550D13"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RISARALDA ENERGIA S.A.S. E.S.P.</w:t>
            </w:r>
          </w:p>
        </w:tc>
        <w:tc>
          <w:tcPr>
            <w:tcW w:w="1602" w:type="dxa"/>
            <w:tcBorders>
              <w:top w:val="nil"/>
              <w:left w:val="nil"/>
              <w:bottom w:val="single" w:sz="4" w:space="0" w:color="auto"/>
              <w:right w:val="single" w:sz="4" w:space="0" w:color="auto"/>
            </w:tcBorders>
            <w:shd w:val="clear" w:color="auto" w:fill="auto"/>
            <w:noWrap/>
            <w:vAlign w:val="center"/>
            <w:hideMark/>
          </w:tcPr>
          <w:p w14:paraId="64E34A2C" w14:textId="6E8F9399"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262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858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735 </w:t>
            </w:r>
          </w:p>
        </w:tc>
        <w:tc>
          <w:tcPr>
            <w:tcW w:w="1418" w:type="dxa"/>
            <w:tcBorders>
              <w:top w:val="nil"/>
              <w:left w:val="nil"/>
              <w:bottom w:val="single" w:sz="4" w:space="0" w:color="auto"/>
              <w:right w:val="single" w:sz="4" w:space="0" w:color="auto"/>
            </w:tcBorders>
            <w:shd w:val="clear" w:color="auto" w:fill="auto"/>
            <w:noWrap/>
            <w:vAlign w:val="center"/>
            <w:hideMark/>
          </w:tcPr>
          <w:p w14:paraId="7EA163A1" w14:textId="0545F11D"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628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587 </w:t>
            </w:r>
          </w:p>
        </w:tc>
      </w:tr>
      <w:tr w:rsidR="009A21D7" w:rsidRPr="00374360" w14:paraId="4DC87F67"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AD86B8B"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306</w:t>
            </w:r>
          </w:p>
        </w:tc>
        <w:tc>
          <w:tcPr>
            <w:tcW w:w="660" w:type="dxa"/>
            <w:tcBorders>
              <w:top w:val="nil"/>
              <w:left w:val="nil"/>
              <w:bottom w:val="single" w:sz="4" w:space="0" w:color="auto"/>
              <w:right w:val="single" w:sz="4" w:space="0" w:color="auto"/>
            </w:tcBorders>
            <w:shd w:val="clear" w:color="auto" w:fill="auto"/>
            <w:noWrap/>
            <w:vAlign w:val="center"/>
            <w:hideMark/>
          </w:tcPr>
          <w:p w14:paraId="0BA2B161"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22167</w:t>
            </w:r>
          </w:p>
        </w:tc>
        <w:tc>
          <w:tcPr>
            <w:tcW w:w="879" w:type="dxa"/>
            <w:tcBorders>
              <w:top w:val="nil"/>
              <w:left w:val="nil"/>
              <w:bottom w:val="single" w:sz="4" w:space="0" w:color="auto"/>
              <w:right w:val="single" w:sz="4" w:space="0" w:color="auto"/>
            </w:tcBorders>
            <w:shd w:val="clear" w:color="auto" w:fill="auto"/>
            <w:noWrap/>
            <w:vAlign w:val="center"/>
            <w:hideMark/>
          </w:tcPr>
          <w:p w14:paraId="7B7B8FB4"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900167770</w:t>
            </w:r>
          </w:p>
        </w:tc>
        <w:tc>
          <w:tcPr>
            <w:tcW w:w="3913" w:type="dxa"/>
            <w:tcBorders>
              <w:top w:val="nil"/>
              <w:left w:val="nil"/>
              <w:bottom w:val="single" w:sz="4" w:space="0" w:color="auto"/>
              <w:right w:val="single" w:sz="4" w:space="0" w:color="auto"/>
            </w:tcBorders>
            <w:shd w:val="clear" w:color="auto" w:fill="auto"/>
            <w:vAlign w:val="center"/>
            <w:hideMark/>
          </w:tcPr>
          <w:p w14:paraId="4E44F8CE"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ROSCOGAS S.A. E.S.P</w:t>
            </w:r>
          </w:p>
        </w:tc>
        <w:tc>
          <w:tcPr>
            <w:tcW w:w="1602" w:type="dxa"/>
            <w:tcBorders>
              <w:top w:val="nil"/>
              <w:left w:val="nil"/>
              <w:bottom w:val="single" w:sz="4" w:space="0" w:color="auto"/>
              <w:right w:val="single" w:sz="4" w:space="0" w:color="auto"/>
            </w:tcBorders>
            <w:shd w:val="clear" w:color="auto" w:fill="auto"/>
            <w:noWrap/>
            <w:vAlign w:val="center"/>
            <w:hideMark/>
          </w:tcPr>
          <w:p w14:paraId="4709DFF6" w14:textId="6B9E421D"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43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447</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738 </w:t>
            </w:r>
          </w:p>
        </w:tc>
        <w:tc>
          <w:tcPr>
            <w:tcW w:w="1418" w:type="dxa"/>
            <w:tcBorders>
              <w:top w:val="nil"/>
              <w:left w:val="nil"/>
              <w:bottom w:val="single" w:sz="4" w:space="0" w:color="auto"/>
              <w:right w:val="single" w:sz="4" w:space="0" w:color="auto"/>
            </w:tcBorders>
            <w:shd w:val="clear" w:color="auto" w:fill="auto"/>
            <w:noWrap/>
            <w:vAlign w:val="center"/>
            <w:hideMark/>
          </w:tcPr>
          <w:p w14:paraId="60E1B423" w14:textId="148DF059"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434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477 </w:t>
            </w:r>
          </w:p>
        </w:tc>
      </w:tr>
      <w:tr w:rsidR="009A21D7" w:rsidRPr="00374360" w14:paraId="49C44247"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FCC6058"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307</w:t>
            </w:r>
          </w:p>
        </w:tc>
        <w:tc>
          <w:tcPr>
            <w:tcW w:w="660" w:type="dxa"/>
            <w:tcBorders>
              <w:top w:val="nil"/>
              <w:left w:val="nil"/>
              <w:bottom w:val="single" w:sz="4" w:space="0" w:color="auto"/>
              <w:right w:val="single" w:sz="4" w:space="0" w:color="auto"/>
            </w:tcBorders>
            <w:shd w:val="clear" w:color="auto" w:fill="auto"/>
            <w:noWrap/>
            <w:vAlign w:val="center"/>
            <w:hideMark/>
          </w:tcPr>
          <w:p w14:paraId="7E98E635"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1737</w:t>
            </w:r>
          </w:p>
        </w:tc>
        <w:tc>
          <w:tcPr>
            <w:tcW w:w="879" w:type="dxa"/>
            <w:tcBorders>
              <w:top w:val="nil"/>
              <w:left w:val="nil"/>
              <w:bottom w:val="single" w:sz="4" w:space="0" w:color="auto"/>
              <w:right w:val="single" w:sz="4" w:space="0" w:color="auto"/>
            </w:tcBorders>
            <w:shd w:val="clear" w:color="auto" w:fill="auto"/>
            <w:noWrap/>
            <w:vAlign w:val="center"/>
            <w:hideMark/>
          </w:tcPr>
          <w:p w14:paraId="4AC48214"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804001062</w:t>
            </w:r>
          </w:p>
        </w:tc>
        <w:tc>
          <w:tcPr>
            <w:tcW w:w="3913" w:type="dxa"/>
            <w:tcBorders>
              <w:top w:val="nil"/>
              <w:left w:val="nil"/>
              <w:bottom w:val="single" w:sz="4" w:space="0" w:color="auto"/>
              <w:right w:val="single" w:sz="4" w:space="0" w:color="auto"/>
            </w:tcBorders>
            <w:shd w:val="clear" w:color="auto" w:fill="auto"/>
            <w:vAlign w:val="center"/>
            <w:hideMark/>
          </w:tcPr>
          <w:p w14:paraId="6FBF18CC"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RUITOQUE S.A. E.S.P.</w:t>
            </w:r>
          </w:p>
        </w:tc>
        <w:tc>
          <w:tcPr>
            <w:tcW w:w="1602" w:type="dxa"/>
            <w:tcBorders>
              <w:top w:val="nil"/>
              <w:left w:val="nil"/>
              <w:bottom w:val="single" w:sz="4" w:space="0" w:color="auto"/>
              <w:right w:val="single" w:sz="4" w:space="0" w:color="auto"/>
            </w:tcBorders>
            <w:shd w:val="clear" w:color="auto" w:fill="auto"/>
            <w:noWrap/>
            <w:vAlign w:val="center"/>
            <w:hideMark/>
          </w:tcPr>
          <w:p w14:paraId="11273AA8" w14:textId="1B5BA349"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489</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301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835 </w:t>
            </w:r>
          </w:p>
        </w:tc>
        <w:tc>
          <w:tcPr>
            <w:tcW w:w="1418" w:type="dxa"/>
            <w:tcBorders>
              <w:top w:val="nil"/>
              <w:left w:val="nil"/>
              <w:bottom w:val="single" w:sz="4" w:space="0" w:color="auto"/>
              <w:right w:val="single" w:sz="4" w:space="0" w:color="auto"/>
            </w:tcBorders>
            <w:shd w:val="clear" w:color="auto" w:fill="auto"/>
            <w:noWrap/>
            <w:vAlign w:val="center"/>
            <w:hideMark/>
          </w:tcPr>
          <w:p w14:paraId="2901EBEA" w14:textId="2EB163F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893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018 </w:t>
            </w:r>
          </w:p>
        </w:tc>
      </w:tr>
      <w:tr w:rsidR="009A21D7" w:rsidRPr="00374360" w14:paraId="0D714A2E"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92F8892"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308</w:t>
            </w:r>
          </w:p>
        </w:tc>
        <w:tc>
          <w:tcPr>
            <w:tcW w:w="660" w:type="dxa"/>
            <w:tcBorders>
              <w:top w:val="nil"/>
              <w:left w:val="nil"/>
              <w:bottom w:val="single" w:sz="4" w:space="0" w:color="auto"/>
              <w:right w:val="single" w:sz="4" w:space="0" w:color="auto"/>
            </w:tcBorders>
            <w:shd w:val="clear" w:color="auto" w:fill="auto"/>
            <w:noWrap/>
            <w:vAlign w:val="center"/>
            <w:hideMark/>
          </w:tcPr>
          <w:p w14:paraId="7F96F64B"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21435</w:t>
            </w:r>
          </w:p>
        </w:tc>
        <w:tc>
          <w:tcPr>
            <w:tcW w:w="879" w:type="dxa"/>
            <w:tcBorders>
              <w:top w:val="nil"/>
              <w:left w:val="nil"/>
              <w:bottom w:val="single" w:sz="4" w:space="0" w:color="auto"/>
              <w:right w:val="single" w:sz="4" w:space="0" w:color="auto"/>
            </w:tcBorders>
            <w:shd w:val="clear" w:color="auto" w:fill="auto"/>
            <w:noWrap/>
            <w:vAlign w:val="center"/>
            <w:hideMark/>
          </w:tcPr>
          <w:p w14:paraId="5D73905C"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813009626</w:t>
            </w:r>
          </w:p>
        </w:tc>
        <w:tc>
          <w:tcPr>
            <w:tcW w:w="3913" w:type="dxa"/>
            <w:tcBorders>
              <w:top w:val="nil"/>
              <w:left w:val="nil"/>
              <w:bottom w:val="single" w:sz="4" w:space="0" w:color="auto"/>
              <w:right w:val="single" w:sz="4" w:space="0" w:color="auto"/>
            </w:tcBorders>
            <w:shd w:val="clear" w:color="auto" w:fill="auto"/>
            <w:vAlign w:val="center"/>
            <w:hideMark/>
          </w:tcPr>
          <w:p w14:paraId="3575EFAA"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SERVICIOS PUBLICOS Y GAS S.A E.S.P.</w:t>
            </w:r>
          </w:p>
        </w:tc>
        <w:tc>
          <w:tcPr>
            <w:tcW w:w="1602" w:type="dxa"/>
            <w:tcBorders>
              <w:top w:val="nil"/>
              <w:left w:val="nil"/>
              <w:bottom w:val="single" w:sz="4" w:space="0" w:color="auto"/>
              <w:right w:val="single" w:sz="4" w:space="0" w:color="auto"/>
            </w:tcBorders>
            <w:shd w:val="clear" w:color="auto" w:fill="auto"/>
            <w:noWrap/>
            <w:vAlign w:val="center"/>
            <w:hideMark/>
          </w:tcPr>
          <w:p w14:paraId="08782939" w14:textId="6079FE8F"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145</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519</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727 </w:t>
            </w:r>
          </w:p>
        </w:tc>
        <w:tc>
          <w:tcPr>
            <w:tcW w:w="1418" w:type="dxa"/>
            <w:tcBorders>
              <w:top w:val="nil"/>
              <w:left w:val="nil"/>
              <w:bottom w:val="single" w:sz="4" w:space="0" w:color="auto"/>
              <w:right w:val="single" w:sz="4" w:space="0" w:color="auto"/>
            </w:tcBorders>
            <w:shd w:val="clear" w:color="auto" w:fill="auto"/>
            <w:noWrap/>
            <w:vAlign w:val="center"/>
            <w:hideMark/>
          </w:tcPr>
          <w:p w14:paraId="04D228BB" w14:textId="31A81BFF"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455</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197 </w:t>
            </w:r>
          </w:p>
        </w:tc>
      </w:tr>
      <w:tr w:rsidR="009A21D7" w:rsidRPr="00374360" w14:paraId="3B16D9E5"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E377BAF"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309</w:t>
            </w:r>
          </w:p>
        </w:tc>
        <w:tc>
          <w:tcPr>
            <w:tcW w:w="660" w:type="dxa"/>
            <w:tcBorders>
              <w:top w:val="nil"/>
              <w:left w:val="nil"/>
              <w:bottom w:val="single" w:sz="4" w:space="0" w:color="auto"/>
              <w:right w:val="single" w:sz="4" w:space="0" w:color="auto"/>
            </w:tcBorders>
            <w:shd w:val="clear" w:color="auto" w:fill="auto"/>
            <w:noWrap/>
            <w:vAlign w:val="center"/>
            <w:hideMark/>
          </w:tcPr>
          <w:p w14:paraId="4190D286"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26618</w:t>
            </w:r>
          </w:p>
        </w:tc>
        <w:tc>
          <w:tcPr>
            <w:tcW w:w="879" w:type="dxa"/>
            <w:tcBorders>
              <w:top w:val="nil"/>
              <w:left w:val="nil"/>
              <w:bottom w:val="single" w:sz="4" w:space="0" w:color="auto"/>
              <w:right w:val="single" w:sz="4" w:space="0" w:color="auto"/>
            </w:tcBorders>
            <w:shd w:val="clear" w:color="auto" w:fill="auto"/>
            <w:noWrap/>
            <w:vAlign w:val="center"/>
            <w:hideMark/>
          </w:tcPr>
          <w:p w14:paraId="6BE9325F"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900108018</w:t>
            </w:r>
          </w:p>
        </w:tc>
        <w:tc>
          <w:tcPr>
            <w:tcW w:w="3913" w:type="dxa"/>
            <w:tcBorders>
              <w:top w:val="nil"/>
              <w:left w:val="nil"/>
              <w:bottom w:val="single" w:sz="4" w:space="0" w:color="auto"/>
              <w:right w:val="single" w:sz="4" w:space="0" w:color="auto"/>
            </w:tcBorders>
            <w:shd w:val="clear" w:color="auto" w:fill="auto"/>
            <w:vAlign w:val="center"/>
            <w:hideMark/>
          </w:tcPr>
          <w:p w14:paraId="6C3E6297"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SHONA ENERGY COLOMBIA LIMITED</w:t>
            </w:r>
          </w:p>
        </w:tc>
        <w:tc>
          <w:tcPr>
            <w:tcW w:w="1602" w:type="dxa"/>
            <w:tcBorders>
              <w:top w:val="nil"/>
              <w:left w:val="nil"/>
              <w:bottom w:val="single" w:sz="4" w:space="0" w:color="auto"/>
              <w:right w:val="single" w:sz="4" w:space="0" w:color="auto"/>
            </w:tcBorders>
            <w:shd w:val="clear" w:color="auto" w:fill="auto"/>
            <w:noWrap/>
            <w:vAlign w:val="center"/>
            <w:hideMark/>
          </w:tcPr>
          <w:p w14:paraId="30593344" w14:textId="0A05BAB9"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17</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268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421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751 </w:t>
            </w:r>
          </w:p>
        </w:tc>
        <w:tc>
          <w:tcPr>
            <w:tcW w:w="1418" w:type="dxa"/>
            <w:tcBorders>
              <w:top w:val="nil"/>
              <w:left w:val="nil"/>
              <w:bottom w:val="single" w:sz="4" w:space="0" w:color="auto"/>
              <w:right w:val="single" w:sz="4" w:space="0" w:color="auto"/>
            </w:tcBorders>
            <w:shd w:val="clear" w:color="auto" w:fill="auto"/>
            <w:noWrap/>
            <w:vAlign w:val="center"/>
            <w:hideMark/>
          </w:tcPr>
          <w:p w14:paraId="69108DA5" w14:textId="6DBAFC68"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172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684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218 </w:t>
            </w:r>
          </w:p>
        </w:tc>
      </w:tr>
      <w:tr w:rsidR="009A21D7" w:rsidRPr="00374360" w14:paraId="77B7E75A"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6B1EFB1"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310</w:t>
            </w:r>
          </w:p>
        </w:tc>
        <w:tc>
          <w:tcPr>
            <w:tcW w:w="660" w:type="dxa"/>
            <w:tcBorders>
              <w:top w:val="nil"/>
              <w:left w:val="nil"/>
              <w:bottom w:val="single" w:sz="4" w:space="0" w:color="auto"/>
              <w:right w:val="single" w:sz="4" w:space="0" w:color="auto"/>
            </w:tcBorders>
            <w:shd w:val="clear" w:color="auto" w:fill="auto"/>
            <w:noWrap/>
            <w:vAlign w:val="center"/>
            <w:hideMark/>
          </w:tcPr>
          <w:p w14:paraId="234560C6"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36775</w:t>
            </w:r>
          </w:p>
        </w:tc>
        <w:tc>
          <w:tcPr>
            <w:tcW w:w="879" w:type="dxa"/>
            <w:tcBorders>
              <w:top w:val="nil"/>
              <w:left w:val="nil"/>
              <w:bottom w:val="single" w:sz="4" w:space="0" w:color="auto"/>
              <w:right w:val="single" w:sz="4" w:space="0" w:color="auto"/>
            </w:tcBorders>
            <w:shd w:val="clear" w:color="auto" w:fill="auto"/>
            <w:noWrap/>
            <w:vAlign w:val="center"/>
            <w:hideMark/>
          </w:tcPr>
          <w:p w14:paraId="379E4EFE"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901008978</w:t>
            </w:r>
          </w:p>
        </w:tc>
        <w:tc>
          <w:tcPr>
            <w:tcW w:w="3913" w:type="dxa"/>
            <w:tcBorders>
              <w:top w:val="nil"/>
              <w:left w:val="nil"/>
              <w:bottom w:val="single" w:sz="4" w:space="0" w:color="auto"/>
              <w:right w:val="single" w:sz="4" w:space="0" w:color="auto"/>
            </w:tcBorders>
            <w:shd w:val="clear" w:color="auto" w:fill="auto"/>
            <w:vAlign w:val="center"/>
            <w:hideMark/>
          </w:tcPr>
          <w:p w14:paraId="4F492F8D"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SIMER COLOMBIA SAS ESP</w:t>
            </w:r>
          </w:p>
        </w:tc>
        <w:tc>
          <w:tcPr>
            <w:tcW w:w="1602" w:type="dxa"/>
            <w:tcBorders>
              <w:top w:val="nil"/>
              <w:left w:val="nil"/>
              <w:bottom w:val="single" w:sz="4" w:space="0" w:color="auto"/>
              <w:right w:val="single" w:sz="4" w:space="0" w:color="auto"/>
            </w:tcBorders>
            <w:shd w:val="clear" w:color="auto" w:fill="auto"/>
            <w:noWrap/>
            <w:vAlign w:val="center"/>
            <w:hideMark/>
          </w:tcPr>
          <w:p w14:paraId="45B226CA" w14:textId="57A60BFE"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751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207</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575 </w:t>
            </w:r>
          </w:p>
        </w:tc>
        <w:tc>
          <w:tcPr>
            <w:tcW w:w="1418" w:type="dxa"/>
            <w:tcBorders>
              <w:top w:val="nil"/>
              <w:left w:val="nil"/>
              <w:bottom w:val="single" w:sz="4" w:space="0" w:color="auto"/>
              <w:right w:val="single" w:sz="4" w:space="0" w:color="auto"/>
            </w:tcBorders>
            <w:shd w:val="clear" w:color="auto" w:fill="auto"/>
            <w:noWrap/>
            <w:vAlign w:val="center"/>
            <w:hideMark/>
          </w:tcPr>
          <w:p w14:paraId="5E86E2CE" w14:textId="5AE8FBB1"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7</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512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076 </w:t>
            </w:r>
          </w:p>
        </w:tc>
      </w:tr>
      <w:tr w:rsidR="009A21D7" w:rsidRPr="00374360" w14:paraId="75D36D97"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53364D3"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311</w:t>
            </w:r>
          </w:p>
        </w:tc>
        <w:tc>
          <w:tcPr>
            <w:tcW w:w="660" w:type="dxa"/>
            <w:tcBorders>
              <w:top w:val="nil"/>
              <w:left w:val="nil"/>
              <w:bottom w:val="single" w:sz="4" w:space="0" w:color="auto"/>
              <w:right w:val="single" w:sz="4" w:space="0" w:color="auto"/>
            </w:tcBorders>
            <w:shd w:val="clear" w:color="auto" w:fill="auto"/>
            <w:noWrap/>
            <w:vAlign w:val="center"/>
            <w:hideMark/>
          </w:tcPr>
          <w:p w14:paraId="7FAFD9AD"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32773</w:t>
            </w:r>
          </w:p>
        </w:tc>
        <w:tc>
          <w:tcPr>
            <w:tcW w:w="879" w:type="dxa"/>
            <w:tcBorders>
              <w:top w:val="nil"/>
              <w:left w:val="nil"/>
              <w:bottom w:val="single" w:sz="4" w:space="0" w:color="auto"/>
              <w:right w:val="single" w:sz="4" w:space="0" w:color="auto"/>
            </w:tcBorders>
            <w:shd w:val="clear" w:color="auto" w:fill="auto"/>
            <w:noWrap/>
            <w:vAlign w:val="center"/>
            <w:hideMark/>
          </w:tcPr>
          <w:p w14:paraId="183EB8B0"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900949673</w:t>
            </w:r>
          </w:p>
        </w:tc>
        <w:tc>
          <w:tcPr>
            <w:tcW w:w="3913" w:type="dxa"/>
            <w:tcBorders>
              <w:top w:val="nil"/>
              <w:left w:val="nil"/>
              <w:bottom w:val="single" w:sz="4" w:space="0" w:color="auto"/>
              <w:right w:val="single" w:sz="4" w:space="0" w:color="auto"/>
            </w:tcBorders>
            <w:shd w:val="clear" w:color="auto" w:fill="auto"/>
            <w:vAlign w:val="center"/>
            <w:hideMark/>
          </w:tcPr>
          <w:p w14:paraId="393FEEB6"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SMARTEN SAS ESP</w:t>
            </w:r>
          </w:p>
        </w:tc>
        <w:tc>
          <w:tcPr>
            <w:tcW w:w="1602" w:type="dxa"/>
            <w:tcBorders>
              <w:top w:val="nil"/>
              <w:left w:val="nil"/>
              <w:bottom w:val="single" w:sz="4" w:space="0" w:color="auto"/>
              <w:right w:val="single" w:sz="4" w:space="0" w:color="auto"/>
            </w:tcBorders>
            <w:shd w:val="clear" w:color="auto" w:fill="auto"/>
            <w:noWrap/>
            <w:vAlign w:val="center"/>
            <w:hideMark/>
          </w:tcPr>
          <w:p w14:paraId="64B58D7D" w14:textId="76E4A2C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104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039</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621 </w:t>
            </w:r>
          </w:p>
        </w:tc>
        <w:tc>
          <w:tcPr>
            <w:tcW w:w="1418" w:type="dxa"/>
            <w:tcBorders>
              <w:top w:val="nil"/>
              <w:left w:val="nil"/>
              <w:bottom w:val="single" w:sz="4" w:space="0" w:color="auto"/>
              <w:right w:val="single" w:sz="4" w:space="0" w:color="auto"/>
            </w:tcBorders>
            <w:shd w:val="clear" w:color="auto" w:fill="auto"/>
            <w:noWrap/>
            <w:vAlign w:val="center"/>
            <w:hideMark/>
          </w:tcPr>
          <w:p w14:paraId="2401D84B" w14:textId="6D765AC1"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21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040</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396 </w:t>
            </w:r>
          </w:p>
        </w:tc>
      </w:tr>
      <w:tr w:rsidR="009A21D7" w:rsidRPr="00374360" w14:paraId="167A067E" w14:textId="77777777" w:rsidTr="00C734CF">
        <w:trPr>
          <w:trHeight w:val="4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B202A79"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312</w:t>
            </w:r>
          </w:p>
        </w:tc>
        <w:tc>
          <w:tcPr>
            <w:tcW w:w="660" w:type="dxa"/>
            <w:tcBorders>
              <w:top w:val="nil"/>
              <w:left w:val="nil"/>
              <w:bottom w:val="single" w:sz="4" w:space="0" w:color="auto"/>
              <w:right w:val="single" w:sz="4" w:space="0" w:color="auto"/>
            </w:tcBorders>
            <w:shd w:val="clear" w:color="auto" w:fill="auto"/>
            <w:noWrap/>
            <w:vAlign w:val="center"/>
            <w:hideMark/>
          </w:tcPr>
          <w:p w14:paraId="2C0A3E19"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21590</w:t>
            </w:r>
          </w:p>
        </w:tc>
        <w:tc>
          <w:tcPr>
            <w:tcW w:w="879" w:type="dxa"/>
            <w:tcBorders>
              <w:top w:val="nil"/>
              <w:left w:val="nil"/>
              <w:bottom w:val="single" w:sz="4" w:space="0" w:color="auto"/>
              <w:right w:val="single" w:sz="4" w:space="0" w:color="auto"/>
            </w:tcBorders>
            <w:shd w:val="clear" w:color="auto" w:fill="auto"/>
            <w:noWrap/>
            <w:vAlign w:val="center"/>
            <w:hideMark/>
          </w:tcPr>
          <w:p w14:paraId="1FFD0C44"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830140206</w:t>
            </w:r>
          </w:p>
        </w:tc>
        <w:tc>
          <w:tcPr>
            <w:tcW w:w="3913" w:type="dxa"/>
            <w:tcBorders>
              <w:top w:val="nil"/>
              <w:left w:val="nil"/>
              <w:bottom w:val="single" w:sz="4" w:space="0" w:color="auto"/>
              <w:right w:val="single" w:sz="4" w:space="0" w:color="auto"/>
            </w:tcBorders>
            <w:shd w:val="clear" w:color="auto" w:fill="auto"/>
            <w:vAlign w:val="center"/>
            <w:hideMark/>
          </w:tcPr>
          <w:p w14:paraId="49CC559C"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SOCIEDAD DE UNIDAD EMPRESARIAL DE SERVICIOS PUBLICOS SA ESP</w:t>
            </w:r>
          </w:p>
        </w:tc>
        <w:tc>
          <w:tcPr>
            <w:tcW w:w="1602" w:type="dxa"/>
            <w:tcBorders>
              <w:top w:val="nil"/>
              <w:left w:val="nil"/>
              <w:bottom w:val="single" w:sz="4" w:space="0" w:color="auto"/>
              <w:right w:val="single" w:sz="4" w:space="0" w:color="auto"/>
            </w:tcBorders>
            <w:shd w:val="clear" w:color="auto" w:fill="auto"/>
            <w:noWrap/>
            <w:vAlign w:val="center"/>
            <w:hideMark/>
          </w:tcPr>
          <w:p w14:paraId="3EFD1165" w14:textId="5C0810A6"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361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313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888 </w:t>
            </w:r>
          </w:p>
        </w:tc>
        <w:tc>
          <w:tcPr>
            <w:tcW w:w="1418" w:type="dxa"/>
            <w:tcBorders>
              <w:top w:val="nil"/>
              <w:left w:val="nil"/>
              <w:bottom w:val="single" w:sz="4" w:space="0" w:color="auto"/>
              <w:right w:val="single" w:sz="4" w:space="0" w:color="auto"/>
            </w:tcBorders>
            <w:shd w:val="clear" w:color="auto" w:fill="auto"/>
            <w:noWrap/>
            <w:vAlign w:val="center"/>
            <w:hideMark/>
          </w:tcPr>
          <w:p w14:paraId="0D9133B9" w14:textId="18EC29C6"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613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139 </w:t>
            </w:r>
          </w:p>
        </w:tc>
      </w:tr>
      <w:tr w:rsidR="009A21D7" w:rsidRPr="00374360" w14:paraId="4B02B776"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257D1C9"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313</w:t>
            </w:r>
          </w:p>
        </w:tc>
        <w:tc>
          <w:tcPr>
            <w:tcW w:w="660" w:type="dxa"/>
            <w:tcBorders>
              <w:top w:val="nil"/>
              <w:left w:val="nil"/>
              <w:bottom w:val="single" w:sz="4" w:space="0" w:color="auto"/>
              <w:right w:val="single" w:sz="4" w:space="0" w:color="auto"/>
            </w:tcBorders>
            <w:shd w:val="clear" w:color="auto" w:fill="auto"/>
            <w:noWrap/>
            <w:vAlign w:val="center"/>
            <w:hideMark/>
          </w:tcPr>
          <w:p w14:paraId="5E17E6D5"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43136</w:t>
            </w:r>
          </w:p>
        </w:tc>
        <w:tc>
          <w:tcPr>
            <w:tcW w:w="879" w:type="dxa"/>
            <w:tcBorders>
              <w:top w:val="nil"/>
              <w:left w:val="nil"/>
              <w:bottom w:val="single" w:sz="4" w:space="0" w:color="auto"/>
              <w:right w:val="single" w:sz="4" w:space="0" w:color="auto"/>
            </w:tcBorders>
            <w:shd w:val="clear" w:color="auto" w:fill="auto"/>
            <w:noWrap/>
            <w:vAlign w:val="center"/>
            <w:hideMark/>
          </w:tcPr>
          <w:p w14:paraId="55FF58E9"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800033858</w:t>
            </w:r>
          </w:p>
        </w:tc>
        <w:tc>
          <w:tcPr>
            <w:tcW w:w="3913" w:type="dxa"/>
            <w:tcBorders>
              <w:top w:val="nil"/>
              <w:left w:val="nil"/>
              <w:bottom w:val="single" w:sz="4" w:space="0" w:color="auto"/>
              <w:right w:val="single" w:sz="4" w:space="0" w:color="auto"/>
            </w:tcBorders>
            <w:shd w:val="clear" w:color="auto" w:fill="auto"/>
            <w:vAlign w:val="center"/>
            <w:hideMark/>
          </w:tcPr>
          <w:p w14:paraId="4002D330"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SOCIEDAD PORTUARIA EL CAYAO S.A E.S.P</w:t>
            </w:r>
          </w:p>
        </w:tc>
        <w:tc>
          <w:tcPr>
            <w:tcW w:w="1602" w:type="dxa"/>
            <w:tcBorders>
              <w:top w:val="nil"/>
              <w:left w:val="nil"/>
              <w:bottom w:val="single" w:sz="4" w:space="0" w:color="auto"/>
              <w:right w:val="single" w:sz="4" w:space="0" w:color="auto"/>
            </w:tcBorders>
            <w:shd w:val="clear" w:color="auto" w:fill="auto"/>
            <w:noWrap/>
            <w:vAlign w:val="center"/>
            <w:hideMark/>
          </w:tcPr>
          <w:p w14:paraId="476CAB88" w14:textId="767E54D2"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10</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258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749</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388 </w:t>
            </w:r>
          </w:p>
        </w:tc>
        <w:tc>
          <w:tcPr>
            <w:tcW w:w="1418" w:type="dxa"/>
            <w:tcBorders>
              <w:top w:val="nil"/>
              <w:left w:val="nil"/>
              <w:bottom w:val="single" w:sz="4" w:space="0" w:color="auto"/>
              <w:right w:val="single" w:sz="4" w:space="0" w:color="auto"/>
            </w:tcBorders>
            <w:shd w:val="clear" w:color="auto" w:fill="auto"/>
            <w:noWrap/>
            <w:vAlign w:val="center"/>
            <w:hideMark/>
          </w:tcPr>
          <w:p w14:paraId="2EFD6B1B" w14:textId="3105DCD4"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102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587</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494 </w:t>
            </w:r>
          </w:p>
        </w:tc>
      </w:tr>
      <w:tr w:rsidR="009A21D7" w:rsidRPr="00374360" w14:paraId="2A12A68F" w14:textId="77777777" w:rsidTr="00C734CF">
        <w:trPr>
          <w:trHeight w:val="4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244FCBD"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314</w:t>
            </w:r>
          </w:p>
        </w:tc>
        <w:tc>
          <w:tcPr>
            <w:tcW w:w="660" w:type="dxa"/>
            <w:tcBorders>
              <w:top w:val="nil"/>
              <w:left w:val="nil"/>
              <w:bottom w:val="single" w:sz="4" w:space="0" w:color="auto"/>
              <w:right w:val="single" w:sz="4" w:space="0" w:color="auto"/>
            </w:tcBorders>
            <w:shd w:val="clear" w:color="auto" w:fill="auto"/>
            <w:noWrap/>
            <w:vAlign w:val="center"/>
            <w:hideMark/>
          </w:tcPr>
          <w:p w14:paraId="6BA0B473"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1720</w:t>
            </w:r>
          </w:p>
        </w:tc>
        <w:tc>
          <w:tcPr>
            <w:tcW w:w="879" w:type="dxa"/>
            <w:tcBorders>
              <w:top w:val="nil"/>
              <w:left w:val="nil"/>
              <w:bottom w:val="single" w:sz="4" w:space="0" w:color="auto"/>
              <w:right w:val="single" w:sz="4" w:space="0" w:color="auto"/>
            </w:tcBorders>
            <w:shd w:val="clear" w:color="auto" w:fill="auto"/>
            <w:noWrap/>
            <w:vAlign w:val="center"/>
            <w:hideMark/>
          </w:tcPr>
          <w:p w14:paraId="0F379F29"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827000108</w:t>
            </w:r>
          </w:p>
        </w:tc>
        <w:tc>
          <w:tcPr>
            <w:tcW w:w="3913" w:type="dxa"/>
            <w:tcBorders>
              <w:top w:val="nil"/>
              <w:left w:val="nil"/>
              <w:bottom w:val="single" w:sz="4" w:space="0" w:color="auto"/>
              <w:right w:val="single" w:sz="4" w:space="0" w:color="auto"/>
            </w:tcBorders>
            <w:shd w:val="clear" w:color="auto" w:fill="auto"/>
            <w:vAlign w:val="center"/>
            <w:hideMark/>
          </w:tcPr>
          <w:p w14:paraId="63E19347"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SOCIEDAD PRODUCTORA DE ENERGÍA DE SAN ANDRES Y PROVIDENCIA S.A. E.S.P.</w:t>
            </w:r>
          </w:p>
        </w:tc>
        <w:tc>
          <w:tcPr>
            <w:tcW w:w="1602" w:type="dxa"/>
            <w:tcBorders>
              <w:top w:val="nil"/>
              <w:left w:val="nil"/>
              <w:bottom w:val="single" w:sz="4" w:space="0" w:color="auto"/>
              <w:right w:val="single" w:sz="4" w:space="0" w:color="auto"/>
            </w:tcBorders>
            <w:shd w:val="clear" w:color="auto" w:fill="auto"/>
            <w:noWrap/>
            <w:vAlign w:val="center"/>
            <w:hideMark/>
          </w:tcPr>
          <w:p w14:paraId="5FDBEB26" w14:textId="1DAB7E54"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879</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552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137 </w:t>
            </w:r>
          </w:p>
        </w:tc>
        <w:tc>
          <w:tcPr>
            <w:tcW w:w="1418" w:type="dxa"/>
            <w:tcBorders>
              <w:top w:val="nil"/>
              <w:left w:val="nil"/>
              <w:bottom w:val="single" w:sz="4" w:space="0" w:color="auto"/>
              <w:right w:val="single" w:sz="4" w:space="0" w:color="auto"/>
            </w:tcBorders>
            <w:shd w:val="clear" w:color="auto" w:fill="auto"/>
            <w:noWrap/>
            <w:vAlign w:val="center"/>
            <w:hideMark/>
          </w:tcPr>
          <w:p w14:paraId="12D90146" w14:textId="16EA7D30"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68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795</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521 </w:t>
            </w:r>
          </w:p>
        </w:tc>
      </w:tr>
      <w:tr w:rsidR="009A21D7" w:rsidRPr="00374360" w14:paraId="1A65A524"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88C8468"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315</w:t>
            </w:r>
          </w:p>
        </w:tc>
        <w:tc>
          <w:tcPr>
            <w:tcW w:w="660" w:type="dxa"/>
            <w:tcBorders>
              <w:top w:val="nil"/>
              <w:left w:val="nil"/>
              <w:bottom w:val="single" w:sz="4" w:space="0" w:color="auto"/>
              <w:right w:val="single" w:sz="4" w:space="0" w:color="auto"/>
            </w:tcBorders>
            <w:shd w:val="clear" w:color="auto" w:fill="auto"/>
            <w:noWrap/>
            <w:vAlign w:val="center"/>
            <w:hideMark/>
          </w:tcPr>
          <w:p w14:paraId="31C0560F"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44199</w:t>
            </w:r>
          </w:p>
        </w:tc>
        <w:tc>
          <w:tcPr>
            <w:tcW w:w="879" w:type="dxa"/>
            <w:tcBorders>
              <w:top w:val="nil"/>
              <w:left w:val="nil"/>
              <w:bottom w:val="single" w:sz="4" w:space="0" w:color="auto"/>
              <w:right w:val="single" w:sz="4" w:space="0" w:color="auto"/>
            </w:tcBorders>
            <w:shd w:val="clear" w:color="auto" w:fill="auto"/>
            <w:noWrap/>
            <w:vAlign w:val="center"/>
            <w:hideMark/>
          </w:tcPr>
          <w:p w14:paraId="3AB253D8"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901254731</w:t>
            </w:r>
          </w:p>
        </w:tc>
        <w:tc>
          <w:tcPr>
            <w:tcW w:w="3913" w:type="dxa"/>
            <w:tcBorders>
              <w:top w:val="nil"/>
              <w:left w:val="nil"/>
              <w:bottom w:val="single" w:sz="4" w:space="0" w:color="auto"/>
              <w:right w:val="single" w:sz="4" w:space="0" w:color="auto"/>
            </w:tcBorders>
            <w:shd w:val="clear" w:color="auto" w:fill="auto"/>
            <w:vAlign w:val="center"/>
            <w:hideMark/>
          </w:tcPr>
          <w:p w14:paraId="66474980"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SOLENERGETICAS S.A.S. E.S.P.</w:t>
            </w:r>
          </w:p>
        </w:tc>
        <w:tc>
          <w:tcPr>
            <w:tcW w:w="1602" w:type="dxa"/>
            <w:tcBorders>
              <w:top w:val="nil"/>
              <w:left w:val="nil"/>
              <w:bottom w:val="single" w:sz="4" w:space="0" w:color="auto"/>
              <w:right w:val="single" w:sz="4" w:space="0" w:color="auto"/>
            </w:tcBorders>
            <w:shd w:val="clear" w:color="auto" w:fill="auto"/>
            <w:noWrap/>
            <w:vAlign w:val="center"/>
            <w:hideMark/>
          </w:tcPr>
          <w:p w14:paraId="57DBB101" w14:textId="0F8046A1"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122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812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905 </w:t>
            </w:r>
          </w:p>
        </w:tc>
        <w:tc>
          <w:tcPr>
            <w:tcW w:w="1418" w:type="dxa"/>
            <w:tcBorders>
              <w:top w:val="nil"/>
              <w:left w:val="nil"/>
              <w:bottom w:val="single" w:sz="4" w:space="0" w:color="auto"/>
              <w:right w:val="single" w:sz="4" w:space="0" w:color="auto"/>
            </w:tcBorders>
            <w:shd w:val="clear" w:color="auto" w:fill="auto"/>
            <w:noWrap/>
            <w:vAlign w:val="center"/>
            <w:hideMark/>
          </w:tcPr>
          <w:p w14:paraId="222256B8" w14:textId="1DF7A79A"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228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129 </w:t>
            </w:r>
          </w:p>
        </w:tc>
      </w:tr>
      <w:tr w:rsidR="009A21D7" w:rsidRPr="00374360" w14:paraId="4E5C2F09" w14:textId="77777777" w:rsidTr="00C734CF">
        <w:trPr>
          <w:trHeight w:val="4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87D16D1"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316</w:t>
            </w:r>
          </w:p>
        </w:tc>
        <w:tc>
          <w:tcPr>
            <w:tcW w:w="660" w:type="dxa"/>
            <w:tcBorders>
              <w:top w:val="nil"/>
              <w:left w:val="nil"/>
              <w:bottom w:val="single" w:sz="4" w:space="0" w:color="auto"/>
              <w:right w:val="single" w:sz="4" w:space="0" w:color="auto"/>
            </w:tcBorders>
            <w:shd w:val="clear" w:color="auto" w:fill="auto"/>
            <w:noWrap/>
            <w:vAlign w:val="center"/>
            <w:hideMark/>
          </w:tcPr>
          <w:p w14:paraId="01E1275F"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42296</w:t>
            </w:r>
          </w:p>
        </w:tc>
        <w:tc>
          <w:tcPr>
            <w:tcW w:w="879" w:type="dxa"/>
            <w:tcBorders>
              <w:top w:val="nil"/>
              <w:left w:val="nil"/>
              <w:bottom w:val="single" w:sz="4" w:space="0" w:color="auto"/>
              <w:right w:val="single" w:sz="4" w:space="0" w:color="auto"/>
            </w:tcBorders>
            <w:shd w:val="clear" w:color="auto" w:fill="auto"/>
            <w:noWrap/>
            <w:vAlign w:val="center"/>
            <w:hideMark/>
          </w:tcPr>
          <w:p w14:paraId="35B01A04"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901179454</w:t>
            </w:r>
          </w:p>
        </w:tc>
        <w:tc>
          <w:tcPr>
            <w:tcW w:w="3913" w:type="dxa"/>
            <w:tcBorders>
              <w:top w:val="nil"/>
              <w:left w:val="nil"/>
              <w:bottom w:val="single" w:sz="4" w:space="0" w:color="auto"/>
              <w:right w:val="single" w:sz="4" w:space="0" w:color="auto"/>
            </w:tcBorders>
            <w:shd w:val="clear" w:color="auto" w:fill="auto"/>
            <w:vAlign w:val="center"/>
            <w:hideMark/>
          </w:tcPr>
          <w:p w14:paraId="3FE2CF44"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SOLUCIONES ENERGÉTICAS INTEGRALES DEL PACIFICO S.A.S. E.S.P.</w:t>
            </w:r>
          </w:p>
        </w:tc>
        <w:tc>
          <w:tcPr>
            <w:tcW w:w="1602" w:type="dxa"/>
            <w:tcBorders>
              <w:top w:val="nil"/>
              <w:left w:val="nil"/>
              <w:bottom w:val="single" w:sz="4" w:space="0" w:color="auto"/>
              <w:right w:val="single" w:sz="4" w:space="0" w:color="auto"/>
            </w:tcBorders>
            <w:shd w:val="clear" w:color="auto" w:fill="auto"/>
            <w:noWrap/>
            <w:vAlign w:val="center"/>
            <w:hideMark/>
          </w:tcPr>
          <w:p w14:paraId="7B363CF0" w14:textId="49574FAC"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198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640</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008 </w:t>
            </w:r>
          </w:p>
        </w:tc>
        <w:tc>
          <w:tcPr>
            <w:tcW w:w="1418" w:type="dxa"/>
            <w:tcBorders>
              <w:top w:val="nil"/>
              <w:left w:val="nil"/>
              <w:bottom w:val="single" w:sz="4" w:space="0" w:color="auto"/>
              <w:right w:val="single" w:sz="4" w:space="0" w:color="auto"/>
            </w:tcBorders>
            <w:shd w:val="clear" w:color="auto" w:fill="auto"/>
            <w:noWrap/>
            <w:vAlign w:val="center"/>
            <w:hideMark/>
          </w:tcPr>
          <w:p w14:paraId="6ACCD033" w14:textId="69F8530A"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986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400 </w:t>
            </w:r>
          </w:p>
        </w:tc>
      </w:tr>
      <w:tr w:rsidR="009A21D7" w:rsidRPr="00374360" w14:paraId="3EB39FE5"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1854582"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317</w:t>
            </w:r>
          </w:p>
        </w:tc>
        <w:tc>
          <w:tcPr>
            <w:tcW w:w="660" w:type="dxa"/>
            <w:tcBorders>
              <w:top w:val="nil"/>
              <w:left w:val="nil"/>
              <w:bottom w:val="single" w:sz="4" w:space="0" w:color="auto"/>
              <w:right w:val="single" w:sz="4" w:space="0" w:color="auto"/>
            </w:tcBorders>
            <w:shd w:val="clear" w:color="auto" w:fill="auto"/>
            <w:noWrap/>
            <w:vAlign w:val="center"/>
            <w:hideMark/>
          </w:tcPr>
          <w:p w14:paraId="30C872E1"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38315</w:t>
            </w:r>
          </w:p>
        </w:tc>
        <w:tc>
          <w:tcPr>
            <w:tcW w:w="879" w:type="dxa"/>
            <w:tcBorders>
              <w:top w:val="nil"/>
              <w:left w:val="nil"/>
              <w:bottom w:val="single" w:sz="4" w:space="0" w:color="auto"/>
              <w:right w:val="single" w:sz="4" w:space="0" w:color="auto"/>
            </w:tcBorders>
            <w:shd w:val="clear" w:color="auto" w:fill="auto"/>
            <w:noWrap/>
            <w:vAlign w:val="center"/>
            <w:hideMark/>
          </w:tcPr>
          <w:p w14:paraId="14EBF5BC"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900403943</w:t>
            </w:r>
          </w:p>
        </w:tc>
        <w:tc>
          <w:tcPr>
            <w:tcW w:w="3913" w:type="dxa"/>
            <w:tcBorders>
              <w:top w:val="nil"/>
              <w:left w:val="nil"/>
              <w:bottom w:val="single" w:sz="4" w:space="0" w:color="auto"/>
              <w:right w:val="single" w:sz="4" w:space="0" w:color="auto"/>
            </w:tcBorders>
            <w:shd w:val="clear" w:color="auto" w:fill="auto"/>
            <w:vAlign w:val="center"/>
            <w:hideMark/>
          </w:tcPr>
          <w:p w14:paraId="3B3EF887"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SOUTH32 ENERGY S.A.S. E.S.P.</w:t>
            </w:r>
          </w:p>
        </w:tc>
        <w:tc>
          <w:tcPr>
            <w:tcW w:w="1602" w:type="dxa"/>
            <w:tcBorders>
              <w:top w:val="nil"/>
              <w:left w:val="nil"/>
              <w:bottom w:val="single" w:sz="4" w:space="0" w:color="auto"/>
              <w:right w:val="single" w:sz="4" w:space="0" w:color="auto"/>
            </w:tcBorders>
            <w:shd w:val="clear" w:color="auto" w:fill="auto"/>
            <w:noWrap/>
            <w:vAlign w:val="center"/>
            <w:hideMark/>
          </w:tcPr>
          <w:p w14:paraId="79D1149A" w14:textId="29E354DF"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796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358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384 </w:t>
            </w:r>
          </w:p>
        </w:tc>
        <w:tc>
          <w:tcPr>
            <w:tcW w:w="1418" w:type="dxa"/>
            <w:tcBorders>
              <w:top w:val="nil"/>
              <w:left w:val="nil"/>
              <w:bottom w:val="single" w:sz="4" w:space="0" w:color="auto"/>
              <w:right w:val="single" w:sz="4" w:space="0" w:color="auto"/>
            </w:tcBorders>
            <w:shd w:val="clear" w:color="auto" w:fill="auto"/>
            <w:noWrap/>
            <w:vAlign w:val="center"/>
            <w:hideMark/>
          </w:tcPr>
          <w:p w14:paraId="651055AC" w14:textId="5630337B"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17</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963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584 </w:t>
            </w:r>
          </w:p>
        </w:tc>
      </w:tr>
      <w:tr w:rsidR="009A21D7" w:rsidRPr="00374360" w14:paraId="790DFED6"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C09EA10"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318</w:t>
            </w:r>
          </w:p>
        </w:tc>
        <w:tc>
          <w:tcPr>
            <w:tcW w:w="660" w:type="dxa"/>
            <w:tcBorders>
              <w:top w:val="nil"/>
              <w:left w:val="nil"/>
              <w:bottom w:val="single" w:sz="4" w:space="0" w:color="auto"/>
              <w:right w:val="single" w:sz="4" w:space="0" w:color="auto"/>
            </w:tcBorders>
            <w:shd w:val="clear" w:color="auto" w:fill="auto"/>
            <w:noWrap/>
            <w:vAlign w:val="center"/>
            <w:hideMark/>
          </w:tcPr>
          <w:p w14:paraId="7365216E"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2676</w:t>
            </w:r>
          </w:p>
        </w:tc>
        <w:tc>
          <w:tcPr>
            <w:tcW w:w="879" w:type="dxa"/>
            <w:tcBorders>
              <w:top w:val="nil"/>
              <w:left w:val="nil"/>
              <w:bottom w:val="single" w:sz="4" w:space="0" w:color="auto"/>
              <w:right w:val="single" w:sz="4" w:space="0" w:color="auto"/>
            </w:tcBorders>
            <w:shd w:val="clear" w:color="auto" w:fill="auto"/>
            <w:noWrap/>
            <w:vAlign w:val="center"/>
            <w:hideMark/>
          </w:tcPr>
          <w:p w14:paraId="09C06CF4"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814003050</w:t>
            </w:r>
          </w:p>
        </w:tc>
        <w:tc>
          <w:tcPr>
            <w:tcW w:w="3913" w:type="dxa"/>
            <w:tcBorders>
              <w:top w:val="nil"/>
              <w:left w:val="nil"/>
              <w:bottom w:val="single" w:sz="4" w:space="0" w:color="auto"/>
              <w:right w:val="single" w:sz="4" w:space="0" w:color="auto"/>
            </w:tcBorders>
            <w:shd w:val="clear" w:color="auto" w:fill="auto"/>
            <w:vAlign w:val="center"/>
            <w:hideMark/>
          </w:tcPr>
          <w:p w14:paraId="36208703"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SUPERGAS DE NARIÑO S.A. E.S.P.</w:t>
            </w:r>
          </w:p>
        </w:tc>
        <w:tc>
          <w:tcPr>
            <w:tcW w:w="1602" w:type="dxa"/>
            <w:tcBorders>
              <w:top w:val="nil"/>
              <w:left w:val="nil"/>
              <w:bottom w:val="single" w:sz="4" w:space="0" w:color="auto"/>
              <w:right w:val="single" w:sz="4" w:space="0" w:color="auto"/>
            </w:tcBorders>
            <w:shd w:val="clear" w:color="auto" w:fill="auto"/>
            <w:noWrap/>
            <w:vAlign w:val="center"/>
            <w:hideMark/>
          </w:tcPr>
          <w:p w14:paraId="18E844AD" w14:textId="0E67394E"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868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356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002 </w:t>
            </w:r>
          </w:p>
        </w:tc>
        <w:tc>
          <w:tcPr>
            <w:tcW w:w="1418" w:type="dxa"/>
            <w:tcBorders>
              <w:top w:val="nil"/>
              <w:left w:val="nil"/>
              <w:bottom w:val="single" w:sz="4" w:space="0" w:color="auto"/>
              <w:right w:val="single" w:sz="4" w:space="0" w:color="auto"/>
            </w:tcBorders>
            <w:shd w:val="clear" w:color="auto" w:fill="auto"/>
            <w:noWrap/>
            <w:vAlign w:val="center"/>
            <w:hideMark/>
          </w:tcPr>
          <w:p w14:paraId="219F585F" w14:textId="234A1B5F"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28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683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560 </w:t>
            </w:r>
          </w:p>
        </w:tc>
      </w:tr>
      <w:tr w:rsidR="009A21D7" w:rsidRPr="00374360" w14:paraId="4C3E909D"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8F65F24"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319</w:t>
            </w:r>
          </w:p>
        </w:tc>
        <w:tc>
          <w:tcPr>
            <w:tcW w:w="660" w:type="dxa"/>
            <w:tcBorders>
              <w:top w:val="nil"/>
              <w:left w:val="nil"/>
              <w:bottom w:val="single" w:sz="4" w:space="0" w:color="auto"/>
              <w:right w:val="single" w:sz="4" w:space="0" w:color="auto"/>
            </w:tcBorders>
            <w:shd w:val="clear" w:color="auto" w:fill="auto"/>
            <w:noWrap/>
            <w:vAlign w:val="center"/>
            <w:hideMark/>
          </w:tcPr>
          <w:p w14:paraId="0EACA440"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20518</w:t>
            </w:r>
          </w:p>
        </w:tc>
        <w:tc>
          <w:tcPr>
            <w:tcW w:w="879" w:type="dxa"/>
            <w:tcBorders>
              <w:top w:val="nil"/>
              <w:left w:val="nil"/>
              <w:bottom w:val="single" w:sz="4" w:space="0" w:color="auto"/>
              <w:right w:val="single" w:sz="4" w:space="0" w:color="auto"/>
            </w:tcBorders>
            <w:shd w:val="clear" w:color="auto" w:fill="auto"/>
            <w:noWrap/>
            <w:vAlign w:val="center"/>
            <w:hideMark/>
          </w:tcPr>
          <w:p w14:paraId="1025D942"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830510717</w:t>
            </w:r>
          </w:p>
        </w:tc>
        <w:tc>
          <w:tcPr>
            <w:tcW w:w="3913" w:type="dxa"/>
            <w:tcBorders>
              <w:top w:val="nil"/>
              <w:left w:val="nil"/>
              <w:bottom w:val="single" w:sz="4" w:space="0" w:color="auto"/>
              <w:right w:val="single" w:sz="4" w:space="0" w:color="auto"/>
            </w:tcBorders>
            <w:shd w:val="clear" w:color="auto" w:fill="auto"/>
            <w:vAlign w:val="center"/>
            <w:hideMark/>
          </w:tcPr>
          <w:p w14:paraId="170C80B0"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SURCOLOMBIANA DE GAS S.A E.S.P</w:t>
            </w:r>
          </w:p>
        </w:tc>
        <w:tc>
          <w:tcPr>
            <w:tcW w:w="1602" w:type="dxa"/>
            <w:tcBorders>
              <w:top w:val="nil"/>
              <w:left w:val="nil"/>
              <w:bottom w:val="single" w:sz="4" w:space="0" w:color="auto"/>
              <w:right w:val="single" w:sz="4" w:space="0" w:color="auto"/>
            </w:tcBorders>
            <w:shd w:val="clear" w:color="auto" w:fill="auto"/>
            <w:noWrap/>
            <w:vAlign w:val="center"/>
            <w:hideMark/>
          </w:tcPr>
          <w:p w14:paraId="55B18CE5" w14:textId="7AAB13A4"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335</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373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495 </w:t>
            </w:r>
          </w:p>
        </w:tc>
        <w:tc>
          <w:tcPr>
            <w:tcW w:w="1418" w:type="dxa"/>
            <w:tcBorders>
              <w:top w:val="nil"/>
              <w:left w:val="nil"/>
              <w:bottom w:val="single" w:sz="4" w:space="0" w:color="auto"/>
              <w:right w:val="single" w:sz="4" w:space="0" w:color="auto"/>
            </w:tcBorders>
            <w:shd w:val="clear" w:color="auto" w:fill="auto"/>
            <w:noWrap/>
            <w:vAlign w:val="center"/>
            <w:hideMark/>
          </w:tcPr>
          <w:p w14:paraId="1777066F" w14:textId="101D64E8"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353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735 </w:t>
            </w:r>
          </w:p>
        </w:tc>
      </w:tr>
      <w:tr w:rsidR="009A21D7" w:rsidRPr="00374360" w14:paraId="44B5C213"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73EAB08"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lastRenderedPageBreak/>
              <w:t>320</w:t>
            </w:r>
          </w:p>
        </w:tc>
        <w:tc>
          <w:tcPr>
            <w:tcW w:w="660" w:type="dxa"/>
            <w:tcBorders>
              <w:top w:val="nil"/>
              <w:left w:val="nil"/>
              <w:bottom w:val="single" w:sz="4" w:space="0" w:color="auto"/>
              <w:right w:val="single" w:sz="4" w:space="0" w:color="auto"/>
            </w:tcBorders>
            <w:shd w:val="clear" w:color="auto" w:fill="auto"/>
            <w:noWrap/>
            <w:vAlign w:val="center"/>
            <w:hideMark/>
          </w:tcPr>
          <w:p w14:paraId="5A341D22"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39390</w:t>
            </w:r>
          </w:p>
        </w:tc>
        <w:tc>
          <w:tcPr>
            <w:tcW w:w="879" w:type="dxa"/>
            <w:tcBorders>
              <w:top w:val="nil"/>
              <w:left w:val="nil"/>
              <w:bottom w:val="single" w:sz="4" w:space="0" w:color="auto"/>
              <w:right w:val="single" w:sz="4" w:space="0" w:color="auto"/>
            </w:tcBorders>
            <w:shd w:val="clear" w:color="auto" w:fill="auto"/>
            <w:noWrap/>
            <w:vAlign w:val="center"/>
            <w:hideMark/>
          </w:tcPr>
          <w:p w14:paraId="1C4E8948"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900466858</w:t>
            </w:r>
          </w:p>
        </w:tc>
        <w:tc>
          <w:tcPr>
            <w:tcW w:w="3913" w:type="dxa"/>
            <w:tcBorders>
              <w:top w:val="nil"/>
              <w:left w:val="nil"/>
              <w:bottom w:val="single" w:sz="4" w:space="0" w:color="auto"/>
              <w:right w:val="single" w:sz="4" w:space="0" w:color="auto"/>
            </w:tcBorders>
            <w:shd w:val="clear" w:color="auto" w:fill="auto"/>
            <w:vAlign w:val="center"/>
            <w:hideMark/>
          </w:tcPr>
          <w:p w14:paraId="0BF5402A"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SURENERGY SAS ESP</w:t>
            </w:r>
          </w:p>
        </w:tc>
        <w:tc>
          <w:tcPr>
            <w:tcW w:w="1602" w:type="dxa"/>
            <w:tcBorders>
              <w:top w:val="nil"/>
              <w:left w:val="nil"/>
              <w:bottom w:val="single" w:sz="4" w:space="0" w:color="auto"/>
              <w:right w:val="single" w:sz="4" w:space="0" w:color="auto"/>
            </w:tcBorders>
            <w:shd w:val="clear" w:color="auto" w:fill="auto"/>
            <w:noWrap/>
            <w:vAlign w:val="center"/>
            <w:hideMark/>
          </w:tcPr>
          <w:p w14:paraId="5AAB36CA" w14:textId="52B4C22A"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780</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309</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101 </w:t>
            </w:r>
          </w:p>
        </w:tc>
        <w:tc>
          <w:tcPr>
            <w:tcW w:w="1418" w:type="dxa"/>
            <w:tcBorders>
              <w:top w:val="nil"/>
              <w:left w:val="nil"/>
              <w:bottom w:val="single" w:sz="4" w:space="0" w:color="auto"/>
              <w:right w:val="single" w:sz="4" w:space="0" w:color="auto"/>
            </w:tcBorders>
            <w:shd w:val="clear" w:color="auto" w:fill="auto"/>
            <w:noWrap/>
            <w:vAlign w:val="center"/>
            <w:hideMark/>
          </w:tcPr>
          <w:p w14:paraId="7561D1AD" w14:textId="7B89B3B3"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17</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803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091 </w:t>
            </w:r>
          </w:p>
        </w:tc>
      </w:tr>
      <w:tr w:rsidR="009A21D7" w:rsidRPr="00374360" w14:paraId="5E21AC3B" w14:textId="77777777" w:rsidTr="00C734CF">
        <w:trPr>
          <w:trHeight w:val="4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BE31FDB"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321</w:t>
            </w:r>
          </w:p>
        </w:tc>
        <w:tc>
          <w:tcPr>
            <w:tcW w:w="660" w:type="dxa"/>
            <w:tcBorders>
              <w:top w:val="nil"/>
              <w:left w:val="nil"/>
              <w:bottom w:val="single" w:sz="4" w:space="0" w:color="auto"/>
              <w:right w:val="single" w:sz="4" w:space="0" w:color="auto"/>
            </w:tcBorders>
            <w:shd w:val="clear" w:color="auto" w:fill="auto"/>
            <w:noWrap/>
            <w:vAlign w:val="center"/>
            <w:hideMark/>
          </w:tcPr>
          <w:p w14:paraId="2349DCF1"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498</w:t>
            </w:r>
          </w:p>
        </w:tc>
        <w:tc>
          <w:tcPr>
            <w:tcW w:w="879" w:type="dxa"/>
            <w:tcBorders>
              <w:top w:val="nil"/>
              <w:left w:val="nil"/>
              <w:bottom w:val="single" w:sz="4" w:space="0" w:color="auto"/>
              <w:right w:val="single" w:sz="4" w:space="0" w:color="auto"/>
            </w:tcBorders>
            <w:shd w:val="clear" w:color="auto" w:fill="auto"/>
            <w:noWrap/>
            <w:vAlign w:val="center"/>
            <w:hideMark/>
          </w:tcPr>
          <w:p w14:paraId="63ADCEDC"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890400869</w:t>
            </w:r>
          </w:p>
        </w:tc>
        <w:tc>
          <w:tcPr>
            <w:tcW w:w="3913" w:type="dxa"/>
            <w:tcBorders>
              <w:top w:val="nil"/>
              <w:left w:val="nil"/>
              <w:bottom w:val="single" w:sz="4" w:space="0" w:color="auto"/>
              <w:right w:val="single" w:sz="4" w:space="0" w:color="auto"/>
            </w:tcBorders>
            <w:shd w:val="clear" w:color="auto" w:fill="auto"/>
            <w:vAlign w:val="center"/>
            <w:hideMark/>
          </w:tcPr>
          <w:p w14:paraId="1DE5A870"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SURTIDORA DE GAS DEL CARIBE S.A. EMPRESA DE SERVICIOS PUBLICOS </w:t>
            </w:r>
          </w:p>
        </w:tc>
        <w:tc>
          <w:tcPr>
            <w:tcW w:w="1602" w:type="dxa"/>
            <w:tcBorders>
              <w:top w:val="nil"/>
              <w:left w:val="nil"/>
              <w:bottom w:val="single" w:sz="4" w:space="0" w:color="auto"/>
              <w:right w:val="single" w:sz="4" w:space="0" w:color="auto"/>
            </w:tcBorders>
            <w:shd w:val="clear" w:color="auto" w:fill="auto"/>
            <w:noWrap/>
            <w:vAlign w:val="center"/>
            <w:hideMark/>
          </w:tcPr>
          <w:p w14:paraId="0E7B945A" w14:textId="6CBFD030"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30</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250</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851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687 </w:t>
            </w:r>
          </w:p>
        </w:tc>
        <w:tc>
          <w:tcPr>
            <w:tcW w:w="1418" w:type="dxa"/>
            <w:tcBorders>
              <w:top w:val="nil"/>
              <w:left w:val="nil"/>
              <w:bottom w:val="single" w:sz="4" w:space="0" w:color="auto"/>
              <w:right w:val="single" w:sz="4" w:space="0" w:color="auto"/>
            </w:tcBorders>
            <w:shd w:val="clear" w:color="auto" w:fill="auto"/>
            <w:noWrap/>
            <w:vAlign w:val="center"/>
            <w:hideMark/>
          </w:tcPr>
          <w:p w14:paraId="35F6F4FF" w14:textId="15A2AC83"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302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508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517 </w:t>
            </w:r>
          </w:p>
        </w:tc>
      </w:tr>
      <w:tr w:rsidR="009A21D7" w:rsidRPr="00374360" w14:paraId="7FA953DE"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CD94C38"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322</w:t>
            </w:r>
          </w:p>
        </w:tc>
        <w:tc>
          <w:tcPr>
            <w:tcW w:w="660" w:type="dxa"/>
            <w:tcBorders>
              <w:top w:val="nil"/>
              <w:left w:val="nil"/>
              <w:bottom w:val="single" w:sz="4" w:space="0" w:color="auto"/>
              <w:right w:val="single" w:sz="4" w:space="0" w:color="auto"/>
            </w:tcBorders>
            <w:shd w:val="clear" w:color="auto" w:fill="auto"/>
            <w:noWrap/>
            <w:vAlign w:val="center"/>
            <w:hideMark/>
          </w:tcPr>
          <w:p w14:paraId="474DD2B1"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29011</w:t>
            </w:r>
          </w:p>
        </w:tc>
        <w:tc>
          <w:tcPr>
            <w:tcW w:w="879" w:type="dxa"/>
            <w:tcBorders>
              <w:top w:val="nil"/>
              <w:left w:val="nil"/>
              <w:bottom w:val="single" w:sz="4" w:space="0" w:color="auto"/>
              <w:right w:val="single" w:sz="4" w:space="0" w:color="auto"/>
            </w:tcBorders>
            <w:shd w:val="clear" w:color="auto" w:fill="auto"/>
            <w:noWrap/>
            <w:vAlign w:val="center"/>
            <w:hideMark/>
          </w:tcPr>
          <w:p w14:paraId="0F989BAF"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900637368</w:t>
            </w:r>
          </w:p>
        </w:tc>
        <w:tc>
          <w:tcPr>
            <w:tcW w:w="3913" w:type="dxa"/>
            <w:tcBorders>
              <w:top w:val="nil"/>
              <w:left w:val="nil"/>
              <w:bottom w:val="single" w:sz="4" w:space="0" w:color="auto"/>
              <w:right w:val="single" w:sz="4" w:space="0" w:color="auto"/>
            </w:tcBorders>
            <w:shd w:val="clear" w:color="auto" w:fill="auto"/>
            <w:vAlign w:val="center"/>
            <w:hideMark/>
          </w:tcPr>
          <w:p w14:paraId="6C9931B5"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TERMO MECHERO MORRO SAS ESP</w:t>
            </w:r>
          </w:p>
        </w:tc>
        <w:tc>
          <w:tcPr>
            <w:tcW w:w="1602" w:type="dxa"/>
            <w:tcBorders>
              <w:top w:val="nil"/>
              <w:left w:val="nil"/>
              <w:bottom w:val="single" w:sz="4" w:space="0" w:color="auto"/>
              <w:right w:val="single" w:sz="4" w:space="0" w:color="auto"/>
            </w:tcBorders>
            <w:shd w:val="clear" w:color="auto" w:fill="auto"/>
            <w:noWrap/>
            <w:vAlign w:val="center"/>
            <w:hideMark/>
          </w:tcPr>
          <w:p w14:paraId="4C14E23E" w14:textId="1CC0E6CC"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795</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414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451 </w:t>
            </w:r>
          </w:p>
        </w:tc>
        <w:tc>
          <w:tcPr>
            <w:tcW w:w="1418" w:type="dxa"/>
            <w:tcBorders>
              <w:top w:val="nil"/>
              <w:left w:val="nil"/>
              <w:bottom w:val="single" w:sz="4" w:space="0" w:color="auto"/>
              <w:right w:val="single" w:sz="4" w:space="0" w:color="auto"/>
            </w:tcBorders>
            <w:shd w:val="clear" w:color="auto" w:fill="auto"/>
            <w:noWrap/>
            <w:vAlign w:val="center"/>
            <w:hideMark/>
          </w:tcPr>
          <w:p w14:paraId="5838372B" w14:textId="2F62E558"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27</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954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145 </w:t>
            </w:r>
          </w:p>
        </w:tc>
      </w:tr>
      <w:tr w:rsidR="009A21D7" w:rsidRPr="00374360" w14:paraId="6333F51E"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E037764"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323</w:t>
            </w:r>
          </w:p>
        </w:tc>
        <w:tc>
          <w:tcPr>
            <w:tcW w:w="660" w:type="dxa"/>
            <w:tcBorders>
              <w:top w:val="nil"/>
              <w:left w:val="nil"/>
              <w:bottom w:val="single" w:sz="4" w:space="0" w:color="auto"/>
              <w:right w:val="single" w:sz="4" w:space="0" w:color="auto"/>
            </w:tcBorders>
            <w:shd w:val="clear" w:color="auto" w:fill="auto"/>
            <w:noWrap/>
            <w:vAlign w:val="center"/>
            <w:hideMark/>
          </w:tcPr>
          <w:p w14:paraId="06080808"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485</w:t>
            </w:r>
          </w:p>
        </w:tc>
        <w:tc>
          <w:tcPr>
            <w:tcW w:w="879" w:type="dxa"/>
            <w:tcBorders>
              <w:top w:val="nil"/>
              <w:left w:val="nil"/>
              <w:bottom w:val="single" w:sz="4" w:space="0" w:color="auto"/>
              <w:right w:val="single" w:sz="4" w:space="0" w:color="auto"/>
            </w:tcBorders>
            <w:shd w:val="clear" w:color="auto" w:fill="auto"/>
            <w:noWrap/>
            <w:vAlign w:val="center"/>
            <w:hideMark/>
          </w:tcPr>
          <w:p w14:paraId="7D28C011"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800245746</w:t>
            </w:r>
          </w:p>
        </w:tc>
        <w:tc>
          <w:tcPr>
            <w:tcW w:w="3913" w:type="dxa"/>
            <w:tcBorders>
              <w:top w:val="nil"/>
              <w:left w:val="nil"/>
              <w:bottom w:val="single" w:sz="4" w:space="0" w:color="auto"/>
              <w:right w:val="single" w:sz="4" w:space="0" w:color="auto"/>
            </w:tcBorders>
            <w:shd w:val="clear" w:color="auto" w:fill="auto"/>
            <w:vAlign w:val="center"/>
            <w:hideMark/>
          </w:tcPr>
          <w:p w14:paraId="1F5D4FFA"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TERMOBARRANQUILLA S.A. E.S.P.</w:t>
            </w:r>
          </w:p>
        </w:tc>
        <w:tc>
          <w:tcPr>
            <w:tcW w:w="1602" w:type="dxa"/>
            <w:tcBorders>
              <w:top w:val="nil"/>
              <w:left w:val="nil"/>
              <w:bottom w:val="single" w:sz="4" w:space="0" w:color="auto"/>
              <w:right w:val="single" w:sz="4" w:space="0" w:color="auto"/>
            </w:tcBorders>
            <w:shd w:val="clear" w:color="auto" w:fill="auto"/>
            <w:noWrap/>
            <w:vAlign w:val="center"/>
            <w:hideMark/>
          </w:tcPr>
          <w:p w14:paraId="59D1F0C7" w14:textId="00053485"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923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719</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328 </w:t>
            </w:r>
          </w:p>
        </w:tc>
        <w:tc>
          <w:tcPr>
            <w:tcW w:w="1418" w:type="dxa"/>
            <w:tcBorders>
              <w:top w:val="nil"/>
              <w:left w:val="nil"/>
              <w:bottom w:val="single" w:sz="4" w:space="0" w:color="auto"/>
              <w:right w:val="single" w:sz="4" w:space="0" w:color="auto"/>
            </w:tcBorders>
            <w:shd w:val="clear" w:color="auto" w:fill="auto"/>
            <w:noWrap/>
            <w:vAlign w:val="center"/>
            <w:hideMark/>
          </w:tcPr>
          <w:p w14:paraId="660EDCA8" w14:textId="62BC73BC"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239</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237</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193 </w:t>
            </w:r>
          </w:p>
        </w:tc>
      </w:tr>
      <w:tr w:rsidR="009A21D7" w:rsidRPr="00374360" w14:paraId="777C2E64" w14:textId="77777777" w:rsidTr="00AB0B17">
        <w:trPr>
          <w:trHeight w:val="429"/>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B4F62CD"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324</w:t>
            </w:r>
          </w:p>
        </w:tc>
        <w:tc>
          <w:tcPr>
            <w:tcW w:w="660" w:type="dxa"/>
            <w:tcBorders>
              <w:top w:val="nil"/>
              <w:left w:val="nil"/>
              <w:bottom w:val="single" w:sz="4" w:space="0" w:color="auto"/>
              <w:right w:val="single" w:sz="4" w:space="0" w:color="auto"/>
            </w:tcBorders>
            <w:shd w:val="clear" w:color="auto" w:fill="auto"/>
            <w:noWrap/>
            <w:vAlign w:val="center"/>
            <w:hideMark/>
          </w:tcPr>
          <w:p w14:paraId="0F8E49B0"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2261</w:t>
            </w:r>
          </w:p>
        </w:tc>
        <w:tc>
          <w:tcPr>
            <w:tcW w:w="879" w:type="dxa"/>
            <w:tcBorders>
              <w:top w:val="nil"/>
              <w:left w:val="nil"/>
              <w:bottom w:val="single" w:sz="4" w:space="0" w:color="auto"/>
              <w:right w:val="single" w:sz="4" w:space="0" w:color="auto"/>
            </w:tcBorders>
            <w:shd w:val="clear" w:color="auto" w:fill="auto"/>
            <w:noWrap/>
            <w:vAlign w:val="center"/>
            <w:hideMark/>
          </w:tcPr>
          <w:p w14:paraId="60AD9809"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806005008</w:t>
            </w:r>
          </w:p>
        </w:tc>
        <w:tc>
          <w:tcPr>
            <w:tcW w:w="3913" w:type="dxa"/>
            <w:tcBorders>
              <w:top w:val="nil"/>
              <w:left w:val="nil"/>
              <w:bottom w:val="single" w:sz="4" w:space="0" w:color="auto"/>
              <w:right w:val="single" w:sz="4" w:space="0" w:color="auto"/>
            </w:tcBorders>
            <w:shd w:val="clear" w:color="auto" w:fill="auto"/>
            <w:vAlign w:val="center"/>
            <w:hideMark/>
          </w:tcPr>
          <w:p w14:paraId="7EAE8CD3"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TERMOCANDELARIA SOCIEDAD EN COMANDITA POR ACCIONES EMPRESA DE SERVICIOS PUBLICOS</w:t>
            </w:r>
          </w:p>
        </w:tc>
        <w:tc>
          <w:tcPr>
            <w:tcW w:w="1602" w:type="dxa"/>
            <w:tcBorders>
              <w:top w:val="nil"/>
              <w:left w:val="nil"/>
              <w:bottom w:val="single" w:sz="4" w:space="0" w:color="auto"/>
              <w:right w:val="single" w:sz="4" w:space="0" w:color="auto"/>
            </w:tcBorders>
            <w:shd w:val="clear" w:color="auto" w:fill="auto"/>
            <w:noWrap/>
            <w:vAlign w:val="center"/>
            <w:hideMark/>
          </w:tcPr>
          <w:p w14:paraId="095D68A7" w14:textId="72B0CD96"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899</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930</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219 </w:t>
            </w:r>
          </w:p>
        </w:tc>
        <w:tc>
          <w:tcPr>
            <w:tcW w:w="1418" w:type="dxa"/>
            <w:tcBorders>
              <w:top w:val="nil"/>
              <w:left w:val="nil"/>
              <w:bottom w:val="single" w:sz="4" w:space="0" w:color="auto"/>
              <w:right w:val="single" w:sz="4" w:space="0" w:color="auto"/>
            </w:tcBorders>
            <w:shd w:val="clear" w:color="auto" w:fill="auto"/>
            <w:noWrap/>
            <w:vAlign w:val="center"/>
            <w:hideMark/>
          </w:tcPr>
          <w:p w14:paraId="5F8474A8" w14:textId="03CBD67A"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68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999</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302 </w:t>
            </w:r>
          </w:p>
        </w:tc>
      </w:tr>
      <w:tr w:rsidR="009A21D7" w:rsidRPr="00374360" w14:paraId="35C53C3B"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20C989A"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325</w:t>
            </w:r>
          </w:p>
        </w:tc>
        <w:tc>
          <w:tcPr>
            <w:tcW w:w="660" w:type="dxa"/>
            <w:tcBorders>
              <w:top w:val="nil"/>
              <w:left w:val="nil"/>
              <w:bottom w:val="single" w:sz="4" w:space="0" w:color="auto"/>
              <w:right w:val="single" w:sz="4" w:space="0" w:color="auto"/>
            </w:tcBorders>
            <w:shd w:val="clear" w:color="auto" w:fill="auto"/>
            <w:noWrap/>
            <w:vAlign w:val="center"/>
            <w:hideMark/>
          </w:tcPr>
          <w:p w14:paraId="684749E6"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1077</w:t>
            </w:r>
          </w:p>
        </w:tc>
        <w:tc>
          <w:tcPr>
            <w:tcW w:w="879" w:type="dxa"/>
            <w:tcBorders>
              <w:top w:val="nil"/>
              <w:left w:val="nil"/>
              <w:bottom w:val="single" w:sz="4" w:space="0" w:color="auto"/>
              <w:right w:val="single" w:sz="4" w:space="0" w:color="auto"/>
            </w:tcBorders>
            <w:shd w:val="clear" w:color="auto" w:fill="auto"/>
            <w:noWrap/>
            <w:vAlign w:val="center"/>
            <w:hideMark/>
          </w:tcPr>
          <w:p w14:paraId="11EAE36F"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800253702</w:t>
            </w:r>
          </w:p>
        </w:tc>
        <w:tc>
          <w:tcPr>
            <w:tcW w:w="3913" w:type="dxa"/>
            <w:tcBorders>
              <w:top w:val="nil"/>
              <w:left w:val="nil"/>
              <w:bottom w:val="single" w:sz="4" w:space="0" w:color="auto"/>
              <w:right w:val="single" w:sz="4" w:space="0" w:color="auto"/>
            </w:tcBorders>
            <w:shd w:val="clear" w:color="auto" w:fill="auto"/>
            <w:vAlign w:val="center"/>
            <w:hideMark/>
          </w:tcPr>
          <w:p w14:paraId="7B23DBDB"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TERMOEMCALI  I  S.A. ESP</w:t>
            </w:r>
          </w:p>
        </w:tc>
        <w:tc>
          <w:tcPr>
            <w:tcW w:w="1602" w:type="dxa"/>
            <w:tcBorders>
              <w:top w:val="nil"/>
              <w:left w:val="nil"/>
              <w:bottom w:val="single" w:sz="4" w:space="0" w:color="auto"/>
              <w:right w:val="single" w:sz="4" w:space="0" w:color="auto"/>
            </w:tcBorders>
            <w:shd w:val="clear" w:color="auto" w:fill="auto"/>
            <w:noWrap/>
            <w:vAlign w:val="center"/>
            <w:hideMark/>
          </w:tcPr>
          <w:p w14:paraId="29B66C27" w14:textId="5AFB0D60"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353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146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255 </w:t>
            </w:r>
          </w:p>
        </w:tc>
        <w:tc>
          <w:tcPr>
            <w:tcW w:w="1418" w:type="dxa"/>
            <w:tcBorders>
              <w:top w:val="nil"/>
              <w:left w:val="nil"/>
              <w:bottom w:val="single" w:sz="4" w:space="0" w:color="auto"/>
              <w:right w:val="single" w:sz="4" w:space="0" w:color="auto"/>
            </w:tcBorders>
            <w:shd w:val="clear" w:color="auto" w:fill="auto"/>
            <w:noWrap/>
            <w:vAlign w:val="center"/>
            <w:hideMark/>
          </w:tcPr>
          <w:p w14:paraId="565FD6EE" w14:textId="6C3CFC61"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63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531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463 </w:t>
            </w:r>
          </w:p>
        </w:tc>
      </w:tr>
      <w:tr w:rsidR="009A21D7" w:rsidRPr="00374360" w14:paraId="5E2189D2" w14:textId="77777777" w:rsidTr="00AB0B17">
        <w:trPr>
          <w:trHeight w:val="256"/>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AA4801E"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326</w:t>
            </w:r>
          </w:p>
        </w:tc>
        <w:tc>
          <w:tcPr>
            <w:tcW w:w="660" w:type="dxa"/>
            <w:tcBorders>
              <w:top w:val="nil"/>
              <w:left w:val="nil"/>
              <w:bottom w:val="single" w:sz="4" w:space="0" w:color="auto"/>
              <w:right w:val="single" w:sz="4" w:space="0" w:color="auto"/>
            </w:tcBorders>
            <w:shd w:val="clear" w:color="auto" w:fill="auto"/>
            <w:noWrap/>
            <w:vAlign w:val="center"/>
            <w:hideMark/>
          </w:tcPr>
          <w:p w14:paraId="43D3F330"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37174</w:t>
            </w:r>
          </w:p>
        </w:tc>
        <w:tc>
          <w:tcPr>
            <w:tcW w:w="879" w:type="dxa"/>
            <w:tcBorders>
              <w:top w:val="nil"/>
              <w:left w:val="nil"/>
              <w:bottom w:val="single" w:sz="4" w:space="0" w:color="auto"/>
              <w:right w:val="single" w:sz="4" w:space="0" w:color="auto"/>
            </w:tcBorders>
            <w:shd w:val="clear" w:color="auto" w:fill="auto"/>
            <w:noWrap/>
            <w:vAlign w:val="center"/>
            <w:hideMark/>
          </w:tcPr>
          <w:p w14:paraId="35254EAE"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901060669</w:t>
            </w:r>
          </w:p>
        </w:tc>
        <w:tc>
          <w:tcPr>
            <w:tcW w:w="3913" w:type="dxa"/>
            <w:tcBorders>
              <w:top w:val="nil"/>
              <w:left w:val="nil"/>
              <w:bottom w:val="single" w:sz="4" w:space="0" w:color="auto"/>
              <w:right w:val="single" w:sz="4" w:space="0" w:color="auto"/>
            </w:tcBorders>
            <w:shd w:val="clear" w:color="auto" w:fill="auto"/>
            <w:vAlign w:val="center"/>
            <w:hideMark/>
          </w:tcPr>
          <w:p w14:paraId="734845AB"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TERMOGAS SOLUCIONES ENERGETICAS SAS ESP</w:t>
            </w:r>
          </w:p>
        </w:tc>
        <w:tc>
          <w:tcPr>
            <w:tcW w:w="1602" w:type="dxa"/>
            <w:tcBorders>
              <w:top w:val="nil"/>
              <w:left w:val="nil"/>
              <w:bottom w:val="single" w:sz="4" w:space="0" w:color="auto"/>
              <w:right w:val="single" w:sz="4" w:space="0" w:color="auto"/>
            </w:tcBorders>
            <w:shd w:val="clear" w:color="auto" w:fill="auto"/>
            <w:noWrap/>
            <w:vAlign w:val="center"/>
            <w:hideMark/>
          </w:tcPr>
          <w:p w14:paraId="36A5B6DE" w14:textId="58A29CEB"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51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378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776 </w:t>
            </w:r>
          </w:p>
        </w:tc>
        <w:tc>
          <w:tcPr>
            <w:tcW w:w="1418" w:type="dxa"/>
            <w:tcBorders>
              <w:top w:val="nil"/>
              <w:left w:val="nil"/>
              <w:bottom w:val="single" w:sz="4" w:space="0" w:color="auto"/>
              <w:right w:val="single" w:sz="4" w:space="0" w:color="auto"/>
            </w:tcBorders>
            <w:shd w:val="clear" w:color="auto" w:fill="auto"/>
            <w:noWrap/>
            <w:vAlign w:val="center"/>
            <w:hideMark/>
          </w:tcPr>
          <w:p w14:paraId="0E654555" w14:textId="716ABF15"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513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788 </w:t>
            </w:r>
          </w:p>
        </w:tc>
      </w:tr>
      <w:tr w:rsidR="009A21D7" w:rsidRPr="00374360" w14:paraId="4F528362"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7B1231E"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327</w:t>
            </w:r>
          </w:p>
        </w:tc>
        <w:tc>
          <w:tcPr>
            <w:tcW w:w="660" w:type="dxa"/>
            <w:tcBorders>
              <w:top w:val="nil"/>
              <w:left w:val="nil"/>
              <w:bottom w:val="single" w:sz="4" w:space="0" w:color="auto"/>
              <w:right w:val="single" w:sz="4" w:space="0" w:color="auto"/>
            </w:tcBorders>
            <w:shd w:val="clear" w:color="auto" w:fill="auto"/>
            <w:noWrap/>
            <w:vAlign w:val="center"/>
            <w:hideMark/>
          </w:tcPr>
          <w:p w14:paraId="719D09F7"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37814</w:t>
            </w:r>
          </w:p>
        </w:tc>
        <w:tc>
          <w:tcPr>
            <w:tcW w:w="879" w:type="dxa"/>
            <w:tcBorders>
              <w:top w:val="nil"/>
              <w:left w:val="nil"/>
              <w:bottom w:val="single" w:sz="4" w:space="0" w:color="auto"/>
              <w:right w:val="single" w:sz="4" w:space="0" w:color="auto"/>
            </w:tcBorders>
            <w:shd w:val="clear" w:color="auto" w:fill="auto"/>
            <w:noWrap/>
            <w:vAlign w:val="center"/>
            <w:hideMark/>
          </w:tcPr>
          <w:p w14:paraId="3094414B"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900334431</w:t>
            </w:r>
          </w:p>
        </w:tc>
        <w:tc>
          <w:tcPr>
            <w:tcW w:w="3913" w:type="dxa"/>
            <w:tcBorders>
              <w:top w:val="nil"/>
              <w:left w:val="nil"/>
              <w:bottom w:val="single" w:sz="4" w:space="0" w:color="auto"/>
              <w:right w:val="single" w:sz="4" w:space="0" w:color="auto"/>
            </w:tcBorders>
            <w:shd w:val="clear" w:color="auto" w:fill="auto"/>
            <w:vAlign w:val="center"/>
            <w:hideMark/>
          </w:tcPr>
          <w:p w14:paraId="429997C3"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TERMONORTE SAS ESP</w:t>
            </w:r>
          </w:p>
        </w:tc>
        <w:tc>
          <w:tcPr>
            <w:tcW w:w="1602" w:type="dxa"/>
            <w:tcBorders>
              <w:top w:val="nil"/>
              <w:left w:val="nil"/>
              <w:bottom w:val="single" w:sz="4" w:space="0" w:color="auto"/>
              <w:right w:val="single" w:sz="4" w:space="0" w:color="auto"/>
            </w:tcBorders>
            <w:shd w:val="clear" w:color="auto" w:fill="auto"/>
            <w:noWrap/>
            <w:vAlign w:val="center"/>
            <w:hideMark/>
          </w:tcPr>
          <w:p w14:paraId="195FF28D" w14:textId="760382D1"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910</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178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416 </w:t>
            </w:r>
          </w:p>
        </w:tc>
        <w:tc>
          <w:tcPr>
            <w:tcW w:w="1418" w:type="dxa"/>
            <w:tcBorders>
              <w:top w:val="nil"/>
              <w:left w:val="nil"/>
              <w:bottom w:val="single" w:sz="4" w:space="0" w:color="auto"/>
              <w:right w:val="single" w:sz="4" w:space="0" w:color="auto"/>
            </w:tcBorders>
            <w:shd w:val="clear" w:color="auto" w:fill="auto"/>
            <w:noWrap/>
            <w:vAlign w:val="center"/>
            <w:hideMark/>
          </w:tcPr>
          <w:p w14:paraId="10E8D57B" w14:textId="27316F0F"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19</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101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784 </w:t>
            </w:r>
          </w:p>
        </w:tc>
      </w:tr>
      <w:tr w:rsidR="009A21D7" w:rsidRPr="00374360" w14:paraId="5C2FAD7B"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B872D2E"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328</w:t>
            </w:r>
          </w:p>
        </w:tc>
        <w:tc>
          <w:tcPr>
            <w:tcW w:w="660" w:type="dxa"/>
            <w:tcBorders>
              <w:top w:val="nil"/>
              <w:left w:val="nil"/>
              <w:bottom w:val="single" w:sz="4" w:space="0" w:color="auto"/>
              <w:right w:val="single" w:sz="4" w:space="0" w:color="auto"/>
            </w:tcBorders>
            <w:shd w:val="clear" w:color="auto" w:fill="auto"/>
            <w:noWrap/>
            <w:vAlign w:val="center"/>
            <w:hideMark/>
          </w:tcPr>
          <w:p w14:paraId="7BDD0ABC"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2412</w:t>
            </w:r>
          </w:p>
        </w:tc>
        <w:tc>
          <w:tcPr>
            <w:tcW w:w="879" w:type="dxa"/>
            <w:tcBorders>
              <w:top w:val="nil"/>
              <w:left w:val="nil"/>
              <w:bottom w:val="single" w:sz="4" w:space="0" w:color="auto"/>
              <w:right w:val="single" w:sz="4" w:space="0" w:color="auto"/>
            </w:tcBorders>
            <w:shd w:val="clear" w:color="auto" w:fill="auto"/>
            <w:noWrap/>
            <w:vAlign w:val="center"/>
            <w:hideMark/>
          </w:tcPr>
          <w:p w14:paraId="69F1C402"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830058506</w:t>
            </w:r>
          </w:p>
        </w:tc>
        <w:tc>
          <w:tcPr>
            <w:tcW w:w="3913" w:type="dxa"/>
            <w:tcBorders>
              <w:top w:val="nil"/>
              <w:left w:val="nil"/>
              <w:bottom w:val="single" w:sz="4" w:space="0" w:color="auto"/>
              <w:right w:val="single" w:sz="4" w:space="0" w:color="auto"/>
            </w:tcBorders>
            <w:shd w:val="clear" w:color="auto" w:fill="auto"/>
            <w:vAlign w:val="center"/>
            <w:hideMark/>
          </w:tcPr>
          <w:p w14:paraId="7AF96859"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TERMOPIEDRAS S.A. E.S.P.</w:t>
            </w:r>
          </w:p>
        </w:tc>
        <w:tc>
          <w:tcPr>
            <w:tcW w:w="1602" w:type="dxa"/>
            <w:tcBorders>
              <w:top w:val="nil"/>
              <w:left w:val="nil"/>
              <w:bottom w:val="single" w:sz="4" w:space="0" w:color="auto"/>
              <w:right w:val="single" w:sz="4" w:space="0" w:color="auto"/>
            </w:tcBorders>
            <w:shd w:val="clear" w:color="auto" w:fill="auto"/>
            <w:noWrap/>
            <w:vAlign w:val="center"/>
            <w:hideMark/>
          </w:tcPr>
          <w:p w14:paraId="4D25268D" w14:textId="7FBE847B"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201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384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943 </w:t>
            </w:r>
          </w:p>
        </w:tc>
        <w:tc>
          <w:tcPr>
            <w:tcW w:w="1418" w:type="dxa"/>
            <w:tcBorders>
              <w:top w:val="nil"/>
              <w:left w:val="nil"/>
              <w:bottom w:val="single" w:sz="4" w:space="0" w:color="auto"/>
              <w:right w:val="single" w:sz="4" w:space="0" w:color="auto"/>
            </w:tcBorders>
            <w:shd w:val="clear" w:color="auto" w:fill="auto"/>
            <w:noWrap/>
            <w:vAlign w:val="center"/>
            <w:hideMark/>
          </w:tcPr>
          <w:p w14:paraId="2544D1C1" w14:textId="2E7E519D"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013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849 </w:t>
            </w:r>
          </w:p>
        </w:tc>
      </w:tr>
      <w:tr w:rsidR="009A21D7" w:rsidRPr="00374360" w14:paraId="489AD809"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C1F35C1"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329</w:t>
            </w:r>
          </w:p>
        </w:tc>
        <w:tc>
          <w:tcPr>
            <w:tcW w:w="660" w:type="dxa"/>
            <w:tcBorders>
              <w:top w:val="nil"/>
              <w:left w:val="nil"/>
              <w:bottom w:val="single" w:sz="4" w:space="0" w:color="auto"/>
              <w:right w:val="single" w:sz="4" w:space="0" w:color="auto"/>
            </w:tcBorders>
            <w:shd w:val="clear" w:color="auto" w:fill="auto"/>
            <w:noWrap/>
            <w:vAlign w:val="center"/>
            <w:hideMark/>
          </w:tcPr>
          <w:p w14:paraId="445E006F"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26108</w:t>
            </w:r>
          </w:p>
        </w:tc>
        <w:tc>
          <w:tcPr>
            <w:tcW w:w="879" w:type="dxa"/>
            <w:tcBorders>
              <w:top w:val="nil"/>
              <w:left w:val="nil"/>
              <w:bottom w:val="single" w:sz="4" w:space="0" w:color="auto"/>
              <w:right w:val="single" w:sz="4" w:space="0" w:color="auto"/>
            </w:tcBorders>
            <w:shd w:val="clear" w:color="auto" w:fill="auto"/>
            <w:noWrap/>
            <w:vAlign w:val="center"/>
            <w:hideMark/>
          </w:tcPr>
          <w:p w14:paraId="65437B90"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900519716</w:t>
            </w:r>
          </w:p>
        </w:tc>
        <w:tc>
          <w:tcPr>
            <w:tcW w:w="3913" w:type="dxa"/>
            <w:tcBorders>
              <w:top w:val="nil"/>
              <w:left w:val="nil"/>
              <w:bottom w:val="single" w:sz="4" w:space="0" w:color="auto"/>
              <w:right w:val="single" w:sz="4" w:space="0" w:color="auto"/>
            </w:tcBorders>
            <w:shd w:val="clear" w:color="auto" w:fill="auto"/>
            <w:vAlign w:val="center"/>
            <w:hideMark/>
          </w:tcPr>
          <w:p w14:paraId="68E829F6"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TERMOTASAJERO DOS S.A. E.S.P.</w:t>
            </w:r>
          </w:p>
        </w:tc>
        <w:tc>
          <w:tcPr>
            <w:tcW w:w="1602" w:type="dxa"/>
            <w:tcBorders>
              <w:top w:val="nil"/>
              <w:left w:val="nil"/>
              <w:bottom w:val="single" w:sz="4" w:space="0" w:color="auto"/>
              <w:right w:val="single" w:sz="4" w:space="0" w:color="auto"/>
            </w:tcBorders>
            <w:shd w:val="clear" w:color="auto" w:fill="auto"/>
            <w:noWrap/>
            <w:vAlign w:val="center"/>
            <w:hideMark/>
          </w:tcPr>
          <w:p w14:paraId="2D9EBCBA" w14:textId="4AED6CED"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415</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795</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184 </w:t>
            </w:r>
          </w:p>
        </w:tc>
        <w:tc>
          <w:tcPr>
            <w:tcW w:w="1418" w:type="dxa"/>
            <w:tcBorders>
              <w:top w:val="nil"/>
              <w:left w:val="nil"/>
              <w:bottom w:val="single" w:sz="4" w:space="0" w:color="auto"/>
              <w:right w:val="single" w:sz="4" w:space="0" w:color="auto"/>
            </w:tcBorders>
            <w:shd w:val="clear" w:color="auto" w:fill="auto"/>
            <w:noWrap/>
            <w:vAlign w:val="center"/>
            <w:hideMark/>
          </w:tcPr>
          <w:p w14:paraId="3DBAF6CC" w14:textId="3F0DD298"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157</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952 </w:t>
            </w:r>
          </w:p>
        </w:tc>
      </w:tr>
      <w:tr w:rsidR="009A21D7" w:rsidRPr="00374360" w14:paraId="1D989041"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75EA8A2"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330</w:t>
            </w:r>
          </w:p>
        </w:tc>
        <w:tc>
          <w:tcPr>
            <w:tcW w:w="660" w:type="dxa"/>
            <w:tcBorders>
              <w:top w:val="nil"/>
              <w:left w:val="nil"/>
              <w:bottom w:val="single" w:sz="4" w:space="0" w:color="auto"/>
              <w:right w:val="single" w:sz="4" w:space="0" w:color="auto"/>
            </w:tcBorders>
            <w:shd w:val="clear" w:color="auto" w:fill="auto"/>
            <w:noWrap/>
            <w:vAlign w:val="center"/>
            <w:hideMark/>
          </w:tcPr>
          <w:p w14:paraId="0578471E"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22144</w:t>
            </w:r>
          </w:p>
        </w:tc>
        <w:tc>
          <w:tcPr>
            <w:tcW w:w="879" w:type="dxa"/>
            <w:tcBorders>
              <w:top w:val="nil"/>
              <w:left w:val="nil"/>
              <w:bottom w:val="single" w:sz="4" w:space="0" w:color="auto"/>
              <w:right w:val="single" w:sz="4" w:space="0" w:color="auto"/>
            </w:tcBorders>
            <w:shd w:val="clear" w:color="auto" w:fill="auto"/>
            <w:noWrap/>
            <w:vAlign w:val="center"/>
            <w:hideMark/>
          </w:tcPr>
          <w:p w14:paraId="724CEB8A"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900161460</w:t>
            </w:r>
          </w:p>
        </w:tc>
        <w:tc>
          <w:tcPr>
            <w:tcW w:w="3913" w:type="dxa"/>
            <w:tcBorders>
              <w:top w:val="nil"/>
              <w:left w:val="nil"/>
              <w:bottom w:val="single" w:sz="4" w:space="0" w:color="auto"/>
              <w:right w:val="single" w:sz="4" w:space="0" w:color="auto"/>
            </w:tcBorders>
            <w:shd w:val="clear" w:color="auto" w:fill="auto"/>
            <w:vAlign w:val="center"/>
            <w:hideMark/>
          </w:tcPr>
          <w:p w14:paraId="0BF4FC54"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TERMOTASAJERO SA ESP</w:t>
            </w:r>
          </w:p>
        </w:tc>
        <w:tc>
          <w:tcPr>
            <w:tcW w:w="1602" w:type="dxa"/>
            <w:tcBorders>
              <w:top w:val="nil"/>
              <w:left w:val="nil"/>
              <w:bottom w:val="single" w:sz="4" w:space="0" w:color="auto"/>
              <w:right w:val="single" w:sz="4" w:space="0" w:color="auto"/>
            </w:tcBorders>
            <w:shd w:val="clear" w:color="auto" w:fill="auto"/>
            <w:noWrap/>
            <w:vAlign w:val="center"/>
            <w:hideMark/>
          </w:tcPr>
          <w:p w14:paraId="5080EB45" w14:textId="11789EE3"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15</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596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131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935 </w:t>
            </w:r>
          </w:p>
        </w:tc>
        <w:tc>
          <w:tcPr>
            <w:tcW w:w="1418" w:type="dxa"/>
            <w:tcBorders>
              <w:top w:val="nil"/>
              <w:left w:val="nil"/>
              <w:bottom w:val="single" w:sz="4" w:space="0" w:color="auto"/>
              <w:right w:val="single" w:sz="4" w:space="0" w:color="auto"/>
            </w:tcBorders>
            <w:shd w:val="clear" w:color="auto" w:fill="auto"/>
            <w:noWrap/>
            <w:vAlign w:val="center"/>
            <w:hideMark/>
          </w:tcPr>
          <w:p w14:paraId="7CCE9E37" w14:textId="1054F3E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155</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961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319 </w:t>
            </w:r>
          </w:p>
        </w:tc>
      </w:tr>
      <w:tr w:rsidR="009A21D7" w:rsidRPr="00374360" w14:paraId="37AEBFEE"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0E2D33A"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331</w:t>
            </w:r>
          </w:p>
        </w:tc>
        <w:tc>
          <w:tcPr>
            <w:tcW w:w="660" w:type="dxa"/>
            <w:tcBorders>
              <w:top w:val="nil"/>
              <w:left w:val="nil"/>
              <w:bottom w:val="single" w:sz="4" w:space="0" w:color="auto"/>
              <w:right w:val="single" w:sz="4" w:space="0" w:color="auto"/>
            </w:tcBorders>
            <w:shd w:val="clear" w:color="auto" w:fill="auto"/>
            <w:noWrap/>
            <w:vAlign w:val="center"/>
            <w:hideMark/>
          </w:tcPr>
          <w:p w14:paraId="18CE01BC"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1806</w:t>
            </w:r>
          </w:p>
        </w:tc>
        <w:tc>
          <w:tcPr>
            <w:tcW w:w="879" w:type="dxa"/>
            <w:tcBorders>
              <w:top w:val="nil"/>
              <w:left w:val="nil"/>
              <w:bottom w:val="single" w:sz="4" w:space="0" w:color="auto"/>
              <w:right w:val="single" w:sz="4" w:space="0" w:color="auto"/>
            </w:tcBorders>
            <w:shd w:val="clear" w:color="auto" w:fill="auto"/>
            <w:noWrap/>
            <w:vAlign w:val="center"/>
            <w:hideMark/>
          </w:tcPr>
          <w:p w14:paraId="32253C7A"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805003351</w:t>
            </w:r>
          </w:p>
        </w:tc>
        <w:tc>
          <w:tcPr>
            <w:tcW w:w="3913" w:type="dxa"/>
            <w:tcBorders>
              <w:top w:val="nil"/>
              <w:left w:val="nil"/>
              <w:bottom w:val="single" w:sz="4" w:space="0" w:color="auto"/>
              <w:right w:val="single" w:sz="4" w:space="0" w:color="auto"/>
            </w:tcBorders>
            <w:shd w:val="clear" w:color="auto" w:fill="auto"/>
            <w:vAlign w:val="center"/>
            <w:hideMark/>
          </w:tcPr>
          <w:p w14:paraId="598DD59E"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TERMOVALLE S.A.S. E.S.P</w:t>
            </w:r>
          </w:p>
        </w:tc>
        <w:tc>
          <w:tcPr>
            <w:tcW w:w="1602" w:type="dxa"/>
            <w:tcBorders>
              <w:top w:val="nil"/>
              <w:left w:val="nil"/>
              <w:bottom w:val="single" w:sz="4" w:space="0" w:color="auto"/>
              <w:right w:val="single" w:sz="4" w:space="0" w:color="auto"/>
            </w:tcBorders>
            <w:shd w:val="clear" w:color="auto" w:fill="auto"/>
            <w:noWrap/>
            <w:vAlign w:val="center"/>
            <w:hideMark/>
          </w:tcPr>
          <w:p w14:paraId="314906EC" w14:textId="5B741553"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715</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703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421 </w:t>
            </w:r>
          </w:p>
        </w:tc>
        <w:tc>
          <w:tcPr>
            <w:tcW w:w="1418" w:type="dxa"/>
            <w:tcBorders>
              <w:top w:val="nil"/>
              <w:left w:val="nil"/>
              <w:bottom w:val="single" w:sz="4" w:space="0" w:color="auto"/>
              <w:right w:val="single" w:sz="4" w:space="0" w:color="auto"/>
            </w:tcBorders>
            <w:shd w:val="clear" w:color="auto" w:fill="auto"/>
            <w:noWrap/>
            <w:vAlign w:val="center"/>
            <w:hideMark/>
          </w:tcPr>
          <w:p w14:paraId="599B58E9" w14:textId="261DA0DD"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47</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157</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034 </w:t>
            </w:r>
          </w:p>
        </w:tc>
      </w:tr>
      <w:tr w:rsidR="009A21D7" w:rsidRPr="00374360" w14:paraId="74D9B172"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605ECC5"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332</w:t>
            </w:r>
          </w:p>
        </w:tc>
        <w:tc>
          <w:tcPr>
            <w:tcW w:w="660" w:type="dxa"/>
            <w:tcBorders>
              <w:top w:val="nil"/>
              <w:left w:val="nil"/>
              <w:bottom w:val="single" w:sz="4" w:space="0" w:color="auto"/>
              <w:right w:val="single" w:sz="4" w:space="0" w:color="auto"/>
            </w:tcBorders>
            <w:shd w:val="clear" w:color="auto" w:fill="auto"/>
            <w:noWrap/>
            <w:vAlign w:val="center"/>
            <w:hideMark/>
          </w:tcPr>
          <w:p w14:paraId="6C591D34"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20033</w:t>
            </w:r>
          </w:p>
        </w:tc>
        <w:tc>
          <w:tcPr>
            <w:tcW w:w="879" w:type="dxa"/>
            <w:tcBorders>
              <w:top w:val="nil"/>
              <w:left w:val="nil"/>
              <w:bottom w:val="single" w:sz="4" w:space="0" w:color="auto"/>
              <w:right w:val="single" w:sz="4" w:space="0" w:color="auto"/>
            </w:tcBorders>
            <w:shd w:val="clear" w:color="auto" w:fill="auto"/>
            <w:noWrap/>
            <w:vAlign w:val="center"/>
            <w:hideMark/>
          </w:tcPr>
          <w:p w14:paraId="31C2335A"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830129277</w:t>
            </w:r>
          </w:p>
        </w:tc>
        <w:tc>
          <w:tcPr>
            <w:tcW w:w="3913" w:type="dxa"/>
            <w:tcBorders>
              <w:top w:val="nil"/>
              <w:left w:val="nil"/>
              <w:bottom w:val="single" w:sz="4" w:space="0" w:color="auto"/>
              <w:right w:val="single" w:sz="4" w:space="0" w:color="auto"/>
            </w:tcBorders>
            <w:shd w:val="clear" w:color="auto" w:fill="auto"/>
            <w:vAlign w:val="center"/>
            <w:hideMark/>
          </w:tcPr>
          <w:p w14:paraId="0238C70F"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TERMOYOPAL GENERACION 2 S.A.S. E.S.P.</w:t>
            </w:r>
          </w:p>
        </w:tc>
        <w:tc>
          <w:tcPr>
            <w:tcW w:w="1602" w:type="dxa"/>
            <w:tcBorders>
              <w:top w:val="nil"/>
              <w:left w:val="nil"/>
              <w:bottom w:val="single" w:sz="4" w:space="0" w:color="auto"/>
              <w:right w:val="single" w:sz="4" w:space="0" w:color="auto"/>
            </w:tcBorders>
            <w:shd w:val="clear" w:color="auto" w:fill="auto"/>
            <w:noWrap/>
            <w:vAlign w:val="center"/>
            <w:hideMark/>
          </w:tcPr>
          <w:p w14:paraId="5739493D" w14:textId="0F62E719"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294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731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323 </w:t>
            </w:r>
          </w:p>
        </w:tc>
        <w:tc>
          <w:tcPr>
            <w:tcW w:w="1418" w:type="dxa"/>
            <w:tcBorders>
              <w:top w:val="nil"/>
              <w:left w:val="nil"/>
              <w:bottom w:val="single" w:sz="4" w:space="0" w:color="auto"/>
              <w:right w:val="single" w:sz="4" w:space="0" w:color="auto"/>
            </w:tcBorders>
            <w:shd w:val="clear" w:color="auto" w:fill="auto"/>
            <w:noWrap/>
            <w:vAlign w:val="center"/>
            <w:hideMark/>
          </w:tcPr>
          <w:p w14:paraId="4BBB8B3E" w14:textId="59B0FDC0"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947</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313 </w:t>
            </w:r>
          </w:p>
        </w:tc>
      </w:tr>
      <w:tr w:rsidR="009A21D7" w:rsidRPr="00374360" w14:paraId="639C6ACB"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E796024"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333</w:t>
            </w:r>
          </w:p>
        </w:tc>
        <w:tc>
          <w:tcPr>
            <w:tcW w:w="660" w:type="dxa"/>
            <w:tcBorders>
              <w:top w:val="nil"/>
              <w:left w:val="nil"/>
              <w:bottom w:val="single" w:sz="4" w:space="0" w:color="auto"/>
              <w:right w:val="single" w:sz="4" w:space="0" w:color="auto"/>
            </w:tcBorders>
            <w:shd w:val="clear" w:color="auto" w:fill="auto"/>
            <w:noWrap/>
            <w:vAlign w:val="center"/>
            <w:hideMark/>
          </w:tcPr>
          <w:p w14:paraId="716A3D7C"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31191</w:t>
            </w:r>
          </w:p>
        </w:tc>
        <w:tc>
          <w:tcPr>
            <w:tcW w:w="879" w:type="dxa"/>
            <w:tcBorders>
              <w:top w:val="nil"/>
              <w:left w:val="nil"/>
              <w:bottom w:val="single" w:sz="4" w:space="0" w:color="auto"/>
              <w:right w:val="single" w:sz="4" w:space="0" w:color="auto"/>
            </w:tcBorders>
            <w:shd w:val="clear" w:color="auto" w:fill="auto"/>
            <w:noWrap/>
            <w:vAlign w:val="center"/>
            <w:hideMark/>
          </w:tcPr>
          <w:p w14:paraId="13C5BA48"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900433032</w:t>
            </w:r>
          </w:p>
        </w:tc>
        <w:tc>
          <w:tcPr>
            <w:tcW w:w="3913" w:type="dxa"/>
            <w:tcBorders>
              <w:top w:val="nil"/>
              <w:left w:val="nil"/>
              <w:bottom w:val="single" w:sz="4" w:space="0" w:color="auto"/>
              <w:right w:val="single" w:sz="4" w:space="0" w:color="auto"/>
            </w:tcBorders>
            <w:shd w:val="clear" w:color="auto" w:fill="auto"/>
            <w:vAlign w:val="center"/>
            <w:hideMark/>
          </w:tcPr>
          <w:p w14:paraId="238815EE"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TERPEL ENERGIA S.A.S E.S.P</w:t>
            </w:r>
          </w:p>
        </w:tc>
        <w:tc>
          <w:tcPr>
            <w:tcW w:w="1602" w:type="dxa"/>
            <w:tcBorders>
              <w:top w:val="nil"/>
              <w:left w:val="nil"/>
              <w:bottom w:val="single" w:sz="4" w:space="0" w:color="auto"/>
              <w:right w:val="single" w:sz="4" w:space="0" w:color="auto"/>
            </w:tcBorders>
            <w:shd w:val="clear" w:color="auto" w:fill="auto"/>
            <w:noWrap/>
            <w:vAlign w:val="center"/>
            <w:hideMark/>
          </w:tcPr>
          <w:p w14:paraId="36BE00A9" w14:textId="60486AAB"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940</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967</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964 </w:t>
            </w:r>
          </w:p>
        </w:tc>
        <w:tc>
          <w:tcPr>
            <w:tcW w:w="1418" w:type="dxa"/>
            <w:tcBorders>
              <w:top w:val="nil"/>
              <w:left w:val="nil"/>
              <w:bottom w:val="single" w:sz="4" w:space="0" w:color="auto"/>
              <w:right w:val="single" w:sz="4" w:space="0" w:color="auto"/>
            </w:tcBorders>
            <w:shd w:val="clear" w:color="auto" w:fill="auto"/>
            <w:noWrap/>
            <w:vAlign w:val="center"/>
            <w:hideMark/>
          </w:tcPr>
          <w:p w14:paraId="322C2BE3" w14:textId="47AAE82F"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409</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680 </w:t>
            </w:r>
          </w:p>
        </w:tc>
      </w:tr>
      <w:tr w:rsidR="009A21D7" w:rsidRPr="00374360" w14:paraId="7DD5DD0B"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2B9EAF5"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334</w:t>
            </w:r>
          </w:p>
        </w:tc>
        <w:tc>
          <w:tcPr>
            <w:tcW w:w="660" w:type="dxa"/>
            <w:tcBorders>
              <w:top w:val="nil"/>
              <w:left w:val="nil"/>
              <w:bottom w:val="single" w:sz="4" w:space="0" w:color="auto"/>
              <w:right w:val="single" w:sz="4" w:space="0" w:color="auto"/>
            </w:tcBorders>
            <w:shd w:val="clear" w:color="auto" w:fill="auto"/>
            <w:noWrap/>
            <w:vAlign w:val="center"/>
            <w:hideMark/>
          </w:tcPr>
          <w:p w14:paraId="31775A20"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2247</w:t>
            </w:r>
          </w:p>
        </w:tc>
        <w:tc>
          <w:tcPr>
            <w:tcW w:w="879" w:type="dxa"/>
            <w:tcBorders>
              <w:top w:val="nil"/>
              <w:left w:val="nil"/>
              <w:bottom w:val="single" w:sz="4" w:space="0" w:color="auto"/>
              <w:right w:val="single" w:sz="4" w:space="0" w:color="auto"/>
            </w:tcBorders>
            <w:shd w:val="clear" w:color="auto" w:fill="auto"/>
            <w:noWrap/>
            <w:vAlign w:val="center"/>
            <w:hideMark/>
          </w:tcPr>
          <w:p w14:paraId="4AC93C0B"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802007669</w:t>
            </w:r>
          </w:p>
        </w:tc>
        <w:tc>
          <w:tcPr>
            <w:tcW w:w="3913" w:type="dxa"/>
            <w:tcBorders>
              <w:top w:val="nil"/>
              <w:left w:val="nil"/>
              <w:bottom w:val="single" w:sz="4" w:space="0" w:color="auto"/>
              <w:right w:val="single" w:sz="4" w:space="0" w:color="auto"/>
            </w:tcBorders>
            <w:shd w:val="clear" w:color="auto" w:fill="auto"/>
            <w:vAlign w:val="center"/>
            <w:hideMark/>
          </w:tcPr>
          <w:p w14:paraId="2511483E"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TRANSELCA S.A. E.S.P.</w:t>
            </w:r>
          </w:p>
        </w:tc>
        <w:tc>
          <w:tcPr>
            <w:tcW w:w="1602" w:type="dxa"/>
            <w:tcBorders>
              <w:top w:val="nil"/>
              <w:left w:val="nil"/>
              <w:bottom w:val="single" w:sz="4" w:space="0" w:color="auto"/>
              <w:right w:val="single" w:sz="4" w:space="0" w:color="auto"/>
            </w:tcBorders>
            <w:shd w:val="clear" w:color="auto" w:fill="auto"/>
            <w:noWrap/>
            <w:vAlign w:val="center"/>
            <w:hideMark/>
          </w:tcPr>
          <w:p w14:paraId="230D28A0" w14:textId="553111FD"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27</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877</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790</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086 </w:t>
            </w:r>
          </w:p>
        </w:tc>
        <w:tc>
          <w:tcPr>
            <w:tcW w:w="1418" w:type="dxa"/>
            <w:tcBorders>
              <w:top w:val="nil"/>
              <w:left w:val="nil"/>
              <w:bottom w:val="single" w:sz="4" w:space="0" w:color="auto"/>
              <w:right w:val="single" w:sz="4" w:space="0" w:color="auto"/>
            </w:tcBorders>
            <w:shd w:val="clear" w:color="auto" w:fill="auto"/>
            <w:noWrap/>
            <w:vAlign w:val="center"/>
            <w:hideMark/>
          </w:tcPr>
          <w:p w14:paraId="4ADC3B25" w14:textId="3AFAEEE0"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278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777</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901 </w:t>
            </w:r>
          </w:p>
        </w:tc>
      </w:tr>
      <w:tr w:rsidR="009A21D7" w:rsidRPr="00374360" w14:paraId="6B8D1A38"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08DF0B3"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335</w:t>
            </w:r>
          </w:p>
        </w:tc>
        <w:tc>
          <w:tcPr>
            <w:tcW w:w="660" w:type="dxa"/>
            <w:tcBorders>
              <w:top w:val="nil"/>
              <w:left w:val="nil"/>
              <w:bottom w:val="single" w:sz="4" w:space="0" w:color="auto"/>
              <w:right w:val="single" w:sz="4" w:space="0" w:color="auto"/>
            </w:tcBorders>
            <w:shd w:val="clear" w:color="auto" w:fill="auto"/>
            <w:noWrap/>
            <w:vAlign w:val="center"/>
            <w:hideMark/>
          </w:tcPr>
          <w:p w14:paraId="3057C6B0"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2264</w:t>
            </w:r>
          </w:p>
        </w:tc>
        <w:tc>
          <w:tcPr>
            <w:tcW w:w="879" w:type="dxa"/>
            <w:tcBorders>
              <w:top w:val="nil"/>
              <w:left w:val="nil"/>
              <w:bottom w:val="single" w:sz="4" w:space="0" w:color="auto"/>
              <w:right w:val="single" w:sz="4" w:space="0" w:color="auto"/>
            </w:tcBorders>
            <w:shd w:val="clear" w:color="auto" w:fill="auto"/>
            <w:noWrap/>
            <w:vAlign w:val="center"/>
            <w:hideMark/>
          </w:tcPr>
          <w:p w14:paraId="326E289A"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805010599</w:t>
            </w:r>
          </w:p>
        </w:tc>
        <w:tc>
          <w:tcPr>
            <w:tcW w:w="3913" w:type="dxa"/>
            <w:tcBorders>
              <w:top w:val="nil"/>
              <w:left w:val="nil"/>
              <w:bottom w:val="single" w:sz="4" w:space="0" w:color="auto"/>
              <w:right w:val="single" w:sz="4" w:space="0" w:color="auto"/>
            </w:tcBorders>
            <w:shd w:val="clear" w:color="auto" w:fill="auto"/>
            <w:vAlign w:val="center"/>
            <w:hideMark/>
          </w:tcPr>
          <w:p w14:paraId="47186D8B"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TRANSOCCIDENTE S.A . E.S.P.</w:t>
            </w:r>
          </w:p>
        </w:tc>
        <w:tc>
          <w:tcPr>
            <w:tcW w:w="1602" w:type="dxa"/>
            <w:tcBorders>
              <w:top w:val="nil"/>
              <w:left w:val="nil"/>
              <w:bottom w:val="single" w:sz="4" w:space="0" w:color="auto"/>
              <w:right w:val="single" w:sz="4" w:space="0" w:color="auto"/>
            </w:tcBorders>
            <w:shd w:val="clear" w:color="auto" w:fill="auto"/>
            <w:noWrap/>
            <w:vAlign w:val="center"/>
            <w:hideMark/>
          </w:tcPr>
          <w:p w14:paraId="0F2F3FEC" w14:textId="568BF804"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295</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020</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414 </w:t>
            </w:r>
          </w:p>
        </w:tc>
        <w:tc>
          <w:tcPr>
            <w:tcW w:w="1418" w:type="dxa"/>
            <w:tcBorders>
              <w:top w:val="nil"/>
              <w:left w:val="nil"/>
              <w:bottom w:val="single" w:sz="4" w:space="0" w:color="auto"/>
              <w:right w:val="single" w:sz="4" w:space="0" w:color="auto"/>
            </w:tcBorders>
            <w:shd w:val="clear" w:color="auto" w:fill="auto"/>
            <w:noWrap/>
            <w:vAlign w:val="center"/>
            <w:hideMark/>
          </w:tcPr>
          <w:p w14:paraId="22B3ECB8" w14:textId="3E04032F"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950</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204 </w:t>
            </w:r>
          </w:p>
        </w:tc>
      </w:tr>
      <w:tr w:rsidR="009A21D7" w:rsidRPr="00374360" w14:paraId="3A70B345" w14:textId="77777777" w:rsidTr="00C734CF">
        <w:trPr>
          <w:trHeight w:val="4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F33CC35"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336</w:t>
            </w:r>
          </w:p>
        </w:tc>
        <w:tc>
          <w:tcPr>
            <w:tcW w:w="660" w:type="dxa"/>
            <w:tcBorders>
              <w:top w:val="nil"/>
              <w:left w:val="nil"/>
              <w:bottom w:val="single" w:sz="4" w:space="0" w:color="auto"/>
              <w:right w:val="single" w:sz="4" w:space="0" w:color="auto"/>
            </w:tcBorders>
            <w:shd w:val="clear" w:color="auto" w:fill="auto"/>
            <w:noWrap/>
            <w:vAlign w:val="center"/>
            <w:hideMark/>
          </w:tcPr>
          <w:p w14:paraId="212DDC75"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21643</w:t>
            </w:r>
          </w:p>
        </w:tc>
        <w:tc>
          <w:tcPr>
            <w:tcW w:w="879" w:type="dxa"/>
            <w:tcBorders>
              <w:top w:val="nil"/>
              <w:left w:val="nil"/>
              <w:bottom w:val="single" w:sz="4" w:space="0" w:color="auto"/>
              <w:right w:val="single" w:sz="4" w:space="0" w:color="auto"/>
            </w:tcBorders>
            <w:shd w:val="clear" w:color="auto" w:fill="auto"/>
            <w:noWrap/>
            <w:vAlign w:val="center"/>
            <w:hideMark/>
          </w:tcPr>
          <w:p w14:paraId="776F27C0"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900134459</w:t>
            </w:r>
          </w:p>
        </w:tc>
        <w:tc>
          <w:tcPr>
            <w:tcW w:w="3913" w:type="dxa"/>
            <w:tcBorders>
              <w:top w:val="nil"/>
              <w:left w:val="nil"/>
              <w:bottom w:val="single" w:sz="4" w:space="0" w:color="auto"/>
              <w:right w:val="single" w:sz="4" w:space="0" w:color="auto"/>
            </w:tcBorders>
            <w:shd w:val="clear" w:color="auto" w:fill="auto"/>
            <w:vAlign w:val="center"/>
            <w:hideMark/>
          </w:tcPr>
          <w:p w14:paraId="7E54FA3D"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TRANSPORTADORA DE GAS INTERNACIONAL S.A. E.S.P.</w:t>
            </w:r>
          </w:p>
        </w:tc>
        <w:tc>
          <w:tcPr>
            <w:tcW w:w="1602" w:type="dxa"/>
            <w:tcBorders>
              <w:top w:val="nil"/>
              <w:left w:val="nil"/>
              <w:bottom w:val="single" w:sz="4" w:space="0" w:color="auto"/>
              <w:right w:val="single" w:sz="4" w:space="0" w:color="auto"/>
            </w:tcBorders>
            <w:shd w:val="clear" w:color="auto" w:fill="auto"/>
            <w:noWrap/>
            <w:vAlign w:val="center"/>
            <w:hideMark/>
          </w:tcPr>
          <w:p w14:paraId="1D11025A" w14:textId="52B69AE0"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121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420</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804 </w:t>
            </w:r>
          </w:p>
        </w:tc>
        <w:tc>
          <w:tcPr>
            <w:tcW w:w="1418" w:type="dxa"/>
            <w:tcBorders>
              <w:top w:val="nil"/>
              <w:left w:val="nil"/>
              <w:bottom w:val="single" w:sz="4" w:space="0" w:color="auto"/>
              <w:right w:val="single" w:sz="4" w:space="0" w:color="auto"/>
            </w:tcBorders>
            <w:shd w:val="clear" w:color="auto" w:fill="auto"/>
            <w:noWrap/>
            <w:vAlign w:val="center"/>
            <w:hideMark/>
          </w:tcPr>
          <w:p w14:paraId="30940AD7" w14:textId="45ED5C8A"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841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214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208 </w:t>
            </w:r>
          </w:p>
        </w:tc>
      </w:tr>
      <w:tr w:rsidR="009A21D7" w:rsidRPr="00374360" w14:paraId="042989F4"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09A3DC1"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337</w:t>
            </w:r>
          </w:p>
        </w:tc>
        <w:tc>
          <w:tcPr>
            <w:tcW w:w="660" w:type="dxa"/>
            <w:tcBorders>
              <w:top w:val="nil"/>
              <w:left w:val="nil"/>
              <w:bottom w:val="single" w:sz="4" w:space="0" w:color="auto"/>
              <w:right w:val="single" w:sz="4" w:space="0" w:color="auto"/>
            </w:tcBorders>
            <w:shd w:val="clear" w:color="auto" w:fill="auto"/>
            <w:noWrap/>
            <w:vAlign w:val="center"/>
            <w:hideMark/>
          </w:tcPr>
          <w:p w14:paraId="083FC6DF"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481</w:t>
            </w:r>
          </w:p>
        </w:tc>
        <w:tc>
          <w:tcPr>
            <w:tcW w:w="879" w:type="dxa"/>
            <w:tcBorders>
              <w:top w:val="nil"/>
              <w:left w:val="nil"/>
              <w:bottom w:val="single" w:sz="4" w:space="0" w:color="auto"/>
              <w:right w:val="single" w:sz="4" w:space="0" w:color="auto"/>
            </w:tcBorders>
            <w:shd w:val="clear" w:color="auto" w:fill="auto"/>
            <w:noWrap/>
            <w:vAlign w:val="center"/>
            <w:hideMark/>
          </w:tcPr>
          <w:p w14:paraId="11BCFD81"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800215347</w:t>
            </w:r>
          </w:p>
        </w:tc>
        <w:tc>
          <w:tcPr>
            <w:tcW w:w="3913" w:type="dxa"/>
            <w:tcBorders>
              <w:top w:val="nil"/>
              <w:left w:val="nil"/>
              <w:bottom w:val="single" w:sz="4" w:space="0" w:color="auto"/>
              <w:right w:val="single" w:sz="4" w:space="0" w:color="auto"/>
            </w:tcBorders>
            <w:shd w:val="clear" w:color="auto" w:fill="auto"/>
            <w:vAlign w:val="center"/>
            <w:hideMark/>
          </w:tcPr>
          <w:p w14:paraId="1A5602F3"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TRANSPORTADORA DE METANO E.S.P. S.A.</w:t>
            </w:r>
          </w:p>
        </w:tc>
        <w:tc>
          <w:tcPr>
            <w:tcW w:w="1602" w:type="dxa"/>
            <w:tcBorders>
              <w:top w:val="nil"/>
              <w:left w:val="nil"/>
              <w:bottom w:val="single" w:sz="4" w:space="0" w:color="auto"/>
              <w:right w:val="single" w:sz="4" w:space="0" w:color="auto"/>
            </w:tcBorders>
            <w:shd w:val="clear" w:color="auto" w:fill="auto"/>
            <w:noWrap/>
            <w:vAlign w:val="center"/>
            <w:hideMark/>
          </w:tcPr>
          <w:p w14:paraId="70BBE9E2" w14:textId="42607305"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5</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823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723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848 </w:t>
            </w:r>
          </w:p>
        </w:tc>
        <w:tc>
          <w:tcPr>
            <w:tcW w:w="1418" w:type="dxa"/>
            <w:tcBorders>
              <w:top w:val="nil"/>
              <w:left w:val="nil"/>
              <w:bottom w:val="single" w:sz="4" w:space="0" w:color="auto"/>
              <w:right w:val="single" w:sz="4" w:space="0" w:color="auto"/>
            </w:tcBorders>
            <w:shd w:val="clear" w:color="auto" w:fill="auto"/>
            <w:noWrap/>
            <w:vAlign w:val="center"/>
            <w:hideMark/>
          </w:tcPr>
          <w:p w14:paraId="7408797C" w14:textId="1D223F91"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58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237</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238 </w:t>
            </w:r>
          </w:p>
        </w:tc>
      </w:tr>
      <w:tr w:rsidR="009A21D7" w:rsidRPr="00374360" w14:paraId="3524A152"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89E0B84"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338</w:t>
            </w:r>
          </w:p>
        </w:tc>
        <w:tc>
          <w:tcPr>
            <w:tcW w:w="660" w:type="dxa"/>
            <w:tcBorders>
              <w:top w:val="nil"/>
              <w:left w:val="nil"/>
              <w:bottom w:val="single" w:sz="4" w:space="0" w:color="auto"/>
              <w:right w:val="single" w:sz="4" w:space="0" w:color="auto"/>
            </w:tcBorders>
            <w:shd w:val="clear" w:color="auto" w:fill="auto"/>
            <w:noWrap/>
            <w:vAlign w:val="center"/>
            <w:hideMark/>
          </w:tcPr>
          <w:p w14:paraId="722C916E"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20420</w:t>
            </w:r>
          </w:p>
        </w:tc>
        <w:tc>
          <w:tcPr>
            <w:tcW w:w="879" w:type="dxa"/>
            <w:tcBorders>
              <w:top w:val="nil"/>
              <w:left w:val="nil"/>
              <w:bottom w:val="single" w:sz="4" w:space="0" w:color="auto"/>
              <w:right w:val="single" w:sz="4" w:space="0" w:color="auto"/>
            </w:tcBorders>
            <w:shd w:val="clear" w:color="auto" w:fill="auto"/>
            <w:noWrap/>
            <w:vAlign w:val="center"/>
            <w:hideMark/>
          </w:tcPr>
          <w:p w14:paraId="32D417EE"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900028111</w:t>
            </w:r>
          </w:p>
        </w:tc>
        <w:tc>
          <w:tcPr>
            <w:tcW w:w="3913" w:type="dxa"/>
            <w:tcBorders>
              <w:top w:val="nil"/>
              <w:left w:val="nil"/>
              <w:bottom w:val="single" w:sz="4" w:space="0" w:color="auto"/>
              <w:right w:val="single" w:sz="4" w:space="0" w:color="auto"/>
            </w:tcBorders>
            <w:shd w:val="clear" w:color="auto" w:fill="auto"/>
            <w:vAlign w:val="center"/>
            <w:hideMark/>
          </w:tcPr>
          <w:p w14:paraId="0DA6DFC1"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TURGAS S.A. E.S.P.</w:t>
            </w:r>
          </w:p>
        </w:tc>
        <w:tc>
          <w:tcPr>
            <w:tcW w:w="1602" w:type="dxa"/>
            <w:tcBorders>
              <w:top w:val="nil"/>
              <w:left w:val="nil"/>
              <w:bottom w:val="single" w:sz="4" w:space="0" w:color="auto"/>
              <w:right w:val="single" w:sz="4" w:space="0" w:color="auto"/>
            </w:tcBorders>
            <w:shd w:val="clear" w:color="auto" w:fill="auto"/>
            <w:noWrap/>
            <w:vAlign w:val="center"/>
            <w:hideMark/>
          </w:tcPr>
          <w:p w14:paraId="55E29DDE" w14:textId="09295306"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008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898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941 </w:t>
            </w:r>
          </w:p>
        </w:tc>
        <w:tc>
          <w:tcPr>
            <w:tcW w:w="1418" w:type="dxa"/>
            <w:tcBorders>
              <w:top w:val="nil"/>
              <w:left w:val="nil"/>
              <w:bottom w:val="single" w:sz="4" w:space="0" w:color="auto"/>
              <w:right w:val="single" w:sz="4" w:space="0" w:color="auto"/>
            </w:tcBorders>
            <w:shd w:val="clear" w:color="auto" w:fill="auto"/>
            <w:noWrap/>
            <w:vAlign w:val="center"/>
            <w:hideMark/>
          </w:tcPr>
          <w:p w14:paraId="71CF34AC" w14:textId="33A6B2B3"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20</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088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989 </w:t>
            </w:r>
          </w:p>
        </w:tc>
      </w:tr>
      <w:tr w:rsidR="009A21D7" w:rsidRPr="00374360" w14:paraId="5E208EC3"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94DA3EC"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339</w:t>
            </w:r>
          </w:p>
        </w:tc>
        <w:tc>
          <w:tcPr>
            <w:tcW w:w="660" w:type="dxa"/>
            <w:tcBorders>
              <w:top w:val="nil"/>
              <w:left w:val="nil"/>
              <w:bottom w:val="single" w:sz="4" w:space="0" w:color="auto"/>
              <w:right w:val="single" w:sz="4" w:space="0" w:color="auto"/>
            </w:tcBorders>
            <w:shd w:val="clear" w:color="auto" w:fill="auto"/>
            <w:noWrap/>
            <w:vAlign w:val="center"/>
            <w:hideMark/>
          </w:tcPr>
          <w:p w14:paraId="12968C79"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22972</w:t>
            </w:r>
          </w:p>
        </w:tc>
        <w:tc>
          <w:tcPr>
            <w:tcW w:w="879" w:type="dxa"/>
            <w:tcBorders>
              <w:top w:val="nil"/>
              <w:left w:val="nil"/>
              <w:bottom w:val="single" w:sz="4" w:space="0" w:color="auto"/>
              <w:right w:val="single" w:sz="4" w:space="0" w:color="auto"/>
            </w:tcBorders>
            <w:shd w:val="clear" w:color="auto" w:fill="auto"/>
            <w:noWrap/>
            <w:vAlign w:val="center"/>
            <w:hideMark/>
          </w:tcPr>
          <w:p w14:paraId="3497BB79"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830058558</w:t>
            </w:r>
          </w:p>
        </w:tc>
        <w:tc>
          <w:tcPr>
            <w:tcW w:w="3913" w:type="dxa"/>
            <w:tcBorders>
              <w:top w:val="nil"/>
              <w:left w:val="nil"/>
              <w:bottom w:val="single" w:sz="4" w:space="0" w:color="auto"/>
              <w:right w:val="single" w:sz="4" w:space="0" w:color="auto"/>
            </w:tcBorders>
            <w:shd w:val="clear" w:color="auto" w:fill="auto"/>
            <w:vAlign w:val="center"/>
            <w:hideMark/>
          </w:tcPr>
          <w:p w14:paraId="3BFFEFAB"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TY GAS S.A. E.S.P.</w:t>
            </w:r>
          </w:p>
        </w:tc>
        <w:tc>
          <w:tcPr>
            <w:tcW w:w="1602" w:type="dxa"/>
            <w:tcBorders>
              <w:top w:val="nil"/>
              <w:left w:val="nil"/>
              <w:bottom w:val="single" w:sz="4" w:space="0" w:color="auto"/>
              <w:right w:val="single" w:sz="4" w:space="0" w:color="auto"/>
            </w:tcBorders>
            <w:shd w:val="clear" w:color="auto" w:fill="auto"/>
            <w:noWrap/>
            <w:vAlign w:val="center"/>
            <w:hideMark/>
          </w:tcPr>
          <w:p w14:paraId="649A3D60" w14:textId="1162B63E"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407</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186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250 </w:t>
            </w:r>
          </w:p>
        </w:tc>
        <w:tc>
          <w:tcPr>
            <w:tcW w:w="1418" w:type="dxa"/>
            <w:tcBorders>
              <w:top w:val="nil"/>
              <w:left w:val="nil"/>
              <w:bottom w:val="single" w:sz="4" w:space="0" w:color="auto"/>
              <w:right w:val="single" w:sz="4" w:space="0" w:color="auto"/>
            </w:tcBorders>
            <w:shd w:val="clear" w:color="auto" w:fill="auto"/>
            <w:noWrap/>
            <w:vAlign w:val="center"/>
            <w:hideMark/>
          </w:tcPr>
          <w:p w14:paraId="0C3165F1" w14:textId="12F630AF"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071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863 </w:t>
            </w:r>
          </w:p>
        </w:tc>
      </w:tr>
      <w:tr w:rsidR="009A21D7" w:rsidRPr="00374360" w14:paraId="15A3D5E9" w14:textId="77777777" w:rsidTr="00C734CF">
        <w:trPr>
          <w:trHeight w:val="6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211C23B"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340</w:t>
            </w:r>
          </w:p>
        </w:tc>
        <w:tc>
          <w:tcPr>
            <w:tcW w:w="660" w:type="dxa"/>
            <w:tcBorders>
              <w:top w:val="nil"/>
              <w:left w:val="nil"/>
              <w:bottom w:val="single" w:sz="4" w:space="0" w:color="auto"/>
              <w:right w:val="single" w:sz="4" w:space="0" w:color="auto"/>
            </w:tcBorders>
            <w:shd w:val="clear" w:color="auto" w:fill="auto"/>
            <w:noWrap/>
            <w:vAlign w:val="center"/>
            <w:hideMark/>
          </w:tcPr>
          <w:p w14:paraId="1E5520C9"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20172</w:t>
            </w:r>
          </w:p>
        </w:tc>
        <w:tc>
          <w:tcPr>
            <w:tcW w:w="879" w:type="dxa"/>
            <w:tcBorders>
              <w:top w:val="nil"/>
              <w:left w:val="nil"/>
              <w:bottom w:val="single" w:sz="4" w:space="0" w:color="auto"/>
              <w:right w:val="single" w:sz="4" w:space="0" w:color="auto"/>
            </w:tcBorders>
            <w:shd w:val="clear" w:color="auto" w:fill="auto"/>
            <w:noWrap/>
            <w:vAlign w:val="center"/>
            <w:hideMark/>
          </w:tcPr>
          <w:p w14:paraId="42D78035"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818000002</w:t>
            </w:r>
          </w:p>
        </w:tc>
        <w:tc>
          <w:tcPr>
            <w:tcW w:w="3913" w:type="dxa"/>
            <w:tcBorders>
              <w:top w:val="nil"/>
              <w:left w:val="nil"/>
              <w:bottom w:val="single" w:sz="4" w:space="0" w:color="auto"/>
              <w:right w:val="single" w:sz="4" w:space="0" w:color="auto"/>
            </w:tcBorders>
            <w:shd w:val="clear" w:color="auto" w:fill="auto"/>
            <w:vAlign w:val="center"/>
            <w:hideMark/>
          </w:tcPr>
          <w:p w14:paraId="605E4C24"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UNIDAD DE SERVICIOS PUBLICOS DE ENERGIA, ACUEDUCTO, ALCANTARILLO Y ASEO DEL MUNICIPIO LITORAL DEL SAN JUAN</w:t>
            </w:r>
          </w:p>
        </w:tc>
        <w:tc>
          <w:tcPr>
            <w:tcW w:w="1602" w:type="dxa"/>
            <w:tcBorders>
              <w:top w:val="nil"/>
              <w:left w:val="nil"/>
              <w:bottom w:val="single" w:sz="4" w:space="0" w:color="auto"/>
              <w:right w:val="single" w:sz="4" w:space="0" w:color="auto"/>
            </w:tcBorders>
            <w:shd w:val="clear" w:color="auto" w:fill="auto"/>
            <w:noWrap/>
            <w:vAlign w:val="center"/>
            <w:hideMark/>
          </w:tcPr>
          <w:p w14:paraId="1C9BE795" w14:textId="4FA47023"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130</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579</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304 </w:t>
            </w:r>
          </w:p>
        </w:tc>
        <w:tc>
          <w:tcPr>
            <w:tcW w:w="1418" w:type="dxa"/>
            <w:tcBorders>
              <w:top w:val="nil"/>
              <w:left w:val="nil"/>
              <w:bottom w:val="single" w:sz="4" w:space="0" w:color="auto"/>
              <w:right w:val="single" w:sz="4" w:space="0" w:color="auto"/>
            </w:tcBorders>
            <w:shd w:val="clear" w:color="auto" w:fill="auto"/>
            <w:noWrap/>
            <w:vAlign w:val="center"/>
            <w:hideMark/>
          </w:tcPr>
          <w:p w14:paraId="24100530" w14:textId="503C0A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305</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793 </w:t>
            </w:r>
          </w:p>
        </w:tc>
      </w:tr>
      <w:tr w:rsidR="009A21D7" w:rsidRPr="00374360" w14:paraId="4AF30E0B" w14:textId="77777777" w:rsidTr="00C734CF">
        <w:trPr>
          <w:trHeight w:val="4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9520C75"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341</w:t>
            </w:r>
          </w:p>
        </w:tc>
        <w:tc>
          <w:tcPr>
            <w:tcW w:w="660" w:type="dxa"/>
            <w:tcBorders>
              <w:top w:val="nil"/>
              <w:left w:val="nil"/>
              <w:bottom w:val="single" w:sz="4" w:space="0" w:color="auto"/>
              <w:right w:val="single" w:sz="4" w:space="0" w:color="auto"/>
            </w:tcBorders>
            <w:shd w:val="clear" w:color="auto" w:fill="auto"/>
            <w:noWrap/>
            <w:vAlign w:val="center"/>
            <w:hideMark/>
          </w:tcPr>
          <w:p w14:paraId="6BB4C2E9"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26771</w:t>
            </w:r>
          </w:p>
        </w:tc>
        <w:tc>
          <w:tcPr>
            <w:tcW w:w="879" w:type="dxa"/>
            <w:tcBorders>
              <w:top w:val="nil"/>
              <w:left w:val="nil"/>
              <w:bottom w:val="single" w:sz="4" w:space="0" w:color="auto"/>
              <w:right w:val="single" w:sz="4" w:space="0" w:color="auto"/>
            </w:tcBorders>
            <w:shd w:val="clear" w:color="auto" w:fill="auto"/>
            <w:noWrap/>
            <w:vAlign w:val="center"/>
            <w:hideMark/>
          </w:tcPr>
          <w:p w14:paraId="10A65FC1"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900635947</w:t>
            </w:r>
          </w:p>
        </w:tc>
        <w:tc>
          <w:tcPr>
            <w:tcW w:w="3913" w:type="dxa"/>
            <w:tcBorders>
              <w:top w:val="nil"/>
              <w:left w:val="nil"/>
              <w:bottom w:val="single" w:sz="4" w:space="0" w:color="auto"/>
              <w:right w:val="single" w:sz="4" w:space="0" w:color="auto"/>
            </w:tcBorders>
            <w:shd w:val="clear" w:color="auto" w:fill="auto"/>
            <w:vAlign w:val="center"/>
            <w:hideMark/>
          </w:tcPr>
          <w:p w14:paraId="59B4335F"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UNIFUND SAS EMPRESA DE SERVICIOS PUBLICOS</w:t>
            </w:r>
          </w:p>
        </w:tc>
        <w:tc>
          <w:tcPr>
            <w:tcW w:w="1602" w:type="dxa"/>
            <w:tcBorders>
              <w:top w:val="nil"/>
              <w:left w:val="nil"/>
              <w:bottom w:val="single" w:sz="4" w:space="0" w:color="auto"/>
              <w:right w:val="single" w:sz="4" w:space="0" w:color="auto"/>
            </w:tcBorders>
            <w:shd w:val="clear" w:color="auto" w:fill="auto"/>
            <w:noWrap/>
            <w:vAlign w:val="center"/>
            <w:hideMark/>
          </w:tcPr>
          <w:p w14:paraId="7123AF8E" w14:textId="1653D1CE"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607</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576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852 </w:t>
            </w:r>
          </w:p>
        </w:tc>
        <w:tc>
          <w:tcPr>
            <w:tcW w:w="1418" w:type="dxa"/>
            <w:tcBorders>
              <w:top w:val="nil"/>
              <w:left w:val="nil"/>
              <w:bottom w:val="single" w:sz="4" w:space="0" w:color="auto"/>
              <w:right w:val="single" w:sz="4" w:space="0" w:color="auto"/>
            </w:tcBorders>
            <w:shd w:val="clear" w:color="auto" w:fill="auto"/>
            <w:noWrap/>
            <w:vAlign w:val="center"/>
            <w:hideMark/>
          </w:tcPr>
          <w:p w14:paraId="0112D7F2" w14:textId="18162330"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 xml:space="preserve">                    66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075</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769 </w:t>
            </w:r>
          </w:p>
        </w:tc>
      </w:tr>
      <w:tr w:rsidR="009A21D7" w:rsidRPr="00374360" w14:paraId="7C1E5AC0"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96E9F80"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342</w:t>
            </w:r>
          </w:p>
        </w:tc>
        <w:tc>
          <w:tcPr>
            <w:tcW w:w="660" w:type="dxa"/>
            <w:tcBorders>
              <w:top w:val="nil"/>
              <w:left w:val="nil"/>
              <w:bottom w:val="single" w:sz="4" w:space="0" w:color="auto"/>
              <w:right w:val="single" w:sz="4" w:space="0" w:color="auto"/>
            </w:tcBorders>
            <w:shd w:val="clear" w:color="auto" w:fill="auto"/>
            <w:noWrap/>
            <w:vAlign w:val="center"/>
            <w:hideMark/>
          </w:tcPr>
          <w:p w14:paraId="53E9DF32"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46536</w:t>
            </w:r>
          </w:p>
        </w:tc>
        <w:tc>
          <w:tcPr>
            <w:tcW w:w="879" w:type="dxa"/>
            <w:tcBorders>
              <w:top w:val="nil"/>
              <w:left w:val="nil"/>
              <w:bottom w:val="single" w:sz="4" w:space="0" w:color="auto"/>
              <w:right w:val="single" w:sz="4" w:space="0" w:color="auto"/>
            </w:tcBorders>
            <w:shd w:val="clear" w:color="auto" w:fill="auto"/>
            <w:noWrap/>
            <w:vAlign w:val="center"/>
            <w:hideMark/>
          </w:tcPr>
          <w:p w14:paraId="4E245801"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900173892</w:t>
            </w:r>
          </w:p>
        </w:tc>
        <w:tc>
          <w:tcPr>
            <w:tcW w:w="3913" w:type="dxa"/>
            <w:tcBorders>
              <w:top w:val="nil"/>
              <w:left w:val="nil"/>
              <w:bottom w:val="single" w:sz="4" w:space="0" w:color="auto"/>
              <w:right w:val="single" w:sz="4" w:space="0" w:color="auto"/>
            </w:tcBorders>
            <w:shd w:val="clear" w:color="auto" w:fill="auto"/>
            <w:vAlign w:val="center"/>
            <w:hideMark/>
          </w:tcPr>
          <w:p w14:paraId="63510C35"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UTGC SAS ESP</w:t>
            </w:r>
          </w:p>
        </w:tc>
        <w:tc>
          <w:tcPr>
            <w:tcW w:w="1602" w:type="dxa"/>
            <w:tcBorders>
              <w:top w:val="nil"/>
              <w:left w:val="nil"/>
              <w:bottom w:val="single" w:sz="4" w:space="0" w:color="auto"/>
              <w:right w:val="single" w:sz="4" w:space="0" w:color="auto"/>
            </w:tcBorders>
            <w:shd w:val="clear" w:color="auto" w:fill="auto"/>
            <w:noWrap/>
            <w:vAlign w:val="center"/>
            <w:hideMark/>
          </w:tcPr>
          <w:p w14:paraId="374E3209" w14:textId="76CA78D4"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63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172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890 </w:t>
            </w:r>
          </w:p>
        </w:tc>
        <w:tc>
          <w:tcPr>
            <w:tcW w:w="1418" w:type="dxa"/>
            <w:tcBorders>
              <w:top w:val="nil"/>
              <w:left w:val="nil"/>
              <w:bottom w:val="single" w:sz="4" w:space="0" w:color="auto"/>
              <w:right w:val="single" w:sz="4" w:space="0" w:color="auto"/>
            </w:tcBorders>
            <w:shd w:val="clear" w:color="auto" w:fill="auto"/>
            <w:noWrap/>
            <w:vAlign w:val="center"/>
            <w:hideMark/>
          </w:tcPr>
          <w:p w14:paraId="4DE24282" w14:textId="69D3FC60"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631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729 </w:t>
            </w:r>
          </w:p>
        </w:tc>
      </w:tr>
      <w:tr w:rsidR="009A21D7" w:rsidRPr="00374360" w14:paraId="72ACCE9D"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38C7CAD"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343</w:t>
            </w:r>
          </w:p>
        </w:tc>
        <w:tc>
          <w:tcPr>
            <w:tcW w:w="660" w:type="dxa"/>
            <w:tcBorders>
              <w:top w:val="nil"/>
              <w:left w:val="nil"/>
              <w:bottom w:val="single" w:sz="4" w:space="0" w:color="auto"/>
              <w:right w:val="single" w:sz="4" w:space="0" w:color="auto"/>
            </w:tcBorders>
            <w:shd w:val="clear" w:color="auto" w:fill="auto"/>
            <w:noWrap/>
            <w:vAlign w:val="center"/>
            <w:hideMark/>
          </w:tcPr>
          <w:p w14:paraId="2F97B551"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2322</w:t>
            </w:r>
          </w:p>
        </w:tc>
        <w:tc>
          <w:tcPr>
            <w:tcW w:w="879" w:type="dxa"/>
            <w:tcBorders>
              <w:top w:val="nil"/>
              <w:left w:val="nil"/>
              <w:bottom w:val="single" w:sz="4" w:space="0" w:color="auto"/>
              <w:right w:val="single" w:sz="4" w:space="0" w:color="auto"/>
            </w:tcBorders>
            <w:shd w:val="clear" w:color="auto" w:fill="auto"/>
            <w:noWrap/>
            <w:vAlign w:val="center"/>
            <w:hideMark/>
          </w:tcPr>
          <w:p w14:paraId="6A13AE4E"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817001892</w:t>
            </w:r>
          </w:p>
        </w:tc>
        <w:tc>
          <w:tcPr>
            <w:tcW w:w="3913" w:type="dxa"/>
            <w:tcBorders>
              <w:top w:val="nil"/>
              <w:left w:val="nil"/>
              <w:bottom w:val="single" w:sz="4" w:space="0" w:color="auto"/>
              <w:right w:val="single" w:sz="4" w:space="0" w:color="auto"/>
            </w:tcBorders>
            <w:shd w:val="clear" w:color="auto" w:fill="auto"/>
            <w:vAlign w:val="center"/>
            <w:hideMark/>
          </w:tcPr>
          <w:p w14:paraId="1012C3ED"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VATIA S.A. E.S.P.</w:t>
            </w:r>
          </w:p>
        </w:tc>
        <w:tc>
          <w:tcPr>
            <w:tcW w:w="1602" w:type="dxa"/>
            <w:tcBorders>
              <w:top w:val="nil"/>
              <w:left w:val="nil"/>
              <w:bottom w:val="single" w:sz="4" w:space="0" w:color="auto"/>
              <w:right w:val="single" w:sz="4" w:space="0" w:color="auto"/>
            </w:tcBorders>
            <w:shd w:val="clear" w:color="auto" w:fill="auto"/>
            <w:noWrap/>
            <w:vAlign w:val="center"/>
            <w:hideMark/>
          </w:tcPr>
          <w:p w14:paraId="3AF3098E" w14:textId="508A4A7C"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150</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208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728 </w:t>
            </w:r>
          </w:p>
        </w:tc>
        <w:tc>
          <w:tcPr>
            <w:tcW w:w="1418" w:type="dxa"/>
            <w:tcBorders>
              <w:top w:val="nil"/>
              <w:left w:val="nil"/>
              <w:bottom w:val="single" w:sz="4" w:space="0" w:color="auto"/>
              <w:right w:val="single" w:sz="4" w:space="0" w:color="auto"/>
            </w:tcBorders>
            <w:shd w:val="clear" w:color="auto" w:fill="auto"/>
            <w:noWrap/>
            <w:vAlign w:val="center"/>
            <w:hideMark/>
          </w:tcPr>
          <w:p w14:paraId="18C257BE" w14:textId="0485E81D"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161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502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087 </w:t>
            </w:r>
          </w:p>
        </w:tc>
      </w:tr>
      <w:tr w:rsidR="009A21D7" w:rsidRPr="00374360" w14:paraId="76E47981"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A7F5EE2"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344</w:t>
            </w:r>
          </w:p>
        </w:tc>
        <w:tc>
          <w:tcPr>
            <w:tcW w:w="660" w:type="dxa"/>
            <w:tcBorders>
              <w:top w:val="nil"/>
              <w:left w:val="nil"/>
              <w:bottom w:val="single" w:sz="4" w:space="0" w:color="auto"/>
              <w:right w:val="single" w:sz="4" w:space="0" w:color="auto"/>
            </w:tcBorders>
            <w:shd w:val="clear" w:color="auto" w:fill="auto"/>
            <w:noWrap/>
            <w:vAlign w:val="center"/>
            <w:hideMark/>
          </w:tcPr>
          <w:p w14:paraId="3367FC10"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1855</w:t>
            </w:r>
          </w:p>
        </w:tc>
        <w:tc>
          <w:tcPr>
            <w:tcW w:w="879" w:type="dxa"/>
            <w:tcBorders>
              <w:top w:val="nil"/>
              <w:left w:val="nil"/>
              <w:bottom w:val="single" w:sz="4" w:space="0" w:color="auto"/>
              <w:right w:val="single" w:sz="4" w:space="0" w:color="auto"/>
            </w:tcBorders>
            <w:shd w:val="clear" w:color="auto" w:fill="auto"/>
            <w:noWrap/>
            <w:vAlign w:val="center"/>
            <w:hideMark/>
          </w:tcPr>
          <w:p w14:paraId="373DC43C"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805003583</w:t>
            </w:r>
          </w:p>
        </w:tc>
        <w:tc>
          <w:tcPr>
            <w:tcW w:w="3913" w:type="dxa"/>
            <w:tcBorders>
              <w:top w:val="nil"/>
              <w:left w:val="nil"/>
              <w:bottom w:val="single" w:sz="4" w:space="0" w:color="auto"/>
              <w:right w:val="single" w:sz="4" w:space="0" w:color="auto"/>
            </w:tcBorders>
            <w:shd w:val="clear" w:color="auto" w:fill="auto"/>
            <w:vAlign w:val="center"/>
            <w:hideMark/>
          </w:tcPr>
          <w:p w14:paraId="579E0424"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VELOGAS DE OCCIDENTE S.A. E.S.P.</w:t>
            </w:r>
          </w:p>
        </w:tc>
        <w:tc>
          <w:tcPr>
            <w:tcW w:w="1602" w:type="dxa"/>
            <w:tcBorders>
              <w:top w:val="nil"/>
              <w:left w:val="nil"/>
              <w:bottom w:val="single" w:sz="4" w:space="0" w:color="auto"/>
              <w:right w:val="single" w:sz="4" w:space="0" w:color="auto"/>
            </w:tcBorders>
            <w:shd w:val="clear" w:color="auto" w:fill="auto"/>
            <w:noWrap/>
            <w:vAlign w:val="center"/>
            <w:hideMark/>
          </w:tcPr>
          <w:p w14:paraId="6411CAD1" w14:textId="64585F6C"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310</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225</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258 </w:t>
            </w:r>
          </w:p>
        </w:tc>
        <w:tc>
          <w:tcPr>
            <w:tcW w:w="1418" w:type="dxa"/>
            <w:tcBorders>
              <w:top w:val="nil"/>
              <w:left w:val="nil"/>
              <w:bottom w:val="single" w:sz="4" w:space="0" w:color="auto"/>
              <w:right w:val="single" w:sz="4" w:space="0" w:color="auto"/>
            </w:tcBorders>
            <w:shd w:val="clear" w:color="auto" w:fill="auto"/>
            <w:noWrap/>
            <w:vAlign w:val="center"/>
            <w:hideMark/>
          </w:tcPr>
          <w:p w14:paraId="199EA9CA" w14:textId="20264FF8"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102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253 </w:t>
            </w:r>
          </w:p>
        </w:tc>
      </w:tr>
      <w:tr w:rsidR="009A21D7" w:rsidRPr="00374360" w14:paraId="25E7B1E0"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61642E0"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345</w:t>
            </w:r>
          </w:p>
        </w:tc>
        <w:tc>
          <w:tcPr>
            <w:tcW w:w="660" w:type="dxa"/>
            <w:tcBorders>
              <w:top w:val="nil"/>
              <w:left w:val="nil"/>
              <w:bottom w:val="single" w:sz="4" w:space="0" w:color="auto"/>
              <w:right w:val="single" w:sz="4" w:space="0" w:color="auto"/>
            </w:tcBorders>
            <w:shd w:val="clear" w:color="auto" w:fill="auto"/>
            <w:noWrap/>
            <w:vAlign w:val="center"/>
            <w:hideMark/>
          </w:tcPr>
          <w:p w14:paraId="0F104C57"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1115</w:t>
            </w:r>
          </w:p>
        </w:tc>
        <w:tc>
          <w:tcPr>
            <w:tcW w:w="879" w:type="dxa"/>
            <w:tcBorders>
              <w:top w:val="nil"/>
              <w:left w:val="nil"/>
              <w:bottom w:val="single" w:sz="4" w:space="0" w:color="auto"/>
              <w:right w:val="single" w:sz="4" w:space="0" w:color="auto"/>
            </w:tcBorders>
            <w:shd w:val="clear" w:color="auto" w:fill="auto"/>
            <w:noWrap/>
            <w:vAlign w:val="center"/>
            <w:hideMark/>
          </w:tcPr>
          <w:p w14:paraId="7F4D6B96"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800166132</w:t>
            </w:r>
          </w:p>
        </w:tc>
        <w:tc>
          <w:tcPr>
            <w:tcW w:w="3913" w:type="dxa"/>
            <w:tcBorders>
              <w:top w:val="nil"/>
              <w:left w:val="nil"/>
              <w:bottom w:val="single" w:sz="4" w:space="0" w:color="auto"/>
              <w:right w:val="single" w:sz="4" w:space="0" w:color="auto"/>
            </w:tcBorders>
            <w:shd w:val="clear" w:color="auto" w:fill="auto"/>
            <w:vAlign w:val="center"/>
            <w:hideMark/>
          </w:tcPr>
          <w:p w14:paraId="58254C5B"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VELOGAS S.A.  E.S.P.</w:t>
            </w:r>
          </w:p>
        </w:tc>
        <w:tc>
          <w:tcPr>
            <w:tcW w:w="1602" w:type="dxa"/>
            <w:tcBorders>
              <w:top w:val="nil"/>
              <w:left w:val="nil"/>
              <w:bottom w:val="single" w:sz="4" w:space="0" w:color="auto"/>
              <w:right w:val="single" w:sz="4" w:space="0" w:color="auto"/>
            </w:tcBorders>
            <w:shd w:val="clear" w:color="auto" w:fill="auto"/>
            <w:noWrap/>
            <w:vAlign w:val="center"/>
            <w:hideMark/>
          </w:tcPr>
          <w:p w14:paraId="29EF2A6F" w14:textId="2D518D0D"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334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984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135 </w:t>
            </w:r>
          </w:p>
        </w:tc>
        <w:tc>
          <w:tcPr>
            <w:tcW w:w="1418" w:type="dxa"/>
            <w:tcBorders>
              <w:top w:val="nil"/>
              <w:left w:val="nil"/>
              <w:bottom w:val="single" w:sz="4" w:space="0" w:color="auto"/>
              <w:right w:val="single" w:sz="4" w:space="0" w:color="auto"/>
            </w:tcBorders>
            <w:shd w:val="clear" w:color="auto" w:fill="auto"/>
            <w:noWrap/>
            <w:vAlign w:val="center"/>
            <w:hideMark/>
          </w:tcPr>
          <w:p w14:paraId="573BA2F7" w14:textId="78D68FBE"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349</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841 </w:t>
            </w:r>
          </w:p>
        </w:tc>
      </w:tr>
      <w:tr w:rsidR="009A21D7" w:rsidRPr="00374360" w14:paraId="59F0F44D"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49FB78A"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346</w:t>
            </w:r>
          </w:p>
        </w:tc>
        <w:tc>
          <w:tcPr>
            <w:tcW w:w="660" w:type="dxa"/>
            <w:tcBorders>
              <w:top w:val="nil"/>
              <w:left w:val="nil"/>
              <w:bottom w:val="single" w:sz="4" w:space="0" w:color="auto"/>
              <w:right w:val="single" w:sz="4" w:space="0" w:color="auto"/>
            </w:tcBorders>
            <w:shd w:val="clear" w:color="auto" w:fill="auto"/>
            <w:noWrap/>
            <w:vAlign w:val="center"/>
            <w:hideMark/>
          </w:tcPr>
          <w:p w14:paraId="3E5108D1"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38641</w:t>
            </w:r>
          </w:p>
        </w:tc>
        <w:tc>
          <w:tcPr>
            <w:tcW w:w="879" w:type="dxa"/>
            <w:tcBorders>
              <w:top w:val="nil"/>
              <w:left w:val="nil"/>
              <w:bottom w:val="single" w:sz="4" w:space="0" w:color="auto"/>
              <w:right w:val="single" w:sz="4" w:space="0" w:color="auto"/>
            </w:tcBorders>
            <w:shd w:val="clear" w:color="auto" w:fill="auto"/>
            <w:noWrap/>
            <w:vAlign w:val="center"/>
            <w:hideMark/>
          </w:tcPr>
          <w:p w14:paraId="45CC120B"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900039770</w:t>
            </w:r>
          </w:p>
        </w:tc>
        <w:tc>
          <w:tcPr>
            <w:tcW w:w="3913" w:type="dxa"/>
            <w:tcBorders>
              <w:top w:val="nil"/>
              <w:left w:val="nil"/>
              <w:bottom w:val="single" w:sz="4" w:space="0" w:color="auto"/>
              <w:right w:val="single" w:sz="4" w:space="0" w:color="auto"/>
            </w:tcBorders>
            <w:shd w:val="clear" w:color="auto" w:fill="auto"/>
            <w:vAlign w:val="center"/>
            <w:hideMark/>
          </w:tcPr>
          <w:p w14:paraId="40DCFADA"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VERAGAS SAS ESP</w:t>
            </w:r>
          </w:p>
        </w:tc>
        <w:tc>
          <w:tcPr>
            <w:tcW w:w="1602" w:type="dxa"/>
            <w:tcBorders>
              <w:top w:val="nil"/>
              <w:left w:val="nil"/>
              <w:bottom w:val="single" w:sz="4" w:space="0" w:color="auto"/>
              <w:right w:val="single" w:sz="4" w:space="0" w:color="auto"/>
            </w:tcBorders>
            <w:shd w:val="clear" w:color="auto" w:fill="auto"/>
            <w:noWrap/>
            <w:vAlign w:val="center"/>
            <w:hideMark/>
          </w:tcPr>
          <w:p w14:paraId="78904247" w14:textId="2C9CE4E5"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282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705</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617 </w:t>
            </w:r>
          </w:p>
        </w:tc>
        <w:tc>
          <w:tcPr>
            <w:tcW w:w="1418" w:type="dxa"/>
            <w:tcBorders>
              <w:top w:val="nil"/>
              <w:left w:val="nil"/>
              <w:bottom w:val="single" w:sz="4" w:space="0" w:color="auto"/>
              <w:right w:val="single" w:sz="4" w:space="0" w:color="auto"/>
            </w:tcBorders>
            <w:shd w:val="clear" w:color="auto" w:fill="auto"/>
            <w:noWrap/>
            <w:vAlign w:val="center"/>
            <w:hideMark/>
          </w:tcPr>
          <w:p w14:paraId="514B89C4" w14:textId="5A556422"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827</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056 </w:t>
            </w:r>
          </w:p>
        </w:tc>
      </w:tr>
      <w:tr w:rsidR="009A21D7" w:rsidRPr="00374360" w14:paraId="43A4994E"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BD90E7C"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347</w:t>
            </w:r>
          </w:p>
        </w:tc>
        <w:tc>
          <w:tcPr>
            <w:tcW w:w="660" w:type="dxa"/>
            <w:tcBorders>
              <w:top w:val="nil"/>
              <w:left w:val="nil"/>
              <w:bottom w:val="single" w:sz="4" w:space="0" w:color="auto"/>
              <w:right w:val="single" w:sz="4" w:space="0" w:color="auto"/>
            </w:tcBorders>
            <w:shd w:val="clear" w:color="auto" w:fill="auto"/>
            <w:noWrap/>
            <w:vAlign w:val="center"/>
            <w:hideMark/>
          </w:tcPr>
          <w:p w14:paraId="210D5CBA"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26728</w:t>
            </w:r>
          </w:p>
        </w:tc>
        <w:tc>
          <w:tcPr>
            <w:tcW w:w="879" w:type="dxa"/>
            <w:tcBorders>
              <w:top w:val="nil"/>
              <w:left w:val="nil"/>
              <w:bottom w:val="single" w:sz="4" w:space="0" w:color="auto"/>
              <w:right w:val="single" w:sz="4" w:space="0" w:color="auto"/>
            </w:tcBorders>
            <w:shd w:val="clear" w:color="auto" w:fill="auto"/>
            <w:noWrap/>
            <w:vAlign w:val="center"/>
            <w:hideMark/>
          </w:tcPr>
          <w:p w14:paraId="18AB0F75"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900666756</w:t>
            </w:r>
          </w:p>
        </w:tc>
        <w:tc>
          <w:tcPr>
            <w:tcW w:w="3913" w:type="dxa"/>
            <w:tcBorders>
              <w:top w:val="nil"/>
              <w:left w:val="nil"/>
              <w:bottom w:val="single" w:sz="4" w:space="0" w:color="auto"/>
              <w:right w:val="single" w:sz="4" w:space="0" w:color="auto"/>
            </w:tcBorders>
            <w:shd w:val="clear" w:color="auto" w:fill="auto"/>
            <w:vAlign w:val="center"/>
            <w:hideMark/>
          </w:tcPr>
          <w:p w14:paraId="757CC4B5"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VIDA GAS POR NATURALEZA S.A. E.S.P.</w:t>
            </w:r>
          </w:p>
        </w:tc>
        <w:tc>
          <w:tcPr>
            <w:tcW w:w="1602" w:type="dxa"/>
            <w:tcBorders>
              <w:top w:val="nil"/>
              <w:left w:val="nil"/>
              <w:bottom w:val="single" w:sz="4" w:space="0" w:color="auto"/>
              <w:right w:val="single" w:sz="4" w:space="0" w:color="auto"/>
            </w:tcBorders>
            <w:shd w:val="clear" w:color="auto" w:fill="auto"/>
            <w:noWrap/>
            <w:vAlign w:val="center"/>
            <w:hideMark/>
          </w:tcPr>
          <w:p w14:paraId="4E933F5A" w14:textId="1A05EF60"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133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367</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724 </w:t>
            </w:r>
          </w:p>
        </w:tc>
        <w:tc>
          <w:tcPr>
            <w:tcW w:w="1418" w:type="dxa"/>
            <w:tcBorders>
              <w:top w:val="nil"/>
              <w:left w:val="nil"/>
              <w:bottom w:val="single" w:sz="4" w:space="0" w:color="auto"/>
              <w:right w:val="single" w:sz="4" w:space="0" w:color="auto"/>
            </w:tcBorders>
            <w:shd w:val="clear" w:color="auto" w:fill="auto"/>
            <w:noWrap/>
            <w:vAlign w:val="center"/>
            <w:hideMark/>
          </w:tcPr>
          <w:p w14:paraId="01F2333F" w14:textId="18EF4CC9"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333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677 </w:t>
            </w:r>
          </w:p>
        </w:tc>
      </w:tr>
      <w:tr w:rsidR="009A21D7" w:rsidRPr="00374360" w14:paraId="73B460D7"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C9A1FA1"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348</w:t>
            </w:r>
          </w:p>
        </w:tc>
        <w:tc>
          <w:tcPr>
            <w:tcW w:w="660" w:type="dxa"/>
            <w:tcBorders>
              <w:top w:val="nil"/>
              <w:left w:val="nil"/>
              <w:bottom w:val="single" w:sz="4" w:space="0" w:color="auto"/>
              <w:right w:val="single" w:sz="4" w:space="0" w:color="auto"/>
            </w:tcBorders>
            <w:shd w:val="clear" w:color="auto" w:fill="auto"/>
            <w:noWrap/>
            <w:vAlign w:val="center"/>
            <w:hideMark/>
          </w:tcPr>
          <w:p w14:paraId="5FBC293F"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1714</w:t>
            </w:r>
          </w:p>
        </w:tc>
        <w:tc>
          <w:tcPr>
            <w:tcW w:w="879" w:type="dxa"/>
            <w:tcBorders>
              <w:top w:val="nil"/>
              <w:left w:val="nil"/>
              <w:bottom w:val="single" w:sz="4" w:space="0" w:color="auto"/>
              <w:right w:val="single" w:sz="4" w:space="0" w:color="auto"/>
            </w:tcBorders>
            <w:shd w:val="clear" w:color="auto" w:fill="auto"/>
            <w:noWrap/>
            <w:vAlign w:val="center"/>
            <w:hideMark/>
          </w:tcPr>
          <w:p w14:paraId="508733D9"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860025611</w:t>
            </w:r>
          </w:p>
        </w:tc>
        <w:tc>
          <w:tcPr>
            <w:tcW w:w="3913" w:type="dxa"/>
            <w:tcBorders>
              <w:top w:val="nil"/>
              <w:left w:val="nil"/>
              <w:bottom w:val="single" w:sz="4" w:space="0" w:color="auto"/>
              <w:right w:val="single" w:sz="4" w:space="0" w:color="auto"/>
            </w:tcBorders>
            <w:shd w:val="clear" w:color="auto" w:fill="auto"/>
            <w:vAlign w:val="center"/>
            <w:hideMark/>
          </w:tcPr>
          <w:p w14:paraId="6DDCDD20"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VILLA GAS S.A. E.S.P.</w:t>
            </w:r>
          </w:p>
        </w:tc>
        <w:tc>
          <w:tcPr>
            <w:tcW w:w="1602" w:type="dxa"/>
            <w:tcBorders>
              <w:top w:val="nil"/>
              <w:left w:val="nil"/>
              <w:bottom w:val="single" w:sz="4" w:space="0" w:color="auto"/>
              <w:right w:val="single" w:sz="4" w:space="0" w:color="auto"/>
            </w:tcBorders>
            <w:shd w:val="clear" w:color="auto" w:fill="auto"/>
            <w:noWrap/>
            <w:vAlign w:val="center"/>
            <w:hideMark/>
          </w:tcPr>
          <w:p w14:paraId="4D1C17E6" w14:textId="70BCE29B"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489</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175</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618 </w:t>
            </w:r>
          </w:p>
        </w:tc>
        <w:tc>
          <w:tcPr>
            <w:tcW w:w="1418" w:type="dxa"/>
            <w:tcBorders>
              <w:top w:val="nil"/>
              <w:left w:val="nil"/>
              <w:bottom w:val="single" w:sz="4" w:space="0" w:color="auto"/>
              <w:right w:val="single" w:sz="4" w:space="0" w:color="auto"/>
            </w:tcBorders>
            <w:shd w:val="clear" w:color="auto" w:fill="auto"/>
            <w:noWrap/>
            <w:vAlign w:val="center"/>
            <w:hideMark/>
          </w:tcPr>
          <w:p w14:paraId="49CDB563" w14:textId="2F618C18"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891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756 </w:t>
            </w:r>
          </w:p>
        </w:tc>
      </w:tr>
      <w:tr w:rsidR="009A21D7" w:rsidRPr="00374360" w14:paraId="2E31AC5A"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9F41C0D"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349</w:t>
            </w:r>
          </w:p>
        </w:tc>
        <w:tc>
          <w:tcPr>
            <w:tcW w:w="660" w:type="dxa"/>
            <w:tcBorders>
              <w:top w:val="nil"/>
              <w:left w:val="nil"/>
              <w:bottom w:val="single" w:sz="4" w:space="0" w:color="auto"/>
              <w:right w:val="single" w:sz="4" w:space="0" w:color="auto"/>
            </w:tcBorders>
            <w:shd w:val="clear" w:color="auto" w:fill="auto"/>
            <w:noWrap/>
            <w:vAlign w:val="center"/>
            <w:hideMark/>
          </w:tcPr>
          <w:p w14:paraId="54E519FB"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23015</w:t>
            </w:r>
          </w:p>
        </w:tc>
        <w:tc>
          <w:tcPr>
            <w:tcW w:w="879" w:type="dxa"/>
            <w:tcBorders>
              <w:top w:val="nil"/>
              <w:left w:val="nil"/>
              <w:bottom w:val="single" w:sz="4" w:space="0" w:color="auto"/>
              <w:right w:val="single" w:sz="4" w:space="0" w:color="auto"/>
            </w:tcBorders>
            <w:shd w:val="clear" w:color="auto" w:fill="auto"/>
            <w:noWrap/>
            <w:vAlign w:val="center"/>
            <w:hideMark/>
          </w:tcPr>
          <w:p w14:paraId="7422844D"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900305404</w:t>
            </w:r>
          </w:p>
        </w:tc>
        <w:tc>
          <w:tcPr>
            <w:tcW w:w="3913" w:type="dxa"/>
            <w:tcBorders>
              <w:top w:val="nil"/>
              <w:left w:val="nil"/>
              <w:bottom w:val="single" w:sz="4" w:space="0" w:color="auto"/>
              <w:right w:val="single" w:sz="4" w:space="0" w:color="auto"/>
            </w:tcBorders>
            <w:shd w:val="clear" w:color="auto" w:fill="auto"/>
            <w:vAlign w:val="center"/>
            <w:hideMark/>
          </w:tcPr>
          <w:p w14:paraId="6B3A812B"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VP INGENERGIA S.A. E.S.P.</w:t>
            </w:r>
          </w:p>
        </w:tc>
        <w:tc>
          <w:tcPr>
            <w:tcW w:w="1602" w:type="dxa"/>
            <w:tcBorders>
              <w:top w:val="nil"/>
              <w:left w:val="nil"/>
              <w:bottom w:val="single" w:sz="4" w:space="0" w:color="auto"/>
              <w:right w:val="single" w:sz="4" w:space="0" w:color="auto"/>
            </w:tcBorders>
            <w:shd w:val="clear" w:color="auto" w:fill="auto"/>
            <w:noWrap/>
            <w:vAlign w:val="center"/>
            <w:hideMark/>
          </w:tcPr>
          <w:p w14:paraId="3E7A50EC" w14:textId="194E3F02"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470</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213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066 </w:t>
            </w:r>
          </w:p>
        </w:tc>
        <w:tc>
          <w:tcPr>
            <w:tcW w:w="1418" w:type="dxa"/>
            <w:tcBorders>
              <w:top w:val="nil"/>
              <w:left w:val="nil"/>
              <w:bottom w:val="single" w:sz="4" w:space="0" w:color="auto"/>
              <w:right w:val="single" w:sz="4" w:space="0" w:color="auto"/>
            </w:tcBorders>
            <w:shd w:val="clear" w:color="auto" w:fill="auto"/>
            <w:noWrap/>
            <w:vAlign w:val="center"/>
            <w:hideMark/>
          </w:tcPr>
          <w:p w14:paraId="757F42C6" w14:textId="4C483CB9"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702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131 </w:t>
            </w:r>
          </w:p>
        </w:tc>
      </w:tr>
      <w:tr w:rsidR="009A21D7" w:rsidRPr="00374360" w14:paraId="4585F420"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2ADCD70"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350</w:t>
            </w:r>
          </w:p>
        </w:tc>
        <w:tc>
          <w:tcPr>
            <w:tcW w:w="660" w:type="dxa"/>
            <w:tcBorders>
              <w:top w:val="nil"/>
              <w:left w:val="nil"/>
              <w:bottom w:val="single" w:sz="4" w:space="0" w:color="auto"/>
              <w:right w:val="single" w:sz="4" w:space="0" w:color="auto"/>
            </w:tcBorders>
            <w:shd w:val="clear" w:color="auto" w:fill="auto"/>
            <w:noWrap/>
            <w:vAlign w:val="center"/>
            <w:hideMark/>
          </w:tcPr>
          <w:p w14:paraId="20AF2C3D"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26053</w:t>
            </w:r>
          </w:p>
        </w:tc>
        <w:tc>
          <w:tcPr>
            <w:tcW w:w="879" w:type="dxa"/>
            <w:tcBorders>
              <w:top w:val="nil"/>
              <w:left w:val="nil"/>
              <w:bottom w:val="single" w:sz="4" w:space="0" w:color="auto"/>
              <w:right w:val="single" w:sz="4" w:space="0" w:color="auto"/>
            </w:tcBorders>
            <w:shd w:val="clear" w:color="auto" w:fill="auto"/>
            <w:noWrap/>
            <w:vAlign w:val="center"/>
            <w:hideMark/>
          </w:tcPr>
          <w:p w14:paraId="7B40DEDF"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830013746</w:t>
            </w:r>
          </w:p>
        </w:tc>
        <w:tc>
          <w:tcPr>
            <w:tcW w:w="3913" w:type="dxa"/>
            <w:tcBorders>
              <w:top w:val="nil"/>
              <w:left w:val="nil"/>
              <w:bottom w:val="single" w:sz="4" w:space="0" w:color="auto"/>
              <w:right w:val="single" w:sz="4" w:space="0" w:color="auto"/>
            </w:tcBorders>
            <w:shd w:val="clear" w:color="auto" w:fill="auto"/>
            <w:vAlign w:val="center"/>
            <w:hideMark/>
          </w:tcPr>
          <w:p w14:paraId="02B3127E"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WELL LOGGING S.A.S</w:t>
            </w:r>
          </w:p>
        </w:tc>
        <w:tc>
          <w:tcPr>
            <w:tcW w:w="1602" w:type="dxa"/>
            <w:tcBorders>
              <w:top w:val="nil"/>
              <w:left w:val="nil"/>
              <w:bottom w:val="single" w:sz="4" w:space="0" w:color="auto"/>
              <w:right w:val="single" w:sz="4" w:space="0" w:color="auto"/>
            </w:tcBorders>
            <w:shd w:val="clear" w:color="auto" w:fill="auto"/>
            <w:noWrap/>
            <w:vAlign w:val="center"/>
            <w:hideMark/>
          </w:tcPr>
          <w:p w14:paraId="2AD91A75" w14:textId="7ED45C2B"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972</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529</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228 </w:t>
            </w:r>
          </w:p>
        </w:tc>
        <w:tc>
          <w:tcPr>
            <w:tcW w:w="1418" w:type="dxa"/>
            <w:tcBorders>
              <w:top w:val="nil"/>
              <w:left w:val="nil"/>
              <w:bottom w:val="single" w:sz="4" w:space="0" w:color="auto"/>
              <w:right w:val="single" w:sz="4" w:space="0" w:color="auto"/>
            </w:tcBorders>
            <w:shd w:val="clear" w:color="auto" w:fill="auto"/>
            <w:noWrap/>
            <w:vAlign w:val="center"/>
            <w:hideMark/>
          </w:tcPr>
          <w:p w14:paraId="65D8B433" w14:textId="0A4E746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19</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725</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292 </w:t>
            </w:r>
          </w:p>
        </w:tc>
      </w:tr>
      <w:tr w:rsidR="009A21D7" w:rsidRPr="00374360" w14:paraId="1949D7E5" w14:textId="77777777" w:rsidTr="00C734CF">
        <w:trPr>
          <w:trHeight w:val="4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EF3432C"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lastRenderedPageBreak/>
              <w:t>351</w:t>
            </w:r>
          </w:p>
        </w:tc>
        <w:tc>
          <w:tcPr>
            <w:tcW w:w="660" w:type="dxa"/>
            <w:tcBorders>
              <w:top w:val="nil"/>
              <w:left w:val="nil"/>
              <w:bottom w:val="single" w:sz="4" w:space="0" w:color="auto"/>
              <w:right w:val="single" w:sz="4" w:space="0" w:color="auto"/>
            </w:tcBorders>
            <w:shd w:val="clear" w:color="auto" w:fill="auto"/>
            <w:noWrap/>
            <w:vAlign w:val="center"/>
            <w:hideMark/>
          </w:tcPr>
          <w:p w14:paraId="1564B6C5"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20481</w:t>
            </w:r>
          </w:p>
        </w:tc>
        <w:tc>
          <w:tcPr>
            <w:tcW w:w="879" w:type="dxa"/>
            <w:tcBorders>
              <w:top w:val="nil"/>
              <w:left w:val="nil"/>
              <w:bottom w:val="single" w:sz="4" w:space="0" w:color="auto"/>
              <w:right w:val="single" w:sz="4" w:space="0" w:color="auto"/>
            </w:tcBorders>
            <w:shd w:val="clear" w:color="auto" w:fill="auto"/>
            <w:noWrap/>
            <w:vAlign w:val="center"/>
            <w:hideMark/>
          </w:tcPr>
          <w:p w14:paraId="53C4577E"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900042857</w:t>
            </w:r>
          </w:p>
        </w:tc>
        <w:tc>
          <w:tcPr>
            <w:tcW w:w="3913" w:type="dxa"/>
            <w:tcBorders>
              <w:top w:val="nil"/>
              <w:left w:val="nil"/>
              <w:bottom w:val="single" w:sz="4" w:space="0" w:color="auto"/>
              <w:right w:val="single" w:sz="4" w:space="0" w:color="auto"/>
            </w:tcBorders>
            <w:shd w:val="clear" w:color="auto" w:fill="auto"/>
            <w:vAlign w:val="center"/>
            <w:hideMark/>
          </w:tcPr>
          <w:p w14:paraId="2E5D51E5"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XM COMPAÑIA DE EXPERTOS EN MERCADOS S.A. E.S.P.</w:t>
            </w:r>
          </w:p>
        </w:tc>
        <w:tc>
          <w:tcPr>
            <w:tcW w:w="1602" w:type="dxa"/>
            <w:tcBorders>
              <w:top w:val="nil"/>
              <w:left w:val="nil"/>
              <w:bottom w:val="single" w:sz="4" w:space="0" w:color="auto"/>
              <w:right w:val="single" w:sz="4" w:space="0" w:color="auto"/>
            </w:tcBorders>
            <w:shd w:val="clear" w:color="auto" w:fill="auto"/>
            <w:noWrap/>
            <w:vAlign w:val="center"/>
            <w:hideMark/>
          </w:tcPr>
          <w:p w14:paraId="4D1B7EDB" w14:textId="33E0EC23"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48</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543</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465</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271 </w:t>
            </w:r>
          </w:p>
        </w:tc>
        <w:tc>
          <w:tcPr>
            <w:tcW w:w="1418" w:type="dxa"/>
            <w:tcBorders>
              <w:top w:val="nil"/>
              <w:left w:val="nil"/>
              <w:bottom w:val="single" w:sz="4" w:space="0" w:color="auto"/>
              <w:right w:val="single" w:sz="4" w:space="0" w:color="auto"/>
            </w:tcBorders>
            <w:shd w:val="clear" w:color="auto" w:fill="auto"/>
            <w:noWrap/>
            <w:vAlign w:val="center"/>
            <w:hideMark/>
          </w:tcPr>
          <w:p w14:paraId="32DE6808" w14:textId="56CFC0C6"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485</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434</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653 </w:t>
            </w:r>
          </w:p>
        </w:tc>
      </w:tr>
      <w:tr w:rsidR="009A21D7" w:rsidRPr="00374360" w14:paraId="7CB7F0EA" w14:textId="77777777" w:rsidTr="00C734CF">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0EC2FA1" w14:textId="77777777" w:rsidR="00374360" w:rsidRPr="00374360" w:rsidRDefault="00374360" w:rsidP="00374360">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352</w:t>
            </w:r>
          </w:p>
        </w:tc>
        <w:tc>
          <w:tcPr>
            <w:tcW w:w="660" w:type="dxa"/>
            <w:tcBorders>
              <w:top w:val="nil"/>
              <w:left w:val="nil"/>
              <w:bottom w:val="single" w:sz="4" w:space="0" w:color="auto"/>
              <w:right w:val="single" w:sz="4" w:space="0" w:color="auto"/>
            </w:tcBorders>
            <w:shd w:val="clear" w:color="auto" w:fill="auto"/>
            <w:noWrap/>
            <w:vAlign w:val="center"/>
            <w:hideMark/>
          </w:tcPr>
          <w:p w14:paraId="3FEBF93F"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26096</w:t>
            </w:r>
          </w:p>
        </w:tc>
        <w:tc>
          <w:tcPr>
            <w:tcW w:w="879" w:type="dxa"/>
            <w:tcBorders>
              <w:top w:val="nil"/>
              <w:left w:val="nil"/>
              <w:bottom w:val="single" w:sz="4" w:space="0" w:color="auto"/>
              <w:right w:val="single" w:sz="4" w:space="0" w:color="auto"/>
            </w:tcBorders>
            <w:shd w:val="clear" w:color="auto" w:fill="auto"/>
            <w:noWrap/>
            <w:vAlign w:val="center"/>
            <w:hideMark/>
          </w:tcPr>
          <w:p w14:paraId="5AC5C3D8" w14:textId="77777777"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900522263</w:t>
            </w:r>
          </w:p>
        </w:tc>
        <w:tc>
          <w:tcPr>
            <w:tcW w:w="3913" w:type="dxa"/>
            <w:tcBorders>
              <w:top w:val="nil"/>
              <w:left w:val="nil"/>
              <w:bottom w:val="single" w:sz="4" w:space="0" w:color="auto"/>
              <w:right w:val="single" w:sz="4" w:space="0" w:color="auto"/>
            </w:tcBorders>
            <w:shd w:val="clear" w:color="auto" w:fill="auto"/>
            <w:vAlign w:val="center"/>
            <w:hideMark/>
          </w:tcPr>
          <w:p w14:paraId="6FF72D20" w14:textId="77777777" w:rsidR="00374360" w:rsidRPr="00374360" w:rsidRDefault="00374360" w:rsidP="00374360">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YAVEGAS S.A. E.S.P.</w:t>
            </w:r>
          </w:p>
        </w:tc>
        <w:tc>
          <w:tcPr>
            <w:tcW w:w="1602" w:type="dxa"/>
            <w:tcBorders>
              <w:top w:val="nil"/>
              <w:left w:val="nil"/>
              <w:bottom w:val="single" w:sz="4" w:space="0" w:color="auto"/>
              <w:right w:val="single" w:sz="4" w:space="0" w:color="auto"/>
            </w:tcBorders>
            <w:shd w:val="clear" w:color="auto" w:fill="auto"/>
            <w:noWrap/>
            <w:vAlign w:val="center"/>
            <w:hideMark/>
          </w:tcPr>
          <w:p w14:paraId="788B27E5" w14:textId="1244133C"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539</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611</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757 </w:t>
            </w:r>
          </w:p>
        </w:tc>
        <w:tc>
          <w:tcPr>
            <w:tcW w:w="1418" w:type="dxa"/>
            <w:tcBorders>
              <w:top w:val="nil"/>
              <w:left w:val="nil"/>
              <w:bottom w:val="single" w:sz="4" w:space="0" w:color="auto"/>
              <w:right w:val="single" w:sz="4" w:space="0" w:color="auto"/>
            </w:tcBorders>
            <w:shd w:val="clear" w:color="auto" w:fill="auto"/>
            <w:noWrap/>
            <w:vAlign w:val="center"/>
            <w:hideMark/>
          </w:tcPr>
          <w:p w14:paraId="0D868563" w14:textId="7B233F66" w:rsidR="00374360" w:rsidRPr="00374360" w:rsidRDefault="00374360" w:rsidP="00374360">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5</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396</w:t>
            </w:r>
            <w:r w:rsidR="00F17FBD">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118 </w:t>
            </w:r>
          </w:p>
        </w:tc>
      </w:tr>
      <w:tr w:rsidR="00C734CF" w:rsidRPr="00374360" w14:paraId="788CC9EE" w14:textId="77777777" w:rsidTr="007825FE">
        <w:trPr>
          <w:trHeight w:val="2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732B5AE" w14:textId="77777777" w:rsidR="00C734CF" w:rsidRPr="00374360" w:rsidRDefault="00C734CF" w:rsidP="007825FE">
            <w:pPr>
              <w:jc w:val="center"/>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353</w:t>
            </w:r>
          </w:p>
        </w:tc>
        <w:tc>
          <w:tcPr>
            <w:tcW w:w="660" w:type="dxa"/>
            <w:tcBorders>
              <w:top w:val="nil"/>
              <w:left w:val="nil"/>
              <w:bottom w:val="single" w:sz="4" w:space="0" w:color="auto"/>
              <w:right w:val="single" w:sz="4" w:space="0" w:color="auto"/>
            </w:tcBorders>
            <w:shd w:val="clear" w:color="auto" w:fill="auto"/>
            <w:noWrap/>
            <w:vAlign w:val="center"/>
            <w:hideMark/>
          </w:tcPr>
          <w:p w14:paraId="0F708FB5" w14:textId="77777777" w:rsidR="00C734CF" w:rsidRPr="00374360" w:rsidRDefault="00C734CF" w:rsidP="007825FE">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3268</w:t>
            </w:r>
          </w:p>
        </w:tc>
        <w:tc>
          <w:tcPr>
            <w:tcW w:w="879" w:type="dxa"/>
            <w:tcBorders>
              <w:top w:val="nil"/>
              <w:left w:val="nil"/>
              <w:bottom w:val="single" w:sz="4" w:space="0" w:color="auto"/>
              <w:right w:val="single" w:sz="4" w:space="0" w:color="auto"/>
            </w:tcBorders>
            <w:shd w:val="clear" w:color="auto" w:fill="auto"/>
            <w:noWrap/>
            <w:vAlign w:val="center"/>
            <w:hideMark/>
          </w:tcPr>
          <w:p w14:paraId="6C45CEC5" w14:textId="77777777" w:rsidR="00C734CF" w:rsidRPr="00374360" w:rsidRDefault="00C734CF" w:rsidP="007825FE">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830113630</w:t>
            </w:r>
          </w:p>
        </w:tc>
        <w:tc>
          <w:tcPr>
            <w:tcW w:w="3913" w:type="dxa"/>
            <w:tcBorders>
              <w:top w:val="nil"/>
              <w:left w:val="nil"/>
              <w:bottom w:val="single" w:sz="4" w:space="0" w:color="auto"/>
              <w:right w:val="single" w:sz="4" w:space="0" w:color="auto"/>
            </w:tcBorders>
            <w:shd w:val="clear" w:color="auto" w:fill="auto"/>
            <w:vAlign w:val="center"/>
            <w:hideMark/>
          </w:tcPr>
          <w:p w14:paraId="4D1A485D" w14:textId="77777777" w:rsidR="00C734CF" w:rsidRPr="00374360" w:rsidRDefault="00C734CF" w:rsidP="007825FE">
            <w:pPr>
              <w:jc w:val="lef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ZONA FRANCA CELSIA S.A. E.S.P.</w:t>
            </w:r>
          </w:p>
        </w:tc>
        <w:tc>
          <w:tcPr>
            <w:tcW w:w="1602" w:type="dxa"/>
            <w:tcBorders>
              <w:top w:val="nil"/>
              <w:left w:val="nil"/>
              <w:bottom w:val="single" w:sz="4" w:space="0" w:color="auto"/>
              <w:right w:val="single" w:sz="4" w:space="0" w:color="auto"/>
            </w:tcBorders>
            <w:shd w:val="clear" w:color="auto" w:fill="auto"/>
            <w:noWrap/>
            <w:vAlign w:val="center"/>
            <w:hideMark/>
          </w:tcPr>
          <w:p w14:paraId="0456E7BD" w14:textId="26B2E3ED" w:rsidR="00C734CF" w:rsidRPr="00374360" w:rsidRDefault="00C734CF" w:rsidP="007825FE">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119</w:t>
            </w:r>
            <w:r>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872</w:t>
            </w:r>
            <w:r>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365</w:t>
            </w:r>
            <w:r>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037 </w:t>
            </w:r>
          </w:p>
        </w:tc>
        <w:tc>
          <w:tcPr>
            <w:tcW w:w="1418" w:type="dxa"/>
            <w:tcBorders>
              <w:top w:val="nil"/>
              <w:left w:val="nil"/>
              <w:bottom w:val="single" w:sz="4" w:space="0" w:color="auto"/>
              <w:right w:val="single" w:sz="4" w:space="0" w:color="auto"/>
            </w:tcBorders>
            <w:shd w:val="clear" w:color="auto" w:fill="auto"/>
            <w:noWrap/>
            <w:vAlign w:val="center"/>
            <w:hideMark/>
          </w:tcPr>
          <w:p w14:paraId="1504E9DF" w14:textId="37DEBB76" w:rsidR="00C734CF" w:rsidRPr="00374360" w:rsidRDefault="00C734CF" w:rsidP="007825FE">
            <w:pPr>
              <w:jc w:val="right"/>
              <w:rPr>
                <w:rFonts w:ascii="Arial Narrow" w:hAnsi="Arial Narrow" w:cs="Calibri"/>
                <w:color w:val="000000"/>
                <w:spacing w:val="0"/>
                <w:sz w:val="18"/>
                <w:szCs w:val="18"/>
                <w:lang w:eastAsia="es-CO"/>
              </w:rPr>
            </w:pPr>
            <w:r w:rsidRPr="00374360">
              <w:rPr>
                <w:rFonts w:ascii="Arial Narrow" w:hAnsi="Arial Narrow" w:cs="Calibri"/>
                <w:color w:val="000000"/>
                <w:spacing w:val="0"/>
                <w:sz w:val="18"/>
                <w:szCs w:val="18"/>
                <w:lang w:eastAsia="es-CO"/>
              </w:rPr>
              <w:t>1</w:t>
            </w:r>
            <w:r>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198</w:t>
            </w:r>
            <w:r>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723</w:t>
            </w:r>
            <w:r>
              <w:rPr>
                <w:rFonts w:ascii="Arial Narrow" w:hAnsi="Arial Narrow" w:cs="Calibri"/>
                <w:color w:val="000000"/>
                <w:spacing w:val="0"/>
                <w:sz w:val="18"/>
                <w:szCs w:val="18"/>
                <w:lang w:eastAsia="es-CO"/>
              </w:rPr>
              <w:t>.</w:t>
            </w:r>
            <w:r w:rsidRPr="00374360">
              <w:rPr>
                <w:rFonts w:ascii="Arial Narrow" w:hAnsi="Arial Narrow" w:cs="Calibri"/>
                <w:color w:val="000000"/>
                <w:spacing w:val="0"/>
                <w:sz w:val="18"/>
                <w:szCs w:val="18"/>
                <w:lang w:eastAsia="es-CO"/>
              </w:rPr>
              <w:t xml:space="preserve">650 </w:t>
            </w:r>
          </w:p>
        </w:tc>
      </w:tr>
      <w:tr w:rsidR="00C734CF" w:rsidRPr="006251F5" w14:paraId="2A19226C" w14:textId="77777777" w:rsidTr="00AB0B17">
        <w:trPr>
          <w:trHeight w:val="290"/>
        </w:trPr>
        <w:tc>
          <w:tcPr>
            <w:tcW w:w="7614" w:type="dxa"/>
            <w:gridSpan w:val="5"/>
            <w:tcBorders>
              <w:top w:val="nil"/>
              <w:left w:val="single" w:sz="4" w:space="0" w:color="auto"/>
              <w:bottom w:val="single" w:sz="4" w:space="0" w:color="auto"/>
              <w:right w:val="single" w:sz="4" w:space="0" w:color="auto"/>
            </w:tcBorders>
            <w:shd w:val="clear" w:color="auto" w:fill="E7E6E6" w:themeFill="background2"/>
            <w:noWrap/>
            <w:vAlign w:val="center"/>
          </w:tcPr>
          <w:p w14:paraId="603933F4" w14:textId="2164309A" w:rsidR="00C734CF" w:rsidRPr="00374360" w:rsidRDefault="00C734CF" w:rsidP="00374360">
            <w:pPr>
              <w:jc w:val="right"/>
              <w:rPr>
                <w:rFonts w:ascii="Arial Narrow" w:hAnsi="Arial Narrow" w:cs="Calibri"/>
                <w:b/>
                <w:bCs/>
                <w:color w:val="000000"/>
                <w:spacing w:val="0"/>
                <w:sz w:val="18"/>
                <w:szCs w:val="18"/>
                <w:lang w:eastAsia="es-CO"/>
              </w:rPr>
            </w:pPr>
            <w:r w:rsidRPr="006251F5">
              <w:rPr>
                <w:rFonts w:ascii="Arial Narrow" w:hAnsi="Arial Narrow" w:cs="Calibri"/>
                <w:b/>
                <w:bCs/>
                <w:color w:val="000000"/>
                <w:spacing w:val="0"/>
                <w:sz w:val="18"/>
                <w:szCs w:val="18"/>
                <w:lang w:eastAsia="es-CO"/>
              </w:rPr>
              <w:t>TOTAL</w:t>
            </w:r>
          </w:p>
        </w:tc>
        <w:tc>
          <w:tcPr>
            <w:tcW w:w="1418" w:type="dxa"/>
            <w:tcBorders>
              <w:top w:val="nil"/>
              <w:left w:val="nil"/>
              <w:bottom w:val="single" w:sz="4" w:space="0" w:color="auto"/>
              <w:right w:val="single" w:sz="4" w:space="0" w:color="auto"/>
            </w:tcBorders>
            <w:shd w:val="clear" w:color="auto" w:fill="E7E6E6" w:themeFill="background2"/>
            <w:noWrap/>
            <w:vAlign w:val="center"/>
            <w:hideMark/>
          </w:tcPr>
          <w:p w14:paraId="0D8B0A5C" w14:textId="51BFD4BB" w:rsidR="00C734CF" w:rsidRPr="00374360" w:rsidRDefault="00C734CF" w:rsidP="00374360">
            <w:pPr>
              <w:jc w:val="right"/>
              <w:rPr>
                <w:rFonts w:ascii="Arial Narrow" w:hAnsi="Arial Narrow" w:cs="Calibri"/>
                <w:b/>
                <w:bCs/>
                <w:color w:val="000000"/>
                <w:spacing w:val="0"/>
                <w:sz w:val="18"/>
                <w:szCs w:val="18"/>
                <w:lang w:eastAsia="es-CO"/>
              </w:rPr>
            </w:pPr>
            <w:r w:rsidRPr="006251F5">
              <w:rPr>
                <w:rFonts w:ascii="Arial Narrow" w:hAnsi="Arial Narrow" w:cs="Calibri"/>
                <w:b/>
                <w:bCs/>
                <w:color w:val="000000"/>
                <w:spacing w:val="0"/>
                <w:sz w:val="18"/>
                <w:szCs w:val="18"/>
                <w:lang w:eastAsia="es-CO"/>
              </w:rPr>
              <w:t>32</w:t>
            </w:r>
            <w:r w:rsidR="006251F5">
              <w:rPr>
                <w:rFonts w:ascii="Arial Narrow" w:hAnsi="Arial Narrow" w:cs="Calibri"/>
                <w:b/>
                <w:bCs/>
                <w:color w:val="000000"/>
                <w:spacing w:val="0"/>
                <w:sz w:val="18"/>
                <w:szCs w:val="18"/>
                <w:lang w:eastAsia="es-CO"/>
              </w:rPr>
              <w:t>.</w:t>
            </w:r>
            <w:r w:rsidRPr="006251F5">
              <w:rPr>
                <w:rFonts w:ascii="Arial Narrow" w:hAnsi="Arial Narrow" w:cs="Calibri"/>
                <w:b/>
                <w:bCs/>
                <w:color w:val="000000"/>
                <w:spacing w:val="0"/>
                <w:sz w:val="18"/>
                <w:szCs w:val="18"/>
                <w:lang w:eastAsia="es-CO"/>
              </w:rPr>
              <w:t>505</w:t>
            </w:r>
            <w:r w:rsidR="006251F5">
              <w:rPr>
                <w:rFonts w:ascii="Arial Narrow" w:hAnsi="Arial Narrow" w:cs="Calibri"/>
                <w:b/>
                <w:bCs/>
                <w:color w:val="000000"/>
                <w:spacing w:val="0"/>
                <w:sz w:val="18"/>
                <w:szCs w:val="18"/>
                <w:lang w:eastAsia="es-CO"/>
              </w:rPr>
              <w:t>.</w:t>
            </w:r>
            <w:r w:rsidRPr="006251F5">
              <w:rPr>
                <w:rFonts w:ascii="Arial Narrow" w:hAnsi="Arial Narrow" w:cs="Calibri"/>
                <w:b/>
                <w:bCs/>
                <w:color w:val="000000"/>
                <w:spacing w:val="0"/>
                <w:sz w:val="18"/>
                <w:szCs w:val="18"/>
                <w:lang w:eastAsia="es-CO"/>
              </w:rPr>
              <w:t>742</w:t>
            </w:r>
            <w:r w:rsidR="006251F5">
              <w:rPr>
                <w:rFonts w:ascii="Arial Narrow" w:hAnsi="Arial Narrow" w:cs="Calibri"/>
                <w:b/>
                <w:bCs/>
                <w:color w:val="000000"/>
                <w:spacing w:val="0"/>
                <w:sz w:val="18"/>
                <w:szCs w:val="18"/>
                <w:lang w:eastAsia="es-CO"/>
              </w:rPr>
              <w:t>.</w:t>
            </w:r>
            <w:r w:rsidRPr="006251F5">
              <w:rPr>
                <w:rFonts w:ascii="Arial Narrow" w:hAnsi="Arial Narrow" w:cs="Calibri"/>
                <w:b/>
                <w:bCs/>
                <w:color w:val="000000"/>
                <w:spacing w:val="0"/>
                <w:sz w:val="18"/>
                <w:szCs w:val="18"/>
                <w:lang w:eastAsia="es-CO"/>
              </w:rPr>
              <w:t>9</w:t>
            </w:r>
            <w:r w:rsidR="00A51C93">
              <w:rPr>
                <w:rFonts w:ascii="Arial Narrow" w:hAnsi="Arial Narrow" w:cs="Calibri"/>
                <w:b/>
                <w:bCs/>
                <w:color w:val="000000"/>
                <w:spacing w:val="0"/>
                <w:sz w:val="18"/>
                <w:szCs w:val="18"/>
                <w:lang w:eastAsia="es-CO"/>
              </w:rPr>
              <w:t>3</w:t>
            </w:r>
            <w:r w:rsidRPr="006251F5">
              <w:rPr>
                <w:rFonts w:ascii="Arial Narrow" w:hAnsi="Arial Narrow" w:cs="Calibri"/>
                <w:b/>
                <w:bCs/>
                <w:color w:val="000000"/>
                <w:spacing w:val="0"/>
                <w:sz w:val="18"/>
                <w:szCs w:val="18"/>
                <w:lang w:eastAsia="es-CO"/>
              </w:rPr>
              <w:t>2</w:t>
            </w:r>
          </w:p>
        </w:tc>
      </w:tr>
    </w:tbl>
    <w:p w14:paraId="4D0D816A" w14:textId="77777777" w:rsidR="006251F5" w:rsidRDefault="006251F5" w:rsidP="0037152F">
      <w:pPr>
        <w:jc w:val="left"/>
        <w:rPr>
          <w:sz w:val="22"/>
          <w:szCs w:val="22"/>
        </w:rPr>
      </w:pPr>
    </w:p>
    <w:p w14:paraId="6E1AF3A9" w14:textId="77777777" w:rsidR="007F7A3E" w:rsidRPr="001A55C4" w:rsidRDefault="007F7A3E" w:rsidP="0037152F">
      <w:pPr>
        <w:jc w:val="left"/>
        <w:rPr>
          <w:sz w:val="22"/>
          <w:szCs w:val="22"/>
        </w:rPr>
      </w:pPr>
    </w:p>
    <w:p w14:paraId="3C9E26BC" w14:textId="2B944DAF" w:rsidR="00974333" w:rsidRPr="001A55C4" w:rsidRDefault="001A55C4" w:rsidP="001A55C4">
      <w:pPr>
        <w:pStyle w:val="Ttulo10"/>
        <w:numPr>
          <w:ilvl w:val="0"/>
          <w:numId w:val="37"/>
        </w:numPr>
        <w:spacing w:before="0" w:after="0"/>
        <w:rPr>
          <w:sz w:val="22"/>
          <w:szCs w:val="22"/>
        </w:rPr>
      </w:pPr>
      <w:bookmarkStart w:id="66" w:name="_Toc88126869"/>
      <w:r>
        <w:rPr>
          <w:sz w:val="22"/>
          <w:szCs w:val="22"/>
        </w:rPr>
        <w:t>NO REPORTANTES</w:t>
      </w:r>
      <w:r w:rsidR="000868D5">
        <w:rPr>
          <w:sz w:val="22"/>
          <w:szCs w:val="22"/>
        </w:rPr>
        <w:t>,</w:t>
      </w:r>
      <w:r>
        <w:rPr>
          <w:sz w:val="22"/>
          <w:szCs w:val="22"/>
        </w:rPr>
        <w:t xml:space="preserve"> OMISOS Y MOROSOS</w:t>
      </w:r>
      <w:bookmarkEnd w:id="66"/>
    </w:p>
    <w:p w14:paraId="1A40C0F5" w14:textId="77777777" w:rsidR="00974333" w:rsidRPr="00C751A8" w:rsidRDefault="00974333" w:rsidP="00C751A8">
      <w:pPr>
        <w:pStyle w:val="Prrafodelista"/>
        <w:spacing w:after="0"/>
        <w:ind w:left="0"/>
        <w:rPr>
          <w:rFonts w:cs="Arial"/>
          <w:b/>
        </w:rPr>
      </w:pPr>
    </w:p>
    <w:p w14:paraId="6D55146E" w14:textId="607BFFAC" w:rsidR="001A55C4" w:rsidRDefault="001A55C4" w:rsidP="001A55C4">
      <w:pPr>
        <w:rPr>
          <w:rFonts w:cs="Arial"/>
          <w:sz w:val="22"/>
          <w:szCs w:val="22"/>
        </w:rPr>
      </w:pPr>
      <w:r w:rsidRPr="001A55C4">
        <w:rPr>
          <w:rFonts w:cs="Arial"/>
          <w:sz w:val="22"/>
          <w:szCs w:val="22"/>
        </w:rPr>
        <w:t>Para aquellos regulados que no reportaron la información financiera de la vigencia 2020</w:t>
      </w:r>
      <w:r w:rsidR="000868D5">
        <w:rPr>
          <w:rFonts w:cs="Arial"/>
          <w:sz w:val="22"/>
          <w:szCs w:val="22"/>
        </w:rPr>
        <w:t>,</w:t>
      </w:r>
      <w:r w:rsidRPr="001A55C4">
        <w:rPr>
          <w:rFonts w:cs="Arial"/>
          <w:sz w:val="22"/>
          <w:szCs w:val="22"/>
        </w:rPr>
        <w:t xml:space="preserve"> base para la contribución 2021</w:t>
      </w:r>
      <w:r w:rsidR="00677DAB">
        <w:rPr>
          <w:rFonts w:cs="Arial"/>
          <w:sz w:val="22"/>
          <w:szCs w:val="22"/>
        </w:rPr>
        <w:t>,</w:t>
      </w:r>
      <w:r w:rsidRPr="001A55C4">
        <w:rPr>
          <w:rFonts w:cs="Arial"/>
          <w:sz w:val="22"/>
          <w:szCs w:val="22"/>
        </w:rPr>
        <w:t xml:space="preserve"> se les tomará como base la última información financiera reportada y certificada al SUI la cual será indexada al 31 de diciembre de 2020</w:t>
      </w:r>
      <w:r w:rsidR="000868D5">
        <w:rPr>
          <w:rFonts w:cs="Arial"/>
          <w:sz w:val="22"/>
          <w:szCs w:val="22"/>
        </w:rPr>
        <w:t>,</w:t>
      </w:r>
      <w:r w:rsidRPr="001A55C4">
        <w:rPr>
          <w:rFonts w:cs="Arial"/>
          <w:sz w:val="22"/>
          <w:szCs w:val="22"/>
        </w:rPr>
        <w:t xml:space="preserve"> teniendo en cuenta la variación porcentual del IPC certificado por el DANE para los años objeto de indexación. </w:t>
      </w:r>
    </w:p>
    <w:p w14:paraId="63F3945B" w14:textId="77777777" w:rsidR="001A55C4" w:rsidRDefault="001A55C4" w:rsidP="001A55C4">
      <w:pPr>
        <w:rPr>
          <w:rFonts w:cs="Arial"/>
          <w:sz w:val="22"/>
          <w:szCs w:val="22"/>
        </w:rPr>
      </w:pPr>
    </w:p>
    <w:p w14:paraId="30EF4C05" w14:textId="067F157C" w:rsidR="001A55C4" w:rsidRDefault="001A55C4" w:rsidP="001A55C4">
      <w:pPr>
        <w:rPr>
          <w:rFonts w:cs="Arial"/>
          <w:bCs/>
          <w:sz w:val="22"/>
          <w:szCs w:val="22"/>
        </w:rPr>
      </w:pPr>
      <w:r w:rsidRPr="001A55C4">
        <w:rPr>
          <w:rFonts w:cs="Arial"/>
          <w:bCs/>
          <w:sz w:val="22"/>
          <w:szCs w:val="22"/>
        </w:rPr>
        <w:t>Son empresas omisas aquellas que</w:t>
      </w:r>
      <w:r w:rsidR="00677DAB">
        <w:rPr>
          <w:rFonts w:cs="Arial"/>
          <w:bCs/>
          <w:sz w:val="22"/>
          <w:szCs w:val="22"/>
        </w:rPr>
        <w:t xml:space="preserve"> </w:t>
      </w:r>
      <w:r w:rsidRPr="001A55C4">
        <w:rPr>
          <w:rFonts w:cs="Arial"/>
          <w:bCs/>
          <w:sz w:val="22"/>
          <w:szCs w:val="22"/>
        </w:rPr>
        <w:t>con corte a septiembre 21 de 2021</w:t>
      </w:r>
      <w:r w:rsidR="000868D5">
        <w:rPr>
          <w:rFonts w:cs="Arial"/>
          <w:bCs/>
          <w:sz w:val="22"/>
          <w:szCs w:val="22"/>
        </w:rPr>
        <w:t>,</w:t>
      </w:r>
      <w:r w:rsidRPr="001A55C4">
        <w:rPr>
          <w:rFonts w:cs="Arial"/>
          <w:bCs/>
          <w:sz w:val="22"/>
          <w:szCs w:val="22"/>
        </w:rPr>
        <w:t xml:space="preserve"> no se les había generado resolución de determinación de omisas o generada liquidación de cobro de la contribución correspondiente a alguno de los últimos cinco (5) años</w:t>
      </w:r>
      <w:r w:rsidR="000868D5">
        <w:rPr>
          <w:rFonts w:cs="Arial"/>
          <w:bCs/>
          <w:sz w:val="22"/>
          <w:szCs w:val="22"/>
        </w:rPr>
        <w:t>,</w:t>
      </w:r>
      <w:r w:rsidRPr="001A55C4">
        <w:rPr>
          <w:rFonts w:cs="Arial"/>
          <w:bCs/>
          <w:sz w:val="22"/>
          <w:szCs w:val="22"/>
        </w:rPr>
        <w:t xml:space="preserve"> contados a partir del 2016 y hasta el 2020</w:t>
      </w:r>
      <w:r w:rsidR="00677DAB">
        <w:rPr>
          <w:rFonts w:cs="Arial"/>
          <w:bCs/>
          <w:sz w:val="22"/>
          <w:szCs w:val="22"/>
        </w:rPr>
        <w:t xml:space="preserve">, </w:t>
      </w:r>
      <w:r w:rsidRPr="001A55C4">
        <w:rPr>
          <w:rFonts w:cs="Arial"/>
          <w:bCs/>
          <w:sz w:val="22"/>
          <w:szCs w:val="22"/>
        </w:rPr>
        <w:t>debido entre otras causales</w:t>
      </w:r>
      <w:r w:rsidR="00677DAB">
        <w:rPr>
          <w:rFonts w:cs="Arial"/>
          <w:bCs/>
          <w:sz w:val="22"/>
          <w:szCs w:val="22"/>
        </w:rPr>
        <w:t>,</w:t>
      </w:r>
      <w:r w:rsidRPr="001A55C4">
        <w:rPr>
          <w:rFonts w:cs="Arial"/>
          <w:bCs/>
          <w:sz w:val="22"/>
          <w:szCs w:val="22"/>
        </w:rPr>
        <w:t xml:space="preserve"> al no reporte de estados financieros en el SUI de la SSPD o el registro en el RUPS realizado en fecha posterior a la liquidación de la respectiva contribución de la vigencia relacionada.</w:t>
      </w:r>
    </w:p>
    <w:p w14:paraId="29C6E83C" w14:textId="4EC812BF" w:rsidR="001A55C4" w:rsidRDefault="001A55C4" w:rsidP="001A55C4">
      <w:pPr>
        <w:rPr>
          <w:rFonts w:cs="Arial"/>
          <w:bCs/>
          <w:sz w:val="22"/>
          <w:szCs w:val="22"/>
        </w:rPr>
      </w:pPr>
    </w:p>
    <w:p w14:paraId="6C841821" w14:textId="2FE47091" w:rsidR="001A55C4" w:rsidRPr="001A55C4" w:rsidRDefault="001A55C4" w:rsidP="001A55C4">
      <w:pPr>
        <w:rPr>
          <w:rFonts w:cs="Arial"/>
          <w:bCs/>
          <w:sz w:val="22"/>
          <w:szCs w:val="22"/>
        </w:rPr>
      </w:pPr>
      <w:r w:rsidRPr="001A55C4">
        <w:rPr>
          <w:rFonts w:cs="Arial"/>
          <w:bCs/>
          <w:sz w:val="22"/>
          <w:szCs w:val="22"/>
        </w:rPr>
        <w:t>Aquellas empresas reguladas que no han reportado y que reporten posterior a la publicación de la presente resolución de contribución especial</w:t>
      </w:r>
      <w:r w:rsidR="000868D5">
        <w:rPr>
          <w:rFonts w:cs="Arial"/>
          <w:bCs/>
          <w:sz w:val="22"/>
          <w:szCs w:val="22"/>
        </w:rPr>
        <w:t>,</w:t>
      </w:r>
      <w:r w:rsidRPr="001A55C4">
        <w:rPr>
          <w:rFonts w:cs="Arial"/>
          <w:bCs/>
          <w:sz w:val="22"/>
          <w:szCs w:val="22"/>
        </w:rPr>
        <w:t xml:space="preserve"> se liquidarán en las próximas vigencias con base en la metodología para hallar la base gravable y la tarifa generada en cada año de reporte.</w:t>
      </w:r>
    </w:p>
    <w:p w14:paraId="1C0618BA" w14:textId="77777777" w:rsidR="001A55C4" w:rsidRPr="001A55C4" w:rsidRDefault="001A55C4" w:rsidP="001A55C4">
      <w:pPr>
        <w:rPr>
          <w:rFonts w:cs="Arial"/>
          <w:sz w:val="22"/>
          <w:szCs w:val="22"/>
        </w:rPr>
      </w:pPr>
    </w:p>
    <w:p w14:paraId="7E0C0F57" w14:textId="6ED2FEA3" w:rsidR="00960095" w:rsidRPr="001A55C4" w:rsidRDefault="006B0358" w:rsidP="001A55C4">
      <w:pPr>
        <w:rPr>
          <w:rFonts w:cs="Arial"/>
          <w:sz w:val="22"/>
          <w:szCs w:val="22"/>
        </w:rPr>
      </w:pPr>
      <w:r w:rsidRPr="001A55C4">
        <w:rPr>
          <w:rFonts w:cs="Arial"/>
          <w:sz w:val="22"/>
          <w:szCs w:val="22"/>
        </w:rPr>
        <w:t>Se reportará al Boletín de Deudores Morosos del Estado (BDME) de la Contaduría General de la Nación (CGN)</w:t>
      </w:r>
      <w:r w:rsidR="009D3DB8">
        <w:rPr>
          <w:rFonts w:cs="Arial"/>
          <w:sz w:val="22"/>
          <w:szCs w:val="22"/>
        </w:rPr>
        <w:t>,</w:t>
      </w:r>
      <w:r w:rsidRPr="001A55C4">
        <w:rPr>
          <w:rFonts w:cs="Arial"/>
          <w:sz w:val="22"/>
          <w:szCs w:val="22"/>
        </w:rPr>
        <w:t xml:space="preserve"> las personas naturales y jurídicas que</w:t>
      </w:r>
      <w:r w:rsidR="00677DAB">
        <w:rPr>
          <w:rFonts w:cs="Arial"/>
          <w:sz w:val="22"/>
          <w:szCs w:val="22"/>
        </w:rPr>
        <w:t>,</w:t>
      </w:r>
      <w:r w:rsidRPr="001A55C4">
        <w:rPr>
          <w:rFonts w:cs="Arial"/>
          <w:sz w:val="22"/>
          <w:szCs w:val="22"/>
        </w:rPr>
        <w:t xml:space="preserve"> a cualquier título</w:t>
      </w:r>
      <w:r w:rsidR="00677DAB">
        <w:rPr>
          <w:rFonts w:cs="Arial"/>
          <w:sz w:val="22"/>
          <w:szCs w:val="22"/>
        </w:rPr>
        <w:t>,</w:t>
      </w:r>
      <w:r w:rsidRPr="001A55C4">
        <w:rPr>
          <w:rFonts w:cs="Arial"/>
          <w:sz w:val="22"/>
          <w:szCs w:val="22"/>
        </w:rPr>
        <w:t xml:space="preserve"> a una fecha de corte tienen contraída una obligación en mora a favor de la CREG</w:t>
      </w:r>
      <w:r w:rsidR="000868D5">
        <w:rPr>
          <w:rFonts w:cs="Arial"/>
          <w:sz w:val="22"/>
          <w:szCs w:val="22"/>
        </w:rPr>
        <w:t>,</w:t>
      </w:r>
      <w:r w:rsidRPr="001A55C4">
        <w:rPr>
          <w:rFonts w:cs="Arial"/>
          <w:sz w:val="22"/>
          <w:szCs w:val="22"/>
        </w:rPr>
        <w:t xml:space="preserve"> según lo dispuesto y en las condiciones establecidas en el parágrafo 3º del artículo 2º de la Ley 901 de 2004</w:t>
      </w:r>
      <w:r w:rsidR="00677DAB">
        <w:rPr>
          <w:rFonts w:cs="Arial"/>
          <w:sz w:val="22"/>
          <w:szCs w:val="22"/>
        </w:rPr>
        <w:t>,</w:t>
      </w:r>
      <w:r w:rsidRPr="001A55C4">
        <w:rPr>
          <w:rFonts w:cs="Arial"/>
          <w:sz w:val="22"/>
          <w:szCs w:val="22"/>
        </w:rPr>
        <w:t xml:space="preserve"> y del numeral 5º del Artículo 2º de la Ley 1066 de 2006; a través del sistema CHIP de la CGN</w:t>
      </w:r>
      <w:r w:rsidR="00677DAB">
        <w:rPr>
          <w:rFonts w:cs="Arial"/>
          <w:sz w:val="22"/>
          <w:szCs w:val="22"/>
        </w:rPr>
        <w:t>,</w:t>
      </w:r>
      <w:r w:rsidRPr="001A55C4">
        <w:rPr>
          <w:rFonts w:cs="Arial"/>
          <w:sz w:val="22"/>
          <w:szCs w:val="22"/>
        </w:rPr>
        <w:t xml:space="preserve"> en los diez (10) primeros días de los meses de junio y de diciembre</w:t>
      </w:r>
      <w:r w:rsidR="00677DAB">
        <w:rPr>
          <w:rFonts w:cs="Arial"/>
          <w:sz w:val="22"/>
          <w:szCs w:val="22"/>
        </w:rPr>
        <w:t>,</w:t>
      </w:r>
      <w:r w:rsidRPr="001A55C4">
        <w:rPr>
          <w:rFonts w:cs="Arial"/>
          <w:sz w:val="22"/>
          <w:szCs w:val="22"/>
        </w:rPr>
        <w:t xml:space="preserve"> con fecha de corte de obligación adeudada a 31 de mayo y 30 de noviembre respectivamente.</w:t>
      </w:r>
    </w:p>
    <w:p w14:paraId="60FC85C2" w14:textId="77777777" w:rsidR="00A43221" w:rsidRPr="001A55C4" w:rsidRDefault="00A43221" w:rsidP="001A55C4">
      <w:pPr>
        <w:rPr>
          <w:rFonts w:cs="Arial"/>
          <w:sz w:val="22"/>
          <w:szCs w:val="22"/>
        </w:rPr>
      </w:pPr>
    </w:p>
    <w:p w14:paraId="2FB58460" w14:textId="7D8C28B6" w:rsidR="00960095" w:rsidRPr="001A55C4" w:rsidRDefault="00960095" w:rsidP="001A55C4">
      <w:pPr>
        <w:rPr>
          <w:rFonts w:cs="Arial"/>
          <w:sz w:val="22"/>
          <w:szCs w:val="22"/>
        </w:rPr>
      </w:pPr>
      <w:r w:rsidRPr="001A55C4">
        <w:rPr>
          <w:rFonts w:cs="Arial"/>
          <w:sz w:val="22"/>
          <w:szCs w:val="22"/>
        </w:rPr>
        <w:t>En cumplimiento de lo anterior</w:t>
      </w:r>
      <w:r w:rsidR="0086730A">
        <w:rPr>
          <w:rFonts w:cs="Arial"/>
          <w:sz w:val="22"/>
          <w:szCs w:val="22"/>
        </w:rPr>
        <w:t>,</w:t>
      </w:r>
      <w:r w:rsidRPr="001A55C4">
        <w:rPr>
          <w:rFonts w:cs="Arial"/>
          <w:sz w:val="22"/>
          <w:szCs w:val="22"/>
        </w:rPr>
        <w:t xml:space="preserve"> la </w:t>
      </w:r>
      <w:r w:rsidR="008A3BDC">
        <w:rPr>
          <w:rFonts w:cs="Arial"/>
          <w:sz w:val="22"/>
          <w:szCs w:val="22"/>
        </w:rPr>
        <w:t>entidad</w:t>
      </w:r>
      <w:r w:rsidRPr="001A55C4">
        <w:rPr>
          <w:rFonts w:cs="Arial"/>
          <w:sz w:val="22"/>
          <w:szCs w:val="22"/>
        </w:rPr>
        <w:t xml:space="preserve"> realizará el reporte en el BDME de aquellos regulados que presente morosidad en el pago de la c</w:t>
      </w:r>
      <w:r w:rsidR="00C620EE" w:rsidRPr="001A55C4">
        <w:rPr>
          <w:rFonts w:cs="Arial"/>
          <w:sz w:val="22"/>
          <w:szCs w:val="22"/>
        </w:rPr>
        <w:t xml:space="preserve">ontribución especial </w:t>
      </w:r>
      <w:r w:rsidR="0086730A">
        <w:rPr>
          <w:rFonts w:cs="Arial"/>
          <w:sz w:val="22"/>
          <w:szCs w:val="22"/>
        </w:rPr>
        <w:t>a favor de</w:t>
      </w:r>
      <w:r w:rsidR="00C620EE" w:rsidRPr="001A55C4">
        <w:rPr>
          <w:rFonts w:cs="Arial"/>
          <w:sz w:val="22"/>
          <w:szCs w:val="22"/>
        </w:rPr>
        <w:t xml:space="preserve"> la CREG</w:t>
      </w:r>
      <w:r w:rsidR="0086730A">
        <w:rPr>
          <w:rFonts w:cs="Arial"/>
          <w:sz w:val="22"/>
          <w:szCs w:val="22"/>
        </w:rPr>
        <w:t>,</w:t>
      </w:r>
      <w:r w:rsidR="00C620EE" w:rsidRPr="001A55C4">
        <w:rPr>
          <w:rFonts w:cs="Arial"/>
          <w:sz w:val="22"/>
          <w:szCs w:val="22"/>
        </w:rPr>
        <w:t xml:space="preserve"> en l</w:t>
      </w:r>
      <w:r w:rsidR="00B541D5" w:rsidRPr="001A55C4">
        <w:rPr>
          <w:rFonts w:cs="Arial"/>
          <w:sz w:val="22"/>
          <w:szCs w:val="22"/>
        </w:rPr>
        <w:t xml:space="preserve">as fechas de corte </w:t>
      </w:r>
      <w:r w:rsidR="00226A08">
        <w:rPr>
          <w:rFonts w:cs="Arial"/>
          <w:sz w:val="22"/>
          <w:szCs w:val="22"/>
        </w:rPr>
        <w:t xml:space="preserve">y condiciones </w:t>
      </w:r>
      <w:r w:rsidR="00B541D5" w:rsidRPr="001A55C4">
        <w:rPr>
          <w:rFonts w:cs="Arial"/>
          <w:sz w:val="22"/>
          <w:szCs w:val="22"/>
        </w:rPr>
        <w:t>establecidas para tal fin</w:t>
      </w:r>
      <w:r w:rsidR="00E73292" w:rsidRPr="001A55C4">
        <w:rPr>
          <w:rFonts w:cs="Arial"/>
          <w:sz w:val="22"/>
          <w:szCs w:val="22"/>
        </w:rPr>
        <w:t>.</w:t>
      </w:r>
    </w:p>
    <w:p w14:paraId="3B23CD56" w14:textId="67893ACD" w:rsidR="001A55C4" w:rsidRPr="001A55C4" w:rsidRDefault="001A55C4" w:rsidP="001A55C4">
      <w:pPr>
        <w:rPr>
          <w:rFonts w:cs="Arial"/>
          <w:sz w:val="22"/>
          <w:szCs w:val="22"/>
        </w:rPr>
      </w:pPr>
    </w:p>
    <w:p w14:paraId="3FBAF40B" w14:textId="4E4CE17C" w:rsidR="00B541D5" w:rsidRPr="00426C21" w:rsidRDefault="00426C21" w:rsidP="00426C21">
      <w:pPr>
        <w:rPr>
          <w:rFonts w:cs="Arial"/>
          <w:b/>
          <w:i/>
          <w:iCs/>
        </w:rPr>
      </w:pPr>
      <w:r>
        <w:rPr>
          <w:rFonts w:cs="Arial"/>
          <w:sz w:val="22"/>
          <w:szCs w:val="22"/>
        </w:rPr>
        <w:t>Para la aplicación de sanciones por mora y liquidación de intereses de realizarán teniendo en cuenta el numeral 85.6 del artículo 85 de la Ley 142 de 1994, que estable</w:t>
      </w:r>
      <w:r w:rsidR="009D3DB8">
        <w:rPr>
          <w:rFonts w:cs="Arial"/>
          <w:sz w:val="22"/>
          <w:szCs w:val="22"/>
        </w:rPr>
        <w:t>ce</w:t>
      </w:r>
      <w:r w:rsidRPr="00426C21">
        <w:rPr>
          <w:rFonts w:cs="Arial"/>
          <w:i/>
          <w:iCs/>
          <w:sz w:val="22"/>
          <w:szCs w:val="22"/>
        </w:rPr>
        <w:t xml:space="preserve">: “85.6. Una vez en firme las liquidaciones deberán ser canceladas dentro del mes siguiente. Se aplicará el </w:t>
      </w:r>
      <w:r w:rsidRPr="00426C21">
        <w:rPr>
          <w:rFonts w:cs="Arial"/>
          <w:i/>
          <w:iCs/>
          <w:sz w:val="22"/>
          <w:szCs w:val="22"/>
        </w:rPr>
        <w:lastRenderedPageBreak/>
        <w:t>mismo régimen de sanción por mora aplicable al impuesto sobre la renta y complementarios, sin perjuicio de las demás sanciones de que trata esta Ley”.</w:t>
      </w:r>
    </w:p>
    <w:p w14:paraId="7058AA57" w14:textId="148BD028" w:rsidR="00531ACB" w:rsidRDefault="00531ACB">
      <w:pPr>
        <w:jc w:val="left"/>
        <w:rPr>
          <w:rFonts w:eastAsia="Calibri" w:cs="Arial"/>
          <w:b/>
          <w:spacing w:val="0"/>
          <w:sz w:val="22"/>
          <w:szCs w:val="22"/>
          <w:lang w:val="es-MX"/>
        </w:rPr>
      </w:pPr>
      <w:r>
        <w:rPr>
          <w:rFonts w:cs="Arial"/>
          <w:b/>
        </w:rPr>
        <w:br w:type="page"/>
      </w:r>
    </w:p>
    <w:p w14:paraId="0C2B5DD6" w14:textId="4B54138D" w:rsidR="0069524F" w:rsidRPr="001A55C4" w:rsidRDefault="0069524F" w:rsidP="001A55C4">
      <w:pPr>
        <w:pStyle w:val="Ttulo10"/>
        <w:numPr>
          <w:ilvl w:val="0"/>
          <w:numId w:val="37"/>
        </w:numPr>
        <w:spacing w:before="0" w:after="0"/>
        <w:rPr>
          <w:sz w:val="22"/>
          <w:szCs w:val="22"/>
        </w:rPr>
      </w:pPr>
      <w:bookmarkStart w:id="67" w:name="_Toc54170202"/>
      <w:bookmarkStart w:id="68" w:name="_Toc88126870"/>
      <w:r w:rsidRPr="001A55C4">
        <w:rPr>
          <w:sz w:val="22"/>
          <w:szCs w:val="22"/>
        </w:rPr>
        <w:lastRenderedPageBreak/>
        <w:t>PUBLICACIÓN PARA CONSULTA Y COMENTARIOS</w:t>
      </w:r>
      <w:bookmarkEnd w:id="67"/>
      <w:bookmarkEnd w:id="68"/>
    </w:p>
    <w:p w14:paraId="07905F7B" w14:textId="2D98967E" w:rsidR="006B0358" w:rsidRDefault="006B0358" w:rsidP="00C751A8">
      <w:pPr>
        <w:pStyle w:val="Prrafodelista"/>
        <w:spacing w:after="0"/>
        <w:ind w:left="0"/>
        <w:rPr>
          <w:rFonts w:cs="Arial"/>
          <w:b/>
        </w:rPr>
      </w:pPr>
    </w:p>
    <w:p w14:paraId="05A633FE" w14:textId="7500076B" w:rsidR="006B5A5E" w:rsidRPr="00B4518C" w:rsidRDefault="006B5A5E" w:rsidP="006B5A5E">
      <w:pPr>
        <w:rPr>
          <w:rFonts w:cs="Arial"/>
          <w:sz w:val="22"/>
          <w:szCs w:val="22"/>
        </w:rPr>
      </w:pPr>
      <w:r w:rsidRPr="00C93FBE">
        <w:rPr>
          <w:rFonts w:cs="Arial"/>
          <w:sz w:val="22"/>
          <w:szCs w:val="22"/>
        </w:rPr>
        <w:t>Conforme a lo dispuesto por el artículo 9 del Decreto 2696 de 2004</w:t>
      </w:r>
      <w:r w:rsidR="00D26825">
        <w:rPr>
          <w:rFonts w:cs="Arial"/>
          <w:sz w:val="22"/>
          <w:szCs w:val="22"/>
        </w:rPr>
        <w:t>,</w:t>
      </w:r>
      <w:r w:rsidRPr="00C93FBE">
        <w:rPr>
          <w:rFonts w:cs="Arial"/>
          <w:sz w:val="22"/>
          <w:szCs w:val="22"/>
        </w:rPr>
        <w:t xml:space="preserve"> concordante con el artículo 8 del Código de Procedimiento Administrativo y de lo Contencioso Administrativo</w:t>
      </w:r>
      <w:r w:rsidR="00D26825">
        <w:rPr>
          <w:rFonts w:cs="Arial"/>
          <w:sz w:val="22"/>
          <w:szCs w:val="22"/>
        </w:rPr>
        <w:t>,</w:t>
      </w:r>
      <w:r w:rsidRPr="00C93FBE">
        <w:rPr>
          <w:rFonts w:cs="Arial"/>
          <w:sz w:val="22"/>
          <w:szCs w:val="22"/>
        </w:rPr>
        <w:t xml:space="preserve"> la CREG </w:t>
      </w:r>
      <w:r>
        <w:rPr>
          <w:rFonts w:cs="Arial"/>
          <w:sz w:val="22"/>
          <w:szCs w:val="22"/>
        </w:rPr>
        <w:t>publicó</w:t>
      </w:r>
      <w:r w:rsidRPr="00C93FBE">
        <w:rPr>
          <w:rFonts w:cs="Arial"/>
          <w:sz w:val="22"/>
          <w:szCs w:val="22"/>
        </w:rPr>
        <w:t xml:space="preserve"> en su página web </w:t>
      </w:r>
      <w:r>
        <w:rPr>
          <w:rFonts w:cs="Arial"/>
          <w:sz w:val="22"/>
          <w:szCs w:val="22"/>
        </w:rPr>
        <w:t xml:space="preserve">para comentarios la Resolución </w:t>
      </w:r>
      <w:r w:rsidR="00622FEA">
        <w:rPr>
          <w:rFonts w:cs="Arial"/>
          <w:sz w:val="22"/>
          <w:szCs w:val="22"/>
        </w:rPr>
        <w:t>172</w:t>
      </w:r>
      <w:r>
        <w:rPr>
          <w:rFonts w:cs="Arial"/>
          <w:sz w:val="22"/>
          <w:szCs w:val="22"/>
        </w:rPr>
        <w:t xml:space="preserve"> de</w:t>
      </w:r>
      <w:r w:rsidR="00622FEA">
        <w:rPr>
          <w:rFonts w:cs="Arial"/>
          <w:sz w:val="22"/>
          <w:szCs w:val="22"/>
        </w:rPr>
        <w:t>l</w:t>
      </w:r>
      <w:r>
        <w:rPr>
          <w:rFonts w:cs="Arial"/>
          <w:sz w:val="22"/>
          <w:szCs w:val="22"/>
        </w:rPr>
        <w:t xml:space="preserve"> </w:t>
      </w:r>
      <w:r w:rsidR="00622FEA">
        <w:rPr>
          <w:rFonts w:cs="Arial"/>
          <w:sz w:val="22"/>
          <w:szCs w:val="22"/>
        </w:rPr>
        <w:t>07</w:t>
      </w:r>
      <w:r>
        <w:rPr>
          <w:rFonts w:cs="Arial"/>
          <w:sz w:val="22"/>
          <w:szCs w:val="22"/>
        </w:rPr>
        <w:t xml:space="preserve"> de </w:t>
      </w:r>
      <w:r w:rsidR="00622FEA">
        <w:rPr>
          <w:rFonts w:cs="Arial"/>
          <w:sz w:val="22"/>
          <w:szCs w:val="22"/>
        </w:rPr>
        <w:t>octubre</w:t>
      </w:r>
      <w:r>
        <w:rPr>
          <w:rFonts w:cs="Arial"/>
          <w:sz w:val="22"/>
          <w:szCs w:val="22"/>
        </w:rPr>
        <w:t xml:space="preserve"> 202</w:t>
      </w:r>
      <w:r w:rsidR="00622FEA">
        <w:rPr>
          <w:rFonts w:cs="Arial"/>
          <w:sz w:val="22"/>
          <w:szCs w:val="22"/>
        </w:rPr>
        <w:t>1</w:t>
      </w:r>
      <w:r>
        <w:rPr>
          <w:rFonts w:cs="Arial"/>
          <w:sz w:val="22"/>
          <w:szCs w:val="22"/>
        </w:rPr>
        <w:t xml:space="preserve"> </w:t>
      </w:r>
      <w:r w:rsidR="00622FEA">
        <w:rPr>
          <w:rFonts w:cs="Arial"/>
          <w:sz w:val="22"/>
          <w:szCs w:val="22"/>
        </w:rPr>
        <w:t>“</w:t>
      </w:r>
      <w:r w:rsidR="00622FEA" w:rsidRPr="00622FEA">
        <w:rPr>
          <w:rFonts w:cs="Arial"/>
          <w:i/>
          <w:iCs/>
          <w:sz w:val="22"/>
          <w:szCs w:val="22"/>
        </w:rPr>
        <w:t>Por la cual se ordena hacer público un proyecto de resolución de carácter general “Por la cual se señala el porcentaje de la contribución especial que deben pagar las personas prestadoras del servicio de energía eléctrica</w:t>
      </w:r>
      <w:r w:rsidR="00EA0452">
        <w:rPr>
          <w:rFonts w:cs="Arial"/>
          <w:i/>
          <w:iCs/>
          <w:sz w:val="22"/>
          <w:szCs w:val="22"/>
        </w:rPr>
        <w:t>.</w:t>
      </w:r>
      <w:r w:rsidR="00622FEA" w:rsidRPr="00622FEA">
        <w:rPr>
          <w:rFonts w:cs="Arial"/>
          <w:i/>
          <w:iCs/>
          <w:sz w:val="22"/>
          <w:szCs w:val="22"/>
        </w:rPr>
        <w:t xml:space="preserve"> gas natural y gas licuado de petróleo (GLP)</w:t>
      </w:r>
      <w:r w:rsidR="00D26825">
        <w:rPr>
          <w:rFonts w:cs="Arial"/>
          <w:i/>
          <w:iCs/>
          <w:sz w:val="22"/>
          <w:szCs w:val="22"/>
        </w:rPr>
        <w:t>,</w:t>
      </w:r>
      <w:r w:rsidR="00622FEA" w:rsidRPr="00622FEA">
        <w:rPr>
          <w:rFonts w:cs="Arial"/>
          <w:i/>
          <w:iCs/>
          <w:sz w:val="22"/>
          <w:szCs w:val="22"/>
        </w:rPr>
        <w:t xml:space="preserve"> sometidas a la regulación de la Comisión de Regulación de Energía y Gas en el año 2021 y se dictan otras disposiciones”</w:t>
      </w:r>
      <w:r w:rsidR="00622FEA">
        <w:rPr>
          <w:rFonts w:cs="Arial"/>
          <w:i/>
          <w:iCs/>
          <w:sz w:val="22"/>
          <w:szCs w:val="22"/>
        </w:rPr>
        <w:t>”</w:t>
      </w:r>
      <w:r>
        <w:rPr>
          <w:rFonts w:cs="Arial"/>
          <w:i/>
          <w:iCs/>
          <w:sz w:val="22"/>
          <w:szCs w:val="22"/>
        </w:rPr>
        <w:t xml:space="preserve"> </w:t>
      </w:r>
      <w:r>
        <w:rPr>
          <w:rFonts w:cs="Arial"/>
          <w:sz w:val="22"/>
          <w:szCs w:val="22"/>
        </w:rPr>
        <w:t xml:space="preserve">y </w:t>
      </w:r>
      <w:r w:rsidR="00622FEA">
        <w:rPr>
          <w:rFonts w:cs="Arial"/>
          <w:sz w:val="22"/>
          <w:szCs w:val="22"/>
        </w:rPr>
        <w:t xml:space="preserve">el presente </w:t>
      </w:r>
      <w:r>
        <w:rPr>
          <w:rFonts w:cs="Arial"/>
          <w:sz w:val="22"/>
          <w:szCs w:val="22"/>
        </w:rPr>
        <w:t xml:space="preserve">documento soporte CREG </w:t>
      </w:r>
      <w:r w:rsidR="008A3BDC">
        <w:rPr>
          <w:rFonts w:cs="Arial"/>
          <w:sz w:val="22"/>
          <w:szCs w:val="22"/>
        </w:rPr>
        <w:t xml:space="preserve">N° </w:t>
      </w:r>
      <w:r>
        <w:rPr>
          <w:rFonts w:cs="Arial"/>
          <w:sz w:val="22"/>
          <w:szCs w:val="22"/>
        </w:rPr>
        <w:t>D</w:t>
      </w:r>
      <w:r w:rsidR="00622FEA">
        <w:rPr>
          <w:rFonts w:cs="Arial"/>
          <w:sz w:val="22"/>
          <w:szCs w:val="22"/>
        </w:rPr>
        <w:t>140</w:t>
      </w:r>
      <w:r>
        <w:rPr>
          <w:rFonts w:cs="Arial"/>
          <w:sz w:val="22"/>
          <w:szCs w:val="22"/>
        </w:rPr>
        <w:t>-202</w:t>
      </w:r>
      <w:r w:rsidR="00622FEA">
        <w:rPr>
          <w:rFonts w:cs="Arial"/>
          <w:sz w:val="22"/>
          <w:szCs w:val="22"/>
        </w:rPr>
        <w:t>1</w:t>
      </w:r>
      <w:r w:rsidR="008A3BDC">
        <w:rPr>
          <w:rFonts w:cs="Arial"/>
          <w:sz w:val="22"/>
          <w:szCs w:val="22"/>
        </w:rPr>
        <w:t>,</w:t>
      </w:r>
      <w:r>
        <w:rPr>
          <w:rFonts w:cs="Arial"/>
          <w:sz w:val="22"/>
          <w:szCs w:val="22"/>
        </w:rPr>
        <w:t xml:space="preserve"> </w:t>
      </w:r>
      <w:r w:rsidR="00622FEA">
        <w:rPr>
          <w:rFonts w:cs="Arial"/>
          <w:sz w:val="22"/>
          <w:szCs w:val="22"/>
        </w:rPr>
        <w:t xml:space="preserve">con el fin de cumplir con </w:t>
      </w:r>
      <w:r>
        <w:rPr>
          <w:rFonts w:cs="Arial"/>
          <w:sz w:val="22"/>
          <w:szCs w:val="22"/>
        </w:rPr>
        <w:t>el término de publicidad</w:t>
      </w:r>
      <w:r w:rsidR="00D26825">
        <w:rPr>
          <w:rFonts w:cs="Arial"/>
          <w:sz w:val="22"/>
          <w:szCs w:val="22"/>
        </w:rPr>
        <w:t>,</w:t>
      </w:r>
      <w:r w:rsidR="00622FEA">
        <w:rPr>
          <w:rFonts w:cs="Arial"/>
          <w:sz w:val="22"/>
          <w:szCs w:val="22"/>
        </w:rPr>
        <w:t xml:space="preserve"> recibir </w:t>
      </w:r>
      <w:r>
        <w:rPr>
          <w:rFonts w:cs="Arial"/>
          <w:sz w:val="22"/>
          <w:szCs w:val="22"/>
        </w:rPr>
        <w:t>comentarios</w:t>
      </w:r>
      <w:r w:rsidR="00D26825">
        <w:rPr>
          <w:rFonts w:cs="Arial"/>
          <w:sz w:val="22"/>
          <w:szCs w:val="22"/>
        </w:rPr>
        <w:t>,</w:t>
      </w:r>
      <w:r w:rsidR="00622FEA">
        <w:rPr>
          <w:rFonts w:cs="Arial"/>
          <w:sz w:val="22"/>
          <w:szCs w:val="22"/>
        </w:rPr>
        <w:t xml:space="preserve"> realizar</w:t>
      </w:r>
      <w:r>
        <w:rPr>
          <w:rFonts w:cs="Arial"/>
          <w:sz w:val="22"/>
          <w:szCs w:val="22"/>
        </w:rPr>
        <w:t xml:space="preserve"> ajustes </w:t>
      </w:r>
      <w:r w:rsidR="00622FEA">
        <w:rPr>
          <w:rFonts w:cs="Arial"/>
          <w:sz w:val="22"/>
          <w:szCs w:val="22"/>
        </w:rPr>
        <w:t>e incorporarlos en una resolución definitiva.</w:t>
      </w:r>
    </w:p>
    <w:p w14:paraId="54254282" w14:textId="77777777" w:rsidR="006B5A5E" w:rsidRDefault="006B5A5E" w:rsidP="006B5A5E">
      <w:pPr>
        <w:rPr>
          <w:rFonts w:cs="Arial"/>
          <w:sz w:val="22"/>
          <w:szCs w:val="22"/>
        </w:rPr>
      </w:pPr>
    </w:p>
    <w:p w14:paraId="4053CED3" w14:textId="6A324A72" w:rsidR="001A55C4" w:rsidRDefault="001A55C4">
      <w:pPr>
        <w:jc w:val="left"/>
        <w:rPr>
          <w:rFonts w:cs="Arial"/>
          <w:sz w:val="22"/>
          <w:szCs w:val="22"/>
        </w:rPr>
      </w:pPr>
      <w:r>
        <w:rPr>
          <w:rFonts w:cs="Arial"/>
        </w:rPr>
        <w:br w:type="page"/>
      </w:r>
    </w:p>
    <w:p w14:paraId="2E7A6354" w14:textId="30E725AE" w:rsidR="00446E1E" w:rsidRPr="00A5364C" w:rsidRDefault="001A45DE" w:rsidP="001A45DE">
      <w:pPr>
        <w:pStyle w:val="Ttulo10"/>
        <w:tabs>
          <w:tab w:val="left" w:pos="2354"/>
          <w:tab w:val="center" w:pos="4503"/>
        </w:tabs>
        <w:ind w:left="360"/>
        <w:rPr>
          <w:sz w:val="24"/>
          <w:szCs w:val="24"/>
        </w:rPr>
      </w:pPr>
      <w:bookmarkStart w:id="69" w:name="_Toc88126871"/>
      <w:r w:rsidRPr="00A5364C">
        <w:rPr>
          <w:sz w:val="24"/>
          <w:szCs w:val="24"/>
        </w:rPr>
        <w:lastRenderedPageBreak/>
        <w:t>ABREVIATURAS UTILIZADAS</w:t>
      </w:r>
      <w:bookmarkEnd w:id="69"/>
    </w:p>
    <w:p w14:paraId="6D10634B" w14:textId="77777777" w:rsidR="00446E1E" w:rsidRDefault="00446E1E" w:rsidP="00446E1E">
      <w:pPr>
        <w:rPr>
          <w:rFonts w:ascii="Arial Narrow" w:hAnsi="Arial Narrow" w:cs="Arial"/>
          <w:sz w:val="18"/>
          <w:szCs w:val="18"/>
        </w:rPr>
      </w:pPr>
    </w:p>
    <w:tbl>
      <w:tblPr>
        <w:tblStyle w:val="Tablaconcuadrcula"/>
        <w:tblW w:w="87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284"/>
        <w:gridCol w:w="390"/>
        <w:gridCol w:w="360"/>
        <w:gridCol w:w="6479"/>
      </w:tblGrid>
      <w:tr w:rsidR="00214D5B" w:rsidRPr="00214D5B" w14:paraId="021DA9C2" w14:textId="77777777" w:rsidTr="00483108">
        <w:tc>
          <w:tcPr>
            <w:tcW w:w="2305" w:type="dxa"/>
            <w:gridSpan w:val="4"/>
            <w:shd w:val="clear" w:color="auto" w:fill="E7E6E6" w:themeFill="background2"/>
            <w:vAlign w:val="center"/>
          </w:tcPr>
          <w:p w14:paraId="1B5C6CC3" w14:textId="2D0B705F" w:rsidR="00214D5B" w:rsidRPr="00214D5B" w:rsidRDefault="00214D5B" w:rsidP="00214D5B">
            <w:pPr>
              <w:spacing w:before="40" w:after="40"/>
              <w:jc w:val="center"/>
              <w:rPr>
                <w:rFonts w:cs="Arial"/>
                <w:b/>
                <w:bCs/>
                <w:sz w:val="22"/>
                <w:szCs w:val="22"/>
              </w:rPr>
            </w:pPr>
            <w:r w:rsidRPr="00214D5B">
              <w:rPr>
                <w:rFonts w:cs="Arial"/>
                <w:b/>
                <w:bCs/>
                <w:sz w:val="22"/>
                <w:szCs w:val="22"/>
              </w:rPr>
              <w:t>ABREVIATURA</w:t>
            </w:r>
          </w:p>
        </w:tc>
        <w:tc>
          <w:tcPr>
            <w:tcW w:w="6479" w:type="dxa"/>
            <w:shd w:val="clear" w:color="auto" w:fill="E7E6E6" w:themeFill="background2"/>
            <w:vAlign w:val="center"/>
          </w:tcPr>
          <w:p w14:paraId="43C54610" w14:textId="104FFC09" w:rsidR="00214D5B" w:rsidRPr="00214D5B" w:rsidRDefault="00214D5B" w:rsidP="00214D5B">
            <w:pPr>
              <w:spacing w:before="40" w:after="40"/>
              <w:jc w:val="center"/>
              <w:rPr>
                <w:rFonts w:cs="Arial"/>
                <w:b/>
                <w:bCs/>
                <w:sz w:val="22"/>
                <w:szCs w:val="22"/>
              </w:rPr>
            </w:pPr>
            <w:r w:rsidRPr="00214D5B">
              <w:rPr>
                <w:rFonts w:cs="Arial"/>
                <w:b/>
                <w:bCs/>
                <w:sz w:val="22"/>
                <w:szCs w:val="22"/>
              </w:rPr>
              <w:t>SIGNIFICADO</w:t>
            </w:r>
          </w:p>
        </w:tc>
      </w:tr>
      <w:tr w:rsidR="00483108" w:rsidRPr="00214D5B" w14:paraId="14CDA7D3" w14:textId="77777777" w:rsidTr="00483108">
        <w:tc>
          <w:tcPr>
            <w:tcW w:w="2305" w:type="dxa"/>
            <w:gridSpan w:val="4"/>
            <w:shd w:val="clear" w:color="auto" w:fill="auto"/>
            <w:vAlign w:val="center"/>
          </w:tcPr>
          <w:p w14:paraId="728BDE81" w14:textId="77777777" w:rsidR="00483108" w:rsidRPr="00214D5B" w:rsidRDefault="00483108" w:rsidP="00214D5B">
            <w:pPr>
              <w:spacing w:before="40" w:after="40"/>
              <w:jc w:val="center"/>
              <w:rPr>
                <w:rFonts w:cs="Arial"/>
                <w:b/>
                <w:bCs/>
                <w:sz w:val="22"/>
                <w:szCs w:val="22"/>
              </w:rPr>
            </w:pPr>
          </w:p>
        </w:tc>
        <w:tc>
          <w:tcPr>
            <w:tcW w:w="6479" w:type="dxa"/>
            <w:shd w:val="clear" w:color="auto" w:fill="auto"/>
            <w:vAlign w:val="center"/>
          </w:tcPr>
          <w:p w14:paraId="7AE3EB7A" w14:textId="77777777" w:rsidR="00483108" w:rsidRPr="00214D5B" w:rsidRDefault="00483108" w:rsidP="00214D5B">
            <w:pPr>
              <w:spacing w:before="40" w:after="40"/>
              <w:jc w:val="center"/>
              <w:rPr>
                <w:rFonts w:cs="Arial"/>
                <w:b/>
                <w:bCs/>
                <w:sz w:val="22"/>
                <w:szCs w:val="22"/>
              </w:rPr>
            </w:pPr>
          </w:p>
        </w:tc>
      </w:tr>
      <w:tr w:rsidR="00214D5B" w:rsidRPr="0034093E" w14:paraId="38A01BAB" w14:textId="77777777" w:rsidTr="00483108">
        <w:tc>
          <w:tcPr>
            <w:tcW w:w="1271" w:type="dxa"/>
            <w:vAlign w:val="center"/>
          </w:tcPr>
          <w:p w14:paraId="77F7DDA8" w14:textId="77777777" w:rsidR="00214D5B" w:rsidRPr="0034093E" w:rsidRDefault="00214D5B" w:rsidP="00B30D8E">
            <w:pPr>
              <w:spacing w:before="40" w:after="40"/>
              <w:rPr>
                <w:rFonts w:cs="Arial"/>
                <w:sz w:val="22"/>
                <w:szCs w:val="22"/>
              </w:rPr>
            </w:pPr>
            <w:r w:rsidRPr="0034093E">
              <w:rPr>
                <w:rFonts w:cs="Arial"/>
                <w:sz w:val="22"/>
                <w:szCs w:val="22"/>
              </w:rPr>
              <w:t>BDME</w:t>
            </w:r>
          </w:p>
        </w:tc>
        <w:tc>
          <w:tcPr>
            <w:tcW w:w="284" w:type="dxa"/>
            <w:vAlign w:val="center"/>
          </w:tcPr>
          <w:p w14:paraId="7AFF68F8" w14:textId="77777777" w:rsidR="00214D5B" w:rsidRPr="0034093E" w:rsidRDefault="00214D5B" w:rsidP="00B30D8E">
            <w:pPr>
              <w:spacing w:before="40" w:after="40"/>
              <w:rPr>
                <w:rFonts w:cs="Arial"/>
                <w:sz w:val="22"/>
                <w:szCs w:val="22"/>
              </w:rPr>
            </w:pPr>
          </w:p>
        </w:tc>
        <w:tc>
          <w:tcPr>
            <w:tcW w:w="390" w:type="dxa"/>
            <w:vAlign w:val="center"/>
          </w:tcPr>
          <w:p w14:paraId="336AE483" w14:textId="77777777" w:rsidR="00214D5B" w:rsidRPr="0034093E" w:rsidRDefault="00214D5B" w:rsidP="00B30D8E">
            <w:pPr>
              <w:spacing w:before="40" w:after="40"/>
              <w:jc w:val="center"/>
              <w:rPr>
                <w:rFonts w:cs="Arial"/>
                <w:sz w:val="22"/>
                <w:szCs w:val="22"/>
              </w:rPr>
            </w:pPr>
            <w:r w:rsidRPr="0034093E">
              <w:rPr>
                <w:rFonts w:cs="Arial"/>
                <w:sz w:val="22"/>
                <w:szCs w:val="22"/>
              </w:rPr>
              <w:t>:</w:t>
            </w:r>
          </w:p>
        </w:tc>
        <w:tc>
          <w:tcPr>
            <w:tcW w:w="360" w:type="dxa"/>
            <w:vAlign w:val="center"/>
          </w:tcPr>
          <w:p w14:paraId="26CD3727" w14:textId="77777777" w:rsidR="00214D5B" w:rsidRPr="0034093E" w:rsidRDefault="00214D5B" w:rsidP="00B30D8E">
            <w:pPr>
              <w:spacing w:before="40" w:after="40"/>
              <w:rPr>
                <w:rFonts w:cs="Arial"/>
                <w:sz w:val="22"/>
                <w:szCs w:val="22"/>
              </w:rPr>
            </w:pPr>
          </w:p>
        </w:tc>
        <w:tc>
          <w:tcPr>
            <w:tcW w:w="6479" w:type="dxa"/>
            <w:vAlign w:val="center"/>
          </w:tcPr>
          <w:p w14:paraId="29C9AA89" w14:textId="362FAFB4" w:rsidR="00214D5B" w:rsidRPr="0034093E" w:rsidRDefault="00214D5B" w:rsidP="00B30D8E">
            <w:pPr>
              <w:spacing w:before="40" w:after="40"/>
              <w:rPr>
                <w:rFonts w:cs="Arial"/>
                <w:sz w:val="22"/>
                <w:szCs w:val="22"/>
              </w:rPr>
            </w:pPr>
            <w:r w:rsidRPr="0034093E">
              <w:rPr>
                <w:rFonts w:cs="Arial"/>
                <w:sz w:val="22"/>
                <w:szCs w:val="22"/>
              </w:rPr>
              <w:t xml:space="preserve">Boletín de </w:t>
            </w:r>
            <w:r w:rsidR="00BA18B3">
              <w:rPr>
                <w:rFonts w:cs="Arial"/>
                <w:sz w:val="22"/>
                <w:szCs w:val="22"/>
              </w:rPr>
              <w:t>d</w:t>
            </w:r>
            <w:r w:rsidRPr="0034093E">
              <w:rPr>
                <w:rFonts w:cs="Arial"/>
                <w:sz w:val="22"/>
                <w:szCs w:val="22"/>
              </w:rPr>
              <w:t xml:space="preserve">eudores </w:t>
            </w:r>
            <w:r w:rsidR="00BA18B3">
              <w:rPr>
                <w:rFonts w:cs="Arial"/>
                <w:sz w:val="22"/>
                <w:szCs w:val="22"/>
              </w:rPr>
              <w:t>m</w:t>
            </w:r>
            <w:r w:rsidRPr="0034093E">
              <w:rPr>
                <w:rFonts w:cs="Arial"/>
                <w:sz w:val="22"/>
                <w:szCs w:val="22"/>
              </w:rPr>
              <w:t>orosos del Estado.</w:t>
            </w:r>
          </w:p>
        </w:tc>
      </w:tr>
      <w:tr w:rsidR="00446E1E" w:rsidRPr="0034093E" w14:paraId="3DE0D3C6" w14:textId="77777777" w:rsidTr="00483108">
        <w:tc>
          <w:tcPr>
            <w:tcW w:w="1271" w:type="dxa"/>
            <w:vAlign w:val="center"/>
          </w:tcPr>
          <w:p w14:paraId="47063811" w14:textId="77777777" w:rsidR="00446E1E" w:rsidRPr="0034093E" w:rsidRDefault="00446E1E" w:rsidP="008C365B">
            <w:pPr>
              <w:spacing w:before="40" w:after="40"/>
              <w:rPr>
                <w:rFonts w:cs="Arial"/>
                <w:sz w:val="22"/>
                <w:szCs w:val="22"/>
              </w:rPr>
            </w:pPr>
            <w:r w:rsidRPr="0034093E">
              <w:rPr>
                <w:rFonts w:cs="Arial"/>
                <w:sz w:val="22"/>
                <w:szCs w:val="22"/>
              </w:rPr>
              <w:t>CGN</w:t>
            </w:r>
          </w:p>
        </w:tc>
        <w:tc>
          <w:tcPr>
            <w:tcW w:w="284" w:type="dxa"/>
            <w:vAlign w:val="center"/>
          </w:tcPr>
          <w:p w14:paraId="54A1ADAF" w14:textId="77777777" w:rsidR="00446E1E" w:rsidRPr="0034093E" w:rsidRDefault="00446E1E" w:rsidP="008C365B">
            <w:pPr>
              <w:spacing w:before="40" w:after="40"/>
              <w:rPr>
                <w:rFonts w:cs="Arial"/>
                <w:sz w:val="22"/>
                <w:szCs w:val="22"/>
              </w:rPr>
            </w:pPr>
          </w:p>
        </w:tc>
        <w:tc>
          <w:tcPr>
            <w:tcW w:w="390" w:type="dxa"/>
            <w:vAlign w:val="center"/>
          </w:tcPr>
          <w:p w14:paraId="5990E452" w14:textId="77777777" w:rsidR="00446E1E" w:rsidRPr="0034093E" w:rsidRDefault="00446E1E" w:rsidP="008C365B">
            <w:pPr>
              <w:spacing w:before="40" w:after="40"/>
              <w:jc w:val="center"/>
              <w:rPr>
                <w:rFonts w:cs="Arial"/>
                <w:sz w:val="22"/>
                <w:szCs w:val="22"/>
              </w:rPr>
            </w:pPr>
            <w:r w:rsidRPr="0034093E">
              <w:rPr>
                <w:rFonts w:cs="Arial"/>
                <w:sz w:val="22"/>
                <w:szCs w:val="22"/>
              </w:rPr>
              <w:t>:</w:t>
            </w:r>
          </w:p>
        </w:tc>
        <w:tc>
          <w:tcPr>
            <w:tcW w:w="360" w:type="dxa"/>
            <w:vAlign w:val="center"/>
          </w:tcPr>
          <w:p w14:paraId="2693FE26" w14:textId="77777777" w:rsidR="00446E1E" w:rsidRPr="0034093E" w:rsidRDefault="00446E1E" w:rsidP="008C365B">
            <w:pPr>
              <w:spacing w:before="40" w:after="40"/>
              <w:rPr>
                <w:rFonts w:cs="Arial"/>
                <w:sz w:val="22"/>
                <w:szCs w:val="22"/>
              </w:rPr>
            </w:pPr>
          </w:p>
        </w:tc>
        <w:tc>
          <w:tcPr>
            <w:tcW w:w="6479" w:type="dxa"/>
            <w:vAlign w:val="center"/>
          </w:tcPr>
          <w:p w14:paraId="1689C1E9" w14:textId="6228654A" w:rsidR="00446E1E" w:rsidRPr="0034093E" w:rsidRDefault="00446E1E" w:rsidP="008C365B">
            <w:pPr>
              <w:spacing w:before="40" w:after="40"/>
              <w:rPr>
                <w:rFonts w:cs="Arial"/>
                <w:sz w:val="22"/>
                <w:szCs w:val="22"/>
              </w:rPr>
            </w:pPr>
            <w:r w:rsidRPr="0034093E">
              <w:rPr>
                <w:rFonts w:cs="Arial"/>
                <w:sz w:val="22"/>
                <w:szCs w:val="22"/>
              </w:rPr>
              <w:t xml:space="preserve">Contaduría </w:t>
            </w:r>
            <w:r w:rsidR="00BA18B3">
              <w:rPr>
                <w:rFonts w:cs="Arial"/>
                <w:sz w:val="22"/>
                <w:szCs w:val="22"/>
              </w:rPr>
              <w:t>g</w:t>
            </w:r>
            <w:r w:rsidRPr="0034093E">
              <w:rPr>
                <w:rFonts w:cs="Arial"/>
                <w:sz w:val="22"/>
                <w:szCs w:val="22"/>
              </w:rPr>
              <w:t xml:space="preserve">eneral de la </w:t>
            </w:r>
            <w:r w:rsidR="00BA18B3">
              <w:rPr>
                <w:rFonts w:cs="Arial"/>
                <w:sz w:val="22"/>
                <w:szCs w:val="22"/>
              </w:rPr>
              <w:t>n</w:t>
            </w:r>
            <w:r w:rsidRPr="0034093E">
              <w:rPr>
                <w:rFonts w:cs="Arial"/>
                <w:sz w:val="22"/>
                <w:szCs w:val="22"/>
              </w:rPr>
              <w:t>ación.</w:t>
            </w:r>
          </w:p>
        </w:tc>
      </w:tr>
      <w:tr w:rsidR="00446E1E" w:rsidRPr="0034093E" w14:paraId="6E2D1191" w14:textId="77777777" w:rsidTr="00483108">
        <w:tc>
          <w:tcPr>
            <w:tcW w:w="1271" w:type="dxa"/>
            <w:vAlign w:val="center"/>
          </w:tcPr>
          <w:p w14:paraId="75291B62" w14:textId="77777777" w:rsidR="00446E1E" w:rsidRPr="0034093E" w:rsidRDefault="00446E1E" w:rsidP="008C365B">
            <w:pPr>
              <w:spacing w:before="40" w:after="40"/>
              <w:rPr>
                <w:rFonts w:cs="Arial"/>
                <w:sz w:val="22"/>
                <w:szCs w:val="22"/>
              </w:rPr>
            </w:pPr>
            <w:r w:rsidRPr="0034093E">
              <w:rPr>
                <w:rFonts w:cs="Arial"/>
                <w:sz w:val="22"/>
                <w:szCs w:val="22"/>
              </w:rPr>
              <w:t>CSF</w:t>
            </w:r>
          </w:p>
        </w:tc>
        <w:tc>
          <w:tcPr>
            <w:tcW w:w="284" w:type="dxa"/>
            <w:vAlign w:val="center"/>
          </w:tcPr>
          <w:p w14:paraId="450C713E" w14:textId="77777777" w:rsidR="00446E1E" w:rsidRPr="0034093E" w:rsidRDefault="00446E1E" w:rsidP="008C365B">
            <w:pPr>
              <w:spacing w:before="40" w:after="40"/>
              <w:rPr>
                <w:rFonts w:cs="Arial"/>
                <w:sz w:val="22"/>
                <w:szCs w:val="22"/>
              </w:rPr>
            </w:pPr>
          </w:p>
        </w:tc>
        <w:tc>
          <w:tcPr>
            <w:tcW w:w="390" w:type="dxa"/>
            <w:vAlign w:val="center"/>
          </w:tcPr>
          <w:p w14:paraId="09612E12" w14:textId="77777777" w:rsidR="00446E1E" w:rsidRPr="0034093E" w:rsidRDefault="00446E1E" w:rsidP="008C365B">
            <w:pPr>
              <w:spacing w:before="40" w:after="40"/>
              <w:jc w:val="center"/>
              <w:rPr>
                <w:rFonts w:cs="Arial"/>
                <w:sz w:val="22"/>
                <w:szCs w:val="22"/>
              </w:rPr>
            </w:pPr>
            <w:r w:rsidRPr="0034093E">
              <w:rPr>
                <w:rFonts w:cs="Arial"/>
                <w:sz w:val="22"/>
                <w:szCs w:val="22"/>
              </w:rPr>
              <w:t>:</w:t>
            </w:r>
          </w:p>
        </w:tc>
        <w:tc>
          <w:tcPr>
            <w:tcW w:w="360" w:type="dxa"/>
            <w:vAlign w:val="center"/>
          </w:tcPr>
          <w:p w14:paraId="70311425" w14:textId="77777777" w:rsidR="00446E1E" w:rsidRPr="0034093E" w:rsidRDefault="00446E1E" w:rsidP="008C365B">
            <w:pPr>
              <w:spacing w:before="40" w:after="40"/>
              <w:rPr>
                <w:rFonts w:cs="Arial"/>
                <w:sz w:val="22"/>
                <w:szCs w:val="22"/>
              </w:rPr>
            </w:pPr>
          </w:p>
        </w:tc>
        <w:tc>
          <w:tcPr>
            <w:tcW w:w="6479" w:type="dxa"/>
            <w:vAlign w:val="center"/>
          </w:tcPr>
          <w:p w14:paraId="25DEC4B5" w14:textId="041556FE" w:rsidR="00446E1E" w:rsidRPr="0034093E" w:rsidRDefault="00446E1E" w:rsidP="008C365B">
            <w:pPr>
              <w:spacing w:before="40" w:after="40"/>
              <w:rPr>
                <w:rFonts w:cs="Arial"/>
                <w:sz w:val="22"/>
                <w:szCs w:val="22"/>
              </w:rPr>
            </w:pPr>
            <w:r w:rsidRPr="0034093E">
              <w:rPr>
                <w:rFonts w:cs="Arial"/>
                <w:sz w:val="22"/>
                <w:szCs w:val="22"/>
              </w:rPr>
              <w:t xml:space="preserve">Con </w:t>
            </w:r>
            <w:r w:rsidR="00BA18B3">
              <w:rPr>
                <w:rFonts w:cs="Arial"/>
                <w:sz w:val="22"/>
                <w:szCs w:val="22"/>
              </w:rPr>
              <w:t>s</w:t>
            </w:r>
            <w:r w:rsidRPr="0034093E">
              <w:rPr>
                <w:rFonts w:cs="Arial"/>
                <w:sz w:val="22"/>
                <w:szCs w:val="22"/>
              </w:rPr>
              <w:t>ituación de</w:t>
            </w:r>
            <w:r w:rsidR="00BA18B3">
              <w:rPr>
                <w:rFonts w:cs="Arial"/>
                <w:sz w:val="22"/>
                <w:szCs w:val="22"/>
              </w:rPr>
              <w:t xml:space="preserve"> f</w:t>
            </w:r>
            <w:r w:rsidRPr="0034093E">
              <w:rPr>
                <w:rFonts w:cs="Arial"/>
                <w:sz w:val="22"/>
                <w:szCs w:val="22"/>
              </w:rPr>
              <w:t>ondos.</w:t>
            </w:r>
          </w:p>
        </w:tc>
      </w:tr>
      <w:tr w:rsidR="001F3D93" w:rsidRPr="0034093E" w14:paraId="64B963F8" w14:textId="77777777" w:rsidTr="00483108">
        <w:tc>
          <w:tcPr>
            <w:tcW w:w="1271" w:type="dxa"/>
            <w:vAlign w:val="center"/>
          </w:tcPr>
          <w:p w14:paraId="2FFCEBF8" w14:textId="69E40A27" w:rsidR="001F3D93" w:rsidRPr="0034093E" w:rsidRDefault="001F3D93" w:rsidP="008C365B">
            <w:pPr>
              <w:spacing w:before="40" w:after="40"/>
              <w:rPr>
                <w:rFonts w:cs="Arial"/>
                <w:sz w:val="22"/>
                <w:szCs w:val="22"/>
              </w:rPr>
            </w:pPr>
            <w:r>
              <w:rPr>
                <w:rFonts w:cs="Arial"/>
                <w:sz w:val="22"/>
                <w:szCs w:val="22"/>
              </w:rPr>
              <w:t>CUN</w:t>
            </w:r>
          </w:p>
        </w:tc>
        <w:tc>
          <w:tcPr>
            <w:tcW w:w="284" w:type="dxa"/>
            <w:vAlign w:val="center"/>
          </w:tcPr>
          <w:p w14:paraId="14F5468A" w14:textId="77777777" w:rsidR="001F3D93" w:rsidRPr="0034093E" w:rsidRDefault="001F3D93" w:rsidP="008C365B">
            <w:pPr>
              <w:spacing w:before="40" w:after="40"/>
              <w:rPr>
                <w:rFonts w:cs="Arial"/>
                <w:sz w:val="22"/>
                <w:szCs w:val="22"/>
              </w:rPr>
            </w:pPr>
          </w:p>
        </w:tc>
        <w:tc>
          <w:tcPr>
            <w:tcW w:w="390" w:type="dxa"/>
            <w:vAlign w:val="center"/>
          </w:tcPr>
          <w:p w14:paraId="209FCD83" w14:textId="6C666F5A" w:rsidR="001F3D93" w:rsidRPr="0034093E" w:rsidRDefault="001F3D93" w:rsidP="008C365B">
            <w:pPr>
              <w:spacing w:before="40" w:after="40"/>
              <w:jc w:val="center"/>
              <w:rPr>
                <w:rFonts w:cs="Arial"/>
                <w:sz w:val="22"/>
                <w:szCs w:val="22"/>
              </w:rPr>
            </w:pPr>
            <w:r>
              <w:rPr>
                <w:rFonts w:cs="Arial"/>
                <w:sz w:val="22"/>
                <w:szCs w:val="22"/>
              </w:rPr>
              <w:t>:</w:t>
            </w:r>
          </w:p>
        </w:tc>
        <w:tc>
          <w:tcPr>
            <w:tcW w:w="360" w:type="dxa"/>
            <w:vAlign w:val="center"/>
          </w:tcPr>
          <w:p w14:paraId="2D9BE8F7" w14:textId="77777777" w:rsidR="001F3D93" w:rsidRPr="0034093E" w:rsidRDefault="001F3D93" w:rsidP="008C365B">
            <w:pPr>
              <w:spacing w:before="40" w:after="40"/>
              <w:rPr>
                <w:rFonts w:cs="Arial"/>
                <w:sz w:val="22"/>
                <w:szCs w:val="22"/>
              </w:rPr>
            </w:pPr>
          </w:p>
        </w:tc>
        <w:tc>
          <w:tcPr>
            <w:tcW w:w="6479" w:type="dxa"/>
            <w:vAlign w:val="center"/>
          </w:tcPr>
          <w:p w14:paraId="5145256B" w14:textId="20E97504" w:rsidR="001F3D93" w:rsidRPr="0034093E" w:rsidRDefault="001F3D93" w:rsidP="008C365B">
            <w:pPr>
              <w:spacing w:before="40" w:after="40"/>
              <w:rPr>
                <w:rFonts w:cs="Arial"/>
                <w:sz w:val="22"/>
                <w:szCs w:val="22"/>
              </w:rPr>
            </w:pPr>
            <w:r>
              <w:rPr>
                <w:rFonts w:cs="Arial"/>
                <w:sz w:val="22"/>
                <w:szCs w:val="22"/>
              </w:rPr>
              <w:t xml:space="preserve">Cuenta </w:t>
            </w:r>
            <w:r w:rsidR="00BA18B3">
              <w:rPr>
                <w:rFonts w:cs="Arial"/>
                <w:sz w:val="22"/>
                <w:szCs w:val="22"/>
              </w:rPr>
              <w:t>ú</w:t>
            </w:r>
            <w:r>
              <w:rPr>
                <w:rFonts w:cs="Arial"/>
                <w:sz w:val="22"/>
                <w:szCs w:val="22"/>
              </w:rPr>
              <w:t xml:space="preserve">nica </w:t>
            </w:r>
            <w:r w:rsidR="00BA18B3">
              <w:rPr>
                <w:rFonts w:cs="Arial"/>
                <w:sz w:val="22"/>
                <w:szCs w:val="22"/>
              </w:rPr>
              <w:t>n</w:t>
            </w:r>
            <w:r>
              <w:rPr>
                <w:rFonts w:cs="Arial"/>
                <w:sz w:val="22"/>
                <w:szCs w:val="22"/>
              </w:rPr>
              <w:t>acional.</w:t>
            </w:r>
          </w:p>
        </w:tc>
      </w:tr>
      <w:tr w:rsidR="001F3D93" w:rsidRPr="0034093E" w14:paraId="09746CFF" w14:textId="77777777" w:rsidTr="00483108">
        <w:tc>
          <w:tcPr>
            <w:tcW w:w="1271" w:type="dxa"/>
            <w:vAlign w:val="center"/>
          </w:tcPr>
          <w:p w14:paraId="31297281" w14:textId="51CF7548" w:rsidR="001F3D93" w:rsidRDefault="001F3D93" w:rsidP="008C365B">
            <w:pPr>
              <w:spacing w:before="40" w:after="40"/>
              <w:rPr>
                <w:rFonts w:cs="Arial"/>
                <w:sz w:val="22"/>
                <w:szCs w:val="22"/>
              </w:rPr>
            </w:pPr>
            <w:r w:rsidRPr="00635E24">
              <w:rPr>
                <w:rFonts w:cs="Arial"/>
                <w:sz w:val="22"/>
                <w:szCs w:val="22"/>
              </w:rPr>
              <w:t>DGCPTN</w:t>
            </w:r>
          </w:p>
        </w:tc>
        <w:tc>
          <w:tcPr>
            <w:tcW w:w="284" w:type="dxa"/>
            <w:vAlign w:val="center"/>
          </w:tcPr>
          <w:p w14:paraId="1E1A8107" w14:textId="77777777" w:rsidR="001F3D93" w:rsidRPr="0034093E" w:rsidRDefault="001F3D93" w:rsidP="008C365B">
            <w:pPr>
              <w:spacing w:before="40" w:after="40"/>
              <w:rPr>
                <w:rFonts w:cs="Arial"/>
                <w:sz w:val="22"/>
                <w:szCs w:val="22"/>
              </w:rPr>
            </w:pPr>
          </w:p>
        </w:tc>
        <w:tc>
          <w:tcPr>
            <w:tcW w:w="390" w:type="dxa"/>
            <w:vAlign w:val="center"/>
          </w:tcPr>
          <w:p w14:paraId="79D4ABED" w14:textId="220F5482" w:rsidR="001F3D93" w:rsidRDefault="001A45DE" w:rsidP="008C365B">
            <w:pPr>
              <w:spacing w:before="40" w:after="40"/>
              <w:jc w:val="center"/>
              <w:rPr>
                <w:rFonts w:cs="Arial"/>
                <w:sz w:val="22"/>
                <w:szCs w:val="22"/>
              </w:rPr>
            </w:pPr>
            <w:r>
              <w:rPr>
                <w:rFonts w:cs="Arial"/>
                <w:sz w:val="22"/>
                <w:szCs w:val="22"/>
              </w:rPr>
              <w:t>:</w:t>
            </w:r>
          </w:p>
        </w:tc>
        <w:tc>
          <w:tcPr>
            <w:tcW w:w="360" w:type="dxa"/>
            <w:vAlign w:val="center"/>
          </w:tcPr>
          <w:p w14:paraId="6ED4A0C0" w14:textId="77777777" w:rsidR="001F3D93" w:rsidRPr="0034093E" w:rsidRDefault="001F3D93" w:rsidP="008C365B">
            <w:pPr>
              <w:spacing w:before="40" w:after="40"/>
              <w:rPr>
                <w:rFonts w:cs="Arial"/>
                <w:sz w:val="22"/>
                <w:szCs w:val="22"/>
              </w:rPr>
            </w:pPr>
          </w:p>
        </w:tc>
        <w:tc>
          <w:tcPr>
            <w:tcW w:w="6479" w:type="dxa"/>
            <w:vAlign w:val="center"/>
          </w:tcPr>
          <w:p w14:paraId="6E27D71D" w14:textId="04AD9F27" w:rsidR="001F3D93" w:rsidRDefault="001F3D93" w:rsidP="008C365B">
            <w:pPr>
              <w:spacing w:before="40" w:after="40"/>
              <w:rPr>
                <w:rFonts w:cs="Arial"/>
                <w:sz w:val="22"/>
                <w:szCs w:val="22"/>
              </w:rPr>
            </w:pPr>
            <w:r w:rsidRPr="00635E24">
              <w:rPr>
                <w:rFonts w:cs="Arial"/>
                <w:sz w:val="22"/>
                <w:szCs w:val="22"/>
              </w:rPr>
              <w:t xml:space="preserve">Dirección </w:t>
            </w:r>
            <w:r w:rsidR="00BA18B3">
              <w:rPr>
                <w:rFonts w:cs="Arial"/>
                <w:sz w:val="22"/>
                <w:szCs w:val="22"/>
              </w:rPr>
              <w:t>g</w:t>
            </w:r>
            <w:r w:rsidRPr="00635E24">
              <w:rPr>
                <w:rFonts w:cs="Arial"/>
                <w:sz w:val="22"/>
                <w:szCs w:val="22"/>
              </w:rPr>
              <w:t xml:space="preserve">eneral de </w:t>
            </w:r>
            <w:r w:rsidR="00BA18B3">
              <w:rPr>
                <w:rFonts w:cs="Arial"/>
                <w:sz w:val="22"/>
                <w:szCs w:val="22"/>
              </w:rPr>
              <w:t>c</w:t>
            </w:r>
            <w:r w:rsidRPr="00635E24">
              <w:rPr>
                <w:rFonts w:cs="Arial"/>
                <w:sz w:val="22"/>
                <w:szCs w:val="22"/>
              </w:rPr>
              <w:t xml:space="preserve">rédito </w:t>
            </w:r>
            <w:r w:rsidR="00BA18B3">
              <w:rPr>
                <w:rFonts w:cs="Arial"/>
                <w:sz w:val="22"/>
                <w:szCs w:val="22"/>
              </w:rPr>
              <w:t>p</w:t>
            </w:r>
            <w:r w:rsidRPr="00635E24">
              <w:rPr>
                <w:rFonts w:cs="Arial"/>
                <w:sz w:val="22"/>
                <w:szCs w:val="22"/>
              </w:rPr>
              <w:t xml:space="preserve">úblico y </w:t>
            </w:r>
            <w:r w:rsidR="00BA18B3">
              <w:rPr>
                <w:rFonts w:cs="Arial"/>
                <w:sz w:val="22"/>
                <w:szCs w:val="22"/>
              </w:rPr>
              <w:t>t</w:t>
            </w:r>
            <w:r w:rsidRPr="00635E24">
              <w:rPr>
                <w:rFonts w:cs="Arial"/>
                <w:sz w:val="22"/>
                <w:szCs w:val="22"/>
              </w:rPr>
              <w:t xml:space="preserve">esoro </w:t>
            </w:r>
            <w:r w:rsidR="00BA18B3">
              <w:rPr>
                <w:rFonts w:cs="Arial"/>
                <w:sz w:val="22"/>
                <w:szCs w:val="22"/>
              </w:rPr>
              <w:t>n</w:t>
            </w:r>
            <w:r w:rsidRPr="00635E24">
              <w:rPr>
                <w:rFonts w:cs="Arial"/>
                <w:sz w:val="22"/>
                <w:szCs w:val="22"/>
              </w:rPr>
              <w:t>acional</w:t>
            </w:r>
            <w:r>
              <w:rPr>
                <w:rFonts w:cs="Arial"/>
                <w:sz w:val="22"/>
                <w:szCs w:val="22"/>
              </w:rPr>
              <w:t>.</w:t>
            </w:r>
          </w:p>
        </w:tc>
      </w:tr>
      <w:tr w:rsidR="001A45DE" w:rsidRPr="0034093E" w14:paraId="47D8CAC3" w14:textId="77777777" w:rsidTr="00483108">
        <w:tc>
          <w:tcPr>
            <w:tcW w:w="1271" w:type="dxa"/>
            <w:vAlign w:val="center"/>
          </w:tcPr>
          <w:p w14:paraId="21A2ACEF" w14:textId="5FBC8B9D" w:rsidR="001A45DE" w:rsidRPr="00635E24" w:rsidRDefault="001A45DE" w:rsidP="008C365B">
            <w:pPr>
              <w:spacing w:before="40" w:after="40"/>
              <w:rPr>
                <w:rFonts w:cs="Arial"/>
                <w:sz w:val="22"/>
                <w:szCs w:val="22"/>
              </w:rPr>
            </w:pPr>
            <w:r>
              <w:rPr>
                <w:rFonts w:cs="Arial"/>
                <w:sz w:val="22"/>
                <w:szCs w:val="22"/>
              </w:rPr>
              <w:t>DGPPN</w:t>
            </w:r>
          </w:p>
        </w:tc>
        <w:tc>
          <w:tcPr>
            <w:tcW w:w="284" w:type="dxa"/>
            <w:vAlign w:val="center"/>
          </w:tcPr>
          <w:p w14:paraId="78D10DC9" w14:textId="77777777" w:rsidR="001A45DE" w:rsidRPr="0034093E" w:rsidRDefault="001A45DE" w:rsidP="008C365B">
            <w:pPr>
              <w:spacing w:before="40" w:after="40"/>
              <w:rPr>
                <w:rFonts w:cs="Arial"/>
                <w:sz w:val="22"/>
                <w:szCs w:val="22"/>
              </w:rPr>
            </w:pPr>
          </w:p>
        </w:tc>
        <w:tc>
          <w:tcPr>
            <w:tcW w:w="390" w:type="dxa"/>
            <w:vAlign w:val="center"/>
          </w:tcPr>
          <w:p w14:paraId="070AC45F" w14:textId="233E249D" w:rsidR="001A45DE" w:rsidRDefault="001A45DE" w:rsidP="008C365B">
            <w:pPr>
              <w:spacing w:before="40" w:after="40"/>
              <w:jc w:val="center"/>
              <w:rPr>
                <w:rFonts w:cs="Arial"/>
                <w:sz w:val="22"/>
                <w:szCs w:val="22"/>
              </w:rPr>
            </w:pPr>
            <w:r>
              <w:rPr>
                <w:rFonts w:cs="Arial"/>
                <w:sz w:val="22"/>
                <w:szCs w:val="22"/>
              </w:rPr>
              <w:t>:</w:t>
            </w:r>
          </w:p>
        </w:tc>
        <w:tc>
          <w:tcPr>
            <w:tcW w:w="360" w:type="dxa"/>
            <w:vAlign w:val="center"/>
          </w:tcPr>
          <w:p w14:paraId="431C16CD" w14:textId="77777777" w:rsidR="001A45DE" w:rsidRPr="0034093E" w:rsidRDefault="001A45DE" w:rsidP="008C365B">
            <w:pPr>
              <w:spacing w:before="40" w:after="40"/>
              <w:rPr>
                <w:rFonts w:cs="Arial"/>
                <w:sz w:val="22"/>
                <w:szCs w:val="22"/>
              </w:rPr>
            </w:pPr>
          </w:p>
        </w:tc>
        <w:tc>
          <w:tcPr>
            <w:tcW w:w="6479" w:type="dxa"/>
            <w:vAlign w:val="center"/>
          </w:tcPr>
          <w:p w14:paraId="27A38958" w14:textId="0B2DA588" w:rsidR="001A45DE" w:rsidRPr="00635E24" w:rsidRDefault="001A45DE" w:rsidP="008C365B">
            <w:pPr>
              <w:spacing w:before="40" w:after="40"/>
              <w:rPr>
                <w:rFonts w:cs="Arial"/>
                <w:sz w:val="22"/>
                <w:szCs w:val="22"/>
              </w:rPr>
            </w:pPr>
            <w:r>
              <w:rPr>
                <w:rFonts w:cs="Arial"/>
                <w:sz w:val="22"/>
                <w:szCs w:val="22"/>
              </w:rPr>
              <w:t xml:space="preserve">Dirección </w:t>
            </w:r>
            <w:r w:rsidR="00BA18B3">
              <w:rPr>
                <w:rFonts w:cs="Arial"/>
                <w:sz w:val="22"/>
                <w:szCs w:val="22"/>
              </w:rPr>
              <w:t>g</w:t>
            </w:r>
            <w:r>
              <w:rPr>
                <w:rFonts w:cs="Arial"/>
                <w:sz w:val="22"/>
                <w:szCs w:val="22"/>
              </w:rPr>
              <w:t xml:space="preserve">eneral del </w:t>
            </w:r>
            <w:r w:rsidR="00BA18B3">
              <w:rPr>
                <w:rFonts w:cs="Arial"/>
                <w:sz w:val="22"/>
                <w:szCs w:val="22"/>
              </w:rPr>
              <w:t>p</w:t>
            </w:r>
            <w:r>
              <w:rPr>
                <w:rFonts w:cs="Arial"/>
                <w:sz w:val="22"/>
                <w:szCs w:val="22"/>
              </w:rPr>
              <w:t xml:space="preserve">resupuesto </w:t>
            </w:r>
            <w:r w:rsidR="00BA18B3">
              <w:rPr>
                <w:rFonts w:cs="Arial"/>
                <w:sz w:val="22"/>
                <w:szCs w:val="22"/>
              </w:rPr>
              <w:t>p</w:t>
            </w:r>
            <w:r>
              <w:rPr>
                <w:rFonts w:cs="Arial"/>
                <w:sz w:val="22"/>
                <w:szCs w:val="22"/>
              </w:rPr>
              <w:t xml:space="preserve">úblico </w:t>
            </w:r>
            <w:r w:rsidR="00BA18B3">
              <w:rPr>
                <w:rFonts w:cs="Arial"/>
                <w:sz w:val="22"/>
                <w:szCs w:val="22"/>
              </w:rPr>
              <w:t>n</w:t>
            </w:r>
            <w:r>
              <w:rPr>
                <w:rFonts w:cs="Arial"/>
                <w:sz w:val="22"/>
                <w:szCs w:val="22"/>
              </w:rPr>
              <w:t>acional.</w:t>
            </w:r>
          </w:p>
        </w:tc>
      </w:tr>
      <w:tr w:rsidR="00BA18B3" w:rsidRPr="0034093E" w14:paraId="40C276B5" w14:textId="77777777" w:rsidTr="00483108">
        <w:tc>
          <w:tcPr>
            <w:tcW w:w="1271" w:type="dxa"/>
            <w:vAlign w:val="center"/>
          </w:tcPr>
          <w:p w14:paraId="030EC318" w14:textId="08D5D539" w:rsidR="00BA18B3" w:rsidRDefault="00BA18B3" w:rsidP="008C365B">
            <w:pPr>
              <w:spacing w:before="40" w:after="40"/>
              <w:rPr>
                <w:rFonts w:cs="Arial"/>
                <w:sz w:val="22"/>
                <w:szCs w:val="22"/>
              </w:rPr>
            </w:pPr>
            <w:r>
              <w:rPr>
                <w:rFonts w:cs="Arial"/>
                <w:sz w:val="22"/>
                <w:szCs w:val="22"/>
              </w:rPr>
              <w:t>EEFF</w:t>
            </w:r>
          </w:p>
        </w:tc>
        <w:tc>
          <w:tcPr>
            <w:tcW w:w="284" w:type="dxa"/>
            <w:vAlign w:val="center"/>
          </w:tcPr>
          <w:p w14:paraId="685F2C7C" w14:textId="77777777" w:rsidR="00BA18B3" w:rsidRPr="0034093E" w:rsidRDefault="00BA18B3" w:rsidP="008C365B">
            <w:pPr>
              <w:spacing w:before="40" w:after="40"/>
              <w:rPr>
                <w:rFonts w:cs="Arial"/>
                <w:sz w:val="22"/>
                <w:szCs w:val="22"/>
              </w:rPr>
            </w:pPr>
          </w:p>
        </w:tc>
        <w:tc>
          <w:tcPr>
            <w:tcW w:w="390" w:type="dxa"/>
            <w:vAlign w:val="center"/>
          </w:tcPr>
          <w:p w14:paraId="263A76CE" w14:textId="128242D3" w:rsidR="00BA18B3" w:rsidRDefault="00BA18B3" w:rsidP="008C365B">
            <w:pPr>
              <w:spacing w:before="40" w:after="40"/>
              <w:jc w:val="center"/>
              <w:rPr>
                <w:rFonts w:cs="Arial"/>
                <w:sz w:val="22"/>
                <w:szCs w:val="22"/>
              </w:rPr>
            </w:pPr>
            <w:r>
              <w:rPr>
                <w:rFonts w:cs="Arial"/>
                <w:sz w:val="22"/>
                <w:szCs w:val="22"/>
              </w:rPr>
              <w:t>:</w:t>
            </w:r>
          </w:p>
        </w:tc>
        <w:tc>
          <w:tcPr>
            <w:tcW w:w="360" w:type="dxa"/>
            <w:vAlign w:val="center"/>
          </w:tcPr>
          <w:p w14:paraId="2BEC7A94" w14:textId="77777777" w:rsidR="00BA18B3" w:rsidRPr="0034093E" w:rsidRDefault="00BA18B3" w:rsidP="008C365B">
            <w:pPr>
              <w:spacing w:before="40" w:after="40"/>
              <w:rPr>
                <w:rFonts w:cs="Arial"/>
                <w:sz w:val="22"/>
                <w:szCs w:val="22"/>
              </w:rPr>
            </w:pPr>
          </w:p>
        </w:tc>
        <w:tc>
          <w:tcPr>
            <w:tcW w:w="6479" w:type="dxa"/>
            <w:vAlign w:val="center"/>
          </w:tcPr>
          <w:p w14:paraId="2A274D05" w14:textId="47BC2BF0" w:rsidR="00BA18B3" w:rsidRDefault="00BA18B3" w:rsidP="008C365B">
            <w:pPr>
              <w:spacing w:before="40" w:after="40"/>
              <w:rPr>
                <w:rFonts w:cs="Arial"/>
                <w:sz w:val="22"/>
                <w:szCs w:val="22"/>
              </w:rPr>
            </w:pPr>
            <w:r>
              <w:rPr>
                <w:rFonts w:cs="Arial"/>
                <w:sz w:val="22"/>
                <w:szCs w:val="22"/>
              </w:rPr>
              <w:t>Estados financieros</w:t>
            </w:r>
          </w:p>
        </w:tc>
      </w:tr>
      <w:tr w:rsidR="00E5749D" w:rsidRPr="0034093E" w14:paraId="7146E1A8" w14:textId="77777777" w:rsidTr="00483108">
        <w:tc>
          <w:tcPr>
            <w:tcW w:w="1271" w:type="dxa"/>
            <w:vAlign w:val="center"/>
          </w:tcPr>
          <w:p w14:paraId="7994551F" w14:textId="497BF801" w:rsidR="00E5749D" w:rsidRDefault="00E5749D" w:rsidP="008C365B">
            <w:pPr>
              <w:spacing w:before="40" w:after="40"/>
              <w:rPr>
                <w:rFonts w:cs="Arial"/>
                <w:sz w:val="22"/>
                <w:szCs w:val="22"/>
              </w:rPr>
            </w:pPr>
            <w:r>
              <w:rPr>
                <w:rFonts w:cs="Arial"/>
                <w:sz w:val="22"/>
                <w:szCs w:val="22"/>
              </w:rPr>
              <w:t>ESP</w:t>
            </w:r>
          </w:p>
        </w:tc>
        <w:tc>
          <w:tcPr>
            <w:tcW w:w="284" w:type="dxa"/>
            <w:vAlign w:val="center"/>
          </w:tcPr>
          <w:p w14:paraId="4A927BAD" w14:textId="77777777" w:rsidR="00E5749D" w:rsidRPr="0034093E" w:rsidRDefault="00E5749D" w:rsidP="008C365B">
            <w:pPr>
              <w:spacing w:before="40" w:after="40"/>
              <w:rPr>
                <w:rFonts w:cs="Arial"/>
                <w:sz w:val="22"/>
                <w:szCs w:val="22"/>
              </w:rPr>
            </w:pPr>
          </w:p>
        </w:tc>
        <w:tc>
          <w:tcPr>
            <w:tcW w:w="390" w:type="dxa"/>
            <w:vAlign w:val="center"/>
          </w:tcPr>
          <w:p w14:paraId="709F6799" w14:textId="33E61701" w:rsidR="00E5749D" w:rsidRDefault="00E5749D" w:rsidP="008C365B">
            <w:pPr>
              <w:spacing w:before="40" w:after="40"/>
              <w:jc w:val="center"/>
              <w:rPr>
                <w:rFonts w:cs="Arial"/>
                <w:sz w:val="22"/>
                <w:szCs w:val="22"/>
              </w:rPr>
            </w:pPr>
            <w:r>
              <w:rPr>
                <w:rFonts w:cs="Arial"/>
                <w:sz w:val="22"/>
                <w:szCs w:val="22"/>
              </w:rPr>
              <w:t>:</w:t>
            </w:r>
          </w:p>
        </w:tc>
        <w:tc>
          <w:tcPr>
            <w:tcW w:w="360" w:type="dxa"/>
            <w:vAlign w:val="center"/>
          </w:tcPr>
          <w:p w14:paraId="2E564AED" w14:textId="77777777" w:rsidR="00E5749D" w:rsidRPr="0034093E" w:rsidRDefault="00E5749D" w:rsidP="008C365B">
            <w:pPr>
              <w:spacing w:before="40" w:after="40"/>
              <w:rPr>
                <w:rFonts w:cs="Arial"/>
                <w:sz w:val="22"/>
                <w:szCs w:val="22"/>
              </w:rPr>
            </w:pPr>
          </w:p>
        </w:tc>
        <w:tc>
          <w:tcPr>
            <w:tcW w:w="6479" w:type="dxa"/>
            <w:vAlign w:val="center"/>
          </w:tcPr>
          <w:p w14:paraId="3F8520C4" w14:textId="4D649C70" w:rsidR="00E5749D" w:rsidRDefault="00E5749D" w:rsidP="008C365B">
            <w:pPr>
              <w:spacing w:before="40" w:after="40"/>
              <w:rPr>
                <w:rFonts w:cs="Arial"/>
                <w:sz w:val="22"/>
                <w:szCs w:val="22"/>
              </w:rPr>
            </w:pPr>
            <w:r>
              <w:rPr>
                <w:rFonts w:cs="Arial"/>
                <w:sz w:val="22"/>
                <w:szCs w:val="22"/>
              </w:rPr>
              <w:t xml:space="preserve">Empresa prestadora de </w:t>
            </w:r>
            <w:r w:rsidR="00BA18B3">
              <w:rPr>
                <w:rFonts w:cs="Arial"/>
                <w:sz w:val="22"/>
                <w:szCs w:val="22"/>
              </w:rPr>
              <w:t>s</w:t>
            </w:r>
            <w:r>
              <w:rPr>
                <w:rFonts w:cs="Arial"/>
                <w:sz w:val="22"/>
                <w:szCs w:val="22"/>
              </w:rPr>
              <w:t xml:space="preserve">ervicios </w:t>
            </w:r>
            <w:r w:rsidR="00BA18B3">
              <w:rPr>
                <w:rFonts w:cs="Arial"/>
                <w:sz w:val="22"/>
                <w:szCs w:val="22"/>
              </w:rPr>
              <w:t>p</w:t>
            </w:r>
            <w:r>
              <w:rPr>
                <w:rFonts w:cs="Arial"/>
                <w:sz w:val="22"/>
                <w:szCs w:val="22"/>
              </w:rPr>
              <w:t>úblicos domiciliarios.</w:t>
            </w:r>
          </w:p>
        </w:tc>
      </w:tr>
      <w:tr w:rsidR="00446E1E" w:rsidRPr="0034093E" w14:paraId="22EF4253" w14:textId="77777777" w:rsidTr="00483108">
        <w:tc>
          <w:tcPr>
            <w:tcW w:w="1271" w:type="dxa"/>
            <w:vAlign w:val="center"/>
          </w:tcPr>
          <w:p w14:paraId="5207E242" w14:textId="77777777" w:rsidR="00446E1E" w:rsidRPr="0034093E" w:rsidRDefault="00446E1E" w:rsidP="008C365B">
            <w:pPr>
              <w:spacing w:before="40" w:after="40"/>
              <w:rPr>
                <w:rFonts w:cs="Arial"/>
                <w:sz w:val="22"/>
                <w:szCs w:val="22"/>
              </w:rPr>
            </w:pPr>
            <w:r w:rsidRPr="0034093E">
              <w:rPr>
                <w:rFonts w:cs="Arial"/>
                <w:sz w:val="22"/>
                <w:szCs w:val="22"/>
              </w:rPr>
              <w:t>GLP</w:t>
            </w:r>
          </w:p>
        </w:tc>
        <w:tc>
          <w:tcPr>
            <w:tcW w:w="284" w:type="dxa"/>
            <w:vAlign w:val="center"/>
          </w:tcPr>
          <w:p w14:paraId="137FDE1D" w14:textId="77777777" w:rsidR="00446E1E" w:rsidRPr="0034093E" w:rsidRDefault="00446E1E" w:rsidP="008C365B">
            <w:pPr>
              <w:spacing w:before="40" w:after="40"/>
              <w:rPr>
                <w:rFonts w:cs="Arial"/>
                <w:sz w:val="22"/>
                <w:szCs w:val="22"/>
              </w:rPr>
            </w:pPr>
          </w:p>
        </w:tc>
        <w:tc>
          <w:tcPr>
            <w:tcW w:w="390" w:type="dxa"/>
            <w:vAlign w:val="center"/>
          </w:tcPr>
          <w:p w14:paraId="2B78B3BC" w14:textId="77777777" w:rsidR="00446E1E" w:rsidRPr="0034093E" w:rsidRDefault="00446E1E" w:rsidP="008C365B">
            <w:pPr>
              <w:spacing w:before="40" w:after="40"/>
              <w:jc w:val="center"/>
              <w:rPr>
                <w:rFonts w:cs="Arial"/>
                <w:sz w:val="22"/>
                <w:szCs w:val="22"/>
              </w:rPr>
            </w:pPr>
            <w:r w:rsidRPr="0034093E">
              <w:rPr>
                <w:rFonts w:cs="Arial"/>
                <w:sz w:val="22"/>
                <w:szCs w:val="22"/>
              </w:rPr>
              <w:t>:</w:t>
            </w:r>
          </w:p>
        </w:tc>
        <w:tc>
          <w:tcPr>
            <w:tcW w:w="360" w:type="dxa"/>
            <w:vAlign w:val="center"/>
          </w:tcPr>
          <w:p w14:paraId="50940BC9" w14:textId="77777777" w:rsidR="00446E1E" w:rsidRPr="0034093E" w:rsidRDefault="00446E1E" w:rsidP="008C365B">
            <w:pPr>
              <w:spacing w:before="40" w:after="40"/>
              <w:rPr>
                <w:rFonts w:cs="Arial"/>
                <w:sz w:val="22"/>
                <w:szCs w:val="22"/>
              </w:rPr>
            </w:pPr>
          </w:p>
        </w:tc>
        <w:tc>
          <w:tcPr>
            <w:tcW w:w="6479" w:type="dxa"/>
            <w:vAlign w:val="center"/>
          </w:tcPr>
          <w:p w14:paraId="5A950BB7" w14:textId="2EDF5F0A" w:rsidR="00446E1E" w:rsidRPr="0034093E" w:rsidRDefault="00446E1E" w:rsidP="008C365B">
            <w:pPr>
              <w:spacing w:before="40" w:after="40"/>
              <w:rPr>
                <w:rFonts w:cs="Arial"/>
                <w:sz w:val="22"/>
                <w:szCs w:val="22"/>
              </w:rPr>
            </w:pPr>
            <w:r w:rsidRPr="0034093E">
              <w:rPr>
                <w:rFonts w:cs="Arial"/>
                <w:sz w:val="22"/>
                <w:szCs w:val="22"/>
              </w:rPr>
              <w:t xml:space="preserve">Gas </w:t>
            </w:r>
            <w:r w:rsidR="00BA18B3">
              <w:rPr>
                <w:rFonts w:cs="Arial"/>
                <w:sz w:val="22"/>
                <w:szCs w:val="22"/>
              </w:rPr>
              <w:t>l</w:t>
            </w:r>
            <w:r w:rsidRPr="0034093E">
              <w:rPr>
                <w:rFonts w:cs="Arial"/>
                <w:sz w:val="22"/>
                <w:szCs w:val="22"/>
              </w:rPr>
              <w:t xml:space="preserve">icuado de </w:t>
            </w:r>
            <w:r w:rsidR="00BA18B3">
              <w:rPr>
                <w:rFonts w:cs="Arial"/>
                <w:sz w:val="22"/>
                <w:szCs w:val="22"/>
              </w:rPr>
              <w:t>p</w:t>
            </w:r>
            <w:r w:rsidRPr="0034093E">
              <w:rPr>
                <w:rFonts w:cs="Arial"/>
                <w:sz w:val="22"/>
                <w:szCs w:val="22"/>
              </w:rPr>
              <w:t>etróleo.</w:t>
            </w:r>
          </w:p>
        </w:tc>
      </w:tr>
      <w:tr w:rsidR="00446E1E" w:rsidRPr="0034093E" w14:paraId="1F97334A" w14:textId="77777777" w:rsidTr="00483108">
        <w:tc>
          <w:tcPr>
            <w:tcW w:w="1271" w:type="dxa"/>
            <w:vAlign w:val="center"/>
          </w:tcPr>
          <w:p w14:paraId="4FD031A2" w14:textId="77777777" w:rsidR="00446E1E" w:rsidRPr="0034093E" w:rsidRDefault="00446E1E" w:rsidP="008C365B">
            <w:pPr>
              <w:spacing w:before="40" w:after="40"/>
              <w:rPr>
                <w:rFonts w:cs="Arial"/>
                <w:sz w:val="22"/>
                <w:szCs w:val="22"/>
              </w:rPr>
            </w:pPr>
            <w:r w:rsidRPr="0034093E">
              <w:rPr>
                <w:rFonts w:cs="Arial"/>
                <w:sz w:val="22"/>
                <w:szCs w:val="22"/>
              </w:rPr>
              <w:t>GN</w:t>
            </w:r>
          </w:p>
        </w:tc>
        <w:tc>
          <w:tcPr>
            <w:tcW w:w="284" w:type="dxa"/>
            <w:vAlign w:val="center"/>
          </w:tcPr>
          <w:p w14:paraId="010CF8A2" w14:textId="77777777" w:rsidR="00446E1E" w:rsidRPr="0034093E" w:rsidRDefault="00446E1E" w:rsidP="008C365B">
            <w:pPr>
              <w:spacing w:before="40" w:after="40"/>
              <w:rPr>
                <w:rFonts w:cs="Arial"/>
                <w:sz w:val="22"/>
                <w:szCs w:val="22"/>
              </w:rPr>
            </w:pPr>
          </w:p>
        </w:tc>
        <w:tc>
          <w:tcPr>
            <w:tcW w:w="390" w:type="dxa"/>
            <w:vAlign w:val="center"/>
          </w:tcPr>
          <w:p w14:paraId="69AB1E17" w14:textId="77777777" w:rsidR="00446E1E" w:rsidRPr="0034093E" w:rsidRDefault="00446E1E" w:rsidP="008C365B">
            <w:pPr>
              <w:spacing w:before="40" w:after="40"/>
              <w:jc w:val="center"/>
              <w:rPr>
                <w:rFonts w:cs="Arial"/>
                <w:sz w:val="22"/>
                <w:szCs w:val="22"/>
              </w:rPr>
            </w:pPr>
            <w:r w:rsidRPr="0034093E">
              <w:rPr>
                <w:rFonts w:cs="Arial"/>
                <w:sz w:val="22"/>
                <w:szCs w:val="22"/>
              </w:rPr>
              <w:t>:</w:t>
            </w:r>
          </w:p>
        </w:tc>
        <w:tc>
          <w:tcPr>
            <w:tcW w:w="360" w:type="dxa"/>
            <w:vAlign w:val="center"/>
          </w:tcPr>
          <w:p w14:paraId="64AE3DE2" w14:textId="77777777" w:rsidR="00446E1E" w:rsidRPr="0034093E" w:rsidRDefault="00446E1E" w:rsidP="008C365B">
            <w:pPr>
              <w:spacing w:before="40" w:after="40"/>
              <w:rPr>
                <w:rFonts w:cs="Arial"/>
                <w:sz w:val="22"/>
                <w:szCs w:val="22"/>
              </w:rPr>
            </w:pPr>
          </w:p>
        </w:tc>
        <w:tc>
          <w:tcPr>
            <w:tcW w:w="6479" w:type="dxa"/>
            <w:vAlign w:val="center"/>
          </w:tcPr>
          <w:p w14:paraId="0B88F121" w14:textId="5895EDE4" w:rsidR="00446E1E" w:rsidRPr="0034093E" w:rsidRDefault="00446E1E" w:rsidP="008C365B">
            <w:pPr>
              <w:spacing w:before="40" w:after="40"/>
              <w:rPr>
                <w:rFonts w:cs="Arial"/>
                <w:sz w:val="22"/>
                <w:szCs w:val="22"/>
              </w:rPr>
            </w:pPr>
            <w:r w:rsidRPr="0034093E">
              <w:rPr>
                <w:rFonts w:cs="Arial"/>
                <w:sz w:val="22"/>
                <w:szCs w:val="22"/>
              </w:rPr>
              <w:t xml:space="preserve">Gas </w:t>
            </w:r>
            <w:r w:rsidR="00BA18B3">
              <w:rPr>
                <w:rFonts w:cs="Arial"/>
                <w:sz w:val="22"/>
                <w:szCs w:val="22"/>
              </w:rPr>
              <w:t>n</w:t>
            </w:r>
            <w:r w:rsidRPr="0034093E">
              <w:rPr>
                <w:rFonts w:cs="Arial"/>
                <w:sz w:val="22"/>
                <w:szCs w:val="22"/>
              </w:rPr>
              <w:t>atural.</w:t>
            </w:r>
          </w:p>
        </w:tc>
      </w:tr>
      <w:tr w:rsidR="00446E1E" w:rsidRPr="0034093E" w14:paraId="5E955174" w14:textId="77777777" w:rsidTr="00483108">
        <w:tc>
          <w:tcPr>
            <w:tcW w:w="1271" w:type="dxa"/>
            <w:vAlign w:val="center"/>
          </w:tcPr>
          <w:p w14:paraId="06976F7C" w14:textId="77777777" w:rsidR="00446E1E" w:rsidRPr="0034093E" w:rsidRDefault="00446E1E" w:rsidP="008C365B">
            <w:pPr>
              <w:spacing w:before="40" w:after="40"/>
              <w:rPr>
                <w:rFonts w:cs="Arial"/>
                <w:sz w:val="22"/>
                <w:szCs w:val="22"/>
              </w:rPr>
            </w:pPr>
            <w:r w:rsidRPr="0034093E">
              <w:rPr>
                <w:rFonts w:cs="Arial"/>
                <w:sz w:val="22"/>
                <w:szCs w:val="22"/>
              </w:rPr>
              <w:t>RUPS</w:t>
            </w:r>
          </w:p>
        </w:tc>
        <w:tc>
          <w:tcPr>
            <w:tcW w:w="284" w:type="dxa"/>
            <w:vAlign w:val="center"/>
          </w:tcPr>
          <w:p w14:paraId="7A9C941A" w14:textId="77777777" w:rsidR="00446E1E" w:rsidRPr="0034093E" w:rsidRDefault="00446E1E" w:rsidP="008C365B">
            <w:pPr>
              <w:spacing w:before="40" w:after="40"/>
              <w:rPr>
                <w:rFonts w:cs="Arial"/>
                <w:sz w:val="22"/>
                <w:szCs w:val="22"/>
              </w:rPr>
            </w:pPr>
          </w:p>
        </w:tc>
        <w:tc>
          <w:tcPr>
            <w:tcW w:w="390" w:type="dxa"/>
            <w:vAlign w:val="center"/>
          </w:tcPr>
          <w:p w14:paraId="63EAA227" w14:textId="77777777" w:rsidR="00446E1E" w:rsidRPr="0034093E" w:rsidRDefault="00446E1E" w:rsidP="008C365B">
            <w:pPr>
              <w:spacing w:before="40" w:after="40"/>
              <w:jc w:val="center"/>
              <w:rPr>
                <w:rFonts w:cs="Arial"/>
                <w:sz w:val="22"/>
                <w:szCs w:val="22"/>
              </w:rPr>
            </w:pPr>
            <w:r w:rsidRPr="0034093E">
              <w:rPr>
                <w:rFonts w:cs="Arial"/>
                <w:sz w:val="22"/>
                <w:szCs w:val="22"/>
              </w:rPr>
              <w:t>:</w:t>
            </w:r>
          </w:p>
        </w:tc>
        <w:tc>
          <w:tcPr>
            <w:tcW w:w="360" w:type="dxa"/>
            <w:vAlign w:val="center"/>
          </w:tcPr>
          <w:p w14:paraId="3B5BA3FC" w14:textId="77777777" w:rsidR="00446E1E" w:rsidRPr="0034093E" w:rsidRDefault="00446E1E" w:rsidP="008C365B">
            <w:pPr>
              <w:spacing w:before="40" w:after="40"/>
              <w:rPr>
                <w:rFonts w:cs="Arial"/>
                <w:sz w:val="22"/>
                <w:szCs w:val="22"/>
              </w:rPr>
            </w:pPr>
          </w:p>
        </w:tc>
        <w:tc>
          <w:tcPr>
            <w:tcW w:w="6479" w:type="dxa"/>
            <w:vAlign w:val="center"/>
          </w:tcPr>
          <w:p w14:paraId="45AED104" w14:textId="7FF797B5" w:rsidR="00446E1E" w:rsidRPr="0034093E" w:rsidRDefault="00446E1E" w:rsidP="008C365B">
            <w:pPr>
              <w:spacing w:before="40" w:after="40"/>
              <w:rPr>
                <w:rFonts w:cs="Arial"/>
                <w:sz w:val="22"/>
                <w:szCs w:val="22"/>
              </w:rPr>
            </w:pPr>
            <w:r w:rsidRPr="0034093E">
              <w:rPr>
                <w:rFonts w:cs="Arial"/>
                <w:sz w:val="22"/>
                <w:szCs w:val="22"/>
              </w:rPr>
              <w:t xml:space="preserve">Registro </w:t>
            </w:r>
            <w:r w:rsidR="00BA18B3">
              <w:rPr>
                <w:rFonts w:cs="Arial"/>
                <w:sz w:val="22"/>
                <w:szCs w:val="22"/>
              </w:rPr>
              <w:t>ú</w:t>
            </w:r>
            <w:r w:rsidRPr="0034093E">
              <w:rPr>
                <w:rFonts w:cs="Arial"/>
                <w:sz w:val="22"/>
                <w:szCs w:val="22"/>
              </w:rPr>
              <w:t xml:space="preserve">nico de </w:t>
            </w:r>
            <w:r w:rsidR="00BA18B3">
              <w:rPr>
                <w:rFonts w:cs="Arial"/>
                <w:sz w:val="22"/>
                <w:szCs w:val="22"/>
              </w:rPr>
              <w:t>p</w:t>
            </w:r>
            <w:r w:rsidRPr="0034093E">
              <w:rPr>
                <w:rFonts w:cs="Arial"/>
                <w:sz w:val="22"/>
                <w:szCs w:val="22"/>
              </w:rPr>
              <w:t xml:space="preserve">restadores de </w:t>
            </w:r>
            <w:r w:rsidR="00BA18B3">
              <w:rPr>
                <w:rFonts w:cs="Arial"/>
                <w:sz w:val="22"/>
                <w:szCs w:val="22"/>
              </w:rPr>
              <w:t>s</w:t>
            </w:r>
            <w:r w:rsidRPr="0034093E">
              <w:rPr>
                <w:rFonts w:cs="Arial"/>
                <w:sz w:val="22"/>
                <w:szCs w:val="22"/>
              </w:rPr>
              <w:t>ervicios públicos.</w:t>
            </w:r>
          </w:p>
        </w:tc>
      </w:tr>
      <w:tr w:rsidR="00446E1E" w:rsidRPr="0034093E" w14:paraId="5F90C0FC" w14:textId="77777777" w:rsidTr="00483108">
        <w:tc>
          <w:tcPr>
            <w:tcW w:w="1271" w:type="dxa"/>
            <w:vAlign w:val="center"/>
          </w:tcPr>
          <w:p w14:paraId="2162C887" w14:textId="77777777" w:rsidR="00446E1E" w:rsidRPr="0034093E" w:rsidRDefault="00446E1E" w:rsidP="008C365B">
            <w:pPr>
              <w:spacing w:before="40" w:after="40"/>
              <w:rPr>
                <w:rFonts w:cs="Arial"/>
                <w:sz w:val="22"/>
                <w:szCs w:val="22"/>
              </w:rPr>
            </w:pPr>
            <w:r w:rsidRPr="0034093E">
              <w:rPr>
                <w:rFonts w:cs="Arial"/>
                <w:sz w:val="22"/>
                <w:szCs w:val="22"/>
              </w:rPr>
              <w:t>SAF</w:t>
            </w:r>
          </w:p>
        </w:tc>
        <w:tc>
          <w:tcPr>
            <w:tcW w:w="284" w:type="dxa"/>
            <w:vAlign w:val="center"/>
          </w:tcPr>
          <w:p w14:paraId="65B3A068" w14:textId="77777777" w:rsidR="00446E1E" w:rsidRPr="0034093E" w:rsidRDefault="00446E1E" w:rsidP="008C365B">
            <w:pPr>
              <w:spacing w:before="40" w:after="40"/>
              <w:rPr>
                <w:rFonts w:cs="Arial"/>
                <w:sz w:val="22"/>
                <w:szCs w:val="22"/>
              </w:rPr>
            </w:pPr>
          </w:p>
        </w:tc>
        <w:tc>
          <w:tcPr>
            <w:tcW w:w="390" w:type="dxa"/>
            <w:vAlign w:val="center"/>
          </w:tcPr>
          <w:p w14:paraId="371DACEB" w14:textId="77777777" w:rsidR="00446E1E" w:rsidRPr="0034093E" w:rsidRDefault="00446E1E" w:rsidP="008C365B">
            <w:pPr>
              <w:spacing w:before="40" w:after="40"/>
              <w:jc w:val="center"/>
              <w:rPr>
                <w:rFonts w:cs="Arial"/>
                <w:sz w:val="22"/>
                <w:szCs w:val="22"/>
              </w:rPr>
            </w:pPr>
            <w:r w:rsidRPr="0034093E">
              <w:rPr>
                <w:rFonts w:cs="Arial"/>
                <w:sz w:val="22"/>
                <w:szCs w:val="22"/>
              </w:rPr>
              <w:t>:</w:t>
            </w:r>
          </w:p>
        </w:tc>
        <w:tc>
          <w:tcPr>
            <w:tcW w:w="360" w:type="dxa"/>
            <w:vAlign w:val="center"/>
          </w:tcPr>
          <w:p w14:paraId="087F85DF" w14:textId="77777777" w:rsidR="00446E1E" w:rsidRPr="0034093E" w:rsidRDefault="00446E1E" w:rsidP="008C365B">
            <w:pPr>
              <w:spacing w:before="40" w:after="40"/>
              <w:rPr>
                <w:rFonts w:cs="Arial"/>
                <w:sz w:val="22"/>
                <w:szCs w:val="22"/>
              </w:rPr>
            </w:pPr>
          </w:p>
        </w:tc>
        <w:tc>
          <w:tcPr>
            <w:tcW w:w="6479" w:type="dxa"/>
            <w:vAlign w:val="center"/>
          </w:tcPr>
          <w:p w14:paraId="1F3F6EF7" w14:textId="46B36EFB" w:rsidR="00446E1E" w:rsidRPr="0034093E" w:rsidRDefault="00446E1E" w:rsidP="008C365B">
            <w:pPr>
              <w:spacing w:before="40" w:after="40"/>
              <w:rPr>
                <w:rFonts w:cs="Arial"/>
                <w:sz w:val="22"/>
                <w:szCs w:val="22"/>
              </w:rPr>
            </w:pPr>
            <w:r w:rsidRPr="0034093E">
              <w:rPr>
                <w:rFonts w:cs="Arial"/>
                <w:sz w:val="22"/>
                <w:szCs w:val="22"/>
              </w:rPr>
              <w:t xml:space="preserve">Subdirección </w:t>
            </w:r>
            <w:r w:rsidR="00BA18B3">
              <w:rPr>
                <w:rFonts w:cs="Arial"/>
                <w:sz w:val="22"/>
                <w:szCs w:val="22"/>
              </w:rPr>
              <w:t>a</w:t>
            </w:r>
            <w:r w:rsidRPr="0034093E">
              <w:rPr>
                <w:rFonts w:cs="Arial"/>
                <w:sz w:val="22"/>
                <w:szCs w:val="22"/>
              </w:rPr>
              <w:t xml:space="preserve">dministrativa y </w:t>
            </w:r>
            <w:r w:rsidR="00BA18B3">
              <w:rPr>
                <w:rFonts w:cs="Arial"/>
                <w:sz w:val="22"/>
                <w:szCs w:val="22"/>
              </w:rPr>
              <w:t>f</w:t>
            </w:r>
            <w:r w:rsidRPr="0034093E">
              <w:rPr>
                <w:rFonts w:cs="Arial"/>
                <w:sz w:val="22"/>
                <w:szCs w:val="22"/>
              </w:rPr>
              <w:t>inanciera.</w:t>
            </w:r>
          </w:p>
        </w:tc>
      </w:tr>
      <w:tr w:rsidR="00446E1E" w:rsidRPr="0034093E" w14:paraId="734AE1CF" w14:textId="77777777" w:rsidTr="00483108">
        <w:tc>
          <w:tcPr>
            <w:tcW w:w="1271" w:type="dxa"/>
            <w:vAlign w:val="center"/>
          </w:tcPr>
          <w:p w14:paraId="55EC1187" w14:textId="77777777" w:rsidR="00446E1E" w:rsidRPr="0034093E" w:rsidRDefault="00446E1E" w:rsidP="008C365B">
            <w:pPr>
              <w:spacing w:before="40" w:after="40"/>
              <w:rPr>
                <w:rFonts w:cs="Arial"/>
                <w:sz w:val="22"/>
                <w:szCs w:val="22"/>
              </w:rPr>
            </w:pPr>
            <w:r w:rsidRPr="0034093E">
              <w:rPr>
                <w:rFonts w:cs="Arial"/>
                <w:sz w:val="22"/>
                <w:szCs w:val="22"/>
              </w:rPr>
              <w:t>SSF</w:t>
            </w:r>
          </w:p>
        </w:tc>
        <w:tc>
          <w:tcPr>
            <w:tcW w:w="284" w:type="dxa"/>
            <w:vAlign w:val="center"/>
          </w:tcPr>
          <w:p w14:paraId="5C694541" w14:textId="77777777" w:rsidR="00446E1E" w:rsidRPr="0034093E" w:rsidRDefault="00446E1E" w:rsidP="008C365B">
            <w:pPr>
              <w:spacing w:before="40" w:after="40"/>
              <w:rPr>
                <w:rFonts w:cs="Arial"/>
                <w:sz w:val="22"/>
                <w:szCs w:val="22"/>
              </w:rPr>
            </w:pPr>
          </w:p>
        </w:tc>
        <w:tc>
          <w:tcPr>
            <w:tcW w:w="390" w:type="dxa"/>
            <w:vAlign w:val="center"/>
          </w:tcPr>
          <w:p w14:paraId="4D92A6F4" w14:textId="77777777" w:rsidR="00446E1E" w:rsidRPr="0034093E" w:rsidRDefault="00446E1E" w:rsidP="008C365B">
            <w:pPr>
              <w:spacing w:before="40" w:after="40"/>
              <w:jc w:val="center"/>
              <w:rPr>
                <w:rFonts w:cs="Arial"/>
                <w:sz w:val="22"/>
                <w:szCs w:val="22"/>
              </w:rPr>
            </w:pPr>
            <w:r w:rsidRPr="0034093E">
              <w:rPr>
                <w:rFonts w:cs="Arial"/>
                <w:sz w:val="22"/>
                <w:szCs w:val="22"/>
              </w:rPr>
              <w:t>:</w:t>
            </w:r>
          </w:p>
        </w:tc>
        <w:tc>
          <w:tcPr>
            <w:tcW w:w="360" w:type="dxa"/>
            <w:vAlign w:val="center"/>
          </w:tcPr>
          <w:p w14:paraId="0E1BBE67" w14:textId="77777777" w:rsidR="00446E1E" w:rsidRPr="0034093E" w:rsidRDefault="00446E1E" w:rsidP="008C365B">
            <w:pPr>
              <w:spacing w:before="40" w:after="40"/>
              <w:rPr>
                <w:rFonts w:cs="Arial"/>
                <w:sz w:val="22"/>
                <w:szCs w:val="22"/>
              </w:rPr>
            </w:pPr>
          </w:p>
        </w:tc>
        <w:tc>
          <w:tcPr>
            <w:tcW w:w="6479" w:type="dxa"/>
            <w:vAlign w:val="center"/>
          </w:tcPr>
          <w:p w14:paraId="59642E23" w14:textId="6B2B903E" w:rsidR="00446E1E" w:rsidRPr="0034093E" w:rsidRDefault="00446E1E" w:rsidP="008C365B">
            <w:pPr>
              <w:spacing w:before="40" w:after="40"/>
              <w:rPr>
                <w:rFonts w:cs="Arial"/>
                <w:sz w:val="22"/>
                <w:szCs w:val="22"/>
              </w:rPr>
            </w:pPr>
            <w:r w:rsidRPr="0034093E">
              <w:rPr>
                <w:rFonts w:cs="Arial"/>
                <w:sz w:val="22"/>
                <w:szCs w:val="22"/>
              </w:rPr>
              <w:t xml:space="preserve">Sin </w:t>
            </w:r>
            <w:r w:rsidR="00BA18B3">
              <w:rPr>
                <w:rFonts w:cs="Arial"/>
                <w:sz w:val="22"/>
                <w:szCs w:val="22"/>
              </w:rPr>
              <w:t>s</w:t>
            </w:r>
            <w:r w:rsidRPr="0034093E">
              <w:rPr>
                <w:rFonts w:cs="Arial"/>
                <w:sz w:val="22"/>
                <w:szCs w:val="22"/>
              </w:rPr>
              <w:t xml:space="preserve">ituación de </w:t>
            </w:r>
            <w:r w:rsidR="00BA18B3">
              <w:rPr>
                <w:rFonts w:cs="Arial"/>
                <w:sz w:val="22"/>
                <w:szCs w:val="22"/>
              </w:rPr>
              <w:t>f</w:t>
            </w:r>
            <w:r w:rsidRPr="0034093E">
              <w:rPr>
                <w:rFonts w:cs="Arial"/>
                <w:sz w:val="22"/>
                <w:szCs w:val="22"/>
              </w:rPr>
              <w:t>ondos</w:t>
            </w:r>
            <w:r w:rsidR="001F3D93">
              <w:rPr>
                <w:rFonts w:cs="Arial"/>
                <w:sz w:val="22"/>
                <w:szCs w:val="22"/>
              </w:rPr>
              <w:t>.</w:t>
            </w:r>
          </w:p>
        </w:tc>
      </w:tr>
      <w:tr w:rsidR="00446E1E" w:rsidRPr="0034093E" w14:paraId="4430532D" w14:textId="77777777" w:rsidTr="00483108">
        <w:tc>
          <w:tcPr>
            <w:tcW w:w="1271" w:type="dxa"/>
            <w:vAlign w:val="center"/>
          </w:tcPr>
          <w:p w14:paraId="1AC5AE06" w14:textId="77777777" w:rsidR="00446E1E" w:rsidRPr="0034093E" w:rsidRDefault="00446E1E" w:rsidP="008C365B">
            <w:pPr>
              <w:spacing w:before="40" w:after="40"/>
              <w:rPr>
                <w:rFonts w:cs="Arial"/>
                <w:sz w:val="22"/>
                <w:szCs w:val="22"/>
              </w:rPr>
            </w:pPr>
            <w:r w:rsidRPr="0034093E">
              <w:rPr>
                <w:rFonts w:cs="Arial"/>
                <w:sz w:val="22"/>
                <w:szCs w:val="22"/>
              </w:rPr>
              <w:t>SSPD</w:t>
            </w:r>
          </w:p>
        </w:tc>
        <w:tc>
          <w:tcPr>
            <w:tcW w:w="284" w:type="dxa"/>
            <w:vAlign w:val="center"/>
          </w:tcPr>
          <w:p w14:paraId="2CB1DE58" w14:textId="77777777" w:rsidR="00446E1E" w:rsidRPr="0034093E" w:rsidRDefault="00446E1E" w:rsidP="008C365B">
            <w:pPr>
              <w:spacing w:before="40" w:after="40"/>
              <w:rPr>
                <w:rFonts w:cs="Arial"/>
                <w:sz w:val="22"/>
                <w:szCs w:val="22"/>
              </w:rPr>
            </w:pPr>
          </w:p>
        </w:tc>
        <w:tc>
          <w:tcPr>
            <w:tcW w:w="390" w:type="dxa"/>
            <w:vAlign w:val="center"/>
          </w:tcPr>
          <w:p w14:paraId="3EAB985B" w14:textId="77777777" w:rsidR="00446E1E" w:rsidRPr="0034093E" w:rsidRDefault="00446E1E" w:rsidP="008C365B">
            <w:pPr>
              <w:spacing w:before="40" w:after="40"/>
              <w:jc w:val="center"/>
              <w:rPr>
                <w:rFonts w:cs="Arial"/>
                <w:sz w:val="22"/>
                <w:szCs w:val="22"/>
              </w:rPr>
            </w:pPr>
            <w:r w:rsidRPr="0034093E">
              <w:rPr>
                <w:rFonts w:cs="Arial"/>
                <w:sz w:val="22"/>
                <w:szCs w:val="22"/>
              </w:rPr>
              <w:t>:</w:t>
            </w:r>
          </w:p>
        </w:tc>
        <w:tc>
          <w:tcPr>
            <w:tcW w:w="360" w:type="dxa"/>
            <w:vAlign w:val="center"/>
          </w:tcPr>
          <w:p w14:paraId="5800B259" w14:textId="77777777" w:rsidR="00446E1E" w:rsidRPr="0034093E" w:rsidRDefault="00446E1E" w:rsidP="008C365B">
            <w:pPr>
              <w:spacing w:before="40" w:after="40"/>
              <w:rPr>
                <w:rFonts w:cs="Arial"/>
                <w:sz w:val="22"/>
                <w:szCs w:val="22"/>
              </w:rPr>
            </w:pPr>
          </w:p>
        </w:tc>
        <w:tc>
          <w:tcPr>
            <w:tcW w:w="6479" w:type="dxa"/>
            <w:vAlign w:val="center"/>
          </w:tcPr>
          <w:p w14:paraId="2DC6F1A0" w14:textId="08CED616" w:rsidR="00446E1E" w:rsidRPr="0034093E" w:rsidRDefault="001A45DE" w:rsidP="008C365B">
            <w:pPr>
              <w:spacing w:before="40" w:after="40"/>
              <w:rPr>
                <w:rFonts w:cs="Arial"/>
                <w:sz w:val="22"/>
                <w:szCs w:val="22"/>
              </w:rPr>
            </w:pPr>
            <w:r w:rsidRPr="0034093E">
              <w:rPr>
                <w:rFonts w:cs="Arial"/>
                <w:sz w:val="22"/>
                <w:szCs w:val="22"/>
              </w:rPr>
              <w:t>Superintendencia</w:t>
            </w:r>
            <w:r w:rsidR="00446E1E" w:rsidRPr="0034093E">
              <w:rPr>
                <w:rFonts w:cs="Arial"/>
                <w:sz w:val="22"/>
                <w:szCs w:val="22"/>
              </w:rPr>
              <w:t xml:space="preserve"> de </w:t>
            </w:r>
            <w:r w:rsidR="00BA18B3">
              <w:rPr>
                <w:rFonts w:cs="Arial"/>
                <w:sz w:val="22"/>
                <w:szCs w:val="22"/>
              </w:rPr>
              <w:t>s</w:t>
            </w:r>
            <w:r w:rsidR="00446E1E" w:rsidRPr="0034093E">
              <w:rPr>
                <w:rFonts w:cs="Arial"/>
                <w:sz w:val="22"/>
                <w:szCs w:val="22"/>
              </w:rPr>
              <w:t xml:space="preserve">ervicios </w:t>
            </w:r>
            <w:r w:rsidR="00BA18B3">
              <w:rPr>
                <w:rFonts w:cs="Arial"/>
                <w:sz w:val="22"/>
                <w:szCs w:val="22"/>
              </w:rPr>
              <w:t>p</w:t>
            </w:r>
            <w:r w:rsidR="00446E1E" w:rsidRPr="0034093E">
              <w:rPr>
                <w:rFonts w:cs="Arial"/>
                <w:sz w:val="22"/>
                <w:szCs w:val="22"/>
              </w:rPr>
              <w:t xml:space="preserve">úblicos </w:t>
            </w:r>
            <w:r w:rsidR="00BA18B3">
              <w:rPr>
                <w:rFonts w:cs="Arial"/>
                <w:sz w:val="22"/>
                <w:szCs w:val="22"/>
              </w:rPr>
              <w:t>d</w:t>
            </w:r>
            <w:r w:rsidR="00446E1E" w:rsidRPr="0034093E">
              <w:rPr>
                <w:rFonts w:cs="Arial"/>
                <w:sz w:val="22"/>
                <w:szCs w:val="22"/>
              </w:rPr>
              <w:t>omiciliarios.</w:t>
            </w:r>
          </w:p>
        </w:tc>
      </w:tr>
      <w:tr w:rsidR="00446E1E" w:rsidRPr="0034093E" w14:paraId="62C9F45B" w14:textId="77777777" w:rsidTr="00483108">
        <w:tc>
          <w:tcPr>
            <w:tcW w:w="1271" w:type="dxa"/>
            <w:vAlign w:val="center"/>
          </w:tcPr>
          <w:p w14:paraId="0CF3CD34" w14:textId="77777777" w:rsidR="00446E1E" w:rsidRPr="0034093E" w:rsidRDefault="00446E1E" w:rsidP="008C365B">
            <w:pPr>
              <w:spacing w:before="40" w:after="40"/>
              <w:rPr>
                <w:rFonts w:cs="Arial"/>
                <w:sz w:val="22"/>
                <w:szCs w:val="22"/>
              </w:rPr>
            </w:pPr>
            <w:r w:rsidRPr="0034093E">
              <w:rPr>
                <w:rFonts w:cs="Arial"/>
                <w:sz w:val="22"/>
                <w:szCs w:val="22"/>
              </w:rPr>
              <w:t>SUI</w:t>
            </w:r>
          </w:p>
        </w:tc>
        <w:tc>
          <w:tcPr>
            <w:tcW w:w="284" w:type="dxa"/>
            <w:vAlign w:val="center"/>
          </w:tcPr>
          <w:p w14:paraId="0013EDEE" w14:textId="77777777" w:rsidR="00446E1E" w:rsidRPr="0034093E" w:rsidRDefault="00446E1E" w:rsidP="008C365B">
            <w:pPr>
              <w:spacing w:before="40" w:after="40"/>
              <w:rPr>
                <w:rFonts w:cs="Arial"/>
                <w:sz w:val="22"/>
                <w:szCs w:val="22"/>
              </w:rPr>
            </w:pPr>
          </w:p>
        </w:tc>
        <w:tc>
          <w:tcPr>
            <w:tcW w:w="390" w:type="dxa"/>
            <w:vAlign w:val="center"/>
          </w:tcPr>
          <w:p w14:paraId="179B731E" w14:textId="77777777" w:rsidR="00446E1E" w:rsidRPr="0034093E" w:rsidRDefault="00446E1E" w:rsidP="008C365B">
            <w:pPr>
              <w:spacing w:before="40" w:after="40"/>
              <w:jc w:val="center"/>
              <w:rPr>
                <w:rFonts w:cs="Arial"/>
                <w:sz w:val="22"/>
                <w:szCs w:val="22"/>
              </w:rPr>
            </w:pPr>
            <w:r w:rsidRPr="0034093E">
              <w:rPr>
                <w:rFonts w:cs="Arial"/>
                <w:sz w:val="22"/>
                <w:szCs w:val="22"/>
              </w:rPr>
              <w:t>:</w:t>
            </w:r>
          </w:p>
        </w:tc>
        <w:tc>
          <w:tcPr>
            <w:tcW w:w="360" w:type="dxa"/>
            <w:vAlign w:val="center"/>
          </w:tcPr>
          <w:p w14:paraId="419C0D75" w14:textId="77777777" w:rsidR="00446E1E" w:rsidRPr="0034093E" w:rsidRDefault="00446E1E" w:rsidP="008C365B">
            <w:pPr>
              <w:spacing w:before="40" w:after="40"/>
              <w:rPr>
                <w:rFonts w:cs="Arial"/>
                <w:sz w:val="22"/>
                <w:szCs w:val="22"/>
              </w:rPr>
            </w:pPr>
          </w:p>
        </w:tc>
        <w:tc>
          <w:tcPr>
            <w:tcW w:w="6479" w:type="dxa"/>
            <w:vAlign w:val="center"/>
          </w:tcPr>
          <w:p w14:paraId="1ABD148C" w14:textId="43EE7754" w:rsidR="00446E1E" w:rsidRPr="0034093E" w:rsidRDefault="00446E1E" w:rsidP="008C365B">
            <w:pPr>
              <w:spacing w:before="40" w:after="40"/>
              <w:rPr>
                <w:rFonts w:cs="Arial"/>
                <w:sz w:val="22"/>
                <w:szCs w:val="22"/>
              </w:rPr>
            </w:pPr>
            <w:r w:rsidRPr="0034093E">
              <w:rPr>
                <w:rFonts w:cs="Arial"/>
                <w:sz w:val="22"/>
                <w:szCs w:val="22"/>
              </w:rPr>
              <w:t xml:space="preserve">Sistema </w:t>
            </w:r>
            <w:r w:rsidR="00BA18B3">
              <w:rPr>
                <w:rFonts w:cs="Arial"/>
                <w:sz w:val="22"/>
                <w:szCs w:val="22"/>
              </w:rPr>
              <w:t>ú</w:t>
            </w:r>
            <w:r w:rsidRPr="0034093E">
              <w:rPr>
                <w:rFonts w:cs="Arial"/>
                <w:sz w:val="22"/>
                <w:szCs w:val="22"/>
              </w:rPr>
              <w:t xml:space="preserve">nico de </w:t>
            </w:r>
            <w:r w:rsidR="00BA18B3">
              <w:rPr>
                <w:rFonts w:cs="Arial"/>
                <w:sz w:val="22"/>
                <w:szCs w:val="22"/>
              </w:rPr>
              <w:t>i</w:t>
            </w:r>
            <w:r w:rsidRPr="0034093E">
              <w:rPr>
                <w:rFonts w:cs="Arial"/>
                <w:sz w:val="22"/>
                <w:szCs w:val="22"/>
              </w:rPr>
              <w:t>nformación de servicios públicos domiciliarios.</w:t>
            </w:r>
          </w:p>
        </w:tc>
      </w:tr>
      <w:tr w:rsidR="00446E1E" w:rsidRPr="0034093E" w14:paraId="504FD6D0" w14:textId="77777777" w:rsidTr="00483108">
        <w:tc>
          <w:tcPr>
            <w:tcW w:w="1271" w:type="dxa"/>
            <w:vAlign w:val="center"/>
          </w:tcPr>
          <w:p w14:paraId="78B03B6B" w14:textId="77777777" w:rsidR="00446E1E" w:rsidRPr="0034093E" w:rsidRDefault="00446E1E" w:rsidP="008C365B">
            <w:pPr>
              <w:spacing w:before="40" w:after="40"/>
              <w:rPr>
                <w:rFonts w:cs="Arial"/>
                <w:sz w:val="22"/>
                <w:szCs w:val="22"/>
              </w:rPr>
            </w:pPr>
            <w:r w:rsidRPr="0034093E">
              <w:rPr>
                <w:rFonts w:cs="Arial"/>
                <w:sz w:val="22"/>
                <w:szCs w:val="22"/>
              </w:rPr>
              <w:t>UAE</w:t>
            </w:r>
          </w:p>
        </w:tc>
        <w:tc>
          <w:tcPr>
            <w:tcW w:w="284" w:type="dxa"/>
            <w:vAlign w:val="center"/>
          </w:tcPr>
          <w:p w14:paraId="1BE47B73" w14:textId="77777777" w:rsidR="00446E1E" w:rsidRPr="0034093E" w:rsidRDefault="00446E1E" w:rsidP="008C365B">
            <w:pPr>
              <w:spacing w:before="40" w:after="40"/>
              <w:rPr>
                <w:rFonts w:cs="Arial"/>
                <w:sz w:val="22"/>
                <w:szCs w:val="22"/>
              </w:rPr>
            </w:pPr>
          </w:p>
        </w:tc>
        <w:tc>
          <w:tcPr>
            <w:tcW w:w="390" w:type="dxa"/>
            <w:vAlign w:val="center"/>
          </w:tcPr>
          <w:p w14:paraId="27609CC2" w14:textId="77777777" w:rsidR="00446E1E" w:rsidRPr="0034093E" w:rsidRDefault="00446E1E" w:rsidP="008C365B">
            <w:pPr>
              <w:spacing w:before="40" w:after="40"/>
              <w:jc w:val="center"/>
              <w:rPr>
                <w:rFonts w:cs="Arial"/>
                <w:sz w:val="22"/>
                <w:szCs w:val="22"/>
              </w:rPr>
            </w:pPr>
            <w:r w:rsidRPr="0034093E">
              <w:rPr>
                <w:rFonts w:cs="Arial"/>
                <w:sz w:val="22"/>
                <w:szCs w:val="22"/>
              </w:rPr>
              <w:t>:</w:t>
            </w:r>
          </w:p>
        </w:tc>
        <w:tc>
          <w:tcPr>
            <w:tcW w:w="360" w:type="dxa"/>
            <w:vAlign w:val="center"/>
          </w:tcPr>
          <w:p w14:paraId="406A77DF" w14:textId="77777777" w:rsidR="00446E1E" w:rsidRPr="0034093E" w:rsidRDefault="00446E1E" w:rsidP="008C365B">
            <w:pPr>
              <w:spacing w:before="40" w:after="40"/>
              <w:rPr>
                <w:rFonts w:cs="Arial"/>
                <w:sz w:val="22"/>
                <w:szCs w:val="22"/>
              </w:rPr>
            </w:pPr>
          </w:p>
        </w:tc>
        <w:tc>
          <w:tcPr>
            <w:tcW w:w="6479" w:type="dxa"/>
            <w:vAlign w:val="center"/>
          </w:tcPr>
          <w:p w14:paraId="4F858518" w14:textId="25F9EBE7" w:rsidR="00446E1E" w:rsidRPr="0034093E" w:rsidRDefault="00446E1E" w:rsidP="008C365B">
            <w:pPr>
              <w:spacing w:before="40" w:after="40"/>
              <w:rPr>
                <w:rFonts w:cs="Arial"/>
                <w:sz w:val="22"/>
                <w:szCs w:val="22"/>
              </w:rPr>
            </w:pPr>
            <w:r w:rsidRPr="0034093E">
              <w:rPr>
                <w:rFonts w:cs="Arial"/>
                <w:sz w:val="22"/>
                <w:szCs w:val="22"/>
              </w:rPr>
              <w:t xml:space="preserve">Unidad </w:t>
            </w:r>
            <w:r w:rsidR="00BA18B3">
              <w:rPr>
                <w:rFonts w:cs="Arial"/>
                <w:sz w:val="22"/>
                <w:szCs w:val="22"/>
              </w:rPr>
              <w:t>a</w:t>
            </w:r>
            <w:r w:rsidRPr="0034093E">
              <w:rPr>
                <w:rFonts w:cs="Arial"/>
                <w:sz w:val="22"/>
                <w:szCs w:val="22"/>
              </w:rPr>
              <w:t xml:space="preserve">dministrativa </w:t>
            </w:r>
            <w:r w:rsidR="00BA18B3">
              <w:rPr>
                <w:rFonts w:cs="Arial"/>
                <w:sz w:val="22"/>
                <w:szCs w:val="22"/>
              </w:rPr>
              <w:t>e</w:t>
            </w:r>
            <w:r w:rsidRPr="0034093E">
              <w:rPr>
                <w:rFonts w:cs="Arial"/>
                <w:sz w:val="22"/>
                <w:szCs w:val="22"/>
              </w:rPr>
              <w:t>special.</w:t>
            </w:r>
          </w:p>
        </w:tc>
      </w:tr>
      <w:tr w:rsidR="0078267D" w:rsidRPr="0034093E" w14:paraId="1DA958D5" w14:textId="77777777" w:rsidTr="00483108">
        <w:tc>
          <w:tcPr>
            <w:tcW w:w="1271" w:type="dxa"/>
            <w:vAlign w:val="center"/>
          </w:tcPr>
          <w:p w14:paraId="4347D2D1" w14:textId="2FDB4C5E" w:rsidR="0078267D" w:rsidRPr="0034093E" w:rsidRDefault="0078267D" w:rsidP="008C365B">
            <w:pPr>
              <w:spacing w:before="40" w:after="40"/>
              <w:rPr>
                <w:rFonts w:cs="Arial"/>
                <w:sz w:val="22"/>
                <w:szCs w:val="22"/>
              </w:rPr>
            </w:pPr>
            <w:r>
              <w:rPr>
                <w:rFonts w:cs="Arial"/>
                <w:sz w:val="22"/>
                <w:szCs w:val="22"/>
              </w:rPr>
              <w:t>XBRL</w:t>
            </w:r>
          </w:p>
        </w:tc>
        <w:tc>
          <w:tcPr>
            <w:tcW w:w="284" w:type="dxa"/>
            <w:vAlign w:val="center"/>
          </w:tcPr>
          <w:p w14:paraId="356F85CD" w14:textId="77777777" w:rsidR="0078267D" w:rsidRPr="0034093E" w:rsidRDefault="0078267D" w:rsidP="008C365B">
            <w:pPr>
              <w:spacing w:before="40" w:after="40"/>
              <w:rPr>
                <w:rFonts w:cs="Arial"/>
                <w:sz w:val="22"/>
                <w:szCs w:val="22"/>
              </w:rPr>
            </w:pPr>
          </w:p>
        </w:tc>
        <w:tc>
          <w:tcPr>
            <w:tcW w:w="390" w:type="dxa"/>
            <w:vAlign w:val="center"/>
          </w:tcPr>
          <w:p w14:paraId="126CD634" w14:textId="0B0D804D" w:rsidR="0078267D" w:rsidRPr="0034093E" w:rsidRDefault="0078267D" w:rsidP="008C365B">
            <w:pPr>
              <w:spacing w:before="40" w:after="40"/>
              <w:jc w:val="center"/>
              <w:rPr>
                <w:rFonts w:cs="Arial"/>
                <w:sz w:val="22"/>
                <w:szCs w:val="22"/>
              </w:rPr>
            </w:pPr>
            <w:r>
              <w:rPr>
                <w:rFonts w:cs="Arial"/>
                <w:sz w:val="22"/>
                <w:szCs w:val="22"/>
              </w:rPr>
              <w:t>:</w:t>
            </w:r>
          </w:p>
        </w:tc>
        <w:tc>
          <w:tcPr>
            <w:tcW w:w="360" w:type="dxa"/>
            <w:vAlign w:val="center"/>
          </w:tcPr>
          <w:p w14:paraId="74623C5D" w14:textId="77777777" w:rsidR="0078267D" w:rsidRPr="0034093E" w:rsidRDefault="0078267D" w:rsidP="008C365B">
            <w:pPr>
              <w:spacing w:before="40" w:after="40"/>
              <w:rPr>
                <w:rFonts w:cs="Arial"/>
                <w:sz w:val="22"/>
                <w:szCs w:val="22"/>
              </w:rPr>
            </w:pPr>
          </w:p>
        </w:tc>
        <w:tc>
          <w:tcPr>
            <w:tcW w:w="6479" w:type="dxa"/>
            <w:vAlign w:val="center"/>
          </w:tcPr>
          <w:p w14:paraId="77B2B3D1" w14:textId="698CEF6D" w:rsidR="0078267D" w:rsidRPr="0034093E" w:rsidRDefault="0078267D" w:rsidP="008C365B">
            <w:pPr>
              <w:spacing w:before="40" w:after="40"/>
              <w:rPr>
                <w:rFonts w:cs="Arial"/>
                <w:sz w:val="22"/>
                <w:szCs w:val="22"/>
              </w:rPr>
            </w:pPr>
            <w:r>
              <w:rPr>
                <w:rFonts w:cs="Arial"/>
                <w:sz w:val="22"/>
                <w:szCs w:val="22"/>
              </w:rPr>
              <w:t>eXtensible Business Reporting Language.</w:t>
            </w:r>
          </w:p>
        </w:tc>
      </w:tr>
    </w:tbl>
    <w:p w14:paraId="21F0D563" w14:textId="77777777" w:rsidR="00446E1E" w:rsidRDefault="00446E1E" w:rsidP="00446E1E">
      <w:pPr>
        <w:rPr>
          <w:rFonts w:ascii="Arial Narrow" w:hAnsi="Arial Narrow" w:cs="Arial"/>
          <w:sz w:val="18"/>
          <w:szCs w:val="18"/>
        </w:rPr>
      </w:pPr>
    </w:p>
    <w:p w14:paraId="2F36F90E" w14:textId="77777777" w:rsidR="00446E1E" w:rsidRDefault="00446E1E" w:rsidP="00446E1E">
      <w:pPr>
        <w:rPr>
          <w:rFonts w:ascii="Arial Narrow" w:hAnsi="Arial Narrow" w:cs="Arial"/>
          <w:sz w:val="18"/>
          <w:szCs w:val="18"/>
        </w:rPr>
      </w:pPr>
    </w:p>
    <w:p w14:paraId="6AFD4980" w14:textId="77777777" w:rsidR="00446E1E" w:rsidRDefault="00446E1E" w:rsidP="00446E1E">
      <w:pPr>
        <w:rPr>
          <w:rFonts w:ascii="Arial Narrow" w:hAnsi="Arial Narrow" w:cs="Arial"/>
          <w:sz w:val="18"/>
          <w:szCs w:val="18"/>
        </w:rPr>
      </w:pPr>
    </w:p>
    <w:p w14:paraId="1559D19C" w14:textId="31CAFC34" w:rsidR="00446E1E" w:rsidRDefault="00446E1E" w:rsidP="00F26C0E">
      <w:pPr>
        <w:pStyle w:val="Prrafodelista"/>
        <w:spacing w:after="0"/>
        <w:ind w:left="0"/>
        <w:rPr>
          <w:rFonts w:ascii="Arial" w:eastAsia="Times New Roman" w:hAnsi="Arial" w:cs="Arial"/>
          <w:spacing w:val="-5"/>
          <w:lang w:val="es-CO"/>
        </w:rPr>
      </w:pPr>
    </w:p>
    <w:p w14:paraId="533A2903" w14:textId="794434EC" w:rsidR="00446E1E" w:rsidRDefault="00446E1E" w:rsidP="00F26C0E">
      <w:pPr>
        <w:pStyle w:val="Prrafodelista"/>
        <w:spacing w:after="0"/>
        <w:ind w:left="0"/>
        <w:rPr>
          <w:rFonts w:ascii="Arial" w:eastAsia="Times New Roman" w:hAnsi="Arial" w:cs="Arial"/>
          <w:spacing w:val="-5"/>
          <w:lang w:val="es-CO"/>
        </w:rPr>
      </w:pPr>
    </w:p>
    <w:p w14:paraId="48AF43F6" w14:textId="06CF0285" w:rsidR="00446E1E" w:rsidRDefault="00446E1E" w:rsidP="00F26C0E">
      <w:pPr>
        <w:pStyle w:val="Prrafodelista"/>
        <w:spacing w:after="0"/>
        <w:ind w:left="0"/>
        <w:rPr>
          <w:rFonts w:ascii="Arial" w:eastAsia="Times New Roman" w:hAnsi="Arial" w:cs="Arial"/>
          <w:spacing w:val="-5"/>
          <w:lang w:val="es-CO"/>
        </w:rPr>
      </w:pPr>
    </w:p>
    <w:p w14:paraId="4EA06D1A" w14:textId="7B864E8A" w:rsidR="00446E1E" w:rsidRDefault="00446E1E" w:rsidP="00F26C0E">
      <w:pPr>
        <w:pStyle w:val="Prrafodelista"/>
        <w:spacing w:after="0"/>
        <w:ind w:left="0"/>
        <w:rPr>
          <w:rFonts w:ascii="Arial" w:eastAsia="Times New Roman" w:hAnsi="Arial" w:cs="Arial"/>
          <w:spacing w:val="-5"/>
          <w:lang w:val="es-CO"/>
        </w:rPr>
      </w:pPr>
    </w:p>
    <w:p w14:paraId="6A800B00" w14:textId="4D32FD67" w:rsidR="00446E1E" w:rsidRDefault="00446E1E" w:rsidP="00F26C0E">
      <w:pPr>
        <w:pStyle w:val="Prrafodelista"/>
        <w:spacing w:after="0"/>
        <w:ind w:left="0"/>
        <w:rPr>
          <w:rFonts w:ascii="Arial" w:eastAsia="Times New Roman" w:hAnsi="Arial" w:cs="Arial"/>
          <w:spacing w:val="-5"/>
          <w:lang w:val="es-CO"/>
        </w:rPr>
      </w:pPr>
    </w:p>
    <w:p w14:paraId="383042AB" w14:textId="77777777" w:rsidR="00446E1E" w:rsidRPr="00F26C0E" w:rsidRDefault="00446E1E" w:rsidP="00F26C0E">
      <w:pPr>
        <w:pStyle w:val="Prrafodelista"/>
        <w:spacing w:after="0"/>
        <w:ind w:left="0"/>
        <w:rPr>
          <w:rFonts w:ascii="Arial Narrow" w:hAnsi="Arial Narrow" w:cs="Arial"/>
          <w:b/>
        </w:rPr>
      </w:pPr>
    </w:p>
    <w:sectPr w:rsidR="00446E1E" w:rsidRPr="00F26C0E" w:rsidSect="00820FF0">
      <w:headerReference w:type="first" r:id="rId13"/>
      <w:pgSz w:w="12242" w:h="15842" w:code="1"/>
      <w:pgMar w:top="1701" w:right="1610" w:bottom="1418" w:left="1985" w:header="709" w:footer="86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4031E" w14:textId="77777777" w:rsidR="00FF1E0C" w:rsidRDefault="00FF1E0C">
      <w:r>
        <w:separator/>
      </w:r>
    </w:p>
  </w:endnote>
  <w:endnote w:type="continuationSeparator" w:id="0">
    <w:p w14:paraId="5EE031C9" w14:textId="77777777" w:rsidR="00FF1E0C" w:rsidRDefault="00FF1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C01D2" w14:textId="77777777" w:rsidR="00B85DC8" w:rsidRDefault="00B85DC8" w:rsidP="00B85DC8">
    <w:pPr>
      <w:pStyle w:val="Encabezado"/>
    </w:pPr>
    <w:r>
      <w:t>_________________________________________________________________________________</w:t>
    </w:r>
  </w:p>
  <w:p w14:paraId="451E8372" w14:textId="77777777" w:rsidR="00B85DC8" w:rsidRDefault="00B85DC8" w:rsidP="00B85DC8">
    <w:pPr>
      <w:pStyle w:val="Piedepgina"/>
      <w:jc w:val="center"/>
      <w:rPr>
        <w:noProof/>
        <w:lang w:val="en-US"/>
      </w:rPr>
    </w:pPr>
  </w:p>
  <w:p w14:paraId="3EA5820F" w14:textId="77777777" w:rsidR="00B85DC8" w:rsidRDefault="00B85DC8" w:rsidP="00B85DC8">
    <w:pPr>
      <w:pStyle w:val="Piedepgina"/>
      <w:jc w:val="center"/>
    </w:pPr>
    <w:r>
      <w:rPr>
        <w:noProof/>
        <w:lang w:val="en-US"/>
      </w:rPr>
      <w:drawing>
        <wp:inline distT="0" distB="0" distL="0" distR="0" wp14:anchorId="6C5B7F0C" wp14:editId="0D25ED64">
          <wp:extent cx="2695575" cy="56197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DEPAGINA.jpg"/>
                  <pic:cNvPicPr/>
                </pic:nvPicPr>
                <pic:blipFill>
                  <a:blip r:embed="rId1">
                    <a:extLst>
                      <a:ext uri="{28A0092B-C50C-407E-A947-70E740481C1C}">
                        <a14:useLocalDpi xmlns:a14="http://schemas.microsoft.com/office/drawing/2010/main" val="0"/>
                      </a:ext>
                    </a:extLst>
                  </a:blip>
                  <a:stretch>
                    <a:fillRect/>
                  </a:stretch>
                </pic:blipFill>
                <pic:spPr>
                  <a:xfrm>
                    <a:off x="0" y="0"/>
                    <a:ext cx="2695575" cy="561975"/>
                  </a:xfrm>
                  <a:prstGeom prst="rect">
                    <a:avLst/>
                  </a:prstGeom>
                </pic:spPr>
              </pic:pic>
            </a:graphicData>
          </a:graphic>
        </wp:inline>
      </w:drawing>
    </w:r>
  </w:p>
  <w:p w14:paraId="6E7B4486" w14:textId="77777777" w:rsidR="00B85DC8" w:rsidRDefault="00B85DC8" w:rsidP="005431B1">
    <w:pPr>
      <w:pStyle w:val="Piedepgin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D1797" w14:textId="77777777" w:rsidR="00B85DC8" w:rsidRDefault="00B85DC8" w:rsidP="00B85DC8">
    <w:pPr>
      <w:pStyle w:val="Encabezado"/>
    </w:pPr>
    <w:r>
      <w:t>_________________________________________________________________________________</w:t>
    </w:r>
  </w:p>
  <w:p w14:paraId="6BEED3F8" w14:textId="77777777" w:rsidR="00B85DC8" w:rsidRPr="00270F2F" w:rsidRDefault="00B85DC8" w:rsidP="005431B1">
    <w:pPr>
      <w:pStyle w:val="Piedepgina"/>
      <w:jc w:val="center"/>
      <w:rPr>
        <w:noProof/>
      </w:rPr>
    </w:pPr>
  </w:p>
  <w:sdt>
    <w:sdtPr>
      <w:id w:val="-1447455968"/>
      <w:docPartObj>
        <w:docPartGallery w:val="Page Numbers (Bottom of Page)"/>
        <w:docPartUnique/>
      </w:docPartObj>
    </w:sdtPr>
    <w:sdtEndPr>
      <w:rPr>
        <w:sz w:val="18"/>
        <w:szCs w:val="18"/>
      </w:rPr>
    </w:sdtEndPr>
    <w:sdtContent>
      <w:p w14:paraId="796971B0" w14:textId="77777777" w:rsidR="00217058" w:rsidRPr="00181766" w:rsidRDefault="00217058" w:rsidP="00217058">
        <w:pPr>
          <w:pStyle w:val="Piedepgina"/>
          <w:jc w:val="right"/>
          <w:rPr>
            <w:sz w:val="18"/>
            <w:szCs w:val="18"/>
          </w:rPr>
        </w:pPr>
        <w:r w:rsidRPr="00181766">
          <w:rPr>
            <w:sz w:val="18"/>
            <w:szCs w:val="18"/>
          </w:rPr>
          <w:fldChar w:fldCharType="begin"/>
        </w:r>
        <w:r w:rsidRPr="00181766">
          <w:rPr>
            <w:sz w:val="18"/>
            <w:szCs w:val="18"/>
          </w:rPr>
          <w:instrText>PAGE   \* MERGEFORMAT</w:instrText>
        </w:r>
        <w:r w:rsidRPr="00181766">
          <w:rPr>
            <w:sz w:val="18"/>
            <w:szCs w:val="18"/>
          </w:rPr>
          <w:fldChar w:fldCharType="separate"/>
        </w:r>
        <w:r>
          <w:rPr>
            <w:sz w:val="18"/>
            <w:szCs w:val="18"/>
          </w:rPr>
          <w:t>5</w:t>
        </w:r>
        <w:r w:rsidRPr="00181766">
          <w:rPr>
            <w:sz w:val="18"/>
            <w:szCs w:val="18"/>
          </w:rPr>
          <w:fldChar w:fldCharType="end"/>
        </w:r>
      </w:p>
    </w:sdtContent>
  </w:sdt>
  <w:p w14:paraId="5D3B55B0" w14:textId="31F04732" w:rsidR="00217058" w:rsidRPr="00986BF0" w:rsidRDefault="00217058" w:rsidP="00217058">
    <w:pPr>
      <w:pStyle w:val="Piedepgina"/>
      <w:ind w:right="360"/>
      <w:rPr>
        <w:rFonts w:cs="Arial"/>
        <w:sz w:val="14"/>
        <w:szCs w:val="14"/>
      </w:rPr>
    </w:pPr>
    <w:r w:rsidRPr="00986BF0">
      <w:rPr>
        <w:rFonts w:cs="Arial"/>
        <w:sz w:val="14"/>
        <w:szCs w:val="14"/>
      </w:rPr>
      <w:t>D-</w:t>
    </w:r>
    <w:r>
      <w:rPr>
        <w:rFonts w:cs="Arial"/>
        <w:b/>
        <w:sz w:val="14"/>
        <w:szCs w:val="14"/>
      </w:rPr>
      <w:t>140</w:t>
    </w:r>
    <w:r w:rsidRPr="00986BF0">
      <w:rPr>
        <w:rFonts w:cs="Arial"/>
        <w:sz w:val="14"/>
        <w:szCs w:val="14"/>
      </w:rPr>
      <w:t>-</w:t>
    </w:r>
    <w:r>
      <w:rPr>
        <w:rFonts w:cs="Arial"/>
        <w:sz w:val="14"/>
        <w:szCs w:val="14"/>
      </w:rPr>
      <w:t>21</w:t>
    </w:r>
    <w:r w:rsidRPr="00986BF0">
      <w:rPr>
        <w:rFonts w:cs="Arial"/>
        <w:sz w:val="14"/>
        <w:szCs w:val="14"/>
      </w:rPr>
      <w:t xml:space="preserve"> LIQUIDACIÓN CONTRIBUCIÓN ESPECIAL QUE DEBEN PAGAR LA ENTIDADES REGULADAS PARA EL AÑO 20</w:t>
    </w:r>
    <w:r>
      <w:rPr>
        <w:rFonts w:cs="Arial"/>
        <w:sz w:val="14"/>
        <w:szCs w:val="14"/>
      </w:rPr>
      <w:t>21</w:t>
    </w:r>
    <w:r w:rsidRPr="00986BF0">
      <w:rPr>
        <w:rFonts w:cs="Arial"/>
        <w:sz w:val="14"/>
        <w:szCs w:val="14"/>
      </w:rPr>
      <w:t>.</w:t>
    </w:r>
  </w:p>
  <w:p w14:paraId="4446C24F" w14:textId="63D73C51" w:rsidR="00B85DC8" w:rsidRDefault="00B85DC8" w:rsidP="005431B1">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28618" w14:textId="77777777" w:rsidR="00FF1E0C" w:rsidRDefault="00FF1E0C">
      <w:r>
        <w:separator/>
      </w:r>
    </w:p>
  </w:footnote>
  <w:footnote w:type="continuationSeparator" w:id="0">
    <w:p w14:paraId="7BBF6EBC" w14:textId="77777777" w:rsidR="00FF1E0C" w:rsidRDefault="00FF1E0C">
      <w:r>
        <w:continuationSeparator/>
      </w:r>
    </w:p>
  </w:footnote>
  <w:footnote w:id="1">
    <w:p w14:paraId="262A38DB" w14:textId="77777777" w:rsidR="008953E4" w:rsidRPr="00A6357B" w:rsidRDefault="008953E4" w:rsidP="008953E4">
      <w:pPr>
        <w:pStyle w:val="Textonotapie"/>
        <w:rPr>
          <w:rFonts w:ascii="Bookman Old Style" w:hAnsi="Bookman Old Style"/>
          <w:sz w:val="18"/>
          <w:szCs w:val="18"/>
        </w:rPr>
      </w:pPr>
      <w:r w:rsidRPr="00A6357B">
        <w:rPr>
          <w:rStyle w:val="Refdenotaalpie"/>
          <w:rFonts w:ascii="Bookman Old Style" w:hAnsi="Bookman Old Style"/>
          <w:sz w:val="18"/>
          <w:szCs w:val="18"/>
        </w:rPr>
        <w:footnoteRef/>
      </w:r>
      <w:r w:rsidRPr="00A6357B">
        <w:rPr>
          <w:rFonts w:ascii="Bookman Old Style" w:hAnsi="Bookman Old Style"/>
          <w:sz w:val="18"/>
          <w:szCs w:val="18"/>
        </w:rPr>
        <w:t xml:space="preserve"> Por la cual se regulan los principios y normas de contabilidad e información financiera y de aseguramiento de información aceptados en Colombia, se señalan las autoridades competentes, el procedimiento para su expedición y se determinan las entidades responsables de vigilar su cumplimiento.</w:t>
      </w:r>
    </w:p>
  </w:footnote>
  <w:footnote w:id="2">
    <w:p w14:paraId="3CD3E7C0" w14:textId="77777777" w:rsidR="008953E4" w:rsidRPr="00A6357B" w:rsidRDefault="008953E4" w:rsidP="008953E4">
      <w:pPr>
        <w:pStyle w:val="Textonotapie"/>
        <w:rPr>
          <w:rFonts w:ascii="Bookman Old Style" w:hAnsi="Bookman Old Style"/>
          <w:sz w:val="18"/>
          <w:szCs w:val="18"/>
        </w:rPr>
      </w:pPr>
      <w:r w:rsidRPr="00A6357B">
        <w:rPr>
          <w:rStyle w:val="Refdenotaalpie"/>
          <w:rFonts w:ascii="Bookman Old Style" w:hAnsi="Bookman Old Style"/>
          <w:sz w:val="18"/>
          <w:szCs w:val="18"/>
        </w:rPr>
        <w:footnoteRef/>
      </w:r>
      <w:r w:rsidRPr="00A6357B">
        <w:rPr>
          <w:rFonts w:ascii="Bookman Old Style" w:hAnsi="Bookman Old Style"/>
          <w:sz w:val="18"/>
          <w:szCs w:val="18"/>
        </w:rPr>
        <w:t xml:space="preserve"> Por medio del cual se expide el Decreto Único Reglamentario – DUR de las Normas de Contabilidad, de Información Financiera y Aseguramiento de la Información y se dictan otras disposiciones.</w:t>
      </w:r>
    </w:p>
  </w:footnote>
  <w:footnote w:id="3">
    <w:p w14:paraId="286E8173" w14:textId="77777777" w:rsidR="008953E4" w:rsidRPr="00A6357B" w:rsidRDefault="008953E4" w:rsidP="008953E4">
      <w:pPr>
        <w:pStyle w:val="Textonotapie"/>
        <w:rPr>
          <w:rFonts w:ascii="Bookman Old Style" w:hAnsi="Bookman Old Style"/>
          <w:sz w:val="18"/>
          <w:szCs w:val="18"/>
        </w:rPr>
      </w:pPr>
      <w:r w:rsidRPr="00A6357B">
        <w:rPr>
          <w:rStyle w:val="Refdenotaalpie"/>
          <w:rFonts w:ascii="Bookman Old Style" w:hAnsi="Bookman Old Style"/>
          <w:sz w:val="18"/>
          <w:szCs w:val="18"/>
        </w:rPr>
        <w:footnoteRef/>
      </w:r>
      <w:r w:rsidRPr="00A6357B">
        <w:rPr>
          <w:rFonts w:ascii="Bookman Old Style" w:hAnsi="Bookman Old Style"/>
          <w:sz w:val="18"/>
          <w:szCs w:val="18"/>
        </w:rPr>
        <w:t xml:space="preserve"> Por medio de la cual se compilan y actualizan los marcos técnicos de las NIIF para el grupo 1 y de las NIIF para las Pymes. grupo 2, anexos al decreto 2420 de 2015, modificado por los decretos 2496 de 2015, 2131 de 2016 y 2170 de 2017, respectivamente y se dictan otras disposiciones.</w:t>
      </w:r>
    </w:p>
  </w:footnote>
  <w:footnote w:id="4">
    <w:p w14:paraId="3268E44E" w14:textId="77777777" w:rsidR="008953E4" w:rsidRPr="00A6357B" w:rsidRDefault="008953E4" w:rsidP="008953E4">
      <w:pPr>
        <w:pStyle w:val="Textonotapie"/>
        <w:rPr>
          <w:rFonts w:ascii="Bookman Old Style" w:hAnsi="Bookman Old Style"/>
          <w:sz w:val="18"/>
          <w:szCs w:val="18"/>
        </w:rPr>
      </w:pPr>
      <w:r w:rsidRPr="00A6357B">
        <w:rPr>
          <w:rStyle w:val="Refdenotaalpie"/>
          <w:rFonts w:ascii="Bookman Old Style" w:hAnsi="Bookman Old Style"/>
          <w:sz w:val="18"/>
          <w:szCs w:val="18"/>
        </w:rPr>
        <w:footnoteRef/>
      </w:r>
      <w:r w:rsidRPr="00A6357B">
        <w:rPr>
          <w:rFonts w:ascii="Bookman Old Style" w:hAnsi="Bookman Old Style"/>
          <w:sz w:val="18"/>
          <w:szCs w:val="18"/>
        </w:rPr>
        <w:t xml:space="preserve"> Por la cual se incorpora en el Régimen de Contabilidad Pública, el marco normativo aplicable para algunas empresas sujetas a su ámbito y se dictan otras disposiciones.</w:t>
      </w:r>
    </w:p>
  </w:footnote>
  <w:footnote w:id="5">
    <w:p w14:paraId="7D0B61C5" w14:textId="77777777" w:rsidR="008953E4" w:rsidRPr="00A6357B" w:rsidRDefault="008953E4" w:rsidP="008953E4">
      <w:pPr>
        <w:pStyle w:val="Textonotapie"/>
        <w:rPr>
          <w:rFonts w:ascii="Bookman Old Style" w:hAnsi="Bookman Old Style"/>
          <w:sz w:val="18"/>
          <w:szCs w:val="18"/>
        </w:rPr>
      </w:pPr>
      <w:r w:rsidRPr="00A6357B">
        <w:rPr>
          <w:rStyle w:val="Refdenotaalpie"/>
          <w:rFonts w:ascii="Bookman Old Style" w:hAnsi="Bookman Old Style"/>
          <w:sz w:val="18"/>
          <w:szCs w:val="18"/>
        </w:rPr>
        <w:footnoteRef/>
      </w:r>
      <w:r w:rsidRPr="00A6357B">
        <w:rPr>
          <w:rFonts w:ascii="Bookman Old Style" w:hAnsi="Bookman Old Style"/>
          <w:sz w:val="18"/>
          <w:szCs w:val="18"/>
        </w:rPr>
        <w:t xml:space="preserve"> Por la cual se incorpora en el Régimen de Contabilidad Pública, el marco normativo aplicable a entidades de gobierno y se dictan otras disposiciones.</w:t>
      </w:r>
    </w:p>
  </w:footnote>
  <w:footnote w:id="6">
    <w:p w14:paraId="38B2AFD0" w14:textId="77777777" w:rsidR="008953E4" w:rsidRPr="00A6357B" w:rsidRDefault="008953E4" w:rsidP="008953E4">
      <w:pPr>
        <w:pStyle w:val="Textonotapie"/>
        <w:rPr>
          <w:rFonts w:ascii="Bookman Old Style" w:hAnsi="Bookman Old Style"/>
          <w:sz w:val="18"/>
          <w:szCs w:val="18"/>
        </w:rPr>
      </w:pPr>
      <w:r w:rsidRPr="00A6357B">
        <w:rPr>
          <w:rStyle w:val="Refdenotaalpie"/>
          <w:rFonts w:ascii="Bookman Old Style" w:hAnsi="Bookman Old Style"/>
          <w:sz w:val="18"/>
          <w:szCs w:val="18"/>
        </w:rPr>
        <w:footnoteRef/>
      </w:r>
      <w:r w:rsidRPr="00A6357B">
        <w:rPr>
          <w:rFonts w:ascii="Bookman Old Style" w:hAnsi="Bookman Old Style"/>
          <w:sz w:val="18"/>
          <w:szCs w:val="18"/>
        </w:rPr>
        <w:t xml:space="preserve"> por la cual se regula el marco normativo para empresas que coticen en el Mercado de Valores o que capten o administren ahorro del público.</w:t>
      </w:r>
    </w:p>
  </w:footnote>
  <w:footnote w:id="7">
    <w:p w14:paraId="2AF065E4" w14:textId="77777777" w:rsidR="003034FD" w:rsidRDefault="003034FD" w:rsidP="003034FD">
      <w:pPr>
        <w:pStyle w:val="Textonotapie"/>
      </w:pPr>
      <w:r>
        <w:rPr>
          <w:rStyle w:val="Refdenotaalpie"/>
        </w:rPr>
        <w:footnoteRef/>
      </w:r>
      <w:r>
        <w:t xml:space="preserve"> </w:t>
      </w:r>
      <w:r w:rsidRPr="00B307DC">
        <w:rPr>
          <w:rFonts w:ascii="Bookman Old Style" w:hAnsi="Bookman Old Style"/>
          <w:sz w:val="18"/>
          <w:szCs w:val="18"/>
        </w:rPr>
        <w:t>Por la cual se regulan algunos aspectos del Sistema Único de Información – SUI</w:t>
      </w:r>
    </w:p>
  </w:footnote>
  <w:footnote w:id="8">
    <w:p w14:paraId="3D37C37F" w14:textId="77777777" w:rsidR="003034FD" w:rsidRPr="00A6357B" w:rsidRDefault="003034FD" w:rsidP="003034FD">
      <w:pPr>
        <w:pStyle w:val="Textonotapie"/>
        <w:rPr>
          <w:sz w:val="18"/>
          <w:szCs w:val="18"/>
        </w:rPr>
      </w:pPr>
      <w:r w:rsidRPr="00A6357B">
        <w:rPr>
          <w:rStyle w:val="Refdenotaalpie"/>
          <w:rFonts w:ascii="Bookman Old Style" w:hAnsi="Bookman Old Style"/>
          <w:sz w:val="18"/>
          <w:szCs w:val="18"/>
        </w:rPr>
        <w:footnoteRef/>
      </w:r>
      <w:r w:rsidRPr="00A6357B">
        <w:rPr>
          <w:rFonts w:ascii="Bookman Old Style" w:hAnsi="Bookman Old Style"/>
          <w:sz w:val="18"/>
          <w:szCs w:val="18"/>
        </w:rPr>
        <w:t xml:space="preserve"> Siglas de la expresión: Extensible Business Reporting Language, desarrollado para simplificar la automatización del intercambio con la estandarización de la información financiera a reportar mediante la definición de taxonomías basadas en XML.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A705F" w14:textId="5008C68A" w:rsidR="00B85DC8" w:rsidRDefault="00B85DC8" w:rsidP="005431B1">
    <w:pPr>
      <w:pStyle w:val="Encabezado"/>
      <w:jc w:val="left"/>
    </w:pPr>
  </w:p>
  <w:p w14:paraId="1665AF80" w14:textId="77777777" w:rsidR="00B85DC8" w:rsidRDefault="00B85DC8" w:rsidP="00B85DC8">
    <w:pPr>
      <w:pStyle w:val="Textoindependiente"/>
      <w:spacing w:after="0" w:line="240" w:lineRule="auto"/>
      <w:jc w:val="left"/>
      <w:rPr>
        <w:rFonts w:ascii="Arial Narrow" w:hAnsi="Arial Narrow" w:cs="Arial"/>
        <w:b/>
      </w:rPr>
    </w:pPr>
  </w:p>
  <w:p w14:paraId="560A83CF" w14:textId="382EC9A7" w:rsidR="00B85DC8" w:rsidRPr="005431B1" w:rsidRDefault="00D75F4B" w:rsidP="00B85DC8">
    <w:pPr>
      <w:pStyle w:val="Textoindependiente"/>
      <w:spacing w:after="0" w:line="240" w:lineRule="auto"/>
      <w:jc w:val="left"/>
      <w:rPr>
        <w:rFonts w:ascii="Arial Narrow" w:hAnsi="Arial Narrow"/>
        <w:lang w:val="es-ES"/>
      </w:rPr>
    </w:pPr>
    <w:r w:rsidRPr="005431B1">
      <w:rPr>
        <w:rFonts w:ascii="Arial Narrow" w:hAnsi="Arial Narrow" w:cs="Arial"/>
        <w:b/>
      </w:rPr>
      <w:t>Documento CREG</w:t>
    </w:r>
    <w:r w:rsidR="00D75AA1">
      <w:rPr>
        <w:rFonts w:ascii="Arial Narrow" w:hAnsi="Arial Narrow" w:cs="Arial"/>
        <w:b/>
      </w:rPr>
      <w:t xml:space="preserve"> N°</w:t>
    </w:r>
    <w:r w:rsidR="00A43221">
      <w:rPr>
        <w:rFonts w:ascii="Arial Narrow" w:hAnsi="Arial Narrow" w:cs="Arial"/>
        <w:b/>
      </w:rPr>
      <w:t xml:space="preserve"> 140</w:t>
    </w:r>
    <w:r w:rsidR="00B85DC8">
      <w:rPr>
        <w:rFonts w:ascii="Arial Narrow" w:hAnsi="Arial Narrow" w:cs="Arial"/>
        <w:b/>
      </w:rPr>
      <w:t xml:space="preserve">.  </w:t>
    </w:r>
    <w:r w:rsidR="00B85DC8" w:rsidRPr="005431B1">
      <w:rPr>
        <w:rFonts w:ascii="Arial Narrow" w:hAnsi="Arial Narrow" w:cs="Arial"/>
        <w:b/>
      </w:rPr>
      <w:t xml:space="preserve">Sesión N° </w:t>
    </w:r>
    <w:r w:rsidR="00446E1E">
      <w:rPr>
        <w:rFonts w:ascii="Arial Narrow" w:hAnsi="Arial Narrow" w:cs="Arial"/>
        <w:b/>
      </w:rPr>
      <w:t>1127</w:t>
    </w:r>
    <w:r w:rsidR="00B85DC8" w:rsidRPr="005431B1">
      <w:rPr>
        <w:rFonts w:ascii="Arial Narrow" w:hAnsi="Arial Narrow" w:cs="Arial"/>
        <w:b/>
      </w:rPr>
      <w:t>-20</w:t>
    </w:r>
    <w:r w:rsidR="00AC29FF">
      <w:rPr>
        <w:rFonts w:ascii="Arial Narrow" w:hAnsi="Arial Narrow" w:cs="Arial"/>
        <w:b/>
      </w:rPr>
      <w:t>21</w:t>
    </w:r>
    <w:r w:rsidR="00B85DC8">
      <w:rPr>
        <w:rFonts w:ascii="Arial Narrow" w:hAnsi="Arial Narrow" w:cs="Arial"/>
        <w:b/>
      </w:rPr>
      <w:t xml:space="preserve">.                                          </w:t>
    </w:r>
    <w:r w:rsidR="00B85DC8">
      <w:rPr>
        <w:rFonts w:ascii="Arial Narrow" w:hAnsi="Arial Narrow" w:cs="Arial"/>
      </w:rPr>
      <w:t xml:space="preserve">     </w:t>
    </w:r>
    <w:r w:rsidR="00B85DC8" w:rsidRPr="005431B1">
      <w:rPr>
        <w:rFonts w:ascii="Arial Narrow" w:hAnsi="Arial Narrow" w:cs="Arial"/>
      </w:rPr>
      <w:tab/>
      <w:t xml:space="preserve">            </w:t>
    </w:r>
    <w:r w:rsidR="00B85DC8">
      <w:rPr>
        <w:rFonts w:ascii="Arial Narrow" w:hAnsi="Arial Narrow" w:cs="Arial"/>
      </w:rPr>
      <w:t xml:space="preserve">                       </w:t>
    </w:r>
    <w:r w:rsidR="00D75AA1">
      <w:rPr>
        <w:rFonts w:ascii="Arial Narrow" w:hAnsi="Arial Narrow" w:cs="Arial"/>
      </w:rPr>
      <w:t xml:space="preserve">      </w:t>
    </w:r>
    <w:r w:rsidR="00B85DC8" w:rsidRPr="005431B1">
      <w:rPr>
        <w:rFonts w:ascii="Arial Narrow" w:hAnsi="Arial Narrow"/>
        <w:lang w:val="es-ES"/>
      </w:rPr>
      <w:t xml:space="preserve">Página    </w:t>
    </w:r>
    <w:r w:rsidR="00B85DC8" w:rsidRPr="005431B1">
      <w:rPr>
        <w:rFonts w:ascii="Arial Narrow" w:hAnsi="Arial Narrow"/>
        <w:lang w:val="es-ES"/>
      </w:rPr>
      <w:fldChar w:fldCharType="begin"/>
    </w:r>
    <w:r w:rsidR="00B85DC8" w:rsidRPr="005431B1">
      <w:rPr>
        <w:rFonts w:ascii="Arial Narrow" w:hAnsi="Arial Narrow"/>
        <w:lang w:val="es-ES"/>
      </w:rPr>
      <w:instrText xml:space="preserve"> PAGE </w:instrText>
    </w:r>
    <w:r w:rsidR="00B85DC8" w:rsidRPr="005431B1">
      <w:rPr>
        <w:rFonts w:ascii="Arial Narrow" w:hAnsi="Arial Narrow"/>
        <w:lang w:val="es-ES"/>
      </w:rPr>
      <w:fldChar w:fldCharType="separate"/>
    </w:r>
    <w:r w:rsidR="00D75AA1">
      <w:rPr>
        <w:rFonts w:ascii="Arial Narrow" w:hAnsi="Arial Narrow"/>
        <w:noProof/>
        <w:lang w:val="es-ES"/>
      </w:rPr>
      <w:t>15</w:t>
    </w:r>
    <w:r w:rsidR="00B85DC8" w:rsidRPr="005431B1">
      <w:rPr>
        <w:rFonts w:ascii="Arial Narrow" w:hAnsi="Arial Narrow"/>
        <w:lang w:val="es-ES"/>
      </w:rPr>
      <w:fldChar w:fldCharType="end"/>
    </w:r>
    <w:r w:rsidR="00B85DC8" w:rsidRPr="005431B1">
      <w:rPr>
        <w:rFonts w:ascii="Arial Narrow" w:hAnsi="Arial Narrow"/>
        <w:lang w:val="es-ES"/>
      </w:rPr>
      <w:t xml:space="preserve"> de  </w:t>
    </w:r>
    <w:r w:rsidR="00B85DC8" w:rsidRPr="005431B1">
      <w:rPr>
        <w:rFonts w:ascii="Arial Narrow" w:hAnsi="Arial Narrow"/>
        <w:lang w:val="es-ES"/>
      </w:rPr>
      <w:fldChar w:fldCharType="begin"/>
    </w:r>
    <w:r w:rsidR="00B85DC8" w:rsidRPr="005431B1">
      <w:rPr>
        <w:rFonts w:ascii="Arial Narrow" w:hAnsi="Arial Narrow"/>
        <w:lang w:val="es-ES"/>
      </w:rPr>
      <w:instrText xml:space="preserve"> NUMPAGES  </w:instrText>
    </w:r>
    <w:r w:rsidR="00B85DC8" w:rsidRPr="005431B1">
      <w:rPr>
        <w:rFonts w:ascii="Arial Narrow" w:hAnsi="Arial Narrow"/>
        <w:lang w:val="es-ES"/>
      </w:rPr>
      <w:fldChar w:fldCharType="separate"/>
    </w:r>
    <w:r w:rsidR="00D75AA1">
      <w:rPr>
        <w:rFonts w:ascii="Arial Narrow" w:hAnsi="Arial Narrow"/>
        <w:noProof/>
        <w:lang w:val="es-ES"/>
      </w:rPr>
      <w:t>51</w:t>
    </w:r>
    <w:r w:rsidR="00B85DC8" w:rsidRPr="005431B1">
      <w:rPr>
        <w:rFonts w:ascii="Arial Narrow" w:hAnsi="Arial Narrow"/>
        <w:lang w:val="es-ES"/>
      </w:rPr>
      <w:fldChar w:fldCharType="end"/>
    </w:r>
  </w:p>
  <w:p w14:paraId="6C6F92E2" w14:textId="4199BD65" w:rsidR="00B85DC8" w:rsidRPr="005431B1" w:rsidRDefault="00B85DC8" w:rsidP="00B85DC8">
    <w:pPr>
      <w:pStyle w:val="Encabezado"/>
    </w:pPr>
    <w:r>
      <w:rPr>
        <w:rFonts w:ascii="Arial Narrow" w:hAnsi="Arial Narrow" w:cs="Arial"/>
      </w:rPr>
      <w:t>Liquidaci</w:t>
    </w:r>
    <w:r w:rsidRPr="00B871D9">
      <w:rPr>
        <w:rFonts w:ascii="Arial Narrow" w:hAnsi="Arial Narrow" w:cs="Arial"/>
      </w:rPr>
      <w:t xml:space="preserve">ón de la contribución que deben pagar las entidades reguladas para </w:t>
    </w:r>
    <w:r w:rsidRPr="005431B1">
      <w:rPr>
        <w:rFonts w:ascii="Arial Narrow" w:hAnsi="Arial Narrow" w:cs="Arial"/>
      </w:rPr>
      <w:t>la vigencia 20</w:t>
    </w:r>
    <w:r w:rsidR="00AC29FF">
      <w:rPr>
        <w:rFonts w:ascii="Arial Narrow" w:hAnsi="Arial Narrow" w:cs="Arial"/>
      </w:rPr>
      <w:t>21</w:t>
    </w:r>
    <w:r w:rsidRPr="005431B1">
      <w:rPr>
        <w:rFonts w:ascii="Arial Narrow" w:hAnsi="Arial Narrow" w:cs="Arial"/>
      </w:rPr>
      <w:t>.</w:t>
    </w:r>
  </w:p>
  <w:p w14:paraId="0F62DD84" w14:textId="77777777" w:rsidR="00B85DC8" w:rsidRDefault="00B85DC8" w:rsidP="00B85DC8">
    <w:pPr>
      <w:pStyle w:val="Encabezado"/>
    </w:pPr>
    <w:r>
      <w:t>_________________________________________________________________________________</w:t>
    </w:r>
  </w:p>
  <w:p w14:paraId="5ED8DCB4" w14:textId="77777777" w:rsidR="00B85DC8" w:rsidRDefault="00B85DC8" w:rsidP="005431B1">
    <w:pPr>
      <w:pStyle w:val="Textoindependiente"/>
      <w:spacing w:after="0" w:line="240" w:lineRule="auto"/>
      <w:jc w:val="left"/>
      <w:rPr>
        <w:rFonts w:ascii="Arial Narrow" w:hAnsi="Arial Narrow" w:cs="Arial"/>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9F290" w14:textId="24DC3D9C" w:rsidR="00B85DC8" w:rsidRDefault="00B85DC8" w:rsidP="005431B1">
    <w:pPr>
      <w:pStyle w:val="Encabezado"/>
      <w:jc w:val="left"/>
    </w:pPr>
  </w:p>
  <w:p w14:paraId="162B40ED" w14:textId="77777777" w:rsidR="00B85DC8" w:rsidRDefault="00B85DC8" w:rsidP="005431B1">
    <w:pPr>
      <w:pStyle w:val="Textoindependiente"/>
      <w:spacing w:after="0" w:line="240" w:lineRule="auto"/>
      <w:jc w:val="left"/>
      <w:rPr>
        <w:rFonts w:ascii="Arial Narrow" w:hAnsi="Arial Narrow" w:cs="Arial"/>
        <w:b/>
      </w:rPr>
    </w:pPr>
  </w:p>
  <w:p w14:paraId="146689EF" w14:textId="593CA5DD" w:rsidR="00B85DC8" w:rsidRPr="005431B1" w:rsidRDefault="00D75F4B" w:rsidP="005431B1">
    <w:pPr>
      <w:pStyle w:val="Textoindependiente"/>
      <w:spacing w:after="0" w:line="240" w:lineRule="auto"/>
      <w:jc w:val="left"/>
      <w:rPr>
        <w:rFonts w:ascii="Arial Narrow" w:hAnsi="Arial Narrow"/>
        <w:lang w:val="es-ES"/>
      </w:rPr>
    </w:pPr>
    <w:r w:rsidRPr="005431B1">
      <w:rPr>
        <w:rFonts w:ascii="Arial Narrow" w:hAnsi="Arial Narrow" w:cs="Arial"/>
        <w:b/>
      </w:rPr>
      <w:t>Documento CREG</w:t>
    </w:r>
    <w:r w:rsidR="00B85DC8" w:rsidRPr="005431B1">
      <w:rPr>
        <w:rFonts w:ascii="Arial Narrow" w:hAnsi="Arial Narrow" w:cs="Arial"/>
        <w:b/>
      </w:rPr>
      <w:t xml:space="preserve"> </w:t>
    </w:r>
    <w:r w:rsidR="00D75AA1">
      <w:rPr>
        <w:rFonts w:ascii="Arial Narrow" w:hAnsi="Arial Narrow" w:cs="Arial"/>
        <w:b/>
      </w:rPr>
      <w:t>N</w:t>
    </w:r>
    <w:r w:rsidR="00D75AA1" w:rsidRPr="00270F2F">
      <w:rPr>
        <w:rFonts w:ascii="Arial Narrow" w:hAnsi="Arial Narrow" w:cs="Arial"/>
        <w:b/>
      </w:rPr>
      <w:t xml:space="preserve">° </w:t>
    </w:r>
    <w:r w:rsidR="00446E1E">
      <w:rPr>
        <w:rFonts w:ascii="Arial Narrow" w:hAnsi="Arial Narrow" w:cs="Arial"/>
        <w:b/>
      </w:rPr>
      <w:t>140</w:t>
    </w:r>
    <w:r w:rsidR="00B85DC8">
      <w:rPr>
        <w:rFonts w:ascii="Arial Narrow" w:hAnsi="Arial Narrow" w:cs="Arial"/>
        <w:b/>
      </w:rPr>
      <w:t xml:space="preserve">.  </w:t>
    </w:r>
    <w:r w:rsidR="00B85DC8" w:rsidRPr="005431B1">
      <w:rPr>
        <w:rFonts w:ascii="Arial Narrow" w:hAnsi="Arial Narrow" w:cs="Arial"/>
        <w:b/>
      </w:rPr>
      <w:t xml:space="preserve">Sesión N° </w:t>
    </w:r>
    <w:r w:rsidR="00217058">
      <w:rPr>
        <w:rFonts w:ascii="Arial Narrow" w:hAnsi="Arial Narrow" w:cs="Arial"/>
        <w:b/>
      </w:rPr>
      <w:t>1</w:t>
    </w:r>
    <w:r w:rsidR="00446E1E">
      <w:rPr>
        <w:rFonts w:ascii="Arial Narrow" w:hAnsi="Arial Narrow" w:cs="Arial"/>
        <w:b/>
      </w:rPr>
      <w:t>127</w:t>
    </w:r>
    <w:r w:rsidR="00B85DC8" w:rsidRPr="005431B1">
      <w:rPr>
        <w:rFonts w:ascii="Arial Narrow" w:hAnsi="Arial Narrow" w:cs="Arial"/>
        <w:b/>
      </w:rPr>
      <w:t>-20</w:t>
    </w:r>
    <w:r w:rsidR="007C6CCA">
      <w:rPr>
        <w:rFonts w:ascii="Arial Narrow" w:hAnsi="Arial Narrow" w:cs="Arial"/>
        <w:b/>
      </w:rPr>
      <w:t>21</w:t>
    </w:r>
    <w:r w:rsidR="00B85DC8">
      <w:rPr>
        <w:rFonts w:ascii="Arial Narrow" w:hAnsi="Arial Narrow" w:cs="Arial"/>
        <w:b/>
      </w:rPr>
      <w:t xml:space="preserve">.                                          </w:t>
    </w:r>
    <w:r w:rsidR="00B85DC8">
      <w:rPr>
        <w:rFonts w:ascii="Arial Narrow" w:hAnsi="Arial Narrow" w:cs="Arial"/>
      </w:rPr>
      <w:t xml:space="preserve">     </w:t>
    </w:r>
    <w:r w:rsidR="00B85DC8" w:rsidRPr="005431B1">
      <w:rPr>
        <w:rFonts w:ascii="Arial Narrow" w:hAnsi="Arial Narrow" w:cs="Arial"/>
      </w:rPr>
      <w:tab/>
      <w:t xml:space="preserve">            </w:t>
    </w:r>
    <w:r w:rsidR="00B85DC8">
      <w:rPr>
        <w:rFonts w:ascii="Arial Narrow" w:hAnsi="Arial Narrow" w:cs="Arial"/>
      </w:rPr>
      <w:t xml:space="preserve">                      </w:t>
    </w:r>
    <w:r w:rsidR="00D75AA1">
      <w:rPr>
        <w:rFonts w:ascii="Arial Narrow" w:hAnsi="Arial Narrow" w:cs="Arial"/>
      </w:rPr>
      <w:t xml:space="preserve">      </w:t>
    </w:r>
    <w:r w:rsidR="00B85DC8">
      <w:rPr>
        <w:rFonts w:ascii="Arial Narrow" w:hAnsi="Arial Narrow" w:cs="Arial"/>
      </w:rPr>
      <w:t xml:space="preserve"> </w:t>
    </w:r>
    <w:r w:rsidR="00D75AA1">
      <w:rPr>
        <w:rFonts w:ascii="Arial Narrow" w:hAnsi="Arial Narrow" w:cs="Arial"/>
      </w:rPr>
      <w:t xml:space="preserve">  </w:t>
    </w:r>
    <w:r w:rsidR="00B85DC8" w:rsidRPr="005431B1">
      <w:rPr>
        <w:rFonts w:ascii="Arial Narrow" w:hAnsi="Arial Narrow"/>
        <w:lang w:val="es-ES"/>
      </w:rPr>
      <w:t xml:space="preserve">Página    </w:t>
    </w:r>
    <w:r w:rsidR="00B85DC8" w:rsidRPr="005431B1">
      <w:rPr>
        <w:rFonts w:ascii="Arial Narrow" w:hAnsi="Arial Narrow"/>
        <w:lang w:val="es-ES"/>
      </w:rPr>
      <w:fldChar w:fldCharType="begin"/>
    </w:r>
    <w:r w:rsidR="00B85DC8" w:rsidRPr="005431B1">
      <w:rPr>
        <w:rFonts w:ascii="Arial Narrow" w:hAnsi="Arial Narrow"/>
        <w:lang w:val="es-ES"/>
      </w:rPr>
      <w:instrText xml:space="preserve"> PAGE </w:instrText>
    </w:r>
    <w:r w:rsidR="00B85DC8" w:rsidRPr="005431B1">
      <w:rPr>
        <w:rFonts w:ascii="Arial Narrow" w:hAnsi="Arial Narrow"/>
        <w:lang w:val="es-ES"/>
      </w:rPr>
      <w:fldChar w:fldCharType="separate"/>
    </w:r>
    <w:r w:rsidR="00D75AA1">
      <w:rPr>
        <w:rFonts w:ascii="Arial Narrow" w:hAnsi="Arial Narrow"/>
        <w:noProof/>
        <w:lang w:val="es-ES"/>
      </w:rPr>
      <w:t>3</w:t>
    </w:r>
    <w:r w:rsidR="00B85DC8" w:rsidRPr="005431B1">
      <w:rPr>
        <w:rFonts w:ascii="Arial Narrow" w:hAnsi="Arial Narrow"/>
        <w:lang w:val="es-ES"/>
      </w:rPr>
      <w:fldChar w:fldCharType="end"/>
    </w:r>
    <w:r w:rsidR="00B85DC8" w:rsidRPr="005431B1">
      <w:rPr>
        <w:rFonts w:ascii="Arial Narrow" w:hAnsi="Arial Narrow"/>
        <w:lang w:val="es-ES"/>
      </w:rPr>
      <w:t xml:space="preserve"> de  </w:t>
    </w:r>
    <w:r w:rsidR="00B85DC8" w:rsidRPr="005431B1">
      <w:rPr>
        <w:rFonts w:ascii="Arial Narrow" w:hAnsi="Arial Narrow"/>
        <w:lang w:val="es-ES"/>
      </w:rPr>
      <w:fldChar w:fldCharType="begin"/>
    </w:r>
    <w:r w:rsidR="00B85DC8" w:rsidRPr="005431B1">
      <w:rPr>
        <w:rFonts w:ascii="Arial Narrow" w:hAnsi="Arial Narrow"/>
        <w:lang w:val="es-ES"/>
      </w:rPr>
      <w:instrText xml:space="preserve"> NUMPAGES  </w:instrText>
    </w:r>
    <w:r w:rsidR="00B85DC8" w:rsidRPr="005431B1">
      <w:rPr>
        <w:rFonts w:ascii="Arial Narrow" w:hAnsi="Arial Narrow"/>
        <w:lang w:val="es-ES"/>
      </w:rPr>
      <w:fldChar w:fldCharType="separate"/>
    </w:r>
    <w:r w:rsidR="00D75AA1">
      <w:rPr>
        <w:rFonts w:ascii="Arial Narrow" w:hAnsi="Arial Narrow"/>
        <w:noProof/>
        <w:lang w:val="es-ES"/>
      </w:rPr>
      <w:t>51</w:t>
    </w:r>
    <w:r w:rsidR="00B85DC8" w:rsidRPr="005431B1">
      <w:rPr>
        <w:rFonts w:ascii="Arial Narrow" w:hAnsi="Arial Narrow"/>
        <w:lang w:val="es-ES"/>
      </w:rPr>
      <w:fldChar w:fldCharType="end"/>
    </w:r>
  </w:p>
  <w:p w14:paraId="3CC65464" w14:textId="340263D3" w:rsidR="00B85DC8" w:rsidRPr="005431B1" w:rsidRDefault="00B85DC8" w:rsidP="005431B1">
    <w:pPr>
      <w:pStyle w:val="Encabezado"/>
    </w:pPr>
    <w:r>
      <w:rPr>
        <w:rFonts w:ascii="Arial Narrow" w:hAnsi="Arial Narrow" w:cs="Arial"/>
      </w:rPr>
      <w:t>Liquidaci</w:t>
    </w:r>
    <w:r w:rsidRPr="00270F2F">
      <w:rPr>
        <w:rFonts w:ascii="Arial Narrow" w:hAnsi="Arial Narrow" w:cs="Arial"/>
      </w:rPr>
      <w:t xml:space="preserve">ón de la contribución que deben pagar las entidades reguladas para </w:t>
    </w:r>
    <w:r w:rsidRPr="005431B1">
      <w:rPr>
        <w:rFonts w:ascii="Arial Narrow" w:hAnsi="Arial Narrow" w:cs="Arial"/>
      </w:rPr>
      <w:t>la vigencia 20</w:t>
    </w:r>
    <w:r w:rsidR="007C6CCA">
      <w:rPr>
        <w:rFonts w:ascii="Arial Narrow" w:hAnsi="Arial Narrow" w:cs="Arial"/>
      </w:rPr>
      <w:t>21</w:t>
    </w:r>
    <w:r w:rsidRPr="005431B1">
      <w:rPr>
        <w:rFonts w:ascii="Arial Narrow" w:hAnsi="Arial Narrow" w:cs="Arial"/>
      </w:rPr>
      <w:t>.</w:t>
    </w:r>
  </w:p>
  <w:p w14:paraId="1FA04D82" w14:textId="77777777" w:rsidR="00B85DC8" w:rsidRDefault="00B85DC8">
    <w:pPr>
      <w:pStyle w:val="Encabezado"/>
    </w:pPr>
    <w:r>
      <w:t>_________________________________________________________________________________</w:t>
    </w:r>
  </w:p>
  <w:p w14:paraId="63CA2B26" w14:textId="77777777" w:rsidR="00B85DC8" w:rsidRDefault="00B85DC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F3012F0"/>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57E0BB9E"/>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22100870"/>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EBA6CCF6"/>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70EECB80"/>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65AFDF8"/>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952FC7C"/>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6EE94B6"/>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828A6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6CF4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C152C1"/>
    <w:multiLevelType w:val="hybridMultilevel"/>
    <w:tmpl w:val="B91281B4"/>
    <w:lvl w:ilvl="0" w:tplc="0C0A0001">
      <w:start w:val="1"/>
      <w:numFmt w:val="bullet"/>
      <w:lvlText w:val=""/>
      <w:lvlJc w:val="left"/>
      <w:pPr>
        <w:ind w:left="2084" w:hanging="360"/>
      </w:pPr>
      <w:rPr>
        <w:rFonts w:ascii="Symbol" w:hAnsi="Symbol" w:hint="default"/>
      </w:rPr>
    </w:lvl>
    <w:lvl w:ilvl="1" w:tplc="0C0A0003" w:tentative="1">
      <w:start w:val="1"/>
      <w:numFmt w:val="bullet"/>
      <w:lvlText w:val="o"/>
      <w:lvlJc w:val="left"/>
      <w:pPr>
        <w:ind w:left="2804" w:hanging="360"/>
      </w:pPr>
      <w:rPr>
        <w:rFonts w:ascii="Courier New" w:hAnsi="Courier New" w:cs="Courier New" w:hint="default"/>
      </w:rPr>
    </w:lvl>
    <w:lvl w:ilvl="2" w:tplc="0C0A0005" w:tentative="1">
      <w:start w:val="1"/>
      <w:numFmt w:val="bullet"/>
      <w:lvlText w:val=""/>
      <w:lvlJc w:val="left"/>
      <w:pPr>
        <w:ind w:left="3524" w:hanging="360"/>
      </w:pPr>
      <w:rPr>
        <w:rFonts w:ascii="Wingdings" w:hAnsi="Wingdings" w:hint="default"/>
      </w:rPr>
    </w:lvl>
    <w:lvl w:ilvl="3" w:tplc="0C0A0001" w:tentative="1">
      <w:start w:val="1"/>
      <w:numFmt w:val="bullet"/>
      <w:lvlText w:val=""/>
      <w:lvlJc w:val="left"/>
      <w:pPr>
        <w:ind w:left="4244" w:hanging="360"/>
      </w:pPr>
      <w:rPr>
        <w:rFonts w:ascii="Symbol" w:hAnsi="Symbol" w:hint="default"/>
      </w:rPr>
    </w:lvl>
    <w:lvl w:ilvl="4" w:tplc="0C0A0003" w:tentative="1">
      <w:start w:val="1"/>
      <w:numFmt w:val="bullet"/>
      <w:lvlText w:val="o"/>
      <w:lvlJc w:val="left"/>
      <w:pPr>
        <w:ind w:left="4964" w:hanging="360"/>
      </w:pPr>
      <w:rPr>
        <w:rFonts w:ascii="Courier New" w:hAnsi="Courier New" w:cs="Courier New" w:hint="default"/>
      </w:rPr>
    </w:lvl>
    <w:lvl w:ilvl="5" w:tplc="0C0A0005" w:tentative="1">
      <w:start w:val="1"/>
      <w:numFmt w:val="bullet"/>
      <w:lvlText w:val=""/>
      <w:lvlJc w:val="left"/>
      <w:pPr>
        <w:ind w:left="5684" w:hanging="360"/>
      </w:pPr>
      <w:rPr>
        <w:rFonts w:ascii="Wingdings" w:hAnsi="Wingdings" w:hint="default"/>
      </w:rPr>
    </w:lvl>
    <w:lvl w:ilvl="6" w:tplc="0C0A0001" w:tentative="1">
      <w:start w:val="1"/>
      <w:numFmt w:val="bullet"/>
      <w:lvlText w:val=""/>
      <w:lvlJc w:val="left"/>
      <w:pPr>
        <w:ind w:left="6404" w:hanging="360"/>
      </w:pPr>
      <w:rPr>
        <w:rFonts w:ascii="Symbol" w:hAnsi="Symbol" w:hint="default"/>
      </w:rPr>
    </w:lvl>
    <w:lvl w:ilvl="7" w:tplc="0C0A0003" w:tentative="1">
      <w:start w:val="1"/>
      <w:numFmt w:val="bullet"/>
      <w:lvlText w:val="o"/>
      <w:lvlJc w:val="left"/>
      <w:pPr>
        <w:ind w:left="7124" w:hanging="360"/>
      </w:pPr>
      <w:rPr>
        <w:rFonts w:ascii="Courier New" w:hAnsi="Courier New" w:cs="Courier New" w:hint="default"/>
      </w:rPr>
    </w:lvl>
    <w:lvl w:ilvl="8" w:tplc="0C0A0005" w:tentative="1">
      <w:start w:val="1"/>
      <w:numFmt w:val="bullet"/>
      <w:lvlText w:val=""/>
      <w:lvlJc w:val="left"/>
      <w:pPr>
        <w:ind w:left="7844" w:hanging="360"/>
      </w:pPr>
      <w:rPr>
        <w:rFonts w:ascii="Wingdings" w:hAnsi="Wingdings" w:hint="default"/>
      </w:rPr>
    </w:lvl>
  </w:abstractNum>
  <w:abstractNum w:abstractNumId="11" w15:restartNumberingAfterBreak="0">
    <w:nsid w:val="09577636"/>
    <w:multiLevelType w:val="multilevel"/>
    <w:tmpl w:val="534AD7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0B71235B"/>
    <w:multiLevelType w:val="hybridMultilevel"/>
    <w:tmpl w:val="3AC2A82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14217300"/>
    <w:multiLevelType w:val="hybridMultilevel"/>
    <w:tmpl w:val="0A54803E"/>
    <w:lvl w:ilvl="0" w:tplc="435EDE02">
      <w:start w:val="2"/>
      <w:numFmt w:val="decimal"/>
      <w:lvlText w:val="%1."/>
      <w:lvlJc w:val="left"/>
      <w:pPr>
        <w:tabs>
          <w:tab w:val="num" w:pos="2487"/>
        </w:tabs>
        <w:ind w:left="2487" w:hanging="360"/>
      </w:pPr>
    </w:lvl>
    <w:lvl w:ilvl="1" w:tplc="87CC477C" w:tentative="1">
      <w:start w:val="1"/>
      <w:numFmt w:val="decimal"/>
      <w:lvlText w:val="%2."/>
      <w:lvlJc w:val="left"/>
      <w:pPr>
        <w:tabs>
          <w:tab w:val="num" w:pos="3207"/>
        </w:tabs>
        <w:ind w:left="3207" w:hanging="360"/>
      </w:pPr>
    </w:lvl>
    <w:lvl w:ilvl="2" w:tplc="C9C8A3FC" w:tentative="1">
      <w:start w:val="1"/>
      <w:numFmt w:val="decimal"/>
      <w:lvlText w:val="%3."/>
      <w:lvlJc w:val="left"/>
      <w:pPr>
        <w:tabs>
          <w:tab w:val="num" w:pos="3927"/>
        </w:tabs>
        <w:ind w:left="3927" w:hanging="360"/>
      </w:pPr>
    </w:lvl>
    <w:lvl w:ilvl="3" w:tplc="AC2A7CD2" w:tentative="1">
      <w:start w:val="1"/>
      <w:numFmt w:val="decimal"/>
      <w:lvlText w:val="%4."/>
      <w:lvlJc w:val="left"/>
      <w:pPr>
        <w:tabs>
          <w:tab w:val="num" w:pos="4647"/>
        </w:tabs>
        <w:ind w:left="4647" w:hanging="360"/>
      </w:pPr>
    </w:lvl>
    <w:lvl w:ilvl="4" w:tplc="116E0896" w:tentative="1">
      <w:start w:val="1"/>
      <w:numFmt w:val="decimal"/>
      <w:lvlText w:val="%5."/>
      <w:lvlJc w:val="left"/>
      <w:pPr>
        <w:tabs>
          <w:tab w:val="num" w:pos="5367"/>
        </w:tabs>
        <w:ind w:left="5367" w:hanging="360"/>
      </w:pPr>
    </w:lvl>
    <w:lvl w:ilvl="5" w:tplc="BE2C3BD4" w:tentative="1">
      <w:start w:val="1"/>
      <w:numFmt w:val="decimal"/>
      <w:lvlText w:val="%6."/>
      <w:lvlJc w:val="left"/>
      <w:pPr>
        <w:tabs>
          <w:tab w:val="num" w:pos="6087"/>
        </w:tabs>
        <w:ind w:left="6087" w:hanging="360"/>
      </w:pPr>
    </w:lvl>
    <w:lvl w:ilvl="6" w:tplc="BFC6A0A2" w:tentative="1">
      <w:start w:val="1"/>
      <w:numFmt w:val="decimal"/>
      <w:lvlText w:val="%7."/>
      <w:lvlJc w:val="left"/>
      <w:pPr>
        <w:tabs>
          <w:tab w:val="num" w:pos="6807"/>
        </w:tabs>
        <w:ind w:left="6807" w:hanging="360"/>
      </w:pPr>
    </w:lvl>
    <w:lvl w:ilvl="7" w:tplc="05A284A4" w:tentative="1">
      <w:start w:val="1"/>
      <w:numFmt w:val="decimal"/>
      <w:lvlText w:val="%8."/>
      <w:lvlJc w:val="left"/>
      <w:pPr>
        <w:tabs>
          <w:tab w:val="num" w:pos="7527"/>
        </w:tabs>
        <w:ind w:left="7527" w:hanging="360"/>
      </w:pPr>
    </w:lvl>
    <w:lvl w:ilvl="8" w:tplc="15A0DE0E" w:tentative="1">
      <w:start w:val="1"/>
      <w:numFmt w:val="decimal"/>
      <w:lvlText w:val="%9."/>
      <w:lvlJc w:val="left"/>
      <w:pPr>
        <w:tabs>
          <w:tab w:val="num" w:pos="8247"/>
        </w:tabs>
        <w:ind w:left="8247" w:hanging="360"/>
      </w:pPr>
    </w:lvl>
  </w:abstractNum>
  <w:abstractNum w:abstractNumId="14" w15:restartNumberingAfterBreak="0">
    <w:nsid w:val="1F042361"/>
    <w:multiLevelType w:val="hybridMultilevel"/>
    <w:tmpl w:val="D816620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5C81176"/>
    <w:multiLevelType w:val="hybridMultilevel"/>
    <w:tmpl w:val="D816620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88C3E9E"/>
    <w:multiLevelType w:val="singleLevel"/>
    <w:tmpl w:val="37E252A4"/>
    <w:lvl w:ilvl="0">
      <w:start w:val="1"/>
      <w:numFmt w:val="bullet"/>
      <w:pStyle w:val="Listaconvietas"/>
      <w:lvlText w:val=""/>
      <w:lvlJc w:val="left"/>
      <w:pPr>
        <w:tabs>
          <w:tab w:val="num" w:pos="360"/>
        </w:tabs>
        <w:ind w:left="360" w:hanging="360"/>
      </w:pPr>
      <w:rPr>
        <w:rFonts w:ascii="Wingdings" w:hAnsi="Wingdings" w:hint="default"/>
      </w:rPr>
    </w:lvl>
  </w:abstractNum>
  <w:abstractNum w:abstractNumId="17" w15:restartNumberingAfterBreak="0">
    <w:nsid w:val="2A287590"/>
    <w:multiLevelType w:val="hybridMultilevel"/>
    <w:tmpl w:val="6D6EA4AC"/>
    <w:lvl w:ilvl="0" w:tplc="49BE4CE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2BD07B74"/>
    <w:multiLevelType w:val="hybridMultilevel"/>
    <w:tmpl w:val="D31454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2DD45AAF"/>
    <w:multiLevelType w:val="hybridMultilevel"/>
    <w:tmpl w:val="D816620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0E75115"/>
    <w:multiLevelType w:val="multilevel"/>
    <w:tmpl w:val="534AD7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2A35006"/>
    <w:multiLevelType w:val="hybridMultilevel"/>
    <w:tmpl w:val="18EC868C"/>
    <w:lvl w:ilvl="0" w:tplc="61489ACC">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3DF1EAD"/>
    <w:multiLevelType w:val="multilevel"/>
    <w:tmpl w:val="DF1276E2"/>
    <w:lvl w:ilvl="0">
      <w:start w:val="1"/>
      <w:numFmt w:val="decimal"/>
      <w:lvlText w:val="%1."/>
      <w:lvlJc w:val="left"/>
      <w:pPr>
        <w:ind w:left="2629" w:hanging="360"/>
      </w:pPr>
      <w:rPr>
        <w:rFonts w:hint="default"/>
      </w:rPr>
    </w:lvl>
    <w:lvl w:ilvl="1">
      <w:start w:val="1"/>
      <w:numFmt w:val="decimal"/>
      <w:isLgl/>
      <w:lvlText w:val="%1.%2."/>
      <w:lvlJc w:val="left"/>
      <w:pPr>
        <w:ind w:left="2989" w:hanging="720"/>
      </w:pPr>
      <w:rPr>
        <w:rFonts w:hint="default"/>
      </w:rPr>
    </w:lvl>
    <w:lvl w:ilvl="2">
      <w:start w:val="1"/>
      <w:numFmt w:val="decimal"/>
      <w:isLgl/>
      <w:lvlText w:val="%1.%2.%3."/>
      <w:lvlJc w:val="left"/>
      <w:pPr>
        <w:ind w:left="2989" w:hanging="720"/>
      </w:pPr>
      <w:rPr>
        <w:rFonts w:hint="default"/>
      </w:rPr>
    </w:lvl>
    <w:lvl w:ilvl="3">
      <w:start w:val="1"/>
      <w:numFmt w:val="decimal"/>
      <w:isLgl/>
      <w:lvlText w:val="%1.%2.%3.%4."/>
      <w:lvlJc w:val="left"/>
      <w:pPr>
        <w:ind w:left="3349" w:hanging="1080"/>
      </w:pPr>
      <w:rPr>
        <w:rFonts w:hint="default"/>
      </w:rPr>
    </w:lvl>
    <w:lvl w:ilvl="4">
      <w:start w:val="1"/>
      <w:numFmt w:val="decimal"/>
      <w:isLgl/>
      <w:lvlText w:val="%1.%2.%3.%4.%5."/>
      <w:lvlJc w:val="left"/>
      <w:pPr>
        <w:ind w:left="3349" w:hanging="1080"/>
      </w:pPr>
      <w:rPr>
        <w:rFonts w:hint="default"/>
      </w:rPr>
    </w:lvl>
    <w:lvl w:ilvl="5">
      <w:start w:val="1"/>
      <w:numFmt w:val="decimal"/>
      <w:isLgl/>
      <w:lvlText w:val="%1.%2.%3.%4.%5.%6."/>
      <w:lvlJc w:val="left"/>
      <w:pPr>
        <w:ind w:left="3709" w:hanging="1440"/>
      </w:pPr>
      <w:rPr>
        <w:rFonts w:hint="default"/>
      </w:rPr>
    </w:lvl>
    <w:lvl w:ilvl="6">
      <w:start w:val="1"/>
      <w:numFmt w:val="decimal"/>
      <w:isLgl/>
      <w:lvlText w:val="%1.%2.%3.%4.%5.%6.%7."/>
      <w:lvlJc w:val="left"/>
      <w:pPr>
        <w:ind w:left="3709" w:hanging="1440"/>
      </w:pPr>
      <w:rPr>
        <w:rFonts w:hint="default"/>
      </w:rPr>
    </w:lvl>
    <w:lvl w:ilvl="7">
      <w:start w:val="1"/>
      <w:numFmt w:val="decimal"/>
      <w:isLgl/>
      <w:lvlText w:val="%1.%2.%3.%4.%5.%6.%7.%8."/>
      <w:lvlJc w:val="left"/>
      <w:pPr>
        <w:ind w:left="4069" w:hanging="1800"/>
      </w:pPr>
      <w:rPr>
        <w:rFonts w:hint="default"/>
      </w:rPr>
    </w:lvl>
    <w:lvl w:ilvl="8">
      <w:start w:val="1"/>
      <w:numFmt w:val="decimal"/>
      <w:isLgl/>
      <w:lvlText w:val="%1.%2.%3.%4.%5.%6.%7.%8.%9."/>
      <w:lvlJc w:val="left"/>
      <w:pPr>
        <w:ind w:left="4429" w:hanging="2160"/>
      </w:pPr>
      <w:rPr>
        <w:rFonts w:hint="default"/>
      </w:rPr>
    </w:lvl>
  </w:abstractNum>
  <w:abstractNum w:abstractNumId="23" w15:restartNumberingAfterBreak="0">
    <w:nsid w:val="33EE635C"/>
    <w:multiLevelType w:val="hybridMultilevel"/>
    <w:tmpl w:val="35A680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9564FDF"/>
    <w:multiLevelType w:val="hybridMultilevel"/>
    <w:tmpl w:val="D816620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3D4E0BE6"/>
    <w:multiLevelType w:val="hybridMultilevel"/>
    <w:tmpl w:val="635E88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3DE42315"/>
    <w:multiLevelType w:val="hybridMultilevel"/>
    <w:tmpl w:val="39C49610"/>
    <w:lvl w:ilvl="0" w:tplc="240A0001">
      <w:start w:val="1"/>
      <w:numFmt w:val="bullet"/>
      <w:lvlText w:val=""/>
      <w:lvlJc w:val="left"/>
      <w:pPr>
        <w:ind w:left="1713" w:hanging="360"/>
      </w:pPr>
      <w:rPr>
        <w:rFonts w:ascii="Symbol" w:hAnsi="Symbol" w:hint="default"/>
      </w:rPr>
    </w:lvl>
    <w:lvl w:ilvl="1" w:tplc="240A0003" w:tentative="1">
      <w:start w:val="1"/>
      <w:numFmt w:val="bullet"/>
      <w:lvlText w:val="o"/>
      <w:lvlJc w:val="left"/>
      <w:pPr>
        <w:ind w:left="2433" w:hanging="360"/>
      </w:pPr>
      <w:rPr>
        <w:rFonts w:ascii="Courier New" w:hAnsi="Courier New" w:cs="Courier New" w:hint="default"/>
      </w:rPr>
    </w:lvl>
    <w:lvl w:ilvl="2" w:tplc="240A0005" w:tentative="1">
      <w:start w:val="1"/>
      <w:numFmt w:val="bullet"/>
      <w:lvlText w:val=""/>
      <w:lvlJc w:val="left"/>
      <w:pPr>
        <w:ind w:left="3153" w:hanging="360"/>
      </w:pPr>
      <w:rPr>
        <w:rFonts w:ascii="Wingdings" w:hAnsi="Wingdings" w:hint="default"/>
      </w:rPr>
    </w:lvl>
    <w:lvl w:ilvl="3" w:tplc="240A0001" w:tentative="1">
      <w:start w:val="1"/>
      <w:numFmt w:val="bullet"/>
      <w:lvlText w:val=""/>
      <w:lvlJc w:val="left"/>
      <w:pPr>
        <w:ind w:left="3873" w:hanging="360"/>
      </w:pPr>
      <w:rPr>
        <w:rFonts w:ascii="Symbol" w:hAnsi="Symbol" w:hint="default"/>
      </w:rPr>
    </w:lvl>
    <w:lvl w:ilvl="4" w:tplc="240A0003" w:tentative="1">
      <w:start w:val="1"/>
      <w:numFmt w:val="bullet"/>
      <w:lvlText w:val="o"/>
      <w:lvlJc w:val="left"/>
      <w:pPr>
        <w:ind w:left="4593" w:hanging="360"/>
      </w:pPr>
      <w:rPr>
        <w:rFonts w:ascii="Courier New" w:hAnsi="Courier New" w:cs="Courier New" w:hint="default"/>
      </w:rPr>
    </w:lvl>
    <w:lvl w:ilvl="5" w:tplc="240A0005" w:tentative="1">
      <w:start w:val="1"/>
      <w:numFmt w:val="bullet"/>
      <w:lvlText w:val=""/>
      <w:lvlJc w:val="left"/>
      <w:pPr>
        <w:ind w:left="5313" w:hanging="360"/>
      </w:pPr>
      <w:rPr>
        <w:rFonts w:ascii="Wingdings" w:hAnsi="Wingdings" w:hint="default"/>
      </w:rPr>
    </w:lvl>
    <w:lvl w:ilvl="6" w:tplc="240A0001" w:tentative="1">
      <w:start w:val="1"/>
      <w:numFmt w:val="bullet"/>
      <w:lvlText w:val=""/>
      <w:lvlJc w:val="left"/>
      <w:pPr>
        <w:ind w:left="6033" w:hanging="360"/>
      </w:pPr>
      <w:rPr>
        <w:rFonts w:ascii="Symbol" w:hAnsi="Symbol" w:hint="default"/>
      </w:rPr>
    </w:lvl>
    <w:lvl w:ilvl="7" w:tplc="240A0003" w:tentative="1">
      <w:start w:val="1"/>
      <w:numFmt w:val="bullet"/>
      <w:lvlText w:val="o"/>
      <w:lvlJc w:val="left"/>
      <w:pPr>
        <w:ind w:left="6753" w:hanging="360"/>
      </w:pPr>
      <w:rPr>
        <w:rFonts w:ascii="Courier New" w:hAnsi="Courier New" w:cs="Courier New" w:hint="default"/>
      </w:rPr>
    </w:lvl>
    <w:lvl w:ilvl="8" w:tplc="240A0005" w:tentative="1">
      <w:start w:val="1"/>
      <w:numFmt w:val="bullet"/>
      <w:lvlText w:val=""/>
      <w:lvlJc w:val="left"/>
      <w:pPr>
        <w:ind w:left="7473" w:hanging="360"/>
      </w:pPr>
      <w:rPr>
        <w:rFonts w:ascii="Wingdings" w:hAnsi="Wingdings" w:hint="default"/>
      </w:rPr>
    </w:lvl>
  </w:abstractNum>
  <w:abstractNum w:abstractNumId="27" w15:restartNumberingAfterBreak="0">
    <w:nsid w:val="3F0563DC"/>
    <w:multiLevelType w:val="hybridMultilevel"/>
    <w:tmpl w:val="D816620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7F84B46"/>
    <w:multiLevelType w:val="hybridMultilevel"/>
    <w:tmpl w:val="CF767FC8"/>
    <w:lvl w:ilvl="0" w:tplc="0C4C0A2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4BF83AC3"/>
    <w:multiLevelType w:val="hybridMultilevel"/>
    <w:tmpl w:val="D816620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26818F4"/>
    <w:multiLevelType w:val="multilevel"/>
    <w:tmpl w:val="DF1276E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1" w15:restartNumberingAfterBreak="0">
    <w:nsid w:val="54934EBD"/>
    <w:multiLevelType w:val="multilevel"/>
    <w:tmpl w:val="534AD7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7AE0222"/>
    <w:multiLevelType w:val="hybridMultilevel"/>
    <w:tmpl w:val="D816620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5D4E5210"/>
    <w:multiLevelType w:val="hybridMultilevel"/>
    <w:tmpl w:val="F2C051A6"/>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4" w15:restartNumberingAfterBreak="0">
    <w:nsid w:val="5D78165D"/>
    <w:multiLevelType w:val="hybridMultilevel"/>
    <w:tmpl w:val="BE287A62"/>
    <w:lvl w:ilvl="0" w:tplc="FA0AF2B6">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5EE26072"/>
    <w:multiLevelType w:val="hybridMultilevel"/>
    <w:tmpl w:val="D816620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5F480C15"/>
    <w:multiLevelType w:val="hybridMultilevel"/>
    <w:tmpl w:val="C3D20C28"/>
    <w:lvl w:ilvl="0" w:tplc="644E7BAA">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61177BC4"/>
    <w:multiLevelType w:val="multilevel"/>
    <w:tmpl w:val="534AD7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3E04DE6"/>
    <w:multiLevelType w:val="hybridMultilevel"/>
    <w:tmpl w:val="9154B2A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648B0129"/>
    <w:multiLevelType w:val="hybridMultilevel"/>
    <w:tmpl w:val="08643094"/>
    <w:lvl w:ilvl="0" w:tplc="FD22CA9A">
      <w:numFmt w:val="bullet"/>
      <w:lvlText w:val="-"/>
      <w:lvlJc w:val="left"/>
      <w:pPr>
        <w:ind w:left="1080" w:hanging="360"/>
      </w:pPr>
      <w:rPr>
        <w:rFonts w:ascii="Arial" w:eastAsia="Calibri"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0" w15:restartNumberingAfterBreak="0">
    <w:nsid w:val="66230FF8"/>
    <w:multiLevelType w:val="singleLevel"/>
    <w:tmpl w:val="CA8A963A"/>
    <w:lvl w:ilvl="0">
      <w:start w:val="1"/>
      <w:numFmt w:val="decimal"/>
      <w:pStyle w:val="Listaconnmeros"/>
      <w:lvlText w:val="%1)"/>
      <w:lvlJc w:val="left"/>
      <w:pPr>
        <w:tabs>
          <w:tab w:val="num" w:pos="360"/>
        </w:tabs>
        <w:ind w:left="360" w:hanging="360"/>
      </w:pPr>
    </w:lvl>
  </w:abstractNum>
  <w:abstractNum w:abstractNumId="41" w15:restartNumberingAfterBreak="0">
    <w:nsid w:val="68085A45"/>
    <w:multiLevelType w:val="hybridMultilevel"/>
    <w:tmpl w:val="D816620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6B0035FE"/>
    <w:multiLevelType w:val="hybridMultilevel"/>
    <w:tmpl w:val="154ED5B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6B917A01"/>
    <w:multiLevelType w:val="hybridMultilevel"/>
    <w:tmpl w:val="7B285094"/>
    <w:lvl w:ilvl="0" w:tplc="137CC210">
      <w:start w:val="1"/>
      <w:numFmt w:val="bullet"/>
      <w:lvlText w:val=""/>
      <w:lvlJc w:val="left"/>
      <w:pPr>
        <w:ind w:left="720" w:hanging="360"/>
      </w:pPr>
      <w:rPr>
        <w:rFonts w:ascii="Symbol" w:hAnsi="Symbol" w:hint="default"/>
      </w:rPr>
    </w:lvl>
    <w:lvl w:ilvl="1" w:tplc="0C0A0019"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44" w15:restartNumberingAfterBreak="0">
    <w:nsid w:val="6E7A1288"/>
    <w:multiLevelType w:val="multilevel"/>
    <w:tmpl w:val="534AD7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6E9C2651"/>
    <w:multiLevelType w:val="hybridMultilevel"/>
    <w:tmpl w:val="3A6CABDA"/>
    <w:lvl w:ilvl="0" w:tplc="3B2E9EBA">
      <w:start w:val="1"/>
      <w:numFmt w:val="decimal"/>
      <w:lvlText w:val="%1."/>
      <w:lvlJc w:val="left"/>
      <w:pPr>
        <w:tabs>
          <w:tab w:val="num" w:pos="360"/>
        </w:tabs>
        <w:ind w:left="360" w:hanging="360"/>
      </w:pPr>
    </w:lvl>
    <w:lvl w:ilvl="1" w:tplc="F3C68C80">
      <w:start w:val="1"/>
      <w:numFmt w:val="lowerLetter"/>
      <w:lvlText w:val="%2."/>
      <w:lvlJc w:val="left"/>
      <w:pPr>
        <w:tabs>
          <w:tab w:val="num" w:pos="1080"/>
        </w:tabs>
        <w:ind w:left="1080" w:hanging="360"/>
      </w:pPr>
    </w:lvl>
    <w:lvl w:ilvl="2" w:tplc="72686F16" w:tentative="1">
      <w:start w:val="1"/>
      <w:numFmt w:val="decimal"/>
      <w:lvlText w:val="%3."/>
      <w:lvlJc w:val="left"/>
      <w:pPr>
        <w:tabs>
          <w:tab w:val="num" w:pos="1800"/>
        </w:tabs>
        <w:ind w:left="1800" w:hanging="360"/>
      </w:pPr>
    </w:lvl>
    <w:lvl w:ilvl="3" w:tplc="0392775E" w:tentative="1">
      <w:start w:val="1"/>
      <w:numFmt w:val="decimal"/>
      <w:lvlText w:val="%4."/>
      <w:lvlJc w:val="left"/>
      <w:pPr>
        <w:tabs>
          <w:tab w:val="num" w:pos="2520"/>
        </w:tabs>
        <w:ind w:left="2520" w:hanging="360"/>
      </w:pPr>
    </w:lvl>
    <w:lvl w:ilvl="4" w:tplc="E8A0EE9C" w:tentative="1">
      <w:start w:val="1"/>
      <w:numFmt w:val="decimal"/>
      <w:lvlText w:val="%5."/>
      <w:lvlJc w:val="left"/>
      <w:pPr>
        <w:tabs>
          <w:tab w:val="num" w:pos="3240"/>
        </w:tabs>
        <w:ind w:left="3240" w:hanging="360"/>
      </w:pPr>
    </w:lvl>
    <w:lvl w:ilvl="5" w:tplc="6B701588" w:tentative="1">
      <w:start w:val="1"/>
      <w:numFmt w:val="decimal"/>
      <w:lvlText w:val="%6."/>
      <w:lvlJc w:val="left"/>
      <w:pPr>
        <w:tabs>
          <w:tab w:val="num" w:pos="3960"/>
        </w:tabs>
        <w:ind w:left="3960" w:hanging="360"/>
      </w:pPr>
    </w:lvl>
    <w:lvl w:ilvl="6" w:tplc="49B04160" w:tentative="1">
      <w:start w:val="1"/>
      <w:numFmt w:val="decimal"/>
      <w:lvlText w:val="%7."/>
      <w:lvlJc w:val="left"/>
      <w:pPr>
        <w:tabs>
          <w:tab w:val="num" w:pos="4680"/>
        </w:tabs>
        <w:ind w:left="4680" w:hanging="360"/>
      </w:pPr>
    </w:lvl>
    <w:lvl w:ilvl="7" w:tplc="8F1819F8" w:tentative="1">
      <w:start w:val="1"/>
      <w:numFmt w:val="decimal"/>
      <w:lvlText w:val="%8."/>
      <w:lvlJc w:val="left"/>
      <w:pPr>
        <w:tabs>
          <w:tab w:val="num" w:pos="5400"/>
        </w:tabs>
        <w:ind w:left="5400" w:hanging="360"/>
      </w:pPr>
    </w:lvl>
    <w:lvl w:ilvl="8" w:tplc="B4943D62" w:tentative="1">
      <w:start w:val="1"/>
      <w:numFmt w:val="decimal"/>
      <w:lvlText w:val="%9."/>
      <w:lvlJc w:val="left"/>
      <w:pPr>
        <w:tabs>
          <w:tab w:val="num" w:pos="6120"/>
        </w:tabs>
        <w:ind w:left="6120" w:hanging="360"/>
      </w:pPr>
    </w:lvl>
  </w:abstractNum>
  <w:abstractNum w:abstractNumId="46" w15:restartNumberingAfterBreak="0">
    <w:nsid w:val="748F7622"/>
    <w:multiLevelType w:val="multilevel"/>
    <w:tmpl w:val="DF1276E2"/>
    <w:lvl w:ilvl="0">
      <w:start w:val="1"/>
      <w:numFmt w:val="decimal"/>
      <w:lvlText w:val="%1."/>
      <w:lvlJc w:val="left"/>
      <w:pPr>
        <w:ind w:left="2629" w:hanging="360"/>
      </w:pPr>
      <w:rPr>
        <w:rFonts w:hint="default"/>
      </w:rPr>
    </w:lvl>
    <w:lvl w:ilvl="1">
      <w:start w:val="1"/>
      <w:numFmt w:val="decimal"/>
      <w:isLgl/>
      <w:lvlText w:val="%1.%2."/>
      <w:lvlJc w:val="left"/>
      <w:pPr>
        <w:ind w:left="2989" w:hanging="720"/>
      </w:pPr>
      <w:rPr>
        <w:rFonts w:hint="default"/>
      </w:rPr>
    </w:lvl>
    <w:lvl w:ilvl="2">
      <w:start w:val="1"/>
      <w:numFmt w:val="decimal"/>
      <w:isLgl/>
      <w:lvlText w:val="%1.%2.%3."/>
      <w:lvlJc w:val="left"/>
      <w:pPr>
        <w:ind w:left="2989" w:hanging="720"/>
      </w:pPr>
      <w:rPr>
        <w:rFonts w:hint="default"/>
      </w:rPr>
    </w:lvl>
    <w:lvl w:ilvl="3">
      <w:start w:val="1"/>
      <w:numFmt w:val="decimal"/>
      <w:isLgl/>
      <w:lvlText w:val="%1.%2.%3.%4."/>
      <w:lvlJc w:val="left"/>
      <w:pPr>
        <w:ind w:left="3349" w:hanging="1080"/>
      </w:pPr>
      <w:rPr>
        <w:rFonts w:hint="default"/>
      </w:rPr>
    </w:lvl>
    <w:lvl w:ilvl="4">
      <w:start w:val="1"/>
      <w:numFmt w:val="decimal"/>
      <w:isLgl/>
      <w:lvlText w:val="%1.%2.%3.%4.%5."/>
      <w:lvlJc w:val="left"/>
      <w:pPr>
        <w:ind w:left="3349" w:hanging="1080"/>
      </w:pPr>
      <w:rPr>
        <w:rFonts w:hint="default"/>
      </w:rPr>
    </w:lvl>
    <w:lvl w:ilvl="5">
      <w:start w:val="1"/>
      <w:numFmt w:val="decimal"/>
      <w:isLgl/>
      <w:lvlText w:val="%1.%2.%3.%4.%5.%6."/>
      <w:lvlJc w:val="left"/>
      <w:pPr>
        <w:ind w:left="3709" w:hanging="1440"/>
      </w:pPr>
      <w:rPr>
        <w:rFonts w:hint="default"/>
      </w:rPr>
    </w:lvl>
    <w:lvl w:ilvl="6">
      <w:start w:val="1"/>
      <w:numFmt w:val="decimal"/>
      <w:isLgl/>
      <w:lvlText w:val="%1.%2.%3.%4.%5.%6.%7."/>
      <w:lvlJc w:val="left"/>
      <w:pPr>
        <w:ind w:left="3709" w:hanging="1440"/>
      </w:pPr>
      <w:rPr>
        <w:rFonts w:hint="default"/>
      </w:rPr>
    </w:lvl>
    <w:lvl w:ilvl="7">
      <w:start w:val="1"/>
      <w:numFmt w:val="decimal"/>
      <w:isLgl/>
      <w:lvlText w:val="%1.%2.%3.%4.%5.%6.%7.%8."/>
      <w:lvlJc w:val="left"/>
      <w:pPr>
        <w:ind w:left="4069" w:hanging="1800"/>
      </w:pPr>
      <w:rPr>
        <w:rFonts w:hint="default"/>
      </w:rPr>
    </w:lvl>
    <w:lvl w:ilvl="8">
      <w:start w:val="1"/>
      <w:numFmt w:val="decimal"/>
      <w:isLgl/>
      <w:lvlText w:val="%1.%2.%3.%4.%5.%6.%7.%8.%9."/>
      <w:lvlJc w:val="left"/>
      <w:pPr>
        <w:ind w:left="4429" w:hanging="2160"/>
      </w:pPr>
      <w:rPr>
        <w:rFonts w:hint="default"/>
      </w:rPr>
    </w:lvl>
  </w:abstractNum>
  <w:abstractNum w:abstractNumId="47" w15:restartNumberingAfterBreak="0">
    <w:nsid w:val="74E1238A"/>
    <w:multiLevelType w:val="multilevel"/>
    <w:tmpl w:val="534AD7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9"/>
  </w:num>
  <w:num w:numId="2">
    <w:abstractNumId w:val="8"/>
  </w:num>
  <w:num w:numId="3">
    <w:abstractNumId w:val="16"/>
  </w:num>
  <w:num w:numId="4">
    <w:abstractNumId w:val="40"/>
  </w:num>
  <w:num w:numId="5">
    <w:abstractNumId w:val="3"/>
  </w:num>
  <w:num w:numId="6">
    <w:abstractNumId w:val="2"/>
  </w:num>
  <w:num w:numId="7">
    <w:abstractNumId w:val="1"/>
  </w:num>
  <w:num w:numId="8">
    <w:abstractNumId w:val="0"/>
  </w:num>
  <w:num w:numId="9">
    <w:abstractNumId w:val="7"/>
  </w:num>
  <w:num w:numId="10">
    <w:abstractNumId w:val="6"/>
  </w:num>
  <w:num w:numId="11">
    <w:abstractNumId w:val="5"/>
  </w:num>
  <w:num w:numId="12">
    <w:abstractNumId w:val="4"/>
  </w:num>
  <w:num w:numId="13">
    <w:abstractNumId w:val="39"/>
  </w:num>
  <w:num w:numId="14">
    <w:abstractNumId w:val="34"/>
  </w:num>
  <w:num w:numId="15">
    <w:abstractNumId w:val="21"/>
  </w:num>
  <w:num w:numId="16">
    <w:abstractNumId w:val="14"/>
  </w:num>
  <w:num w:numId="17">
    <w:abstractNumId w:val="27"/>
  </w:num>
  <w:num w:numId="18">
    <w:abstractNumId w:val="15"/>
  </w:num>
  <w:num w:numId="19">
    <w:abstractNumId w:val="24"/>
  </w:num>
  <w:num w:numId="20">
    <w:abstractNumId w:val="19"/>
  </w:num>
  <w:num w:numId="21">
    <w:abstractNumId w:val="41"/>
  </w:num>
  <w:num w:numId="22">
    <w:abstractNumId w:val="32"/>
  </w:num>
  <w:num w:numId="23">
    <w:abstractNumId w:val="35"/>
  </w:num>
  <w:num w:numId="24">
    <w:abstractNumId w:val="29"/>
  </w:num>
  <w:num w:numId="25">
    <w:abstractNumId w:val="25"/>
  </w:num>
  <w:num w:numId="26">
    <w:abstractNumId w:val="38"/>
  </w:num>
  <w:num w:numId="27">
    <w:abstractNumId w:val="42"/>
  </w:num>
  <w:num w:numId="28">
    <w:abstractNumId w:val="26"/>
  </w:num>
  <w:num w:numId="29">
    <w:abstractNumId w:val="18"/>
  </w:num>
  <w:num w:numId="30">
    <w:abstractNumId w:val="46"/>
  </w:num>
  <w:num w:numId="31">
    <w:abstractNumId w:val="10"/>
  </w:num>
  <w:num w:numId="32">
    <w:abstractNumId w:val="43"/>
  </w:num>
  <w:num w:numId="33">
    <w:abstractNumId w:val="22"/>
  </w:num>
  <w:num w:numId="34">
    <w:abstractNumId w:val="23"/>
  </w:num>
  <w:num w:numId="35">
    <w:abstractNumId w:val="45"/>
  </w:num>
  <w:num w:numId="36">
    <w:abstractNumId w:val="13"/>
  </w:num>
  <w:num w:numId="37">
    <w:abstractNumId w:val="20"/>
  </w:num>
  <w:num w:numId="38">
    <w:abstractNumId w:val="33"/>
  </w:num>
  <w:num w:numId="39">
    <w:abstractNumId w:val="30"/>
  </w:num>
  <w:num w:numId="40">
    <w:abstractNumId w:val="36"/>
  </w:num>
  <w:num w:numId="41">
    <w:abstractNumId w:val="12"/>
  </w:num>
  <w:num w:numId="42">
    <w:abstractNumId w:val="37"/>
  </w:num>
  <w:num w:numId="43">
    <w:abstractNumId w:val="44"/>
  </w:num>
  <w:num w:numId="44">
    <w:abstractNumId w:val="47"/>
  </w:num>
  <w:num w:numId="45">
    <w:abstractNumId w:val="31"/>
  </w:num>
  <w:num w:numId="46">
    <w:abstractNumId w:val="11"/>
  </w:num>
  <w:num w:numId="47">
    <w:abstractNumId w:val="28"/>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es-ES" w:vendorID="9" w:dllVersion="512" w:checkStyle="1"/>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3DF"/>
    <w:rsid w:val="00000D94"/>
    <w:rsid w:val="0000172C"/>
    <w:rsid w:val="000017CA"/>
    <w:rsid w:val="000049BA"/>
    <w:rsid w:val="00004A0B"/>
    <w:rsid w:val="0000554D"/>
    <w:rsid w:val="00006ECA"/>
    <w:rsid w:val="00007AEB"/>
    <w:rsid w:val="00012D93"/>
    <w:rsid w:val="00015183"/>
    <w:rsid w:val="00015765"/>
    <w:rsid w:val="00016755"/>
    <w:rsid w:val="00016D5B"/>
    <w:rsid w:val="00017A8E"/>
    <w:rsid w:val="00017AC1"/>
    <w:rsid w:val="00021116"/>
    <w:rsid w:val="00032BBC"/>
    <w:rsid w:val="000344DC"/>
    <w:rsid w:val="00034744"/>
    <w:rsid w:val="00037DAF"/>
    <w:rsid w:val="000418CB"/>
    <w:rsid w:val="00041FD9"/>
    <w:rsid w:val="00051462"/>
    <w:rsid w:val="00053F5C"/>
    <w:rsid w:val="00054283"/>
    <w:rsid w:val="0005487E"/>
    <w:rsid w:val="000558A3"/>
    <w:rsid w:val="00060CE8"/>
    <w:rsid w:val="00060DC5"/>
    <w:rsid w:val="00061C99"/>
    <w:rsid w:val="000625A7"/>
    <w:rsid w:val="00067B2E"/>
    <w:rsid w:val="00070C08"/>
    <w:rsid w:val="00070F3C"/>
    <w:rsid w:val="0007358F"/>
    <w:rsid w:val="000754EB"/>
    <w:rsid w:val="000757C2"/>
    <w:rsid w:val="0007711B"/>
    <w:rsid w:val="00077D5D"/>
    <w:rsid w:val="000822C5"/>
    <w:rsid w:val="00082DDD"/>
    <w:rsid w:val="0008492B"/>
    <w:rsid w:val="00085721"/>
    <w:rsid w:val="000861FA"/>
    <w:rsid w:val="00086236"/>
    <w:rsid w:val="0008628A"/>
    <w:rsid w:val="000868D5"/>
    <w:rsid w:val="0008750B"/>
    <w:rsid w:val="00090089"/>
    <w:rsid w:val="000901DD"/>
    <w:rsid w:val="00090BA0"/>
    <w:rsid w:val="000917CB"/>
    <w:rsid w:val="00092C76"/>
    <w:rsid w:val="000930B0"/>
    <w:rsid w:val="00096B50"/>
    <w:rsid w:val="000A0FBB"/>
    <w:rsid w:val="000A4888"/>
    <w:rsid w:val="000A5C66"/>
    <w:rsid w:val="000A6AB7"/>
    <w:rsid w:val="000A6C25"/>
    <w:rsid w:val="000B0FD7"/>
    <w:rsid w:val="000B2583"/>
    <w:rsid w:val="000B26E9"/>
    <w:rsid w:val="000B34F0"/>
    <w:rsid w:val="000B38DC"/>
    <w:rsid w:val="000B443A"/>
    <w:rsid w:val="000B61D6"/>
    <w:rsid w:val="000B6C66"/>
    <w:rsid w:val="000B75B7"/>
    <w:rsid w:val="000B7701"/>
    <w:rsid w:val="000B7E5E"/>
    <w:rsid w:val="000C017C"/>
    <w:rsid w:val="000C062A"/>
    <w:rsid w:val="000C0A64"/>
    <w:rsid w:val="000C192A"/>
    <w:rsid w:val="000C383C"/>
    <w:rsid w:val="000C3858"/>
    <w:rsid w:val="000C5133"/>
    <w:rsid w:val="000C5404"/>
    <w:rsid w:val="000C6619"/>
    <w:rsid w:val="000C6E2A"/>
    <w:rsid w:val="000C7FCD"/>
    <w:rsid w:val="000D2215"/>
    <w:rsid w:val="000D26FB"/>
    <w:rsid w:val="000D348F"/>
    <w:rsid w:val="000D3A65"/>
    <w:rsid w:val="000D4FA1"/>
    <w:rsid w:val="000D5C18"/>
    <w:rsid w:val="000E3B37"/>
    <w:rsid w:val="000E4DE6"/>
    <w:rsid w:val="000E6FF3"/>
    <w:rsid w:val="000F0831"/>
    <w:rsid w:val="000F3A8C"/>
    <w:rsid w:val="000F58D3"/>
    <w:rsid w:val="000F69DA"/>
    <w:rsid w:val="000F7869"/>
    <w:rsid w:val="00104A11"/>
    <w:rsid w:val="001058FC"/>
    <w:rsid w:val="0010729E"/>
    <w:rsid w:val="00110356"/>
    <w:rsid w:val="001148DF"/>
    <w:rsid w:val="00116834"/>
    <w:rsid w:val="00116B2E"/>
    <w:rsid w:val="00116F4F"/>
    <w:rsid w:val="00117702"/>
    <w:rsid w:val="00117734"/>
    <w:rsid w:val="00117FBC"/>
    <w:rsid w:val="001230C1"/>
    <w:rsid w:val="00123BCE"/>
    <w:rsid w:val="00124D27"/>
    <w:rsid w:val="00125056"/>
    <w:rsid w:val="00126958"/>
    <w:rsid w:val="00126D5D"/>
    <w:rsid w:val="00130520"/>
    <w:rsid w:val="00131B5D"/>
    <w:rsid w:val="00132F26"/>
    <w:rsid w:val="001359AF"/>
    <w:rsid w:val="00142048"/>
    <w:rsid w:val="001420A8"/>
    <w:rsid w:val="00142B47"/>
    <w:rsid w:val="00142E7D"/>
    <w:rsid w:val="001435A2"/>
    <w:rsid w:val="00144408"/>
    <w:rsid w:val="00144757"/>
    <w:rsid w:val="001451F4"/>
    <w:rsid w:val="0014785D"/>
    <w:rsid w:val="00147F70"/>
    <w:rsid w:val="00152A9B"/>
    <w:rsid w:val="00153434"/>
    <w:rsid w:val="001539D3"/>
    <w:rsid w:val="00155D8B"/>
    <w:rsid w:val="00155DA7"/>
    <w:rsid w:val="0015668B"/>
    <w:rsid w:val="00157298"/>
    <w:rsid w:val="00157465"/>
    <w:rsid w:val="00157927"/>
    <w:rsid w:val="00157D4B"/>
    <w:rsid w:val="0016017D"/>
    <w:rsid w:val="00160DEE"/>
    <w:rsid w:val="0016166A"/>
    <w:rsid w:val="00161D94"/>
    <w:rsid w:val="00163F35"/>
    <w:rsid w:val="00163FAC"/>
    <w:rsid w:val="001659B8"/>
    <w:rsid w:val="001678F9"/>
    <w:rsid w:val="0017185D"/>
    <w:rsid w:val="001733EC"/>
    <w:rsid w:val="00173F86"/>
    <w:rsid w:val="00175DF1"/>
    <w:rsid w:val="00177E81"/>
    <w:rsid w:val="00181766"/>
    <w:rsid w:val="00182612"/>
    <w:rsid w:val="00183616"/>
    <w:rsid w:val="00183EE8"/>
    <w:rsid w:val="00184E48"/>
    <w:rsid w:val="0018631B"/>
    <w:rsid w:val="00186874"/>
    <w:rsid w:val="0019190D"/>
    <w:rsid w:val="00193FC1"/>
    <w:rsid w:val="001943B9"/>
    <w:rsid w:val="00197ED5"/>
    <w:rsid w:val="00197F23"/>
    <w:rsid w:val="001A17D4"/>
    <w:rsid w:val="001A2CE9"/>
    <w:rsid w:val="001A35E5"/>
    <w:rsid w:val="001A3B04"/>
    <w:rsid w:val="001A4185"/>
    <w:rsid w:val="001A45DE"/>
    <w:rsid w:val="001A51B7"/>
    <w:rsid w:val="001A55C4"/>
    <w:rsid w:val="001A5824"/>
    <w:rsid w:val="001A6FEF"/>
    <w:rsid w:val="001B11BC"/>
    <w:rsid w:val="001B15B7"/>
    <w:rsid w:val="001B21D8"/>
    <w:rsid w:val="001B2D7C"/>
    <w:rsid w:val="001B4672"/>
    <w:rsid w:val="001B4927"/>
    <w:rsid w:val="001B516A"/>
    <w:rsid w:val="001B579F"/>
    <w:rsid w:val="001C0F95"/>
    <w:rsid w:val="001C1711"/>
    <w:rsid w:val="001C2E1D"/>
    <w:rsid w:val="001C4420"/>
    <w:rsid w:val="001C4ED6"/>
    <w:rsid w:val="001C5021"/>
    <w:rsid w:val="001C5276"/>
    <w:rsid w:val="001C6E05"/>
    <w:rsid w:val="001C6F5D"/>
    <w:rsid w:val="001D2AFA"/>
    <w:rsid w:val="001D3173"/>
    <w:rsid w:val="001D5830"/>
    <w:rsid w:val="001D6A7B"/>
    <w:rsid w:val="001E02D6"/>
    <w:rsid w:val="001E23E6"/>
    <w:rsid w:val="001E26D1"/>
    <w:rsid w:val="001E2754"/>
    <w:rsid w:val="001E2DA1"/>
    <w:rsid w:val="001E3AFA"/>
    <w:rsid w:val="001E3C2F"/>
    <w:rsid w:val="001E42C7"/>
    <w:rsid w:val="001E46BA"/>
    <w:rsid w:val="001E4FFD"/>
    <w:rsid w:val="001E6912"/>
    <w:rsid w:val="001E6A7C"/>
    <w:rsid w:val="001F3557"/>
    <w:rsid w:val="001F3D93"/>
    <w:rsid w:val="001F4962"/>
    <w:rsid w:val="001F690D"/>
    <w:rsid w:val="001F70B4"/>
    <w:rsid w:val="00200881"/>
    <w:rsid w:val="002008DA"/>
    <w:rsid w:val="00203C6A"/>
    <w:rsid w:val="0020577E"/>
    <w:rsid w:val="00210262"/>
    <w:rsid w:val="00210CF7"/>
    <w:rsid w:val="002113DF"/>
    <w:rsid w:val="00211CBF"/>
    <w:rsid w:val="002142AB"/>
    <w:rsid w:val="00214B5A"/>
    <w:rsid w:val="00214D5B"/>
    <w:rsid w:val="002159AC"/>
    <w:rsid w:val="00215D0D"/>
    <w:rsid w:val="00217058"/>
    <w:rsid w:val="002237E8"/>
    <w:rsid w:val="00225498"/>
    <w:rsid w:val="00226A08"/>
    <w:rsid w:val="00227746"/>
    <w:rsid w:val="00227BEE"/>
    <w:rsid w:val="00232C10"/>
    <w:rsid w:val="00232CE7"/>
    <w:rsid w:val="00232D5A"/>
    <w:rsid w:val="00235109"/>
    <w:rsid w:val="0023597A"/>
    <w:rsid w:val="00235C38"/>
    <w:rsid w:val="0023613C"/>
    <w:rsid w:val="002371F3"/>
    <w:rsid w:val="00237E2A"/>
    <w:rsid w:val="00237F3C"/>
    <w:rsid w:val="00240294"/>
    <w:rsid w:val="00242233"/>
    <w:rsid w:val="00242A4C"/>
    <w:rsid w:val="002437EE"/>
    <w:rsid w:val="00243A43"/>
    <w:rsid w:val="0024619E"/>
    <w:rsid w:val="00246AB2"/>
    <w:rsid w:val="002514C0"/>
    <w:rsid w:val="00252A69"/>
    <w:rsid w:val="002533C0"/>
    <w:rsid w:val="00254D36"/>
    <w:rsid w:val="00260212"/>
    <w:rsid w:val="002611C9"/>
    <w:rsid w:val="002614BD"/>
    <w:rsid w:val="00262525"/>
    <w:rsid w:val="00264254"/>
    <w:rsid w:val="00266DD7"/>
    <w:rsid w:val="00267DF5"/>
    <w:rsid w:val="002702A0"/>
    <w:rsid w:val="00270E5B"/>
    <w:rsid w:val="00270F2F"/>
    <w:rsid w:val="00271AF8"/>
    <w:rsid w:val="00271B60"/>
    <w:rsid w:val="002743D8"/>
    <w:rsid w:val="002750F4"/>
    <w:rsid w:val="00277F2E"/>
    <w:rsid w:val="00280F88"/>
    <w:rsid w:val="002815B6"/>
    <w:rsid w:val="002818F0"/>
    <w:rsid w:val="002819C1"/>
    <w:rsid w:val="00285ADB"/>
    <w:rsid w:val="002862EA"/>
    <w:rsid w:val="0029019C"/>
    <w:rsid w:val="002A3309"/>
    <w:rsid w:val="002A4E7B"/>
    <w:rsid w:val="002A6E63"/>
    <w:rsid w:val="002B0E21"/>
    <w:rsid w:val="002B11C5"/>
    <w:rsid w:val="002B1F75"/>
    <w:rsid w:val="002B3D9C"/>
    <w:rsid w:val="002B4B17"/>
    <w:rsid w:val="002B5915"/>
    <w:rsid w:val="002B6FD2"/>
    <w:rsid w:val="002B71C6"/>
    <w:rsid w:val="002B7426"/>
    <w:rsid w:val="002C09FE"/>
    <w:rsid w:val="002C1161"/>
    <w:rsid w:val="002C1B51"/>
    <w:rsid w:val="002C31C9"/>
    <w:rsid w:val="002C439F"/>
    <w:rsid w:val="002C53C9"/>
    <w:rsid w:val="002C626D"/>
    <w:rsid w:val="002D0D94"/>
    <w:rsid w:val="002D0EDE"/>
    <w:rsid w:val="002D191D"/>
    <w:rsid w:val="002D36A6"/>
    <w:rsid w:val="002D3EB8"/>
    <w:rsid w:val="002E13EA"/>
    <w:rsid w:val="002E16F9"/>
    <w:rsid w:val="002E3973"/>
    <w:rsid w:val="002E43E7"/>
    <w:rsid w:val="002E52DA"/>
    <w:rsid w:val="002E5425"/>
    <w:rsid w:val="002E68C1"/>
    <w:rsid w:val="002E68D6"/>
    <w:rsid w:val="002E7941"/>
    <w:rsid w:val="002E796F"/>
    <w:rsid w:val="002F08CE"/>
    <w:rsid w:val="002F109C"/>
    <w:rsid w:val="002F27BF"/>
    <w:rsid w:val="002F7275"/>
    <w:rsid w:val="00302ABD"/>
    <w:rsid w:val="003034FD"/>
    <w:rsid w:val="00307DEF"/>
    <w:rsid w:val="00311A89"/>
    <w:rsid w:val="00312247"/>
    <w:rsid w:val="00313A50"/>
    <w:rsid w:val="00315A02"/>
    <w:rsid w:val="00320268"/>
    <w:rsid w:val="0032169F"/>
    <w:rsid w:val="00321F5A"/>
    <w:rsid w:val="00327390"/>
    <w:rsid w:val="003276E9"/>
    <w:rsid w:val="003279BE"/>
    <w:rsid w:val="00333466"/>
    <w:rsid w:val="003335C4"/>
    <w:rsid w:val="003339B8"/>
    <w:rsid w:val="00333A06"/>
    <w:rsid w:val="00333F41"/>
    <w:rsid w:val="00335967"/>
    <w:rsid w:val="00336386"/>
    <w:rsid w:val="00340797"/>
    <w:rsid w:val="003411A1"/>
    <w:rsid w:val="0034204F"/>
    <w:rsid w:val="00344B44"/>
    <w:rsid w:val="00345C02"/>
    <w:rsid w:val="0035061F"/>
    <w:rsid w:val="00351AF1"/>
    <w:rsid w:val="00353F4F"/>
    <w:rsid w:val="00354792"/>
    <w:rsid w:val="00355ABF"/>
    <w:rsid w:val="0036083C"/>
    <w:rsid w:val="0036150F"/>
    <w:rsid w:val="00365074"/>
    <w:rsid w:val="00365D2D"/>
    <w:rsid w:val="003671D3"/>
    <w:rsid w:val="00367BA3"/>
    <w:rsid w:val="0037152F"/>
    <w:rsid w:val="00371AEF"/>
    <w:rsid w:val="00372405"/>
    <w:rsid w:val="00372A62"/>
    <w:rsid w:val="00373473"/>
    <w:rsid w:val="0037409A"/>
    <w:rsid w:val="00374360"/>
    <w:rsid w:val="00376135"/>
    <w:rsid w:val="00377357"/>
    <w:rsid w:val="0038223E"/>
    <w:rsid w:val="003825A8"/>
    <w:rsid w:val="00383DF0"/>
    <w:rsid w:val="003841FA"/>
    <w:rsid w:val="003845E2"/>
    <w:rsid w:val="003848C8"/>
    <w:rsid w:val="00384F7A"/>
    <w:rsid w:val="00390BA8"/>
    <w:rsid w:val="00391158"/>
    <w:rsid w:val="00391E37"/>
    <w:rsid w:val="00392D34"/>
    <w:rsid w:val="00393231"/>
    <w:rsid w:val="003947DF"/>
    <w:rsid w:val="00397BA5"/>
    <w:rsid w:val="003A0C99"/>
    <w:rsid w:val="003A19B9"/>
    <w:rsid w:val="003A2EC8"/>
    <w:rsid w:val="003A50D7"/>
    <w:rsid w:val="003A6D74"/>
    <w:rsid w:val="003A79AD"/>
    <w:rsid w:val="003B00EA"/>
    <w:rsid w:val="003B21D5"/>
    <w:rsid w:val="003B45A2"/>
    <w:rsid w:val="003B465B"/>
    <w:rsid w:val="003B4E3E"/>
    <w:rsid w:val="003B5314"/>
    <w:rsid w:val="003B5B7B"/>
    <w:rsid w:val="003B67D0"/>
    <w:rsid w:val="003B714E"/>
    <w:rsid w:val="003B72DD"/>
    <w:rsid w:val="003C04FD"/>
    <w:rsid w:val="003C054D"/>
    <w:rsid w:val="003C0B9A"/>
    <w:rsid w:val="003C0BA6"/>
    <w:rsid w:val="003C1D3D"/>
    <w:rsid w:val="003C2437"/>
    <w:rsid w:val="003C462E"/>
    <w:rsid w:val="003C6418"/>
    <w:rsid w:val="003C6475"/>
    <w:rsid w:val="003C7241"/>
    <w:rsid w:val="003D23D7"/>
    <w:rsid w:val="003D2C40"/>
    <w:rsid w:val="003D2F09"/>
    <w:rsid w:val="003D403F"/>
    <w:rsid w:val="003D4A8A"/>
    <w:rsid w:val="003D5E29"/>
    <w:rsid w:val="003D636B"/>
    <w:rsid w:val="003E249C"/>
    <w:rsid w:val="003E3EC0"/>
    <w:rsid w:val="003E4183"/>
    <w:rsid w:val="003E4666"/>
    <w:rsid w:val="003E5DDF"/>
    <w:rsid w:val="003E7C83"/>
    <w:rsid w:val="003F07F8"/>
    <w:rsid w:val="003F3E28"/>
    <w:rsid w:val="003F43E2"/>
    <w:rsid w:val="003F6A0D"/>
    <w:rsid w:val="004006DB"/>
    <w:rsid w:val="00400D07"/>
    <w:rsid w:val="00400E6C"/>
    <w:rsid w:val="00401A62"/>
    <w:rsid w:val="0040235C"/>
    <w:rsid w:val="00402F37"/>
    <w:rsid w:val="004034EF"/>
    <w:rsid w:val="00403CC6"/>
    <w:rsid w:val="00405928"/>
    <w:rsid w:val="004071F9"/>
    <w:rsid w:val="0041194E"/>
    <w:rsid w:val="00411C6E"/>
    <w:rsid w:val="00411CEC"/>
    <w:rsid w:val="00411E59"/>
    <w:rsid w:val="00414632"/>
    <w:rsid w:val="004150EB"/>
    <w:rsid w:val="00415B97"/>
    <w:rsid w:val="00416508"/>
    <w:rsid w:val="00417A17"/>
    <w:rsid w:val="00417D1B"/>
    <w:rsid w:val="004217E9"/>
    <w:rsid w:val="00422498"/>
    <w:rsid w:val="00422790"/>
    <w:rsid w:val="00422D5B"/>
    <w:rsid w:val="00425977"/>
    <w:rsid w:val="00426C21"/>
    <w:rsid w:val="00427AEE"/>
    <w:rsid w:val="0043113C"/>
    <w:rsid w:val="0043147E"/>
    <w:rsid w:val="00432891"/>
    <w:rsid w:val="00433FEB"/>
    <w:rsid w:val="00434606"/>
    <w:rsid w:val="00434709"/>
    <w:rsid w:val="00434A86"/>
    <w:rsid w:val="00434C39"/>
    <w:rsid w:val="00435C3D"/>
    <w:rsid w:val="00435E56"/>
    <w:rsid w:val="00436FE0"/>
    <w:rsid w:val="0043716A"/>
    <w:rsid w:val="004378EF"/>
    <w:rsid w:val="00441510"/>
    <w:rsid w:val="00443465"/>
    <w:rsid w:val="00446E1E"/>
    <w:rsid w:val="0045516C"/>
    <w:rsid w:val="004553A7"/>
    <w:rsid w:val="004575CB"/>
    <w:rsid w:val="00461AA1"/>
    <w:rsid w:val="0046294D"/>
    <w:rsid w:val="004635A5"/>
    <w:rsid w:val="00464429"/>
    <w:rsid w:val="00464F35"/>
    <w:rsid w:val="004657F5"/>
    <w:rsid w:val="00465E8F"/>
    <w:rsid w:val="00466D81"/>
    <w:rsid w:val="0047017D"/>
    <w:rsid w:val="00471213"/>
    <w:rsid w:val="00471A04"/>
    <w:rsid w:val="004732E8"/>
    <w:rsid w:val="004742DC"/>
    <w:rsid w:val="00474613"/>
    <w:rsid w:val="00476EC5"/>
    <w:rsid w:val="00481EC4"/>
    <w:rsid w:val="004821A0"/>
    <w:rsid w:val="00483108"/>
    <w:rsid w:val="004845E1"/>
    <w:rsid w:val="004875FC"/>
    <w:rsid w:val="00490395"/>
    <w:rsid w:val="004920F1"/>
    <w:rsid w:val="00493238"/>
    <w:rsid w:val="0049678E"/>
    <w:rsid w:val="00496EDF"/>
    <w:rsid w:val="004A14A3"/>
    <w:rsid w:val="004A20D9"/>
    <w:rsid w:val="004A2BEA"/>
    <w:rsid w:val="004A354A"/>
    <w:rsid w:val="004A49D1"/>
    <w:rsid w:val="004A4F44"/>
    <w:rsid w:val="004B0C6F"/>
    <w:rsid w:val="004B3D18"/>
    <w:rsid w:val="004B3DF7"/>
    <w:rsid w:val="004C01A2"/>
    <w:rsid w:val="004C0223"/>
    <w:rsid w:val="004C1AB2"/>
    <w:rsid w:val="004C1DE2"/>
    <w:rsid w:val="004C61DA"/>
    <w:rsid w:val="004C6FC9"/>
    <w:rsid w:val="004C7CE9"/>
    <w:rsid w:val="004D2704"/>
    <w:rsid w:val="004D3202"/>
    <w:rsid w:val="004D3348"/>
    <w:rsid w:val="004D4400"/>
    <w:rsid w:val="004D4B7A"/>
    <w:rsid w:val="004D5990"/>
    <w:rsid w:val="004D796F"/>
    <w:rsid w:val="004E0AFA"/>
    <w:rsid w:val="004E1777"/>
    <w:rsid w:val="004E53D6"/>
    <w:rsid w:val="004E5CE7"/>
    <w:rsid w:val="004E6359"/>
    <w:rsid w:val="004E7CFE"/>
    <w:rsid w:val="004F0C69"/>
    <w:rsid w:val="004F308E"/>
    <w:rsid w:val="004F5524"/>
    <w:rsid w:val="00500CCF"/>
    <w:rsid w:val="00503293"/>
    <w:rsid w:val="00503F37"/>
    <w:rsid w:val="00504633"/>
    <w:rsid w:val="005050C3"/>
    <w:rsid w:val="00505CCF"/>
    <w:rsid w:val="00506119"/>
    <w:rsid w:val="005069F4"/>
    <w:rsid w:val="00506F39"/>
    <w:rsid w:val="00507C6F"/>
    <w:rsid w:val="005105DF"/>
    <w:rsid w:val="00511AE4"/>
    <w:rsid w:val="0051232B"/>
    <w:rsid w:val="00517560"/>
    <w:rsid w:val="00517B01"/>
    <w:rsid w:val="00520614"/>
    <w:rsid w:val="00520BCA"/>
    <w:rsid w:val="00521818"/>
    <w:rsid w:val="00522C49"/>
    <w:rsid w:val="005242F1"/>
    <w:rsid w:val="0053003D"/>
    <w:rsid w:val="00531336"/>
    <w:rsid w:val="00531ACB"/>
    <w:rsid w:val="005345BE"/>
    <w:rsid w:val="0053472D"/>
    <w:rsid w:val="005406C3"/>
    <w:rsid w:val="00540F4B"/>
    <w:rsid w:val="00542B77"/>
    <w:rsid w:val="005431B1"/>
    <w:rsid w:val="00546D01"/>
    <w:rsid w:val="00551FF8"/>
    <w:rsid w:val="0055547E"/>
    <w:rsid w:val="00560C1B"/>
    <w:rsid w:val="00561101"/>
    <w:rsid w:val="00562704"/>
    <w:rsid w:val="00562BEF"/>
    <w:rsid w:val="00571AD1"/>
    <w:rsid w:val="00571E36"/>
    <w:rsid w:val="005726CD"/>
    <w:rsid w:val="005740A8"/>
    <w:rsid w:val="0057492E"/>
    <w:rsid w:val="00575862"/>
    <w:rsid w:val="005770A3"/>
    <w:rsid w:val="0058143F"/>
    <w:rsid w:val="00581E38"/>
    <w:rsid w:val="00583C5E"/>
    <w:rsid w:val="00585A76"/>
    <w:rsid w:val="0059110C"/>
    <w:rsid w:val="00592871"/>
    <w:rsid w:val="005933F6"/>
    <w:rsid w:val="00593D82"/>
    <w:rsid w:val="005A3925"/>
    <w:rsid w:val="005A4F34"/>
    <w:rsid w:val="005A6AFE"/>
    <w:rsid w:val="005B0C41"/>
    <w:rsid w:val="005B2492"/>
    <w:rsid w:val="005B4663"/>
    <w:rsid w:val="005B56FB"/>
    <w:rsid w:val="005B5CB5"/>
    <w:rsid w:val="005B7BC3"/>
    <w:rsid w:val="005C3F34"/>
    <w:rsid w:val="005C42C3"/>
    <w:rsid w:val="005C5BF2"/>
    <w:rsid w:val="005C5CA4"/>
    <w:rsid w:val="005C7A0A"/>
    <w:rsid w:val="005D0452"/>
    <w:rsid w:val="005D1565"/>
    <w:rsid w:val="005D302D"/>
    <w:rsid w:val="005D39D2"/>
    <w:rsid w:val="005D483A"/>
    <w:rsid w:val="005D7BA6"/>
    <w:rsid w:val="005D7E6C"/>
    <w:rsid w:val="005E1CFC"/>
    <w:rsid w:val="005E3CDB"/>
    <w:rsid w:val="005E5411"/>
    <w:rsid w:val="005F2781"/>
    <w:rsid w:val="005F2F2C"/>
    <w:rsid w:val="005F2F51"/>
    <w:rsid w:val="005F34D8"/>
    <w:rsid w:val="005F42FE"/>
    <w:rsid w:val="005F4696"/>
    <w:rsid w:val="005F642B"/>
    <w:rsid w:val="005F6CA5"/>
    <w:rsid w:val="005F72CA"/>
    <w:rsid w:val="00604C27"/>
    <w:rsid w:val="00605E74"/>
    <w:rsid w:val="0061120E"/>
    <w:rsid w:val="0061132E"/>
    <w:rsid w:val="0061300F"/>
    <w:rsid w:val="0061385B"/>
    <w:rsid w:val="00617296"/>
    <w:rsid w:val="00617A7B"/>
    <w:rsid w:val="006200A7"/>
    <w:rsid w:val="00620DDA"/>
    <w:rsid w:val="00621F8B"/>
    <w:rsid w:val="00622FEA"/>
    <w:rsid w:val="00623923"/>
    <w:rsid w:val="006251F5"/>
    <w:rsid w:val="006254F1"/>
    <w:rsid w:val="00625E0A"/>
    <w:rsid w:val="00626337"/>
    <w:rsid w:val="006266E9"/>
    <w:rsid w:val="00630B33"/>
    <w:rsid w:val="00630FD5"/>
    <w:rsid w:val="0063132F"/>
    <w:rsid w:val="00631717"/>
    <w:rsid w:val="00632A77"/>
    <w:rsid w:val="006334D7"/>
    <w:rsid w:val="00635285"/>
    <w:rsid w:val="00635E24"/>
    <w:rsid w:val="00636010"/>
    <w:rsid w:val="00640606"/>
    <w:rsid w:val="00640AA3"/>
    <w:rsid w:val="00640EAF"/>
    <w:rsid w:val="00641917"/>
    <w:rsid w:val="00641B75"/>
    <w:rsid w:val="00641D44"/>
    <w:rsid w:val="0064218F"/>
    <w:rsid w:val="00642F46"/>
    <w:rsid w:val="006478F6"/>
    <w:rsid w:val="00647C38"/>
    <w:rsid w:val="00650299"/>
    <w:rsid w:val="00650683"/>
    <w:rsid w:val="00651F76"/>
    <w:rsid w:val="00654833"/>
    <w:rsid w:val="00656F34"/>
    <w:rsid w:val="006577B2"/>
    <w:rsid w:val="00660384"/>
    <w:rsid w:val="0066460A"/>
    <w:rsid w:val="00664DCE"/>
    <w:rsid w:val="0066523E"/>
    <w:rsid w:val="0066594A"/>
    <w:rsid w:val="00667A90"/>
    <w:rsid w:val="00667EDA"/>
    <w:rsid w:val="00670703"/>
    <w:rsid w:val="00670F88"/>
    <w:rsid w:val="00671298"/>
    <w:rsid w:val="0067293B"/>
    <w:rsid w:val="00675CA0"/>
    <w:rsid w:val="00677720"/>
    <w:rsid w:val="00677DAB"/>
    <w:rsid w:val="00682879"/>
    <w:rsid w:val="00684055"/>
    <w:rsid w:val="00684767"/>
    <w:rsid w:val="00684AED"/>
    <w:rsid w:val="00684E8D"/>
    <w:rsid w:val="006863E1"/>
    <w:rsid w:val="00686712"/>
    <w:rsid w:val="00691DB7"/>
    <w:rsid w:val="00691DE4"/>
    <w:rsid w:val="00691F7C"/>
    <w:rsid w:val="00692708"/>
    <w:rsid w:val="00693B7D"/>
    <w:rsid w:val="00693E14"/>
    <w:rsid w:val="0069524F"/>
    <w:rsid w:val="00695613"/>
    <w:rsid w:val="006A0BC6"/>
    <w:rsid w:val="006A0CFB"/>
    <w:rsid w:val="006A0D1A"/>
    <w:rsid w:val="006A1E9A"/>
    <w:rsid w:val="006A4F22"/>
    <w:rsid w:val="006A5A99"/>
    <w:rsid w:val="006A5DCB"/>
    <w:rsid w:val="006A6BA3"/>
    <w:rsid w:val="006A7E65"/>
    <w:rsid w:val="006B0358"/>
    <w:rsid w:val="006B0990"/>
    <w:rsid w:val="006B2AA9"/>
    <w:rsid w:val="006B48CB"/>
    <w:rsid w:val="006B4A1F"/>
    <w:rsid w:val="006B4CCA"/>
    <w:rsid w:val="006B5326"/>
    <w:rsid w:val="006B582E"/>
    <w:rsid w:val="006B5A5E"/>
    <w:rsid w:val="006B7A2B"/>
    <w:rsid w:val="006B7AA6"/>
    <w:rsid w:val="006C3480"/>
    <w:rsid w:val="006C4265"/>
    <w:rsid w:val="006C63E2"/>
    <w:rsid w:val="006D07D8"/>
    <w:rsid w:val="006D0986"/>
    <w:rsid w:val="006D1166"/>
    <w:rsid w:val="006D7CE1"/>
    <w:rsid w:val="006E119B"/>
    <w:rsid w:val="006E16DD"/>
    <w:rsid w:val="006E5D89"/>
    <w:rsid w:val="006E65CE"/>
    <w:rsid w:val="006E73DD"/>
    <w:rsid w:val="006F02CC"/>
    <w:rsid w:val="006F79F4"/>
    <w:rsid w:val="0070177D"/>
    <w:rsid w:val="007032E5"/>
    <w:rsid w:val="00703533"/>
    <w:rsid w:val="007055D0"/>
    <w:rsid w:val="00705E7E"/>
    <w:rsid w:val="007109BA"/>
    <w:rsid w:val="007109EE"/>
    <w:rsid w:val="007114E5"/>
    <w:rsid w:val="00712E2C"/>
    <w:rsid w:val="00713479"/>
    <w:rsid w:val="0071384C"/>
    <w:rsid w:val="00713D04"/>
    <w:rsid w:val="007149A1"/>
    <w:rsid w:val="00720DD7"/>
    <w:rsid w:val="00721FD9"/>
    <w:rsid w:val="00722538"/>
    <w:rsid w:val="00722D3C"/>
    <w:rsid w:val="0072513D"/>
    <w:rsid w:val="00725D52"/>
    <w:rsid w:val="00730FB5"/>
    <w:rsid w:val="00731E92"/>
    <w:rsid w:val="007352C6"/>
    <w:rsid w:val="00740D84"/>
    <w:rsid w:val="00741C13"/>
    <w:rsid w:val="00741E89"/>
    <w:rsid w:val="00743B23"/>
    <w:rsid w:val="0074663A"/>
    <w:rsid w:val="007468FB"/>
    <w:rsid w:val="00750172"/>
    <w:rsid w:val="00750679"/>
    <w:rsid w:val="0075090F"/>
    <w:rsid w:val="00754297"/>
    <w:rsid w:val="00755092"/>
    <w:rsid w:val="00756169"/>
    <w:rsid w:val="0075761F"/>
    <w:rsid w:val="007576B1"/>
    <w:rsid w:val="00762526"/>
    <w:rsid w:val="00763667"/>
    <w:rsid w:val="007644D2"/>
    <w:rsid w:val="0076455F"/>
    <w:rsid w:val="00764EB2"/>
    <w:rsid w:val="007653BD"/>
    <w:rsid w:val="007661AE"/>
    <w:rsid w:val="00766DE5"/>
    <w:rsid w:val="00767202"/>
    <w:rsid w:val="00771C1D"/>
    <w:rsid w:val="00772881"/>
    <w:rsid w:val="007777C3"/>
    <w:rsid w:val="0078267D"/>
    <w:rsid w:val="00784C19"/>
    <w:rsid w:val="00785650"/>
    <w:rsid w:val="0078634D"/>
    <w:rsid w:val="007925A7"/>
    <w:rsid w:val="007926B3"/>
    <w:rsid w:val="00792F9B"/>
    <w:rsid w:val="0079397C"/>
    <w:rsid w:val="007952C6"/>
    <w:rsid w:val="007965C5"/>
    <w:rsid w:val="007966DA"/>
    <w:rsid w:val="00797AA0"/>
    <w:rsid w:val="007A24EE"/>
    <w:rsid w:val="007A5B34"/>
    <w:rsid w:val="007A6AE7"/>
    <w:rsid w:val="007B0CF8"/>
    <w:rsid w:val="007B303C"/>
    <w:rsid w:val="007B3840"/>
    <w:rsid w:val="007B5234"/>
    <w:rsid w:val="007B5715"/>
    <w:rsid w:val="007B672A"/>
    <w:rsid w:val="007B6C08"/>
    <w:rsid w:val="007C1252"/>
    <w:rsid w:val="007C1CB0"/>
    <w:rsid w:val="007C213A"/>
    <w:rsid w:val="007C35D1"/>
    <w:rsid w:val="007C43DE"/>
    <w:rsid w:val="007C4BBB"/>
    <w:rsid w:val="007C6CCA"/>
    <w:rsid w:val="007C7135"/>
    <w:rsid w:val="007C7C96"/>
    <w:rsid w:val="007D28D5"/>
    <w:rsid w:val="007D2E9C"/>
    <w:rsid w:val="007D3117"/>
    <w:rsid w:val="007D414A"/>
    <w:rsid w:val="007D645C"/>
    <w:rsid w:val="007E1591"/>
    <w:rsid w:val="007E2EAB"/>
    <w:rsid w:val="007E5E64"/>
    <w:rsid w:val="007F2319"/>
    <w:rsid w:val="007F49BB"/>
    <w:rsid w:val="007F5A14"/>
    <w:rsid w:val="007F6AC2"/>
    <w:rsid w:val="007F76C6"/>
    <w:rsid w:val="007F7A3E"/>
    <w:rsid w:val="0080063E"/>
    <w:rsid w:val="008007B5"/>
    <w:rsid w:val="00801382"/>
    <w:rsid w:val="008053E9"/>
    <w:rsid w:val="00806803"/>
    <w:rsid w:val="00807C84"/>
    <w:rsid w:val="008141A0"/>
    <w:rsid w:val="008149B2"/>
    <w:rsid w:val="00814E2D"/>
    <w:rsid w:val="008155B5"/>
    <w:rsid w:val="00816FB6"/>
    <w:rsid w:val="00820154"/>
    <w:rsid w:val="00820278"/>
    <w:rsid w:val="00820334"/>
    <w:rsid w:val="00820B84"/>
    <w:rsid w:val="00820FF0"/>
    <w:rsid w:val="008217E7"/>
    <w:rsid w:val="00821BE1"/>
    <w:rsid w:val="00824545"/>
    <w:rsid w:val="008245C7"/>
    <w:rsid w:val="008273C7"/>
    <w:rsid w:val="008308C9"/>
    <w:rsid w:val="00830D9E"/>
    <w:rsid w:val="00831D10"/>
    <w:rsid w:val="008330CC"/>
    <w:rsid w:val="00833793"/>
    <w:rsid w:val="00835525"/>
    <w:rsid w:val="0084098D"/>
    <w:rsid w:val="00843A1B"/>
    <w:rsid w:val="008441EC"/>
    <w:rsid w:val="00844B6C"/>
    <w:rsid w:val="00845BBA"/>
    <w:rsid w:val="00847200"/>
    <w:rsid w:val="00847D39"/>
    <w:rsid w:val="00851D2E"/>
    <w:rsid w:val="008534BB"/>
    <w:rsid w:val="00855D5A"/>
    <w:rsid w:val="008561FD"/>
    <w:rsid w:val="0085721C"/>
    <w:rsid w:val="00857571"/>
    <w:rsid w:val="00857642"/>
    <w:rsid w:val="008578D3"/>
    <w:rsid w:val="00857F09"/>
    <w:rsid w:val="00861E99"/>
    <w:rsid w:val="0086730A"/>
    <w:rsid w:val="00871246"/>
    <w:rsid w:val="008715F6"/>
    <w:rsid w:val="00871B62"/>
    <w:rsid w:val="00871D8D"/>
    <w:rsid w:val="0087538D"/>
    <w:rsid w:val="00875E3C"/>
    <w:rsid w:val="0087640C"/>
    <w:rsid w:val="00876573"/>
    <w:rsid w:val="0088050A"/>
    <w:rsid w:val="00880BDD"/>
    <w:rsid w:val="00881CB0"/>
    <w:rsid w:val="008837C0"/>
    <w:rsid w:val="00885339"/>
    <w:rsid w:val="00885DD7"/>
    <w:rsid w:val="008868EE"/>
    <w:rsid w:val="0088760E"/>
    <w:rsid w:val="00887ECC"/>
    <w:rsid w:val="008904AD"/>
    <w:rsid w:val="00893B2B"/>
    <w:rsid w:val="0089514B"/>
    <w:rsid w:val="008953E4"/>
    <w:rsid w:val="0089602E"/>
    <w:rsid w:val="00896740"/>
    <w:rsid w:val="00897878"/>
    <w:rsid w:val="00897A2C"/>
    <w:rsid w:val="008A027F"/>
    <w:rsid w:val="008A1DBF"/>
    <w:rsid w:val="008A3BDC"/>
    <w:rsid w:val="008A4414"/>
    <w:rsid w:val="008A66EC"/>
    <w:rsid w:val="008A6C3A"/>
    <w:rsid w:val="008A6C61"/>
    <w:rsid w:val="008A73A8"/>
    <w:rsid w:val="008A77ED"/>
    <w:rsid w:val="008B1354"/>
    <w:rsid w:val="008B3CA9"/>
    <w:rsid w:val="008B4DF1"/>
    <w:rsid w:val="008B53E6"/>
    <w:rsid w:val="008C036D"/>
    <w:rsid w:val="008C0AF0"/>
    <w:rsid w:val="008C2053"/>
    <w:rsid w:val="008C365B"/>
    <w:rsid w:val="008C3989"/>
    <w:rsid w:val="008C3D79"/>
    <w:rsid w:val="008C3D8C"/>
    <w:rsid w:val="008C4FBF"/>
    <w:rsid w:val="008C5578"/>
    <w:rsid w:val="008D1083"/>
    <w:rsid w:val="008D11F8"/>
    <w:rsid w:val="008D2091"/>
    <w:rsid w:val="008D231D"/>
    <w:rsid w:val="008D5E57"/>
    <w:rsid w:val="008D6D4E"/>
    <w:rsid w:val="008E03CF"/>
    <w:rsid w:val="008E2C67"/>
    <w:rsid w:val="008E3E02"/>
    <w:rsid w:val="008E5885"/>
    <w:rsid w:val="008E6570"/>
    <w:rsid w:val="008E6836"/>
    <w:rsid w:val="008E7BE9"/>
    <w:rsid w:val="008F1397"/>
    <w:rsid w:val="008F1D59"/>
    <w:rsid w:val="008F319B"/>
    <w:rsid w:val="008F4491"/>
    <w:rsid w:val="008F5409"/>
    <w:rsid w:val="008F6BFB"/>
    <w:rsid w:val="008F6DAA"/>
    <w:rsid w:val="008F72D9"/>
    <w:rsid w:val="009000AF"/>
    <w:rsid w:val="00900981"/>
    <w:rsid w:val="009030C3"/>
    <w:rsid w:val="009031DE"/>
    <w:rsid w:val="009052A0"/>
    <w:rsid w:val="00905D07"/>
    <w:rsid w:val="00906A2C"/>
    <w:rsid w:val="00907E4F"/>
    <w:rsid w:val="009125E1"/>
    <w:rsid w:val="009127CA"/>
    <w:rsid w:val="00915D94"/>
    <w:rsid w:val="0091706D"/>
    <w:rsid w:val="00920402"/>
    <w:rsid w:val="0092100F"/>
    <w:rsid w:val="00921059"/>
    <w:rsid w:val="009213E8"/>
    <w:rsid w:val="009263F9"/>
    <w:rsid w:val="00927AB6"/>
    <w:rsid w:val="009313EC"/>
    <w:rsid w:val="00931729"/>
    <w:rsid w:val="00933907"/>
    <w:rsid w:val="00935503"/>
    <w:rsid w:val="00937393"/>
    <w:rsid w:val="0094108C"/>
    <w:rsid w:val="009435EE"/>
    <w:rsid w:val="0094369A"/>
    <w:rsid w:val="00943D09"/>
    <w:rsid w:val="009441FE"/>
    <w:rsid w:val="00946CD0"/>
    <w:rsid w:val="00946FF7"/>
    <w:rsid w:val="009475FB"/>
    <w:rsid w:val="00950302"/>
    <w:rsid w:val="0095040D"/>
    <w:rsid w:val="00953579"/>
    <w:rsid w:val="009545CE"/>
    <w:rsid w:val="00954716"/>
    <w:rsid w:val="00957922"/>
    <w:rsid w:val="00957E7C"/>
    <w:rsid w:val="00960095"/>
    <w:rsid w:val="00961025"/>
    <w:rsid w:val="009628C9"/>
    <w:rsid w:val="00963924"/>
    <w:rsid w:val="009711AE"/>
    <w:rsid w:val="009722EB"/>
    <w:rsid w:val="00974333"/>
    <w:rsid w:val="0097506E"/>
    <w:rsid w:val="00975FAE"/>
    <w:rsid w:val="0097602D"/>
    <w:rsid w:val="009771CE"/>
    <w:rsid w:val="00981365"/>
    <w:rsid w:val="009813C4"/>
    <w:rsid w:val="00984766"/>
    <w:rsid w:val="00986BF0"/>
    <w:rsid w:val="00986EC8"/>
    <w:rsid w:val="00987851"/>
    <w:rsid w:val="009904AA"/>
    <w:rsid w:val="00990624"/>
    <w:rsid w:val="00990857"/>
    <w:rsid w:val="009941A4"/>
    <w:rsid w:val="0099440C"/>
    <w:rsid w:val="00997A01"/>
    <w:rsid w:val="009A01D3"/>
    <w:rsid w:val="009A18E6"/>
    <w:rsid w:val="009A21D7"/>
    <w:rsid w:val="009A3B11"/>
    <w:rsid w:val="009A53CB"/>
    <w:rsid w:val="009A53FA"/>
    <w:rsid w:val="009A5F2C"/>
    <w:rsid w:val="009A6FFA"/>
    <w:rsid w:val="009B1968"/>
    <w:rsid w:val="009B3B6F"/>
    <w:rsid w:val="009B45A9"/>
    <w:rsid w:val="009B473A"/>
    <w:rsid w:val="009B510C"/>
    <w:rsid w:val="009B551A"/>
    <w:rsid w:val="009B55C2"/>
    <w:rsid w:val="009B5BB9"/>
    <w:rsid w:val="009B6941"/>
    <w:rsid w:val="009B6DF2"/>
    <w:rsid w:val="009B754C"/>
    <w:rsid w:val="009C356C"/>
    <w:rsid w:val="009C3BDE"/>
    <w:rsid w:val="009C5642"/>
    <w:rsid w:val="009C5B46"/>
    <w:rsid w:val="009C77BD"/>
    <w:rsid w:val="009D1A0E"/>
    <w:rsid w:val="009D2F09"/>
    <w:rsid w:val="009D36DD"/>
    <w:rsid w:val="009D3DB8"/>
    <w:rsid w:val="009D4609"/>
    <w:rsid w:val="009E2B96"/>
    <w:rsid w:val="009E2C3F"/>
    <w:rsid w:val="009E3EDA"/>
    <w:rsid w:val="009E4D7F"/>
    <w:rsid w:val="009E540A"/>
    <w:rsid w:val="009E6FF4"/>
    <w:rsid w:val="009F10E2"/>
    <w:rsid w:val="009F2450"/>
    <w:rsid w:val="009F338F"/>
    <w:rsid w:val="009F3502"/>
    <w:rsid w:val="009F3802"/>
    <w:rsid w:val="009F39F1"/>
    <w:rsid w:val="009F502D"/>
    <w:rsid w:val="00A000A8"/>
    <w:rsid w:val="00A00222"/>
    <w:rsid w:val="00A00663"/>
    <w:rsid w:val="00A0301B"/>
    <w:rsid w:val="00A0302A"/>
    <w:rsid w:val="00A07327"/>
    <w:rsid w:val="00A10239"/>
    <w:rsid w:val="00A107BB"/>
    <w:rsid w:val="00A10AC6"/>
    <w:rsid w:val="00A11D55"/>
    <w:rsid w:val="00A11E06"/>
    <w:rsid w:val="00A12114"/>
    <w:rsid w:val="00A126B9"/>
    <w:rsid w:val="00A12A0B"/>
    <w:rsid w:val="00A1434F"/>
    <w:rsid w:val="00A20A50"/>
    <w:rsid w:val="00A221B4"/>
    <w:rsid w:val="00A2316C"/>
    <w:rsid w:val="00A251B3"/>
    <w:rsid w:val="00A2613E"/>
    <w:rsid w:val="00A26DEB"/>
    <w:rsid w:val="00A32896"/>
    <w:rsid w:val="00A344FE"/>
    <w:rsid w:val="00A35A48"/>
    <w:rsid w:val="00A35DCE"/>
    <w:rsid w:val="00A37243"/>
    <w:rsid w:val="00A37541"/>
    <w:rsid w:val="00A414ED"/>
    <w:rsid w:val="00A4267A"/>
    <w:rsid w:val="00A43221"/>
    <w:rsid w:val="00A4495A"/>
    <w:rsid w:val="00A50754"/>
    <w:rsid w:val="00A5165E"/>
    <w:rsid w:val="00A51C93"/>
    <w:rsid w:val="00A5325E"/>
    <w:rsid w:val="00A5364C"/>
    <w:rsid w:val="00A554B2"/>
    <w:rsid w:val="00A5560C"/>
    <w:rsid w:val="00A561A0"/>
    <w:rsid w:val="00A60F52"/>
    <w:rsid w:val="00A62803"/>
    <w:rsid w:val="00A6357B"/>
    <w:rsid w:val="00A637FC"/>
    <w:rsid w:val="00A65DB1"/>
    <w:rsid w:val="00A70893"/>
    <w:rsid w:val="00A70D76"/>
    <w:rsid w:val="00A71F49"/>
    <w:rsid w:val="00A72141"/>
    <w:rsid w:val="00A723DF"/>
    <w:rsid w:val="00A72F8D"/>
    <w:rsid w:val="00A7328B"/>
    <w:rsid w:val="00A73CB0"/>
    <w:rsid w:val="00A7490F"/>
    <w:rsid w:val="00A76787"/>
    <w:rsid w:val="00A76C3C"/>
    <w:rsid w:val="00A8015D"/>
    <w:rsid w:val="00A8445D"/>
    <w:rsid w:val="00A8469B"/>
    <w:rsid w:val="00A863D7"/>
    <w:rsid w:val="00A86F4F"/>
    <w:rsid w:val="00A87948"/>
    <w:rsid w:val="00A87F5F"/>
    <w:rsid w:val="00A902AB"/>
    <w:rsid w:val="00A92327"/>
    <w:rsid w:val="00A9330B"/>
    <w:rsid w:val="00A93B6A"/>
    <w:rsid w:val="00A95C5C"/>
    <w:rsid w:val="00A96CE3"/>
    <w:rsid w:val="00AA0AD2"/>
    <w:rsid w:val="00AA2A0F"/>
    <w:rsid w:val="00AB0B17"/>
    <w:rsid w:val="00AB1BDE"/>
    <w:rsid w:val="00AB1F1D"/>
    <w:rsid w:val="00AB1FFB"/>
    <w:rsid w:val="00AB2686"/>
    <w:rsid w:val="00AB271A"/>
    <w:rsid w:val="00AB2D6B"/>
    <w:rsid w:val="00AB573A"/>
    <w:rsid w:val="00AC0639"/>
    <w:rsid w:val="00AC0B1B"/>
    <w:rsid w:val="00AC246A"/>
    <w:rsid w:val="00AC29FF"/>
    <w:rsid w:val="00AC5568"/>
    <w:rsid w:val="00AC60EA"/>
    <w:rsid w:val="00AC6DFD"/>
    <w:rsid w:val="00AC78A6"/>
    <w:rsid w:val="00AD16FD"/>
    <w:rsid w:val="00AD3C1F"/>
    <w:rsid w:val="00AD4210"/>
    <w:rsid w:val="00AD5D6F"/>
    <w:rsid w:val="00AD6F0E"/>
    <w:rsid w:val="00AE028A"/>
    <w:rsid w:val="00AE1BCA"/>
    <w:rsid w:val="00AE1C67"/>
    <w:rsid w:val="00AE39CE"/>
    <w:rsid w:val="00AE3D54"/>
    <w:rsid w:val="00AE6A98"/>
    <w:rsid w:val="00AE7150"/>
    <w:rsid w:val="00AE7586"/>
    <w:rsid w:val="00AF1AA7"/>
    <w:rsid w:val="00AF306A"/>
    <w:rsid w:val="00AF38C8"/>
    <w:rsid w:val="00AF521B"/>
    <w:rsid w:val="00B00DA6"/>
    <w:rsid w:val="00B02A26"/>
    <w:rsid w:val="00B02CB5"/>
    <w:rsid w:val="00B042A5"/>
    <w:rsid w:val="00B0576A"/>
    <w:rsid w:val="00B073C7"/>
    <w:rsid w:val="00B127E9"/>
    <w:rsid w:val="00B13F8A"/>
    <w:rsid w:val="00B16116"/>
    <w:rsid w:val="00B210B7"/>
    <w:rsid w:val="00B259BB"/>
    <w:rsid w:val="00B25AA6"/>
    <w:rsid w:val="00B318CA"/>
    <w:rsid w:val="00B31A74"/>
    <w:rsid w:val="00B328FC"/>
    <w:rsid w:val="00B3431A"/>
    <w:rsid w:val="00B34372"/>
    <w:rsid w:val="00B3774A"/>
    <w:rsid w:val="00B41886"/>
    <w:rsid w:val="00B434BD"/>
    <w:rsid w:val="00B4395D"/>
    <w:rsid w:val="00B43D62"/>
    <w:rsid w:val="00B43E4B"/>
    <w:rsid w:val="00B45551"/>
    <w:rsid w:val="00B474AF"/>
    <w:rsid w:val="00B50A0E"/>
    <w:rsid w:val="00B512D6"/>
    <w:rsid w:val="00B5135C"/>
    <w:rsid w:val="00B519DB"/>
    <w:rsid w:val="00B5250D"/>
    <w:rsid w:val="00B538F8"/>
    <w:rsid w:val="00B53E04"/>
    <w:rsid w:val="00B541D5"/>
    <w:rsid w:val="00B56175"/>
    <w:rsid w:val="00B56473"/>
    <w:rsid w:val="00B57F5C"/>
    <w:rsid w:val="00B605C8"/>
    <w:rsid w:val="00B6255A"/>
    <w:rsid w:val="00B638EC"/>
    <w:rsid w:val="00B63AEE"/>
    <w:rsid w:val="00B63D03"/>
    <w:rsid w:val="00B6514D"/>
    <w:rsid w:val="00B65F4E"/>
    <w:rsid w:val="00B66D6A"/>
    <w:rsid w:val="00B700DE"/>
    <w:rsid w:val="00B713C9"/>
    <w:rsid w:val="00B71605"/>
    <w:rsid w:val="00B71D3D"/>
    <w:rsid w:val="00B72A47"/>
    <w:rsid w:val="00B72F9B"/>
    <w:rsid w:val="00B740D5"/>
    <w:rsid w:val="00B8161D"/>
    <w:rsid w:val="00B81657"/>
    <w:rsid w:val="00B819B3"/>
    <w:rsid w:val="00B81A8E"/>
    <w:rsid w:val="00B81EE4"/>
    <w:rsid w:val="00B8370F"/>
    <w:rsid w:val="00B84E2E"/>
    <w:rsid w:val="00B854D0"/>
    <w:rsid w:val="00B85D61"/>
    <w:rsid w:val="00B85DC8"/>
    <w:rsid w:val="00B871D9"/>
    <w:rsid w:val="00B906DE"/>
    <w:rsid w:val="00B90E72"/>
    <w:rsid w:val="00B92374"/>
    <w:rsid w:val="00B92D36"/>
    <w:rsid w:val="00B92ECD"/>
    <w:rsid w:val="00B933E3"/>
    <w:rsid w:val="00B9664F"/>
    <w:rsid w:val="00B96B9D"/>
    <w:rsid w:val="00BA0A1A"/>
    <w:rsid w:val="00BA18B3"/>
    <w:rsid w:val="00BA2530"/>
    <w:rsid w:val="00BA256D"/>
    <w:rsid w:val="00BA3928"/>
    <w:rsid w:val="00BA3CA4"/>
    <w:rsid w:val="00BA544A"/>
    <w:rsid w:val="00BA5CDF"/>
    <w:rsid w:val="00BA63EF"/>
    <w:rsid w:val="00BB0F4C"/>
    <w:rsid w:val="00BB14CB"/>
    <w:rsid w:val="00BB1678"/>
    <w:rsid w:val="00BB35BA"/>
    <w:rsid w:val="00BB6280"/>
    <w:rsid w:val="00BC1C6A"/>
    <w:rsid w:val="00BC2281"/>
    <w:rsid w:val="00BC28A7"/>
    <w:rsid w:val="00BC3F2E"/>
    <w:rsid w:val="00BD00E2"/>
    <w:rsid w:val="00BD0631"/>
    <w:rsid w:val="00BD17A8"/>
    <w:rsid w:val="00BD3654"/>
    <w:rsid w:val="00BD39C7"/>
    <w:rsid w:val="00BD3BC7"/>
    <w:rsid w:val="00BD455F"/>
    <w:rsid w:val="00BD4E53"/>
    <w:rsid w:val="00BD5952"/>
    <w:rsid w:val="00BD6D5C"/>
    <w:rsid w:val="00BE05A8"/>
    <w:rsid w:val="00BE178F"/>
    <w:rsid w:val="00BE1B30"/>
    <w:rsid w:val="00BE29A4"/>
    <w:rsid w:val="00BE479F"/>
    <w:rsid w:val="00BE7DAF"/>
    <w:rsid w:val="00BF0500"/>
    <w:rsid w:val="00BF3F0C"/>
    <w:rsid w:val="00BF624E"/>
    <w:rsid w:val="00C00240"/>
    <w:rsid w:val="00C00BAD"/>
    <w:rsid w:val="00C04A8B"/>
    <w:rsid w:val="00C0662B"/>
    <w:rsid w:val="00C070AB"/>
    <w:rsid w:val="00C07CDF"/>
    <w:rsid w:val="00C105B5"/>
    <w:rsid w:val="00C11669"/>
    <w:rsid w:val="00C1309B"/>
    <w:rsid w:val="00C132DF"/>
    <w:rsid w:val="00C13AD2"/>
    <w:rsid w:val="00C16015"/>
    <w:rsid w:val="00C170A0"/>
    <w:rsid w:val="00C218E2"/>
    <w:rsid w:val="00C229CD"/>
    <w:rsid w:val="00C22E91"/>
    <w:rsid w:val="00C23C88"/>
    <w:rsid w:val="00C24CAB"/>
    <w:rsid w:val="00C25D47"/>
    <w:rsid w:val="00C25ED6"/>
    <w:rsid w:val="00C30D3E"/>
    <w:rsid w:val="00C31C7E"/>
    <w:rsid w:val="00C35216"/>
    <w:rsid w:val="00C402AB"/>
    <w:rsid w:val="00C423CB"/>
    <w:rsid w:val="00C43130"/>
    <w:rsid w:val="00C44935"/>
    <w:rsid w:val="00C4576C"/>
    <w:rsid w:val="00C464E6"/>
    <w:rsid w:val="00C501D3"/>
    <w:rsid w:val="00C507E9"/>
    <w:rsid w:val="00C50B4B"/>
    <w:rsid w:val="00C50C31"/>
    <w:rsid w:val="00C516C1"/>
    <w:rsid w:val="00C51758"/>
    <w:rsid w:val="00C51B0C"/>
    <w:rsid w:val="00C51C7F"/>
    <w:rsid w:val="00C555A9"/>
    <w:rsid w:val="00C55616"/>
    <w:rsid w:val="00C561A7"/>
    <w:rsid w:val="00C57BCE"/>
    <w:rsid w:val="00C60073"/>
    <w:rsid w:val="00C6123D"/>
    <w:rsid w:val="00C61BC7"/>
    <w:rsid w:val="00C620EE"/>
    <w:rsid w:val="00C625CD"/>
    <w:rsid w:val="00C6331D"/>
    <w:rsid w:val="00C63994"/>
    <w:rsid w:val="00C63B00"/>
    <w:rsid w:val="00C63D46"/>
    <w:rsid w:val="00C6546D"/>
    <w:rsid w:val="00C66335"/>
    <w:rsid w:val="00C705C6"/>
    <w:rsid w:val="00C7114B"/>
    <w:rsid w:val="00C71A5F"/>
    <w:rsid w:val="00C73280"/>
    <w:rsid w:val="00C734CF"/>
    <w:rsid w:val="00C751A8"/>
    <w:rsid w:val="00C75BBA"/>
    <w:rsid w:val="00C828AA"/>
    <w:rsid w:val="00C83840"/>
    <w:rsid w:val="00C8517F"/>
    <w:rsid w:val="00C85432"/>
    <w:rsid w:val="00C869CD"/>
    <w:rsid w:val="00C906EF"/>
    <w:rsid w:val="00C93FED"/>
    <w:rsid w:val="00C95A0A"/>
    <w:rsid w:val="00C95C36"/>
    <w:rsid w:val="00C96024"/>
    <w:rsid w:val="00C9628E"/>
    <w:rsid w:val="00CA2256"/>
    <w:rsid w:val="00CA23B2"/>
    <w:rsid w:val="00CA2698"/>
    <w:rsid w:val="00CA764F"/>
    <w:rsid w:val="00CA7FA1"/>
    <w:rsid w:val="00CB1BA9"/>
    <w:rsid w:val="00CB1C4F"/>
    <w:rsid w:val="00CB2F30"/>
    <w:rsid w:val="00CB31CD"/>
    <w:rsid w:val="00CB5154"/>
    <w:rsid w:val="00CB5351"/>
    <w:rsid w:val="00CB7876"/>
    <w:rsid w:val="00CC0B98"/>
    <w:rsid w:val="00CC0BEE"/>
    <w:rsid w:val="00CC1AAD"/>
    <w:rsid w:val="00CC3399"/>
    <w:rsid w:val="00CC558A"/>
    <w:rsid w:val="00CC5A5E"/>
    <w:rsid w:val="00CD2489"/>
    <w:rsid w:val="00CD428C"/>
    <w:rsid w:val="00CD4492"/>
    <w:rsid w:val="00CD5CB0"/>
    <w:rsid w:val="00CD5D99"/>
    <w:rsid w:val="00CD67EC"/>
    <w:rsid w:val="00CD6FA9"/>
    <w:rsid w:val="00CD7BBD"/>
    <w:rsid w:val="00CE0129"/>
    <w:rsid w:val="00CE05E5"/>
    <w:rsid w:val="00CE0C81"/>
    <w:rsid w:val="00CE2119"/>
    <w:rsid w:val="00CE39F8"/>
    <w:rsid w:val="00CE5F55"/>
    <w:rsid w:val="00CE6313"/>
    <w:rsid w:val="00CF051C"/>
    <w:rsid w:val="00CF18E2"/>
    <w:rsid w:val="00CF1DE7"/>
    <w:rsid w:val="00CF27B7"/>
    <w:rsid w:val="00CF5211"/>
    <w:rsid w:val="00CF5F19"/>
    <w:rsid w:val="00CF67C1"/>
    <w:rsid w:val="00D0133E"/>
    <w:rsid w:val="00D01351"/>
    <w:rsid w:val="00D024EA"/>
    <w:rsid w:val="00D0321A"/>
    <w:rsid w:val="00D03794"/>
    <w:rsid w:val="00D043E0"/>
    <w:rsid w:val="00D05C52"/>
    <w:rsid w:val="00D10612"/>
    <w:rsid w:val="00D14F07"/>
    <w:rsid w:val="00D208A0"/>
    <w:rsid w:val="00D22B0A"/>
    <w:rsid w:val="00D24DA3"/>
    <w:rsid w:val="00D25553"/>
    <w:rsid w:val="00D26825"/>
    <w:rsid w:val="00D27312"/>
    <w:rsid w:val="00D27663"/>
    <w:rsid w:val="00D30EC2"/>
    <w:rsid w:val="00D3219B"/>
    <w:rsid w:val="00D334A3"/>
    <w:rsid w:val="00D335CD"/>
    <w:rsid w:val="00D36A90"/>
    <w:rsid w:val="00D3763D"/>
    <w:rsid w:val="00D43483"/>
    <w:rsid w:val="00D43FE6"/>
    <w:rsid w:val="00D44457"/>
    <w:rsid w:val="00D46BD0"/>
    <w:rsid w:val="00D51347"/>
    <w:rsid w:val="00D51F8E"/>
    <w:rsid w:val="00D52732"/>
    <w:rsid w:val="00D52819"/>
    <w:rsid w:val="00D52AE8"/>
    <w:rsid w:val="00D56668"/>
    <w:rsid w:val="00D571C1"/>
    <w:rsid w:val="00D63D4C"/>
    <w:rsid w:val="00D63F81"/>
    <w:rsid w:val="00D64301"/>
    <w:rsid w:val="00D6515D"/>
    <w:rsid w:val="00D65FC3"/>
    <w:rsid w:val="00D678AC"/>
    <w:rsid w:val="00D700B3"/>
    <w:rsid w:val="00D7181C"/>
    <w:rsid w:val="00D727F7"/>
    <w:rsid w:val="00D75AA1"/>
    <w:rsid w:val="00D75F4B"/>
    <w:rsid w:val="00D75F54"/>
    <w:rsid w:val="00D76204"/>
    <w:rsid w:val="00D76362"/>
    <w:rsid w:val="00D76813"/>
    <w:rsid w:val="00D76EC4"/>
    <w:rsid w:val="00D775D7"/>
    <w:rsid w:val="00D8105F"/>
    <w:rsid w:val="00D86FDF"/>
    <w:rsid w:val="00D90A8C"/>
    <w:rsid w:val="00D91E9C"/>
    <w:rsid w:val="00D92493"/>
    <w:rsid w:val="00D93DFB"/>
    <w:rsid w:val="00D9419B"/>
    <w:rsid w:val="00DA1828"/>
    <w:rsid w:val="00DA3AA2"/>
    <w:rsid w:val="00DA4732"/>
    <w:rsid w:val="00DA4C9A"/>
    <w:rsid w:val="00DA4DD9"/>
    <w:rsid w:val="00DA783E"/>
    <w:rsid w:val="00DA7BEF"/>
    <w:rsid w:val="00DB1640"/>
    <w:rsid w:val="00DB2932"/>
    <w:rsid w:val="00DB6C79"/>
    <w:rsid w:val="00DC0507"/>
    <w:rsid w:val="00DC0D3F"/>
    <w:rsid w:val="00DC1EBF"/>
    <w:rsid w:val="00DC3839"/>
    <w:rsid w:val="00DC44B0"/>
    <w:rsid w:val="00DC4766"/>
    <w:rsid w:val="00DC4CBF"/>
    <w:rsid w:val="00DC4D8B"/>
    <w:rsid w:val="00DC67FF"/>
    <w:rsid w:val="00DC6D04"/>
    <w:rsid w:val="00DC732F"/>
    <w:rsid w:val="00DD19D5"/>
    <w:rsid w:val="00DD3326"/>
    <w:rsid w:val="00DD3FF0"/>
    <w:rsid w:val="00DE02E4"/>
    <w:rsid w:val="00DE0554"/>
    <w:rsid w:val="00DE0F90"/>
    <w:rsid w:val="00DE1A2E"/>
    <w:rsid w:val="00DE22BA"/>
    <w:rsid w:val="00DE44D8"/>
    <w:rsid w:val="00DF0B18"/>
    <w:rsid w:val="00DF20B7"/>
    <w:rsid w:val="00DF229A"/>
    <w:rsid w:val="00DF27EE"/>
    <w:rsid w:val="00DF353F"/>
    <w:rsid w:val="00DF6DF6"/>
    <w:rsid w:val="00DF7EB8"/>
    <w:rsid w:val="00E0194D"/>
    <w:rsid w:val="00E02914"/>
    <w:rsid w:val="00E02ACA"/>
    <w:rsid w:val="00E02CAF"/>
    <w:rsid w:val="00E03114"/>
    <w:rsid w:val="00E04424"/>
    <w:rsid w:val="00E0476C"/>
    <w:rsid w:val="00E04B1C"/>
    <w:rsid w:val="00E04C8D"/>
    <w:rsid w:val="00E05DD4"/>
    <w:rsid w:val="00E07EE7"/>
    <w:rsid w:val="00E13C5A"/>
    <w:rsid w:val="00E15E5C"/>
    <w:rsid w:val="00E15F0A"/>
    <w:rsid w:val="00E16BCF"/>
    <w:rsid w:val="00E2050C"/>
    <w:rsid w:val="00E2148E"/>
    <w:rsid w:val="00E23883"/>
    <w:rsid w:val="00E23AF2"/>
    <w:rsid w:val="00E242BF"/>
    <w:rsid w:val="00E27208"/>
    <w:rsid w:val="00E27D9F"/>
    <w:rsid w:val="00E30001"/>
    <w:rsid w:val="00E30374"/>
    <w:rsid w:val="00E31272"/>
    <w:rsid w:val="00E313E7"/>
    <w:rsid w:val="00E32C04"/>
    <w:rsid w:val="00E32F28"/>
    <w:rsid w:val="00E34470"/>
    <w:rsid w:val="00E35603"/>
    <w:rsid w:val="00E359AD"/>
    <w:rsid w:val="00E35F91"/>
    <w:rsid w:val="00E360FB"/>
    <w:rsid w:val="00E363E4"/>
    <w:rsid w:val="00E3663E"/>
    <w:rsid w:val="00E36931"/>
    <w:rsid w:val="00E376BC"/>
    <w:rsid w:val="00E37904"/>
    <w:rsid w:val="00E40418"/>
    <w:rsid w:val="00E413CE"/>
    <w:rsid w:val="00E41947"/>
    <w:rsid w:val="00E4195D"/>
    <w:rsid w:val="00E44F3F"/>
    <w:rsid w:val="00E4508F"/>
    <w:rsid w:val="00E4678B"/>
    <w:rsid w:val="00E47703"/>
    <w:rsid w:val="00E500A0"/>
    <w:rsid w:val="00E509BA"/>
    <w:rsid w:val="00E525D8"/>
    <w:rsid w:val="00E526EB"/>
    <w:rsid w:val="00E52EA4"/>
    <w:rsid w:val="00E534D2"/>
    <w:rsid w:val="00E54E00"/>
    <w:rsid w:val="00E565A3"/>
    <w:rsid w:val="00E5749D"/>
    <w:rsid w:val="00E61494"/>
    <w:rsid w:val="00E62557"/>
    <w:rsid w:val="00E62BF7"/>
    <w:rsid w:val="00E62DB0"/>
    <w:rsid w:val="00E65688"/>
    <w:rsid w:val="00E662F6"/>
    <w:rsid w:val="00E66DA4"/>
    <w:rsid w:val="00E70653"/>
    <w:rsid w:val="00E70EBF"/>
    <w:rsid w:val="00E7146C"/>
    <w:rsid w:val="00E72ECB"/>
    <w:rsid w:val="00E7317A"/>
    <w:rsid w:val="00E73292"/>
    <w:rsid w:val="00E733DB"/>
    <w:rsid w:val="00E736F4"/>
    <w:rsid w:val="00E75376"/>
    <w:rsid w:val="00E7641F"/>
    <w:rsid w:val="00E83736"/>
    <w:rsid w:val="00E85AA3"/>
    <w:rsid w:val="00E8701C"/>
    <w:rsid w:val="00E92602"/>
    <w:rsid w:val="00E93BE3"/>
    <w:rsid w:val="00E95F89"/>
    <w:rsid w:val="00E95FB8"/>
    <w:rsid w:val="00E96967"/>
    <w:rsid w:val="00E96EB8"/>
    <w:rsid w:val="00E973C3"/>
    <w:rsid w:val="00E97B80"/>
    <w:rsid w:val="00E97F22"/>
    <w:rsid w:val="00EA0452"/>
    <w:rsid w:val="00EA0ED6"/>
    <w:rsid w:val="00EA1ED3"/>
    <w:rsid w:val="00EA2E1B"/>
    <w:rsid w:val="00EA2EAD"/>
    <w:rsid w:val="00EA45D6"/>
    <w:rsid w:val="00EA68B8"/>
    <w:rsid w:val="00EA69D4"/>
    <w:rsid w:val="00EA6EE3"/>
    <w:rsid w:val="00EA732C"/>
    <w:rsid w:val="00EA7484"/>
    <w:rsid w:val="00EB19D7"/>
    <w:rsid w:val="00EB1D8B"/>
    <w:rsid w:val="00EB3CC7"/>
    <w:rsid w:val="00EB5511"/>
    <w:rsid w:val="00EB5C67"/>
    <w:rsid w:val="00EC2F24"/>
    <w:rsid w:val="00EC32E9"/>
    <w:rsid w:val="00EC36F2"/>
    <w:rsid w:val="00EC3E11"/>
    <w:rsid w:val="00EC42B7"/>
    <w:rsid w:val="00EC47EB"/>
    <w:rsid w:val="00EC7968"/>
    <w:rsid w:val="00EC7A97"/>
    <w:rsid w:val="00EC7D6C"/>
    <w:rsid w:val="00ED0153"/>
    <w:rsid w:val="00ED1A8C"/>
    <w:rsid w:val="00ED3AB3"/>
    <w:rsid w:val="00ED6333"/>
    <w:rsid w:val="00ED7308"/>
    <w:rsid w:val="00EE089F"/>
    <w:rsid w:val="00EE3A53"/>
    <w:rsid w:val="00EE65C5"/>
    <w:rsid w:val="00EF0A3D"/>
    <w:rsid w:val="00EF0A8A"/>
    <w:rsid w:val="00EF45FE"/>
    <w:rsid w:val="00EF4A6A"/>
    <w:rsid w:val="00EF50A4"/>
    <w:rsid w:val="00F04173"/>
    <w:rsid w:val="00F05518"/>
    <w:rsid w:val="00F05DC8"/>
    <w:rsid w:val="00F10377"/>
    <w:rsid w:val="00F144FF"/>
    <w:rsid w:val="00F15094"/>
    <w:rsid w:val="00F15170"/>
    <w:rsid w:val="00F154A7"/>
    <w:rsid w:val="00F161A7"/>
    <w:rsid w:val="00F16A67"/>
    <w:rsid w:val="00F17FBD"/>
    <w:rsid w:val="00F20A2B"/>
    <w:rsid w:val="00F23580"/>
    <w:rsid w:val="00F2415B"/>
    <w:rsid w:val="00F2569B"/>
    <w:rsid w:val="00F25BC6"/>
    <w:rsid w:val="00F26568"/>
    <w:rsid w:val="00F26C0E"/>
    <w:rsid w:val="00F26CC7"/>
    <w:rsid w:val="00F26F8C"/>
    <w:rsid w:val="00F31B5C"/>
    <w:rsid w:val="00F36500"/>
    <w:rsid w:val="00F44DE3"/>
    <w:rsid w:val="00F45AA6"/>
    <w:rsid w:val="00F4718B"/>
    <w:rsid w:val="00F47813"/>
    <w:rsid w:val="00F479F5"/>
    <w:rsid w:val="00F511F6"/>
    <w:rsid w:val="00F52E31"/>
    <w:rsid w:val="00F5304F"/>
    <w:rsid w:val="00F545AA"/>
    <w:rsid w:val="00F54ED2"/>
    <w:rsid w:val="00F57440"/>
    <w:rsid w:val="00F6544C"/>
    <w:rsid w:val="00F6626E"/>
    <w:rsid w:val="00F66726"/>
    <w:rsid w:val="00F66991"/>
    <w:rsid w:val="00F67F43"/>
    <w:rsid w:val="00F71E3E"/>
    <w:rsid w:val="00F7256E"/>
    <w:rsid w:val="00F735BD"/>
    <w:rsid w:val="00F7451B"/>
    <w:rsid w:val="00F7746A"/>
    <w:rsid w:val="00F80337"/>
    <w:rsid w:val="00F80FE3"/>
    <w:rsid w:val="00F81118"/>
    <w:rsid w:val="00F81CBA"/>
    <w:rsid w:val="00F82935"/>
    <w:rsid w:val="00F82C61"/>
    <w:rsid w:val="00F82C8E"/>
    <w:rsid w:val="00F83463"/>
    <w:rsid w:val="00F842F0"/>
    <w:rsid w:val="00F84970"/>
    <w:rsid w:val="00F84CB9"/>
    <w:rsid w:val="00F84FF7"/>
    <w:rsid w:val="00F86651"/>
    <w:rsid w:val="00F90CAB"/>
    <w:rsid w:val="00F91CD9"/>
    <w:rsid w:val="00F9402C"/>
    <w:rsid w:val="00F9422F"/>
    <w:rsid w:val="00F96739"/>
    <w:rsid w:val="00FA368C"/>
    <w:rsid w:val="00FA3BEF"/>
    <w:rsid w:val="00FA46DF"/>
    <w:rsid w:val="00FA4A1E"/>
    <w:rsid w:val="00FA79BA"/>
    <w:rsid w:val="00FB0B2D"/>
    <w:rsid w:val="00FB0D2D"/>
    <w:rsid w:val="00FB20B3"/>
    <w:rsid w:val="00FB29E6"/>
    <w:rsid w:val="00FB3C30"/>
    <w:rsid w:val="00FC25C6"/>
    <w:rsid w:val="00FC2E8E"/>
    <w:rsid w:val="00FC31E8"/>
    <w:rsid w:val="00FC3D51"/>
    <w:rsid w:val="00FC5D26"/>
    <w:rsid w:val="00FC7C1E"/>
    <w:rsid w:val="00FD0770"/>
    <w:rsid w:val="00FD0DA7"/>
    <w:rsid w:val="00FD0E27"/>
    <w:rsid w:val="00FD1690"/>
    <w:rsid w:val="00FD2A14"/>
    <w:rsid w:val="00FD3554"/>
    <w:rsid w:val="00FD48CA"/>
    <w:rsid w:val="00FD51FA"/>
    <w:rsid w:val="00FD5275"/>
    <w:rsid w:val="00FD5C34"/>
    <w:rsid w:val="00FD5F37"/>
    <w:rsid w:val="00FD78C3"/>
    <w:rsid w:val="00FD7C1B"/>
    <w:rsid w:val="00FE25B6"/>
    <w:rsid w:val="00FE2628"/>
    <w:rsid w:val="00FE2932"/>
    <w:rsid w:val="00FE348F"/>
    <w:rsid w:val="00FE517A"/>
    <w:rsid w:val="00FE7103"/>
    <w:rsid w:val="00FE78E4"/>
    <w:rsid w:val="00FF047F"/>
    <w:rsid w:val="00FF07E7"/>
    <w:rsid w:val="00FF1B07"/>
    <w:rsid w:val="00FF1E0C"/>
    <w:rsid w:val="00FF3028"/>
    <w:rsid w:val="00FF36D3"/>
    <w:rsid w:val="00FF3FBA"/>
    <w:rsid w:val="00FF744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92D44C"/>
  <w15:docId w15:val="{48F884B5-7E39-44CB-A636-B0C979FB4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247"/>
    <w:pPr>
      <w:jc w:val="both"/>
    </w:pPr>
    <w:rPr>
      <w:rFonts w:ascii="Arial" w:eastAsia="Times New Roman" w:hAnsi="Arial"/>
      <w:spacing w:val="-5"/>
      <w:lang w:eastAsia="en-US"/>
    </w:rPr>
  </w:style>
  <w:style w:type="paragraph" w:styleId="Ttulo1">
    <w:name w:val="heading 1"/>
    <w:basedOn w:val="Ttulo-base"/>
    <w:next w:val="Textoindependiente"/>
    <w:link w:val="Ttulo1Car"/>
    <w:uiPriority w:val="9"/>
    <w:qFormat/>
    <w:pPr>
      <w:spacing w:after="220"/>
      <w:jc w:val="left"/>
      <w:outlineLvl w:val="0"/>
    </w:pPr>
  </w:style>
  <w:style w:type="paragraph" w:styleId="Ttulo2">
    <w:name w:val="heading 2"/>
    <w:basedOn w:val="Ttulo-base"/>
    <w:next w:val="Textoindependiente"/>
    <w:qFormat/>
    <w:pPr>
      <w:jc w:val="left"/>
      <w:outlineLvl w:val="1"/>
    </w:pPr>
    <w:rPr>
      <w:sz w:val="18"/>
    </w:rPr>
  </w:style>
  <w:style w:type="paragraph" w:styleId="Ttulo3">
    <w:name w:val="heading 3"/>
    <w:basedOn w:val="Ttulo-base"/>
    <w:next w:val="Textoindependiente"/>
    <w:link w:val="Ttulo3Car"/>
    <w:qFormat/>
    <w:pPr>
      <w:spacing w:after="220"/>
      <w:jc w:val="left"/>
      <w:outlineLvl w:val="2"/>
    </w:pPr>
    <w:rPr>
      <w:rFonts w:ascii="Arial" w:hAnsi="Arial"/>
      <w:sz w:val="22"/>
    </w:rPr>
  </w:style>
  <w:style w:type="paragraph" w:styleId="Ttulo4">
    <w:name w:val="heading 4"/>
    <w:basedOn w:val="Ttulo-base"/>
    <w:next w:val="Textoindependiente"/>
    <w:link w:val="Ttulo4Car"/>
    <w:qFormat/>
    <w:pPr>
      <w:ind w:left="360"/>
      <w:outlineLvl w:val="3"/>
    </w:pPr>
    <w:rPr>
      <w:spacing w:val="-5"/>
      <w:sz w:val="18"/>
    </w:rPr>
  </w:style>
  <w:style w:type="paragraph" w:styleId="Ttulo5">
    <w:name w:val="heading 5"/>
    <w:basedOn w:val="Ttulo-base"/>
    <w:next w:val="Textoindependiente"/>
    <w:link w:val="Ttulo5Car"/>
    <w:qFormat/>
    <w:pPr>
      <w:ind w:left="720"/>
      <w:outlineLvl w:val="4"/>
    </w:pPr>
    <w:rPr>
      <w:spacing w:val="-5"/>
      <w:sz w:val="18"/>
    </w:rPr>
  </w:style>
  <w:style w:type="paragraph" w:styleId="Ttulo6">
    <w:name w:val="heading 6"/>
    <w:basedOn w:val="Ttulo-base"/>
    <w:next w:val="Textoindependiente"/>
    <w:link w:val="Ttulo6Car"/>
    <w:qFormat/>
    <w:pPr>
      <w:ind w:left="1080"/>
      <w:outlineLvl w:val="5"/>
    </w:pPr>
    <w:rPr>
      <w:spacing w:val="-5"/>
      <w:sz w:val="18"/>
    </w:rPr>
  </w:style>
  <w:style w:type="paragraph" w:styleId="Ttulo7">
    <w:name w:val="heading 7"/>
    <w:basedOn w:val="Normal"/>
    <w:next w:val="Normal"/>
    <w:qFormat/>
    <w:pPr>
      <w:spacing w:before="240" w:after="60"/>
      <w:outlineLvl w:val="6"/>
    </w:pPr>
    <w:rPr>
      <w:rFonts w:ascii="Times New Roman" w:hAnsi="Times New Roman"/>
      <w:sz w:val="24"/>
      <w:szCs w:val="24"/>
    </w:rPr>
  </w:style>
  <w:style w:type="paragraph" w:styleId="Ttulo8">
    <w:name w:val="heading 8"/>
    <w:basedOn w:val="Normal"/>
    <w:next w:val="Normal"/>
    <w:qFormat/>
    <w:pPr>
      <w:spacing w:before="240" w:after="60"/>
      <w:outlineLvl w:val="7"/>
    </w:pPr>
    <w:rPr>
      <w:rFonts w:ascii="Times New Roman" w:hAnsi="Times New Roman"/>
      <w:i/>
      <w:iCs/>
      <w:sz w:val="24"/>
      <w:szCs w:val="24"/>
    </w:rPr>
  </w:style>
  <w:style w:type="paragraph" w:styleId="Ttulo9">
    <w:name w:val="heading 9"/>
    <w:basedOn w:val="Normal"/>
    <w:next w:val="Normal"/>
    <w:qFormat/>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base">
    <w:name w:val="Título - base"/>
    <w:basedOn w:val="Normal"/>
    <w:next w:val="Textoindependiente"/>
    <w:pPr>
      <w:keepNext/>
      <w:keepLines/>
      <w:spacing w:line="220" w:lineRule="atLeast"/>
    </w:pPr>
    <w:rPr>
      <w:rFonts w:ascii="Arial Black" w:hAnsi="Arial Black"/>
      <w:spacing w:val="-10"/>
      <w:kern w:val="20"/>
    </w:rPr>
  </w:style>
  <w:style w:type="paragraph" w:styleId="Textoindependiente">
    <w:name w:val="Body Text"/>
    <w:basedOn w:val="Normal"/>
    <w:link w:val="TextoindependienteCar"/>
    <w:semiHidden/>
    <w:pPr>
      <w:spacing w:after="220" w:line="220" w:lineRule="atLeast"/>
    </w:pPr>
  </w:style>
  <w:style w:type="character" w:customStyle="1" w:styleId="TextoindependienteCar">
    <w:name w:val="Texto independiente Car"/>
    <w:basedOn w:val="Fuentedeprrafopredeter"/>
    <w:link w:val="Textoindependiente"/>
    <w:semiHidden/>
    <w:rsid w:val="00C07CDF"/>
    <w:rPr>
      <w:rFonts w:ascii="Arial" w:eastAsia="Times New Roman" w:hAnsi="Arial"/>
      <w:spacing w:val="-5"/>
      <w:lang w:eastAsia="en-US"/>
    </w:rPr>
  </w:style>
  <w:style w:type="paragraph" w:customStyle="1" w:styleId="Lneadeatencin">
    <w:name w:val="Línea de atención"/>
    <w:basedOn w:val="Normal"/>
    <w:next w:val="Saludo"/>
    <w:pPr>
      <w:spacing w:before="220" w:after="220" w:line="220" w:lineRule="atLeast"/>
    </w:pPr>
  </w:style>
  <w:style w:type="paragraph" w:styleId="Saludo">
    <w:name w:val="Salutation"/>
    <w:basedOn w:val="Normal"/>
    <w:next w:val="Lneadeasunto"/>
    <w:semiHidden/>
    <w:pPr>
      <w:spacing w:before="220" w:after="220" w:line="220" w:lineRule="atLeast"/>
      <w:jc w:val="left"/>
    </w:pPr>
  </w:style>
  <w:style w:type="paragraph" w:customStyle="1" w:styleId="Lneadeasunto">
    <w:name w:val="Línea de asunto"/>
    <w:basedOn w:val="Normal"/>
    <w:next w:val="Textoindependiente"/>
    <w:pPr>
      <w:spacing w:after="220" w:line="220" w:lineRule="atLeast"/>
      <w:jc w:val="left"/>
    </w:pPr>
    <w:rPr>
      <w:rFonts w:ascii="Arial Black" w:hAnsi="Arial Black"/>
      <w:spacing w:val="-10"/>
    </w:rPr>
  </w:style>
  <w:style w:type="paragraph" w:customStyle="1" w:styleId="ListaCC">
    <w:name w:val="Lista CC."/>
    <w:basedOn w:val="Normal"/>
    <w:pPr>
      <w:keepLines/>
      <w:spacing w:line="220" w:lineRule="atLeast"/>
      <w:ind w:left="360" w:hanging="360"/>
    </w:pPr>
  </w:style>
  <w:style w:type="paragraph" w:styleId="Cierre">
    <w:name w:val="Closing"/>
    <w:basedOn w:val="Normal"/>
    <w:next w:val="Firma"/>
    <w:semiHidden/>
    <w:pPr>
      <w:keepNext/>
      <w:spacing w:after="60" w:line="220" w:lineRule="atLeast"/>
    </w:pPr>
  </w:style>
  <w:style w:type="paragraph" w:styleId="Firma">
    <w:name w:val="Signature"/>
    <w:basedOn w:val="Normal"/>
    <w:next w:val="Firmapuesto"/>
    <w:semiHidden/>
    <w:pPr>
      <w:keepNext/>
      <w:spacing w:before="880" w:line="220" w:lineRule="atLeast"/>
      <w:jc w:val="left"/>
    </w:pPr>
  </w:style>
  <w:style w:type="paragraph" w:customStyle="1" w:styleId="Firmapuesto">
    <w:name w:val="Firma puesto"/>
    <w:basedOn w:val="Firma"/>
    <w:next w:val="Firmaorganizacin"/>
    <w:pPr>
      <w:spacing w:before="0"/>
    </w:pPr>
  </w:style>
  <w:style w:type="paragraph" w:customStyle="1" w:styleId="Firmaorganizacin">
    <w:name w:val="Firma organización"/>
    <w:basedOn w:val="Firma"/>
    <w:next w:val="Inicialesdereferencia"/>
    <w:pPr>
      <w:spacing w:before="0"/>
    </w:pPr>
  </w:style>
  <w:style w:type="paragraph" w:customStyle="1" w:styleId="Inicialesdereferencia">
    <w:name w:val="Iniciales de referencia"/>
    <w:basedOn w:val="Normal"/>
    <w:next w:val="Documentoadjunto"/>
    <w:pPr>
      <w:keepNext/>
      <w:keepLines/>
      <w:spacing w:before="220" w:line="220" w:lineRule="atLeast"/>
    </w:pPr>
  </w:style>
  <w:style w:type="paragraph" w:customStyle="1" w:styleId="Documentoadjunto">
    <w:name w:val="Documento adjunto"/>
    <w:basedOn w:val="Normal"/>
    <w:next w:val="ListaCC"/>
    <w:pPr>
      <w:keepNext/>
      <w:keepLines/>
      <w:spacing w:after="220" w:line="220" w:lineRule="atLeast"/>
    </w:pPr>
  </w:style>
  <w:style w:type="paragraph" w:customStyle="1" w:styleId="Organizacin">
    <w:name w:val="Organización"/>
    <w:basedOn w:val="Normal"/>
    <w:pPr>
      <w:framePr w:w="3845" w:h="1584" w:hSpace="187" w:vSpace="187" w:wrap="notBeside" w:vAnchor="page" w:hAnchor="margin" w:y="894" w:anchorLock="1"/>
      <w:spacing w:line="280" w:lineRule="atLeast"/>
    </w:pPr>
    <w:rPr>
      <w:rFonts w:ascii="Arial Black" w:hAnsi="Arial Black"/>
      <w:spacing w:val="-25"/>
      <w:sz w:val="32"/>
    </w:rPr>
  </w:style>
  <w:style w:type="paragraph" w:styleId="Fecha">
    <w:name w:val="Date"/>
    <w:basedOn w:val="Normal"/>
    <w:next w:val="Nombredireccininterior"/>
    <w:semiHidden/>
    <w:pPr>
      <w:spacing w:after="220" w:line="220" w:lineRule="atLeast"/>
    </w:pPr>
  </w:style>
  <w:style w:type="paragraph" w:customStyle="1" w:styleId="Nombredireccininterior">
    <w:name w:val="Nombre dirección interior"/>
    <w:basedOn w:val="Direccininterior"/>
    <w:next w:val="Direccininterior"/>
    <w:pPr>
      <w:spacing w:before="220"/>
    </w:pPr>
  </w:style>
  <w:style w:type="paragraph" w:customStyle="1" w:styleId="Direccininterior">
    <w:name w:val="Dirección interior"/>
    <w:basedOn w:val="Normal"/>
    <w:pPr>
      <w:spacing w:line="220" w:lineRule="atLeast"/>
    </w:pPr>
  </w:style>
  <w:style w:type="character" w:styleId="nfasis">
    <w:name w:val="Emphasis"/>
    <w:qFormat/>
    <w:rPr>
      <w:rFonts w:ascii="Arial Black" w:hAnsi="Arial Black"/>
      <w:sz w:val="18"/>
      <w:lang w:bidi="ar-SA"/>
    </w:rPr>
  </w:style>
  <w:style w:type="paragraph" w:customStyle="1" w:styleId="Instruccionesdecorreo">
    <w:name w:val="Instrucciones de correo"/>
    <w:basedOn w:val="Normal"/>
    <w:next w:val="Nombredireccininterior"/>
    <w:pPr>
      <w:spacing w:after="220" w:line="220" w:lineRule="atLeast"/>
    </w:pPr>
    <w:rPr>
      <w:caps/>
    </w:rPr>
  </w:style>
  <w:style w:type="paragraph" w:customStyle="1" w:styleId="Lneadereferencia">
    <w:name w:val="Línea de referencia"/>
    <w:basedOn w:val="Normal"/>
    <w:next w:val="Instruccionesdecorreo"/>
    <w:pPr>
      <w:spacing w:after="220" w:line="220" w:lineRule="atLeast"/>
      <w:jc w:val="left"/>
    </w:pPr>
  </w:style>
  <w:style w:type="paragraph" w:customStyle="1" w:styleId="Remite">
    <w:name w:val="Remite"/>
    <w:basedOn w:val="Normal"/>
    <w:pPr>
      <w:keepLines/>
      <w:framePr w:w="4320" w:h="965" w:hSpace="187" w:vSpace="187" w:wrap="notBeside" w:vAnchor="page" w:hAnchor="margin" w:xAlign="right" w:y="966" w:anchorLock="1"/>
      <w:tabs>
        <w:tab w:val="left" w:pos="2160"/>
      </w:tabs>
      <w:spacing w:line="160" w:lineRule="atLeast"/>
      <w:jc w:val="left"/>
    </w:pPr>
    <w:rPr>
      <w:spacing w:val="0"/>
      <w:sz w:val="14"/>
    </w:rPr>
  </w:style>
  <w:style w:type="character" w:customStyle="1" w:styleId="Eslogan">
    <w:name w:val="Eslogan"/>
    <w:rPr>
      <w:rFonts w:ascii="Arial Black" w:hAnsi="Arial Black"/>
      <w:sz w:val="18"/>
      <w:lang w:val="es-ES" w:bidi="ar-SA"/>
    </w:rPr>
  </w:style>
  <w:style w:type="paragraph" w:styleId="Encabezado">
    <w:name w:val="header"/>
    <w:basedOn w:val="Normal"/>
    <w:link w:val="EncabezadoCar"/>
    <w:uiPriority w:val="99"/>
    <w:pPr>
      <w:tabs>
        <w:tab w:val="center" w:pos="4320"/>
        <w:tab w:val="right" w:pos="8640"/>
      </w:tabs>
    </w:pPr>
  </w:style>
  <w:style w:type="character" w:customStyle="1" w:styleId="EncabezadoCar">
    <w:name w:val="Encabezado Car"/>
    <w:link w:val="Encabezado"/>
    <w:uiPriority w:val="99"/>
    <w:rsid w:val="00E534D2"/>
    <w:rPr>
      <w:rFonts w:ascii="Arial" w:eastAsia="Times New Roman" w:hAnsi="Arial"/>
      <w:spacing w:val="-5"/>
      <w:lang w:val="es-ES" w:eastAsia="en-US" w:bidi="ar-SA"/>
    </w:rPr>
  </w:style>
  <w:style w:type="paragraph" w:styleId="Piedepgina">
    <w:name w:val="footer"/>
    <w:basedOn w:val="Normal"/>
    <w:link w:val="PiedepginaCar"/>
    <w:uiPriority w:val="99"/>
    <w:pPr>
      <w:tabs>
        <w:tab w:val="center" w:pos="4320"/>
        <w:tab w:val="right" w:pos="8640"/>
      </w:tabs>
    </w:pPr>
  </w:style>
  <w:style w:type="character" w:customStyle="1" w:styleId="PiedepginaCar">
    <w:name w:val="Pie de página Car"/>
    <w:basedOn w:val="Fuentedeprrafopredeter"/>
    <w:link w:val="Piedepgina"/>
    <w:uiPriority w:val="99"/>
    <w:rsid w:val="00181766"/>
    <w:rPr>
      <w:rFonts w:ascii="Arial" w:eastAsia="Times New Roman" w:hAnsi="Arial"/>
      <w:spacing w:val="-5"/>
      <w:lang w:eastAsia="en-US"/>
    </w:rPr>
  </w:style>
  <w:style w:type="paragraph" w:styleId="Lista">
    <w:name w:val="List"/>
    <w:basedOn w:val="Textoindependiente"/>
    <w:semiHidden/>
    <w:pPr>
      <w:ind w:left="360" w:hanging="360"/>
    </w:pPr>
  </w:style>
  <w:style w:type="paragraph" w:styleId="Listaconvietas">
    <w:name w:val="List Bullet"/>
    <w:basedOn w:val="Lista"/>
    <w:autoRedefine/>
    <w:semiHidden/>
    <w:pPr>
      <w:numPr>
        <w:numId w:val="3"/>
      </w:numPr>
    </w:pPr>
  </w:style>
  <w:style w:type="paragraph" w:styleId="Listaconnmeros">
    <w:name w:val="List Number"/>
    <w:basedOn w:val="Textoindependiente"/>
    <w:semiHidden/>
    <w:pPr>
      <w:numPr>
        <w:numId w:val="4"/>
      </w:numPr>
    </w:pPr>
  </w:style>
  <w:style w:type="character" w:styleId="AcrnimoHTML">
    <w:name w:val="HTML Acronym"/>
    <w:basedOn w:val="Fuentedeprrafopredeter"/>
    <w:semiHidden/>
    <w:rPr>
      <w:lang w:val="es-ES" w:bidi="ar-SA"/>
    </w:rPr>
  </w:style>
  <w:style w:type="character" w:styleId="CitaHTML">
    <w:name w:val="HTML Cite"/>
    <w:semiHidden/>
    <w:rPr>
      <w:i/>
      <w:iCs/>
      <w:lang w:val="es-ES" w:bidi="ar-SA"/>
    </w:rPr>
  </w:style>
  <w:style w:type="character" w:styleId="CdigoHTML">
    <w:name w:val="HTML Code"/>
    <w:semiHidden/>
    <w:rPr>
      <w:rFonts w:ascii="Courier New" w:hAnsi="Courier New"/>
      <w:sz w:val="20"/>
      <w:szCs w:val="20"/>
      <w:lang w:val="es-ES" w:bidi="ar-SA"/>
    </w:rPr>
  </w:style>
  <w:style w:type="paragraph" w:styleId="Continuarlista">
    <w:name w:val="List Continue"/>
    <w:basedOn w:val="Normal"/>
    <w:semiHidden/>
    <w:pPr>
      <w:spacing w:after="120"/>
      <w:ind w:left="283"/>
    </w:pPr>
  </w:style>
  <w:style w:type="paragraph" w:styleId="Continuarlista2">
    <w:name w:val="List Continue 2"/>
    <w:basedOn w:val="Normal"/>
    <w:semiHidden/>
    <w:pPr>
      <w:spacing w:after="120"/>
      <w:ind w:left="566"/>
    </w:pPr>
  </w:style>
  <w:style w:type="paragraph" w:styleId="Continuarlista3">
    <w:name w:val="List Continue 3"/>
    <w:basedOn w:val="Normal"/>
    <w:semiHidden/>
    <w:pPr>
      <w:spacing w:after="120"/>
      <w:ind w:left="849"/>
    </w:pPr>
  </w:style>
  <w:style w:type="paragraph" w:styleId="Continuarlista4">
    <w:name w:val="List Continue 4"/>
    <w:basedOn w:val="Normal"/>
    <w:semiHidden/>
    <w:pPr>
      <w:spacing w:after="120"/>
      <w:ind w:left="1132"/>
    </w:pPr>
  </w:style>
  <w:style w:type="paragraph" w:styleId="Continuarlista5">
    <w:name w:val="List Continue 5"/>
    <w:basedOn w:val="Normal"/>
    <w:semiHidden/>
    <w:pPr>
      <w:spacing w:after="120"/>
      <w:ind w:left="1415"/>
    </w:pPr>
  </w:style>
  <w:style w:type="character" w:styleId="DefinicinHTML">
    <w:name w:val="HTML Definition"/>
    <w:semiHidden/>
    <w:rPr>
      <w:i/>
      <w:iCs/>
      <w:lang w:val="es-ES" w:bidi="ar-SA"/>
    </w:rPr>
  </w:style>
  <w:style w:type="paragraph" w:styleId="DireccinHTML">
    <w:name w:val="HTML Address"/>
    <w:basedOn w:val="Normal"/>
    <w:semiHidden/>
    <w:rPr>
      <w:i/>
      <w:iCs/>
    </w:rPr>
  </w:style>
  <w:style w:type="paragraph" w:styleId="Direccinsobre">
    <w:name w:val="envelope address"/>
    <w:basedOn w:val="Normal"/>
    <w:semiHidden/>
    <w:pPr>
      <w:framePr w:w="7920" w:h="1980" w:hRule="exact" w:hSpace="141" w:wrap="auto" w:hAnchor="page" w:xAlign="center" w:yAlign="bottom"/>
      <w:ind w:left="2880"/>
    </w:pPr>
    <w:rPr>
      <w:rFonts w:cs="Arial"/>
      <w:sz w:val="24"/>
      <w:szCs w:val="24"/>
    </w:rPr>
  </w:style>
  <w:style w:type="character" w:styleId="EjemplodeHTML">
    <w:name w:val="HTML Sample"/>
    <w:semiHidden/>
    <w:rPr>
      <w:rFonts w:ascii="Courier New" w:hAnsi="Courier New"/>
      <w:lang w:val="es-ES" w:bidi="ar-SA"/>
    </w:rPr>
  </w:style>
  <w:style w:type="paragraph" w:styleId="Encabezadodelista">
    <w:name w:val="toa heading"/>
    <w:basedOn w:val="Normal"/>
    <w:next w:val="Normal"/>
    <w:semiHidden/>
    <w:pPr>
      <w:spacing w:before="120"/>
    </w:pPr>
    <w:rPr>
      <w:rFonts w:cs="Arial"/>
      <w:b/>
      <w:bCs/>
      <w:sz w:val="24"/>
      <w:szCs w:val="24"/>
    </w:rPr>
  </w:style>
  <w:style w:type="paragraph" w:styleId="Encabezadodemensaje">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Encabezadodenota">
    <w:name w:val="Note Heading"/>
    <w:basedOn w:val="Normal"/>
    <w:next w:val="Normal"/>
    <w:semiHidden/>
  </w:style>
  <w:style w:type="paragraph" w:customStyle="1" w:styleId="Epgrafe">
    <w:name w:val="Epígrafe"/>
    <w:basedOn w:val="Normal"/>
    <w:next w:val="Normal"/>
    <w:qFormat/>
    <w:pPr>
      <w:spacing w:before="120" w:after="120"/>
    </w:pPr>
    <w:rPr>
      <w:b/>
      <w:bCs/>
    </w:rPr>
  </w:style>
  <w:style w:type="paragraph" w:styleId="Firmadecorreoelectrnico">
    <w:name w:val="E-mail Signature"/>
    <w:basedOn w:val="Normal"/>
    <w:semiHidden/>
  </w:style>
  <w:style w:type="character" w:styleId="Hipervnculo">
    <w:name w:val="Hyperlink"/>
    <w:uiPriority w:val="99"/>
    <w:rPr>
      <w:color w:val="0000FF"/>
      <w:u w:val="single"/>
      <w:lang w:val="es-ES" w:bidi="ar-SA"/>
    </w:rPr>
  </w:style>
  <w:style w:type="character" w:styleId="Hipervnculovisitado">
    <w:name w:val="FollowedHyperlink"/>
    <w:uiPriority w:val="99"/>
    <w:semiHidden/>
    <w:rPr>
      <w:color w:val="800080"/>
      <w:u w:val="single"/>
      <w:lang w:val="es-ES" w:bidi="ar-SA"/>
    </w:rPr>
  </w:style>
  <w:style w:type="paragraph" w:styleId="HTMLconformatoprevio">
    <w:name w:val="HTML Preformatted"/>
    <w:basedOn w:val="Normal"/>
    <w:semiHidden/>
    <w:rPr>
      <w:rFonts w:ascii="Courier New" w:hAnsi="Courier New" w:cs="Courier New"/>
    </w:rPr>
  </w:style>
  <w:style w:type="paragraph" w:styleId="ndice1">
    <w:name w:val="index 1"/>
    <w:basedOn w:val="Normal"/>
    <w:next w:val="Normal"/>
    <w:autoRedefine/>
    <w:semiHidden/>
    <w:pPr>
      <w:ind w:left="200" w:hanging="200"/>
    </w:pPr>
  </w:style>
  <w:style w:type="paragraph" w:styleId="ndice2">
    <w:name w:val="index 2"/>
    <w:basedOn w:val="Normal"/>
    <w:next w:val="Normal"/>
    <w:autoRedefine/>
    <w:semiHidden/>
    <w:pPr>
      <w:ind w:left="400" w:hanging="200"/>
    </w:pPr>
  </w:style>
  <w:style w:type="paragraph" w:styleId="ndice3">
    <w:name w:val="index 3"/>
    <w:basedOn w:val="Normal"/>
    <w:next w:val="Normal"/>
    <w:autoRedefine/>
    <w:semiHidden/>
    <w:pPr>
      <w:ind w:left="600" w:hanging="200"/>
    </w:pPr>
  </w:style>
  <w:style w:type="paragraph" w:styleId="ndice4">
    <w:name w:val="index 4"/>
    <w:basedOn w:val="Normal"/>
    <w:next w:val="Normal"/>
    <w:autoRedefine/>
    <w:semiHidden/>
    <w:pPr>
      <w:ind w:left="800" w:hanging="200"/>
    </w:pPr>
  </w:style>
  <w:style w:type="paragraph" w:styleId="ndice5">
    <w:name w:val="index 5"/>
    <w:basedOn w:val="Normal"/>
    <w:next w:val="Normal"/>
    <w:autoRedefine/>
    <w:semiHidden/>
    <w:pPr>
      <w:ind w:left="1000" w:hanging="200"/>
    </w:pPr>
  </w:style>
  <w:style w:type="paragraph" w:styleId="ndice6">
    <w:name w:val="index 6"/>
    <w:basedOn w:val="Normal"/>
    <w:next w:val="Normal"/>
    <w:autoRedefine/>
    <w:semiHidden/>
    <w:pPr>
      <w:ind w:left="1200" w:hanging="200"/>
    </w:pPr>
  </w:style>
  <w:style w:type="paragraph" w:styleId="ndice7">
    <w:name w:val="index 7"/>
    <w:basedOn w:val="Normal"/>
    <w:next w:val="Normal"/>
    <w:autoRedefine/>
    <w:semiHidden/>
    <w:pPr>
      <w:ind w:left="1400" w:hanging="200"/>
    </w:pPr>
  </w:style>
  <w:style w:type="paragraph" w:styleId="ndice8">
    <w:name w:val="index 8"/>
    <w:basedOn w:val="Normal"/>
    <w:next w:val="Normal"/>
    <w:autoRedefine/>
    <w:semiHidden/>
    <w:pPr>
      <w:ind w:left="1600" w:hanging="200"/>
    </w:pPr>
  </w:style>
  <w:style w:type="paragraph" w:styleId="ndice9">
    <w:name w:val="index 9"/>
    <w:basedOn w:val="Normal"/>
    <w:next w:val="Normal"/>
    <w:autoRedefine/>
    <w:semiHidden/>
    <w:pPr>
      <w:ind w:left="1800" w:hanging="200"/>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connmeros2">
    <w:name w:val="List Number 2"/>
    <w:basedOn w:val="Normal"/>
    <w:semiHidden/>
    <w:pPr>
      <w:numPr>
        <w:numId w:val="5"/>
      </w:numPr>
    </w:pPr>
  </w:style>
  <w:style w:type="paragraph" w:styleId="Listaconnmeros3">
    <w:name w:val="List Number 3"/>
    <w:basedOn w:val="Normal"/>
    <w:semiHidden/>
    <w:pPr>
      <w:numPr>
        <w:numId w:val="6"/>
      </w:numPr>
    </w:pPr>
  </w:style>
  <w:style w:type="paragraph" w:styleId="Listaconnmeros4">
    <w:name w:val="List Number 4"/>
    <w:basedOn w:val="Normal"/>
    <w:semiHidden/>
    <w:pPr>
      <w:numPr>
        <w:numId w:val="7"/>
      </w:numPr>
    </w:pPr>
  </w:style>
  <w:style w:type="paragraph" w:styleId="Listaconnmeros5">
    <w:name w:val="List Number 5"/>
    <w:basedOn w:val="Normal"/>
    <w:semiHidden/>
    <w:pPr>
      <w:numPr>
        <w:numId w:val="8"/>
      </w:numPr>
    </w:pPr>
  </w:style>
  <w:style w:type="paragraph" w:styleId="Listaconvietas2">
    <w:name w:val="List Bullet 2"/>
    <w:basedOn w:val="Normal"/>
    <w:autoRedefine/>
    <w:semiHidden/>
    <w:pPr>
      <w:numPr>
        <w:numId w:val="9"/>
      </w:numPr>
    </w:pPr>
  </w:style>
  <w:style w:type="paragraph" w:styleId="Listaconvietas3">
    <w:name w:val="List Bullet 3"/>
    <w:basedOn w:val="Normal"/>
    <w:autoRedefine/>
    <w:semiHidden/>
    <w:pPr>
      <w:numPr>
        <w:numId w:val="10"/>
      </w:numPr>
    </w:pPr>
  </w:style>
  <w:style w:type="paragraph" w:styleId="Listaconvietas4">
    <w:name w:val="List Bullet 4"/>
    <w:basedOn w:val="Normal"/>
    <w:autoRedefine/>
    <w:semiHidden/>
    <w:pPr>
      <w:numPr>
        <w:numId w:val="11"/>
      </w:numPr>
    </w:pPr>
  </w:style>
  <w:style w:type="paragraph" w:styleId="Listaconvietas5">
    <w:name w:val="List Bullet 5"/>
    <w:basedOn w:val="Normal"/>
    <w:autoRedefine/>
    <w:semiHidden/>
    <w:pPr>
      <w:numPr>
        <w:numId w:val="12"/>
      </w:numPr>
    </w:pPr>
  </w:style>
  <w:style w:type="paragraph" w:styleId="Mapadeldocumento">
    <w:name w:val="Document Map"/>
    <w:basedOn w:val="Normal"/>
    <w:semiHidden/>
    <w:pPr>
      <w:shd w:val="clear" w:color="auto" w:fill="000080"/>
    </w:pPr>
    <w:rPr>
      <w:rFonts w:ascii="Tahoma" w:hAnsi="Tahoma" w:cs="Tahoma"/>
    </w:rPr>
  </w:style>
  <w:style w:type="character" w:styleId="MquinadeescribirHTML">
    <w:name w:val="HTML Typewriter"/>
    <w:semiHidden/>
    <w:rPr>
      <w:rFonts w:ascii="Courier New" w:hAnsi="Courier New"/>
      <w:sz w:val="20"/>
      <w:szCs w:val="20"/>
      <w:lang w:val="es-ES" w:bidi="ar-SA"/>
    </w:rPr>
  </w:style>
  <w:style w:type="paragraph" w:styleId="NormalWeb">
    <w:name w:val="Normal (Web)"/>
    <w:basedOn w:val="Normal"/>
    <w:uiPriority w:val="99"/>
    <w:semiHidden/>
    <w:rPr>
      <w:rFonts w:ascii="Times New Roman" w:hAnsi="Times New Roman"/>
      <w:sz w:val="24"/>
      <w:szCs w:val="24"/>
    </w:rPr>
  </w:style>
  <w:style w:type="character" w:styleId="Nmerodelnea">
    <w:name w:val="line number"/>
    <w:basedOn w:val="Fuentedeprrafopredeter"/>
    <w:semiHidden/>
    <w:rPr>
      <w:lang w:val="es-ES" w:bidi="ar-SA"/>
    </w:rPr>
  </w:style>
  <w:style w:type="character" w:styleId="Nmerodepgina">
    <w:name w:val="page number"/>
    <w:basedOn w:val="Fuentedeprrafopredeter"/>
    <w:semiHidden/>
    <w:rPr>
      <w:lang w:val="es-ES" w:bidi="ar-SA"/>
    </w:rPr>
  </w:style>
  <w:style w:type="character" w:styleId="Refdecomentario">
    <w:name w:val="annotation reference"/>
    <w:semiHidden/>
    <w:rPr>
      <w:sz w:val="16"/>
      <w:szCs w:val="16"/>
      <w:lang w:val="es-ES" w:bidi="ar-SA"/>
    </w:rPr>
  </w:style>
  <w:style w:type="character" w:styleId="Refdenotaalfinal">
    <w:name w:val="endnote reference"/>
    <w:semiHidden/>
    <w:rPr>
      <w:vertAlign w:val="superscript"/>
      <w:lang w:val="es-ES" w:bidi="ar-SA"/>
    </w:rPr>
  </w:style>
  <w:style w:type="character" w:styleId="Refdenotaalpie">
    <w:name w:val="footnote reference"/>
    <w:uiPriority w:val="99"/>
    <w:semiHidden/>
    <w:rPr>
      <w:vertAlign w:val="superscript"/>
      <w:lang w:val="es-ES" w:bidi="ar-SA"/>
    </w:rPr>
  </w:style>
  <w:style w:type="paragraph" w:styleId="Remitedesobre">
    <w:name w:val="envelope return"/>
    <w:basedOn w:val="Normal"/>
    <w:semiHidden/>
    <w:rPr>
      <w:rFonts w:cs="Arial"/>
    </w:rPr>
  </w:style>
  <w:style w:type="paragraph" w:styleId="Sangra2detindependiente">
    <w:name w:val="Body Text Indent 2"/>
    <w:basedOn w:val="Normal"/>
    <w:semiHidden/>
    <w:pPr>
      <w:spacing w:after="120" w:line="480" w:lineRule="auto"/>
      <w:ind w:left="283"/>
    </w:pPr>
  </w:style>
  <w:style w:type="paragraph" w:styleId="Sangra3detindependiente">
    <w:name w:val="Body Text Indent 3"/>
    <w:basedOn w:val="Normal"/>
    <w:semiHidden/>
    <w:pPr>
      <w:spacing w:after="120"/>
      <w:ind w:left="283"/>
    </w:pPr>
    <w:rPr>
      <w:sz w:val="16"/>
      <w:szCs w:val="16"/>
    </w:rPr>
  </w:style>
  <w:style w:type="paragraph" w:styleId="Sangradetextonormal">
    <w:name w:val="Body Text Indent"/>
    <w:basedOn w:val="Normal"/>
    <w:semiHidden/>
    <w:pPr>
      <w:spacing w:after="120"/>
      <w:ind w:left="283"/>
    </w:pPr>
  </w:style>
  <w:style w:type="paragraph" w:styleId="Sangranormal">
    <w:name w:val="Normal Indent"/>
    <w:basedOn w:val="Normal"/>
    <w:semiHidden/>
    <w:pPr>
      <w:ind w:left="708"/>
    </w:pPr>
  </w:style>
  <w:style w:type="paragraph" w:styleId="Subttulo">
    <w:name w:val="Subtitle"/>
    <w:basedOn w:val="Normal"/>
    <w:link w:val="SubttuloCar"/>
    <w:qFormat/>
    <w:pPr>
      <w:spacing w:after="60"/>
      <w:jc w:val="center"/>
      <w:outlineLvl w:val="1"/>
    </w:pPr>
    <w:rPr>
      <w:rFonts w:cs="Arial"/>
      <w:sz w:val="24"/>
      <w:szCs w:val="24"/>
    </w:rPr>
  </w:style>
  <w:style w:type="paragraph" w:styleId="Tabladeilustraciones">
    <w:name w:val="table of figures"/>
    <w:basedOn w:val="Normal"/>
    <w:next w:val="Normal"/>
    <w:semiHidden/>
    <w:pPr>
      <w:ind w:left="400" w:hanging="400"/>
    </w:pPr>
  </w:style>
  <w:style w:type="paragraph" w:styleId="TDC1">
    <w:name w:val="toc 1"/>
    <w:basedOn w:val="Normal"/>
    <w:next w:val="Normal"/>
    <w:autoRedefine/>
    <w:uiPriority w:val="39"/>
  </w:style>
  <w:style w:type="paragraph" w:styleId="TDC2">
    <w:name w:val="toc 2"/>
    <w:basedOn w:val="Normal"/>
    <w:next w:val="Normal"/>
    <w:autoRedefine/>
    <w:uiPriority w:val="39"/>
    <w:pPr>
      <w:ind w:left="200"/>
    </w:pPr>
  </w:style>
  <w:style w:type="paragraph" w:styleId="TDC3">
    <w:name w:val="toc 3"/>
    <w:basedOn w:val="Normal"/>
    <w:next w:val="Normal"/>
    <w:autoRedefine/>
    <w:semiHidden/>
    <w:pPr>
      <w:ind w:left="400"/>
    </w:pPr>
  </w:style>
  <w:style w:type="paragraph" w:styleId="TDC4">
    <w:name w:val="toc 4"/>
    <w:basedOn w:val="Normal"/>
    <w:next w:val="Normal"/>
    <w:autoRedefine/>
    <w:semiHidden/>
    <w:pPr>
      <w:ind w:left="600"/>
    </w:pPr>
  </w:style>
  <w:style w:type="paragraph" w:styleId="TDC5">
    <w:name w:val="toc 5"/>
    <w:basedOn w:val="Normal"/>
    <w:next w:val="Normal"/>
    <w:autoRedefine/>
    <w:semiHidden/>
    <w:pPr>
      <w:ind w:left="800"/>
    </w:pPr>
  </w:style>
  <w:style w:type="paragraph" w:styleId="TDC6">
    <w:name w:val="toc 6"/>
    <w:basedOn w:val="Normal"/>
    <w:next w:val="Normal"/>
    <w:autoRedefine/>
    <w:semiHidden/>
    <w:pPr>
      <w:ind w:left="1000"/>
    </w:pPr>
  </w:style>
  <w:style w:type="paragraph" w:styleId="TDC7">
    <w:name w:val="toc 7"/>
    <w:basedOn w:val="Normal"/>
    <w:next w:val="Normal"/>
    <w:autoRedefine/>
    <w:semiHidden/>
    <w:pPr>
      <w:ind w:left="1200"/>
    </w:pPr>
  </w:style>
  <w:style w:type="paragraph" w:styleId="TDC8">
    <w:name w:val="toc 8"/>
    <w:basedOn w:val="Normal"/>
    <w:next w:val="Normal"/>
    <w:autoRedefine/>
    <w:semiHidden/>
    <w:pPr>
      <w:ind w:left="1400"/>
    </w:pPr>
  </w:style>
  <w:style w:type="paragraph" w:styleId="TDC9">
    <w:name w:val="toc 9"/>
    <w:basedOn w:val="Normal"/>
    <w:next w:val="Normal"/>
    <w:autoRedefine/>
    <w:semiHidden/>
    <w:pPr>
      <w:ind w:left="1600"/>
    </w:pPr>
  </w:style>
  <w:style w:type="character" w:styleId="TecladoHTML">
    <w:name w:val="HTML Keyboard"/>
    <w:semiHidden/>
    <w:rPr>
      <w:rFonts w:ascii="Courier New" w:hAnsi="Courier New"/>
      <w:sz w:val="20"/>
      <w:szCs w:val="20"/>
      <w:lang w:val="es-ES" w:bidi="ar-SA"/>
    </w:rPr>
  </w:style>
  <w:style w:type="paragraph" w:styleId="Textocomentario">
    <w:name w:val="annotation text"/>
    <w:basedOn w:val="Normal"/>
    <w:link w:val="TextocomentarioCar"/>
    <w:semiHidden/>
  </w:style>
  <w:style w:type="paragraph" w:styleId="Textoconsangra">
    <w:name w:val="table of authorities"/>
    <w:basedOn w:val="Normal"/>
    <w:next w:val="Normal"/>
    <w:semiHidden/>
    <w:pPr>
      <w:ind w:left="200" w:hanging="200"/>
    </w:pPr>
  </w:style>
  <w:style w:type="paragraph" w:styleId="Textodebloque">
    <w:name w:val="Block Text"/>
    <w:basedOn w:val="Normal"/>
    <w:semiHidden/>
    <w:pPr>
      <w:spacing w:after="120"/>
      <w:ind w:left="1440" w:right="1440"/>
    </w:pPr>
  </w:style>
  <w:style w:type="character" w:styleId="Textoennegrita">
    <w:name w:val="Strong"/>
    <w:uiPriority w:val="22"/>
    <w:qFormat/>
    <w:rPr>
      <w:b/>
      <w:bCs/>
      <w:lang w:val="es-ES" w:bidi="ar-SA"/>
    </w:rPr>
  </w:style>
  <w:style w:type="paragraph" w:styleId="Textoindependiente2">
    <w:name w:val="Body Text 2"/>
    <w:basedOn w:val="Normal"/>
    <w:semiHidden/>
    <w:pPr>
      <w:spacing w:after="120" w:line="480" w:lineRule="auto"/>
    </w:pPr>
  </w:style>
  <w:style w:type="paragraph" w:styleId="Textoindependiente3">
    <w:name w:val="Body Text 3"/>
    <w:basedOn w:val="Normal"/>
    <w:semiHidden/>
    <w:pPr>
      <w:spacing w:after="120"/>
    </w:pPr>
    <w:rPr>
      <w:sz w:val="16"/>
      <w:szCs w:val="16"/>
    </w:rPr>
  </w:style>
  <w:style w:type="paragraph" w:styleId="Textoindependienteprimerasangra">
    <w:name w:val="Body Text First Indent"/>
    <w:basedOn w:val="Textoindependiente"/>
    <w:semiHidden/>
    <w:pPr>
      <w:spacing w:after="120" w:line="240" w:lineRule="auto"/>
      <w:ind w:firstLine="210"/>
    </w:pPr>
  </w:style>
  <w:style w:type="paragraph" w:styleId="Textoindependienteprimerasangra2">
    <w:name w:val="Body Text First Indent 2"/>
    <w:basedOn w:val="Sangradetextonormal"/>
    <w:semiHidden/>
    <w:pPr>
      <w:ind w:firstLine="210"/>
    </w:pPr>
  </w:style>
  <w:style w:type="paragraph" w:styleId="Textomacro">
    <w:name w:val="macro"/>
    <w:semiHidden/>
    <w:pPr>
      <w:tabs>
        <w:tab w:val="left" w:pos="480"/>
        <w:tab w:val="left" w:pos="960"/>
        <w:tab w:val="left" w:pos="1440"/>
        <w:tab w:val="left" w:pos="1920"/>
        <w:tab w:val="left" w:pos="2400"/>
        <w:tab w:val="left" w:pos="2880"/>
        <w:tab w:val="left" w:pos="3360"/>
        <w:tab w:val="left" w:pos="3840"/>
        <w:tab w:val="left" w:pos="4320"/>
      </w:tabs>
      <w:jc w:val="both"/>
    </w:pPr>
    <w:rPr>
      <w:rFonts w:ascii="Courier New" w:eastAsia="Times New Roman" w:hAnsi="Courier New" w:cs="Courier New"/>
      <w:spacing w:val="-5"/>
      <w:lang w:val="es-ES" w:eastAsia="en-US"/>
    </w:rPr>
  </w:style>
  <w:style w:type="paragraph" w:styleId="Textonotaalfinal">
    <w:name w:val="endnote text"/>
    <w:basedOn w:val="Normal"/>
    <w:semiHidden/>
  </w:style>
  <w:style w:type="paragraph" w:styleId="Textonotapie">
    <w:name w:val="footnote text"/>
    <w:basedOn w:val="Normal"/>
    <w:link w:val="TextonotapieCar"/>
    <w:uiPriority w:val="99"/>
    <w:semiHidden/>
  </w:style>
  <w:style w:type="character" w:customStyle="1" w:styleId="TextonotapieCar">
    <w:name w:val="Texto nota pie Car"/>
    <w:basedOn w:val="Fuentedeprrafopredeter"/>
    <w:link w:val="Textonotapie"/>
    <w:uiPriority w:val="99"/>
    <w:semiHidden/>
    <w:rsid w:val="00383DF0"/>
    <w:rPr>
      <w:rFonts w:ascii="Arial" w:eastAsia="Times New Roman" w:hAnsi="Arial"/>
      <w:spacing w:val="-5"/>
      <w:lang w:eastAsia="en-US"/>
    </w:rPr>
  </w:style>
  <w:style w:type="paragraph" w:styleId="Textosinformato">
    <w:name w:val="Plain Text"/>
    <w:basedOn w:val="Normal"/>
    <w:semiHidden/>
    <w:rPr>
      <w:rFonts w:ascii="Courier New" w:hAnsi="Courier New" w:cs="Courier New"/>
    </w:rPr>
  </w:style>
  <w:style w:type="paragraph" w:customStyle="1" w:styleId="Ttulo10">
    <w:name w:val="Título1"/>
    <w:basedOn w:val="Normal"/>
    <w:qFormat/>
    <w:pPr>
      <w:spacing w:before="240" w:after="60"/>
      <w:jc w:val="center"/>
      <w:outlineLvl w:val="0"/>
    </w:pPr>
    <w:rPr>
      <w:rFonts w:cs="Arial"/>
      <w:b/>
      <w:bCs/>
      <w:kern w:val="28"/>
      <w:sz w:val="32"/>
      <w:szCs w:val="32"/>
    </w:rPr>
  </w:style>
  <w:style w:type="paragraph" w:styleId="Ttulodendice">
    <w:name w:val="index heading"/>
    <w:basedOn w:val="Normal"/>
    <w:next w:val="ndice1"/>
    <w:semiHidden/>
    <w:rPr>
      <w:rFonts w:cs="Arial"/>
      <w:b/>
      <w:bCs/>
    </w:rPr>
  </w:style>
  <w:style w:type="character" w:styleId="VariableHTML">
    <w:name w:val="HTML Variable"/>
    <w:semiHidden/>
    <w:rPr>
      <w:i/>
      <w:iCs/>
      <w:lang w:val="es-ES" w:bidi="ar-SA"/>
    </w:rPr>
  </w:style>
  <w:style w:type="paragraph" w:customStyle="1" w:styleId="creg">
    <w:name w:val="creg"/>
    <w:basedOn w:val="Normal"/>
    <w:rPr>
      <w:rFonts w:cs="Arial"/>
      <w:spacing w:val="0"/>
      <w:sz w:val="24"/>
      <w:szCs w:val="24"/>
      <w:lang w:eastAsia="es-ES"/>
    </w:rPr>
  </w:style>
  <w:style w:type="paragraph" w:customStyle="1" w:styleId="doctor">
    <w:name w:val="doctor"/>
    <w:basedOn w:val="Textoindependiente"/>
    <w:pPr>
      <w:spacing w:after="0" w:line="240" w:lineRule="auto"/>
    </w:pPr>
    <w:rPr>
      <w:rFonts w:cs="Arial"/>
      <w:sz w:val="24"/>
    </w:rPr>
  </w:style>
  <w:style w:type="paragraph" w:styleId="Prrafodelista">
    <w:name w:val="List Paragraph"/>
    <w:basedOn w:val="Normal"/>
    <w:uiPriority w:val="34"/>
    <w:qFormat/>
    <w:rsid w:val="00E534D2"/>
    <w:pPr>
      <w:spacing w:after="200" w:line="276" w:lineRule="auto"/>
      <w:ind w:left="720"/>
      <w:contextualSpacing/>
    </w:pPr>
    <w:rPr>
      <w:rFonts w:ascii="Calibri" w:eastAsia="Calibri" w:hAnsi="Calibri"/>
      <w:spacing w:val="0"/>
      <w:sz w:val="22"/>
      <w:szCs w:val="22"/>
      <w:lang w:val="es-MX"/>
    </w:rPr>
  </w:style>
  <w:style w:type="character" w:customStyle="1" w:styleId="textos1">
    <w:name w:val="textos1"/>
    <w:rsid w:val="00067B2E"/>
    <w:rPr>
      <w:rFonts w:ascii="Verdana" w:hAnsi="Verdana" w:hint="default"/>
      <w:strike w:val="0"/>
      <w:dstrike w:val="0"/>
      <w:color w:val="000000"/>
      <w:sz w:val="17"/>
      <w:szCs w:val="17"/>
      <w:u w:val="none"/>
      <w:effect w:val="none"/>
      <w:lang w:val="es-ES" w:bidi="ar-SA"/>
    </w:rPr>
  </w:style>
  <w:style w:type="paragraph" w:customStyle="1" w:styleId="xl64">
    <w:name w:val="xl64"/>
    <w:basedOn w:val="Normal"/>
    <w:rsid w:val="00E13C5A"/>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jc w:val="center"/>
      <w:textAlignment w:val="center"/>
    </w:pPr>
    <w:rPr>
      <w:rFonts w:cs="Arial"/>
      <w:b/>
      <w:bCs/>
      <w:color w:val="FFFFFF"/>
      <w:spacing w:val="0"/>
      <w:sz w:val="18"/>
      <w:szCs w:val="18"/>
      <w:lang w:eastAsia="es-CO"/>
    </w:rPr>
  </w:style>
  <w:style w:type="paragraph" w:customStyle="1" w:styleId="xl65">
    <w:name w:val="xl65"/>
    <w:basedOn w:val="Normal"/>
    <w:rsid w:val="00E13C5A"/>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pacing w:val="0"/>
      <w:sz w:val="24"/>
      <w:szCs w:val="24"/>
      <w:lang w:eastAsia="es-CO"/>
    </w:rPr>
  </w:style>
  <w:style w:type="paragraph" w:customStyle="1" w:styleId="xl66">
    <w:name w:val="xl66"/>
    <w:basedOn w:val="Normal"/>
    <w:rsid w:val="00E13C5A"/>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jc w:val="center"/>
    </w:pPr>
    <w:rPr>
      <w:rFonts w:ascii="Times New Roman" w:hAnsi="Times New Roman"/>
      <w:b/>
      <w:bCs/>
      <w:color w:val="F2F2F2"/>
      <w:spacing w:val="0"/>
      <w:sz w:val="24"/>
      <w:szCs w:val="24"/>
      <w:lang w:eastAsia="es-CO"/>
    </w:rPr>
  </w:style>
  <w:style w:type="paragraph" w:customStyle="1" w:styleId="xl67">
    <w:name w:val="xl67"/>
    <w:basedOn w:val="Normal"/>
    <w:rsid w:val="00E13C5A"/>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pacing w:val="0"/>
      <w:sz w:val="24"/>
      <w:szCs w:val="24"/>
      <w:lang w:eastAsia="es-CO"/>
    </w:rPr>
  </w:style>
  <w:style w:type="paragraph" w:customStyle="1" w:styleId="xl68">
    <w:name w:val="xl68"/>
    <w:basedOn w:val="Normal"/>
    <w:rsid w:val="00E13C5A"/>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pacing w:val="0"/>
      <w:sz w:val="24"/>
      <w:szCs w:val="24"/>
      <w:lang w:eastAsia="es-CO"/>
    </w:rPr>
  </w:style>
  <w:style w:type="paragraph" w:styleId="Textodeglobo">
    <w:name w:val="Balloon Text"/>
    <w:basedOn w:val="Normal"/>
    <w:link w:val="TextodegloboCar"/>
    <w:uiPriority w:val="99"/>
    <w:semiHidden/>
    <w:unhideWhenUsed/>
    <w:rsid w:val="00242A4C"/>
    <w:rPr>
      <w:rFonts w:ascii="Tahoma" w:hAnsi="Tahoma" w:cs="Tahoma"/>
      <w:sz w:val="16"/>
      <w:szCs w:val="16"/>
    </w:rPr>
  </w:style>
  <w:style w:type="character" w:customStyle="1" w:styleId="TextodegloboCar">
    <w:name w:val="Texto de globo Car"/>
    <w:link w:val="Textodeglobo"/>
    <w:uiPriority w:val="99"/>
    <w:semiHidden/>
    <w:rsid w:val="00242A4C"/>
    <w:rPr>
      <w:rFonts w:ascii="Tahoma" w:eastAsia="Times New Roman" w:hAnsi="Tahoma" w:cs="Tahoma"/>
      <w:spacing w:val="-5"/>
      <w:sz w:val="16"/>
      <w:szCs w:val="16"/>
      <w:lang w:val="es-ES" w:eastAsia="en-US" w:bidi="ar-SA"/>
    </w:rPr>
  </w:style>
  <w:style w:type="paragraph" w:customStyle="1" w:styleId="xl69">
    <w:name w:val="xl69"/>
    <w:basedOn w:val="Normal"/>
    <w:rsid w:val="00743B2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pacing w:val="0"/>
      <w:sz w:val="24"/>
      <w:szCs w:val="24"/>
      <w:lang w:eastAsia="es-CO"/>
    </w:rPr>
  </w:style>
  <w:style w:type="paragraph" w:customStyle="1" w:styleId="xl70">
    <w:name w:val="xl70"/>
    <w:basedOn w:val="Normal"/>
    <w:rsid w:val="00743B2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pacing w:val="0"/>
      <w:sz w:val="24"/>
      <w:szCs w:val="24"/>
      <w:lang w:eastAsia="es-CO"/>
    </w:rPr>
  </w:style>
  <w:style w:type="table" w:styleId="Tablaconcuadrcula">
    <w:name w:val="Table Grid"/>
    <w:basedOn w:val="Tablanormal"/>
    <w:uiPriority w:val="59"/>
    <w:rsid w:val="00417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1">
    <w:name w:val="xl71"/>
    <w:basedOn w:val="Normal"/>
    <w:rsid w:val="00E32F28"/>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Times New Roman" w:hAnsi="Times New Roman"/>
      <w:spacing w:val="0"/>
      <w:sz w:val="18"/>
      <w:szCs w:val="18"/>
      <w:lang w:eastAsia="es-CO"/>
    </w:rPr>
  </w:style>
  <w:style w:type="paragraph" w:customStyle="1" w:styleId="xl72">
    <w:name w:val="xl72"/>
    <w:basedOn w:val="Normal"/>
    <w:rsid w:val="00E32F28"/>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pacing w:val="0"/>
      <w:sz w:val="18"/>
      <w:szCs w:val="18"/>
      <w:lang w:eastAsia="es-CO"/>
    </w:rPr>
  </w:style>
  <w:style w:type="paragraph" w:customStyle="1" w:styleId="xl73">
    <w:name w:val="xl73"/>
    <w:basedOn w:val="Normal"/>
    <w:rsid w:val="00E32F28"/>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pacing w:val="0"/>
      <w:sz w:val="18"/>
      <w:szCs w:val="18"/>
      <w:lang w:eastAsia="es-CO"/>
    </w:rPr>
  </w:style>
  <w:style w:type="paragraph" w:customStyle="1" w:styleId="xl74">
    <w:name w:val="xl74"/>
    <w:basedOn w:val="Normal"/>
    <w:rsid w:val="00E32F28"/>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spacing w:val="0"/>
      <w:sz w:val="18"/>
      <w:szCs w:val="18"/>
      <w:lang w:eastAsia="es-CO"/>
    </w:rPr>
  </w:style>
  <w:style w:type="paragraph" w:customStyle="1" w:styleId="xl75">
    <w:name w:val="xl75"/>
    <w:basedOn w:val="Normal"/>
    <w:rsid w:val="00E32F2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cs="Arial"/>
      <w:b/>
      <w:bCs/>
      <w:spacing w:val="0"/>
      <w:sz w:val="18"/>
      <w:szCs w:val="18"/>
      <w:lang w:eastAsia="es-CO"/>
    </w:rPr>
  </w:style>
  <w:style w:type="paragraph" w:customStyle="1" w:styleId="xl76">
    <w:name w:val="xl76"/>
    <w:basedOn w:val="Normal"/>
    <w:rsid w:val="00E32F28"/>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pacing w:val="0"/>
      <w:sz w:val="18"/>
      <w:szCs w:val="18"/>
      <w:lang w:eastAsia="es-CO"/>
    </w:rPr>
  </w:style>
  <w:style w:type="paragraph" w:customStyle="1" w:styleId="xl77">
    <w:name w:val="xl77"/>
    <w:basedOn w:val="Normal"/>
    <w:rsid w:val="00E32F28"/>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spacing w:val="0"/>
      <w:sz w:val="18"/>
      <w:szCs w:val="18"/>
      <w:lang w:eastAsia="es-CO"/>
    </w:rPr>
  </w:style>
  <w:style w:type="paragraph" w:customStyle="1" w:styleId="xl78">
    <w:name w:val="xl78"/>
    <w:basedOn w:val="Normal"/>
    <w:rsid w:val="00E32F2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pacing w:val="0"/>
      <w:sz w:val="18"/>
      <w:szCs w:val="18"/>
      <w:lang w:eastAsia="es-CO"/>
    </w:rPr>
  </w:style>
  <w:style w:type="paragraph" w:customStyle="1" w:styleId="xl79">
    <w:name w:val="xl79"/>
    <w:basedOn w:val="Normal"/>
    <w:rsid w:val="00E32F28"/>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spacing w:val="0"/>
      <w:sz w:val="18"/>
      <w:szCs w:val="18"/>
      <w:lang w:eastAsia="es-CO"/>
    </w:rPr>
  </w:style>
  <w:style w:type="paragraph" w:customStyle="1" w:styleId="xl80">
    <w:name w:val="xl80"/>
    <w:basedOn w:val="Normal"/>
    <w:rsid w:val="00E32F28"/>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spacing w:val="0"/>
      <w:sz w:val="18"/>
      <w:szCs w:val="18"/>
      <w:lang w:eastAsia="es-CO"/>
    </w:rPr>
  </w:style>
  <w:style w:type="paragraph" w:customStyle="1" w:styleId="xl81">
    <w:name w:val="xl81"/>
    <w:basedOn w:val="Normal"/>
    <w:rsid w:val="00E32F28"/>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Times New Roman" w:hAnsi="Times New Roman"/>
      <w:spacing w:val="0"/>
      <w:sz w:val="18"/>
      <w:szCs w:val="18"/>
      <w:lang w:eastAsia="es-CO"/>
    </w:rPr>
  </w:style>
  <w:style w:type="paragraph" w:customStyle="1" w:styleId="msonormal0">
    <w:name w:val="msonormal"/>
    <w:basedOn w:val="Normal"/>
    <w:rsid w:val="00AD6F0E"/>
    <w:pPr>
      <w:spacing w:before="100" w:beforeAutospacing="1" w:after="100" w:afterAutospacing="1"/>
      <w:jc w:val="left"/>
    </w:pPr>
    <w:rPr>
      <w:rFonts w:ascii="Times New Roman" w:hAnsi="Times New Roman"/>
      <w:spacing w:val="0"/>
      <w:sz w:val="24"/>
      <w:szCs w:val="24"/>
      <w:lang w:eastAsia="es-CO"/>
    </w:rPr>
  </w:style>
  <w:style w:type="paragraph" w:customStyle="1" w:styleId="xl82">
    <w:name w:val="xl82"/>
    <w:basedOn w:val="Normal"/>
    <w:rsid w:val="00AD6F0E"/>
    <w:pPr>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pacing w:val="0"/>
      <w:sz w:val="24"/>
      <w:szCs w:val="24"/>
      <w:lang w:eastAsia="es-CO"/>
    </w:rPr>
  </w:style>
  <w:style w:type="paragraph" w:customStyle="1" w:styleId="xl83">
    <w:name w:val="xl83"/>
    <w:basedOn w:val="Normal"/>
    <w:rsid w:val="00AD6F0E"/>
    <w:pPr>
      <w:pBdr>
        <w:top w:val="single" w:sz="8" w:space="0" w:color="auto"/>
        <w:left w:val="single" w:sz="4" w:space="0" w:color="auto"/>
        <w:bottom w:val="single" w:sz="4" w:space="0" w:color="auto"/>
        <w:right w:val="single" w:sz="8" w:space="0" w:color="auto"/>
      </w:pBdr>
      <w:spacing w:before="100" w:beforeAutospacing="1" w:after="100" w:afterAutospacing="1"/>
      <w:jc w:val="left"/>
    </w:pPr>
    <w:rPr>
      <w:rFonts w:ascii="Times New Roman" w:hAnsi="Times New Roman"/>
      <w:spacing w:val="0"/>
      <w:sz w:val="24"/>
      <w:szCs w:val="24"/>
      <w:lang w:eastAsia="es-CO"/>
    </w:rPr>
  </w:style>
  <w:style w:type="paragraph" w:customStyle="1" w:styleId="xl84">
    <w:name w:val="xl84"/>
    <w:basedOn w:val="Normal"/>
    <w:rsid w:val="00AD6F0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pacing w:val="0"/>
      <w:sz w:val="24"/>
      <w:szCs w:val="24"/>
      <w:lang w:eastAsia="es-CO"/>
    </w:rPr>
  </w:style>
  <w:style w:type="paragraph" w:customStyle="1" w:styleId="xl85">
    <w:name w:val="xl85"/>
    <w:basedOn w:val="Normal"/>
    <w:rsid w:val="00AD6F0E"/>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Times New Roman" w:hAnsi="Times New Roman"/>
      <w:spacing w:val="0"/>
      <w:sz w:val="24"/>
      <w:szCs w:val="24"/>
      <w:lang w:eastAsia="es-CO"/>
    </w:rPr>
  </w:style>
  <w:style w:type="paragraph" w:customStyle="1" w:styleId="xl86">
    <w:name w:val="xl86"/>
    <w:basedOn w:val="Normal"/>
    <w:rsid w:val="00AD6F0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spacing w:val="0"/>
      <w:sz w:val="24"/>
      <w:szCs w:val="24"/>
      <w:lang w:eastAsia="es-CO"/>
    </w:rPr>
  </w:style>
  <w:style w:type="paragraph" w:customStyle="1" w:styleId="xl87">
    <w:name w:val="xl87"/>
    <w:basedOn w:val="Normal"/>
    <w:rsid w:val="00AD6F0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pacing w:val="0"/>
      <w:sz w:val="24"/>
      <w:szCs w:val="24"/>
      <w:lang w:eastAsia="es-CO"/>
    </w:rPr>
  </w:style>
  <w:style w:type="paragraph" w:customStyle="1" w:styleId="xl88">
    <w:name w:val="xl88"/>
    <w:basedOn w:val="Normal"/>
    <w:rsid w:val="00AD6F0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spacing w:val="0"/>
      <w:sz w:val="24"/>
      <w:szCs w:val="24"/>
      <w:lang w:eastAsia="es-CO"/>
    </w:rPr>
  </w:style>
  <w:style w:type="paragraph" w:customStyle="1" w:styleId="xl89">
    <w:name w:val="xl89"/>
    <w:basedOn w:val="Normal"/>
    <w:rsid w:val="00AD6F0E"/>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Times New Roman" w:hAnsi="Times New Roman"/>
      <w:spacing w:val="0"/>
      <w:sz w:val="24"/>
      <w:szCs w:val="24"/>
      <w:lang w:eastAsia="es-CO"/>
    </w:rPr>
  </w:style>
  <w:style w:type="paragraph" w:customStyle="1" w:styleId="xl90">
    <w:name w:val="xl90"/>
    <w:basedOn w:val="Normal"/>
    <w:rsid w:val="00AD6F0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
      <w:bCs/>
      <w:spacing w:val="0"/>
      <w:sz w:val="24"/>
      <w:szCs w:val="24"/>
      <w:lang w:eastAsia="es-CO"/>
    </w:rPr>
  </w:style>
  <w:style w:type="paragraph" w:customStyle="1" w:styleId="xl91">
    <w:name w:val="xl91"/>
    <w:basedOn w:val="Normal"/>
    <w:rsid w:val="00AD6F0E"/>
    <w:pPr>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spacing w:val="0"/>
      <w:sz w:val="24"/>
      <w:szCs w:val="24"/>
      <w:lang w:eastAsia="es-CO"/>
    </w:rPr>
  </w:style>
  <w:style w:type="paragraph" w:customStyle="1" w:styleId="xl92">
    <w:name w:val="xl92"/>
    <w:basedOn w:val="Normal"/>
    <w:rsid w:val="00AD6F0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spacing w:val="0"/>
      <w:sz w:val="24"/>
      <w:szCs w:val="24"/>
      <w:lang w:eastAsia="es-CO"/>
    </w:rPr>
  </w:style>
  <w:style w:type="paragraph" w:customStyle="1" w:styleId="xl93">
    <w:name w:val="xl93"/>
    <w:basedOn w:val="Normal"/>
    <w:rsid w:val="00AD6F0E"/>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Times New Roman" w:hAnsi="Times New Roman"/>
      <w:spacing w:val="0"/>
      <w:sz w:val="24"/>
      <w:szCs w:val="24"/>
      <w:lang w:eastAsia="es-CO"/>
    </w:rPr>
  </w:style>
  <w:style w:type="numbering" w:customStyle="1" w:styleId="Sinlista1">
    <w:name w:val="Sin lista1"/>
    <w:next w:val="Sinlista"/>
    <w:uiPriority w:val="99"/>
    <w:semiHidden/>
    <w:unhideWhenUsed/>
    <w:rsid w:val="00FF3028"/>
  </w:style>
  <w:style w:type="character" w:customStyle="1" w:styleId="Ttulo1Car">
    <w:name w:val="Título 1 Car"/>
    <w:basedOn w:val="Fuentedeprrafopredeter"/>
    <w:link w:val="Ttulo1"/>
    <w:uiPriority w:val="9"/>
    <w:rsid w:val="00FF3028"/>
    <w:rPr>
      <w:rFonts w:ascii="Arial Black" w:eastAsia="Times New Roman" w:hAnsi="Arial Black"/>
      <w:spacing w:val="-10"/>
      <w:kern w:val="20"/>
      <w:lang w:eastAsia="en-US"/>
    </w:rPr>
  </w:style>
  <w:style w:type="character" w:customStyle="1" w:styleId="Ttulo3Car">
    <w:name w:val="Título 3 Car"/>
    <w:basedOn w:val="Fuentedeprrafopredeter"/>
    <w:link w:val="Ttulo3"/>
    <w:rsid w:val="00FF3028"/>
    <w:rPr>
      <w:rFonts w:ascii="Arial" w:eastAsia="Times New Roman" w:hAnsi="Arial"/>
      <w:spacing w:val="-10"/>
      <w:kern w:val="20"/>
      <w:sz w:val="22"/>
      <w:lang w:eastAsia="en-US"/>
    </w:rPr>
  </w:style>
  <w:style w:type="character" w:customStyle="1" w:styleId="Ttulo4Car">
    <w:name w:val="Título 4 Car"/>
    <w:basedOn w:val="Fuentedeprrafopredeter"/>
    <w:link w:val="Ttulo4"/>
    <w:rsid w:val="00FF3028"/>
    <w:rPr>
      <w:rFonts w:ascii="Arial Black" w:eastAsia="Times New Roman" w:hAnsi="Arial Black"/>
      <w:spacing w:val="-5"/>
      <w:kern w:val="20"/>
      <w:sz w:val="18"/>
      <w:lang w:eastAsia="en-US"/>
    </w:rPr>
  </w:style>
  <w:style w:type="character" w:customStyle="1" w:styleId="Ttulo5Car">
    <w:name w:val="Título 5 Car"/>
    <w:basedOn w:val="Fuentedeprrafopredeter"/>
    <w:link w:val="Ttulo5"/>
    <w:rsid w:val="00FF3028"/>
    <w:rPr>
      <w:rFonts w:ascii="Arial Black" w:eastAsia="Times New Roman" w:hAnsi="Arial Black"/>
      <w:spacing w:val="-5"/>
      <w:kern w:val="20"/>
      <w:sz w:val="18"/>
      <w:lang w:eastAsia="en-US"/>
    </w:rPr>
  </w:style>
  <w:style w:type="character" w:customStyle="1" w:styleId="Ttulo6Car">
    <w:name w:val="Título 6 Car"/>
    <w:basedOn w:val="Fuentedeprrafopredeter"/>
    <w:link w:val="Ttulo6"/>
    <w:rsid w:val="00FF3028"/>
    <w:rPr>
      <w:rFonts w:ascii="Arial Black" w:eastAsia="Times New Roman" w:hAnsi="Arial Black"/>
      <w:spacing w:val="-5"/>
      <w:kern w:val="20"/>
      <w:sz w:val="18"/>
      <w:lang w:eastAsia="en-US"/>
    </w:rPr>
  </w:style>
  <w:style w:type="paragraph" w:customStyle="1" w:styleId="TableHeading">
    <w:name w:val="Table Heading"/>
    <w:basedOn w:val="Normal"/>
    <w:rsid w:val="00FF3028"/>
    <w:pPr>
      <w:suppressLineNumbers/>
      <w:suppressAutoHyphens/>
      <w:jc w:val="center"/>
    </w:pPr>
    <w:rPr>
      <w:b/>
      <w:bCs/>
      <w:spacing w:val="0"/>
      <w:sz w:val="22"/>
      <w:szCs w:val="24"/>
      <w:lang w:val="es-ES" w:eastAsia="ar-SA"/>
    </w:rPr>
  </w:style>
  <w:style w:type="table" w:customStyle="1" w:styleId="Tablaconcuadrcula1">
    <w:name w:val="Tabla con cuadrícula1"/>
    <w:basedOn w:val="Tablanormal"/>
    <w:next w:val="Tablaconcuadrcula"/>
    <w:uiPriority w:val="39"/>
    <w:rsid w:val="00FF302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1E6912"/>
    <w:pPr>
      <w:spacing w:before="240" w:after="0" w:line="259" w:lineRule="auto"/>
      <w:outlineLvl w:val="9"/>
    </w:pPr>
    <w:rPr>
      <w:rFonts w:asciiTheme="majorHAnsi" w:eastAsiaTheme="majorEastAsia" w:hAnsiTheme="majorHAnsi" w:cstheme="majorBidi"/>
      <w:color w:val="2E74B5" w:themeColor="accent1" w:themeShade="BF"/>
      <w:spacing w:val="0"/>
      <w:kern w:val="0"/>
      <w:sz w:val="32"/>
      <w:szCs w:val="32"/>
      <w:lang w:eastAsia="es-CO"/>
    </w:rPr>
  </w:style>
  <w:style w:type="character" w:customStyle="1" w:styleId="SubttuloCar">
    <w:name w:val="Subtítulo Car"/>
    <w:basedOn w:val="Fuentedeprrafopredeter"/>
    <w:link w:val="Subttulo"/>
    <w:rsid w:val="00280F88"/>
    <w:rPr>
      <w:rFonts w:ascii="Arial" w:eastAsia="Times New Roman" w:hAnsi="Arial" w:cs="Arial"/>
      <w:spacing w:val="-5"/>
      <w:sz w:val="24"/>
      <w:szCs w:val="24"/>
      <w:lang w:eastAsia="en-US"/>
    </w:rPr>
  </w:style>
  <w:style w:type="character" w:styleId="Mencinsinresolver">
    <w:name w:val="Unresolved Mention"/>
    <w:basedOn w:val="Fuentedeprrafopredeter"/>
    <w:uiPriority w:val="99"/>
    <w:semiHidden/>
    <w:unhideWhenUsed/>
    <w:rsid w:val="00BB14CB"/>
    <w:rPr>
      <w:color w:val="605E5C"/>
      <w:shd w:val="clear" w:color="auto" w:fill="E1DFDD"/>
    </w:rPr>
  </w:style>
  <w:style w:type="table" w:customStyle="1" w:styleId="TableGrid">
    <w:name w:val="TableGrid"/>
    <w:rsid w:val="0075017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Revisin">
    <w:name w:val="Revision"/>
    <w:hidden/>
    <w:uiPriority w:val="99"/>
    <w:semiHidden/>
    <w:rsid w:val="00411CEC"/>
    <w:rPr>
      <w:rFonts w:ascii="Arial" w:eastAsia="Times New Roman" w:hAnsi="Arial"/>
      <w:spacing w:val="-5"/>
      <w:lang w:eastAsia="en-US"/>
    </w:rPr>
  </w:style>
  <w:style w:type="paragraph" w:styleId="Asuntodelcomentario">
    <w:name w:val="annotation subject"/>
    <w:basedOn w:val="Textocomentario"/>
    <w:next w:val="Textocomentario"/>
    <w:link w:val="AsuntodelcomentarioCar"/>
    <w:uiPriority w:val="99"/>
    <w:semiHidden/>
    <w:unhideWhenUsed/>
    <w:rsid w:val="00F52E31"/>
    <w:rPr>
      <w:b/>
      <w:bCs/>
    </w:rPr>
  </w:style>
  <w:style w:type="character" w:customStyle="1" w:styleId="TextocomentarioCar">
    <w:name w:val="Texto comentario Car"/>
    <w:basedOn w:val="Fuentedeprrafopredeter"/>
    <w:link w:val="Textocomentario"/>
    <w:semiHidden/>
    <w:rsid w:val="00F52E31"/>
    <w:rPr>
      <w:rFonts w:ascii="Arial" w:eastAsia="Times New Roman" w:hAnsi="Arial"/>
      <w:spacing w:val="-5"/>
      <w:lang w:eastAsia="en-US"/>
    </w:rPr>
  </w:style>
  <w:style w:type="character" w:customStyle="1" w:styleId="AsuntodelcomentarioCar">
    <w:name w:val="Asunto del comentario Car"/>
    <w:basedOn w:val="TextocomentarioCar"/>
    <w:link w:val="Asuntodelcomentario"/>
    <w:uiPriority w:val="99"/>
    <w:semiHidden/>
    <w:rsid w:val="00F52E31"/>
    <w:rPr>
      <w:rFonts w:ascii="Arial" w:eastAsia="Times New Roman" w:hAnsi="Arial"/>
      <w:b/>
      <w:bCs/>
      <w:spacing w:val="-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1590">
      <w:bodyDiv w:val="1"/>
      <w:marLeft w:val="0"/>
      <w:marRight w:val="0"/>
      <w:marTop w:val="0"/>
      <w:marBottom w:val="0"/>
      <w:divBdr>
        <w:top w:val="none" w:sz="0" w:space="0" w:color="auto"/>
        <w:left w:val="none" w:sz="0" w:space="0" w:color="auto"/>
        <w:bottom w:val="none" w:sz="0" w:space="0" w:color="auto"/>
        <w:right w:val="none" w:sz="0" w:space="0" w:color="auto"/>
      </w:divBdr>
    </w:div>
    <w:div w:id="13697996">
      <w:bodyDiv w:val="1"/>
      <w:marLeft w:val="0"/>
      <w:marRight w:val="0"/>
      <w:marTop w:val="0"/>
      <w:marBottom w:val="0"/>
      <w:divBdr>
        <w:top w:val="none" w:sz="0" w:space="0" w:color="auto"/>
        <w:left w:val="none" w:sz="0" w:space="0" w:color="auto"/>
        <w:bottom w:val="none" w:sz="0" w:space="0" w:color="auto"/>
        <w:right w:val="none" w:sz="0" w:space="0" w:color="auto"/>
      </w:divBdr>
    </w:div>
    <w:div w:id="15624089">
      <w:bodyDiv w:val="1"/>
      <w:marLeft w:val="0"/>
      <w:marRight w:val="0"/>
      <w:marTop w:val="0"/>
      <w:marBottom w:val="0"/>
      <w:divBdr>
        <w:top w:val="none" w:sz="0" w:space="0" w:color="auto"/>
        <w:left w:val="none" w:sz="0" w:space="0" w:color="auto"/>
        <w:bottom w:val="none" w:sz="0" w:space="0" w:color="auto"/>
        <w:right w:val="none" w:sz="0" w:space="0" w:color="auto"/>
      </w:divBdr>
    </w:div>
    <w:div w:id="17122524">
      <w:bodyDiv w:val="1"/>
      <w:marLeft w:val="0"/>
      <w:marRight w:val="0"/>
      <w:marTop w:val="0"/>
      <w:marBottom w:val="0"/>
      <w:divBdr>
        <w:top w:val="none" w:sz="0" w:space="0" w:color="auto"/>
        <w:left w:val="none" w:sz="0" w:space="0" w:color="auto"/>
        <w:bottom w:val="none" w:sz="0" w:space="0" w:color="auto"/>
        <w:right w:val="none" w:sz="0" w:space="0" w:color="auto"/>
      </w:divBdr>
    </w:div>
    <w:div w:id="20323991">
      <w:bodyDiv w:val="1"/>
      <w:marLeft w:val="0"/>
      <w:marRight w:val="0"/>
      <w:marTop w:val="0"/>
      <w:marBottom w:val="0"/>
      <w:divBdr>
        <w:top w:val="none" w:sz="0" w:space="0" w:color="auto"/>
        <w:left w:val="none" w:sz="0" w:space="0" w:color="auto"/>
        <w:bottom w:val="none" w:sz="0" w:space="0" w:color="auto"/>
        <w:right w:val="none" w:sz="0" w:space="0" w:color="auto"/>
      </w:divBdr>
    </w:div>
    <w:div w:id="25569606">
      <w:bodyDiv w:val="1"/>
      <w:marLeft w:val="0"/>
      <w:marRight w:val="0"/>
      <w:marTop w:val="0"/>
      <w:marBottom w:val="0"/>
      <w:divBdr>
        <w:top w:val="none" w:sz="0" w:space="0" w:color="auto"/>
        <w:left w:val="none" w:sz="0" w:space="0" w:color="auto"/>
        <w:bottom w:val="none" w:sz="0" w:space="0" w:color="auto"/>
        <w:right w:val="none" w:sz="0" w:space="0" w:color="auto"/>
      </w:divBdr>
    </w:div>
    <w:div w:id="26299693">
      <w:bodyDiv w:val="1"/>
      <w:marLeft w:val="0"/>
      <w:marRight w:val="0"/>
      <w:marTop w:val="0"/>
      <w:marBottom w:val="0"/>
      <w:divBdr>
        <w:top w:val="none" w:sz="0" w:space="0" w:color="auto"/>
        <w:left w:val="none" w:sz="0" w:space="0" w:color="auto"/>
        <w:bottom w:val="none" w:sz="0" w:space="0" w:color="auto"/>
        <w:right w:val="none" w:sz="0" w:space="0" w:color="auto"/>
      </w:divBdr>
    </w:div>
    <w:div w:id="26948791">
      <w:bodyDiv w:val="1"/>
      <w:marLeft w:val="0"/>
      <w:marRight w:val="0"/>
      <w:marTop w:val="0"/>
      <w:marBottom w:val="0"/>
      <w:divBdr>
        <w:top w:val="none" w:sz="0" w:space="0" w:color="auto"/>
        <w:left w:val="none" w:sz="0" w:space="0" w:color="auto"/>
        <w:bottom w:val="none" w:sz="0" w:space="0" w:color="auto"/>
        <w:right w:val="none" w:sz="0" w:space="0" w:color="auto"/>
      </w:divBdr>
    </w:div>
    <w:div w:id="27217787">
      <w:bodyDiv w:val="1"/>
      <w:marLeft w:val="0"/>
      <w:marRight w:val="0"/>
      <w:marTop w:val="0"/>
      <w:marBottom w:val="0"/>
      <w:divBdr>
        <w:top w:val="none" w:sz="0" w:space="0" w:color="auto"/>
        <w:left w:val="none" w:sz="0" w:space="0" w:color="auto"/>
        <w:bottom w:val="none" w:sz="0" w:space="0" w:color="auto"/>
        <w:right w:val="none" w:sz="0" w:space="0" w:color="auto"/>
      </w:divBdr>
    </w:div>
    <w:div w:id="27723723">
      <w:bodyDiv w:val="1"/>
      <w:marLeft w:val="0"/>
      <w:marRight w:val="0"/>
      <w:marTop w:val="0"/>
      <w:marBottom w:val="0"/>
      <w:divBdr>
        <w:top w:val="none" w:sz="0" w:space="0" w:color="auto"/>
        <w:left w:val="none" w:sz="0" w:space="0" w:color="auto"/>
        <w:bottom w:val="none" w:sz="0" w:space="0" w:color="auto"/>
        <w:right w:val="none" w:sz="0" w:space="0" w:color="auto"/>
      </w:divBdr>
    </w:div>
    <w:div w:id="28654204">
      <w:bodyDiv w:val="1"/>
      <w:marLeft w:val="0"/>
      <w:marRight w:val="0"/>
      <w:marTop w:val="0"/>
      <w:marBottom w:val="0"/>
      <w:divBdr>
        <w:top w:val="none" w:sz="0" w:space="0" w:color="auto"/>
        <w:left w:val="none" w:sz="0" w:space="0" w:color="auto"/>
        <w:bottom w:val="none" w:sz="0" w:space="0" w:color="auto"/>
        <w:right w:val="none" w:sz="0" w:space="0" w:color="auto"/>
      </w:divBdr>
    </w:div>
    <w:div w:id="40137398">
      <w:bodyDiv w:val="1"/>
      <w:marLeft w:val="0"/>
      <w:marRight w:val="0"/>
      <w:marTop w:val="0"/>
      <w:marBottom w:val="0"/>
      <w:divBdr>
        <w:top w:val="none" w:sz="0" w:space="0" w:color="auto"/>
        <w:left w:val="none" w:sz="0" w:space="0" w:color="auto"/>
        <w:bottom w:val="none" w:sz="0" w:space="0" w:color="auto"/>
        <w:right w:val="none" w:sz="0" w:space="0" w:color="auto"/>
      </w:divBdr>
    </w:div>
    <w:div w:id="48653563">
      <w:bodyDiv w:val="1"/>
      <w:marLeft w:val="0"/>
      <w:marRight w:val="0"/>
      <w:marTop w:val="0"/>
      <w:marBottom w:val="0"/>
      <w:divBdr>
        <w:top w:val="none" w:sz="0" w:space="0" w:color="auto"/>
        <w:left w:val="none" w:sz="0" w:space="0" w:color="auto"/>
        <w:bottom w:val="none" w:sz="0" w:space="0" w:color="auto"/>
        <w:right w:val="none" w:sz="0" w:space="0" w:color="auto"/>
      </w:divBdr>
    </w:div>
    <w:div w:id="52241188">
      <w:bodyDiv w:val="1"/>
      <w:marLeft w:val="0"/>
      <w:marRight w:val="0"/>
      <w:marTop w:val="0"/>
      <w:marBottom w:val="0"/>
      <w:divBdr>
        <w:top w:val="none" w:sz="0" w:space="0" w:color="auto"/>
        <w:left w:val="none" w:sz="0" w:space="0" w:color="auto"/>
        <w:bottom w:val="none" w:sz="0" w:space="0" w:color="auto"/>
        <w:right w:val="none" w:sz="0" w:space="0" w:color="auto"/>
      </w:divBdr>
    </w:div>
    <w:div w:id="59014207">
      <w:bodyDiv w:val="1"/>
      <w:marLeft w:val="0"/>
      <w:marRight w:val="0"/>
      <w:marTop w:val="0"/>
      <w:marBottom w:val="0"/>
      <w:divBdr>
        <w:top w:val="none" w:sz="0" w:space="0" w:color="auto"/>
        <w:left w:val="none" w:sz="0" w:space="0" w:color="auto"/>
        <w:bottom w:val="none" w:sz="0" w:space="0" w:color="auto"/>
        <w:right w:val="none" w:sz="0" w:space="0" w:color="auto"/>
      </w:divBdr>
    </w:div>
    <w:div w:id="62535933">
      <w:bodyDiv w:val="1"/>
      <w:marLeft w:val="0"/>
      <w:marRight w:val="0"/>
      <w:marTop w:val="0"/>
      <w:marBottom w:val="0"/>
      <w:divBdr>
        <w:top w:val="none" w:sz="0" w:space="0" w:color="auto"/>
        <w:left w:val="none" w:sz="0" w:space="0" w:color="auto"/>
        <w:bottom w:val="none" w:sz="0" w:space="0" w:color="auto"/>
        <w:right w:val="none" w:sz="0" w:space="0" w:color="auto"/>
      </w:divBdr>
    </w:div>
    <w:div w:id="79984410">
      <w:bodyDiv w:val="1"/>
      <w:marLeft w:val="0"/>
      <w:marRight w:val="0"/>
      <w:marTop w:val="0"/>
      <w:marBottom w:val="0"/>
      <w:divBdr>
        <w:top w:val="none" w:sz="0" w:space="0" w:color="auto"/>
        <w:left w:val="none" w:sz="0" w:space="0" w:color="auto"/>
        <w:bottom w:val="none" w:sz="0" w:space="0" w:color="auto"/>
        <w:right w:val="none" w:sz="0" w:space="0" w:color="auto"/>
      </w:divBdr>
    </w:div>
    <w:div w:id="87889272">
      <w:bodyDiv w:val="1"/>
      <w:marLeft w:val="0"/>
      <w:marRight w:val="0"/>
      <w:marTop w:val="0"/>
      <w:marBottom w:val="0"/>
      <w:divBdr>
        <w:top w:val="none" w:sz="0" w:space="0" w:color="auto"/>
        <w:left w:val="none" w:sz="0" w:space="0" w:color="auto"/>
        <w:bottom w:val="none" w:sz="0" w:space="0" w:color="auto"/>
        <w:right w:val="none" w:sz="0" w:space="0" w:color="auto"/>
      </w:divBdr>
    </w:div>
    <w:div w:id="120198489">
      <w:bodyDiv w:val="1"/>
      <w:marLeft w:val="0"/>
      <w:marRight w:val="0"/>
      <w:marTop w:val="0"/>
      <w:marBottom w:val="0"/>
      <w:divBdr>
        <w:top w:val="none" w:sz="0" w:space="0" w:color="auto"/>
        <w:left w:val="none" w:sz="0" w:space="0" w:color="auto"/>
        <w:bottom w:val="none" w:sz="0" w:space="0" w:color="auto"/>
        <w:right w:val="none" w:sz="0" w:space="0" w:color="auto"/>
      </w:divBdr>
    </w:div>
    <w:div w:id="122233114">
      <w:bodyDiv w:val="1"/>
      <w:marLeft w:val="0"/>
      <w:marRight w:val="0"/>
      <w:marTop w:val="0"/>
      <w:marBottom w:val="0"/>
      <w:divBdr>
        <w:top w:val="none" w:sz="0" w:space="0" w:color="auto"/>
        <w:left w:val="none" w:sz="0" w:space="0" w:color="auto"/>
        <w:bottom w:val="none" w:sz="0" w:space="0" w:color="auto"/>
        <w:right w:val="none" w:sz="0" w:space="0" w:color="auto"/>
      </w:divBdr>
    </w:div>
    <w:div w:id="125199668">
      <w:bodyDiv w:val="1"/>
      <w:marLeft w:val="0"/>
      <w:marRight w:val="0"/>
      <w:marTop w:val="0"/>
      <w:marBottom w:val="0"/>
      <w:divBdr>
        <w:top w:val="none" w:sz="0" w:space="0" w:color="auto"/>
        <w:left w:val="none" w:sz="0" w:space="0" w:color="auto"/>
        <w:bottom w:val="none" w:sz="0" w:space="0" w:color="auto"/>
        <w:right w:val="none" w:sz="0" w:space="0" w:color="auto"/>
      </w:divBdr>
    </w:div>
    <w:div w:id="147135852">
      <w:bodyDiv w:val="1"/>
      <w:marLeft w:val="0"/>
      <w:marRight w:val="0"/>
      <w:marTop w:val="0"/>
      <w:marBottom w:val="0"/>
      <w:divBdr>
        <w:top w:val="none" w:sz="0" w:space="0" w:color="auto"/>
        <w:left w:val="none" w:sz="0" w:space="0" w:color="auto"/>
        <w:bottom w:val="none" w:sz="0" w:space="0" w:color="auto"/>
        <w:right w:val="none" w:sz="0" w:space="0" w:color="auto"/>
      </w:divBdr>
    </w:div>
    <w:div w:id="149443342">
      <w:bodyDiv w:val="1"/>
      <w:marLeft w:val="0"/>
      <w:marRight w:val="0"/>
      <w:marTop w:val="0"/>
      <w:marBottom w:val="0"/>
      <w:divBdr>
        <w:top w:val="none" w:sz="0" w:space="0" w:color="auto"/>
        <w:left w:val="none" w:sz="0" w:space="0" w:color="auto"/>
        <w:bottom w:val="none" w:sz="0" w:space="0" w:color="auto"/>
        <w:right w:val="none" w:sz="0" w:space="0" w:color="auto"/>
      </w:divBdr>
    </w:div>
    <w:div w:id="152378538">
      <w:bodyDiv w:val="1"/>
      <w:marLeft w:val="0"/>
      <w:marRight w:val="0"/>
      <w:marTop w:val="0"/>
      <w:marBottom w:val="0"/>
      <w:divBdr>
        <w:top w:val="none" w:sz="0" w:space="0" w:color="auto"/>
        <w:left w:val="none" w:sz="0" w:space="0" w:color="auto"/>
        <w:bottom w:val="none" w:sz="0" w:space="0" w:color="auto"/>
        <w:right w:val="none" w:sz="0" w:space="0" w:color="auto"/>
      </w:divBdr>
    </w:div>
    <w:div w:id="155651114">
      <w:bodyDiv w:val="1"/>
      <w:marLeft w:val="0"/>
      <w:marRight w:val="0"/>
      <w:marTop w:val="0"/>
      <w:marBottom w:val="0"/>
      <w:divBdr>
        <w:top w:val="none" w:sz="0" w:space="0" w:color="auto"/>
        <w:left w:val="none" w:sz="0" w:space="0" w:color="auto"/>
        <w:bottom w:val="none" w:sz="0" w:space="0" w:color="auto"/>
        <w:right w:val="none" w:sz="0" w:space="0" w:color="auto"/>
      </w:divBdr>
    </w:div>
    <w:div w:id="156960748">
      <w:bodyDiv w:val="1"/>
      <w:marLeft w:val="0"/>
      <w:marRight w:val="0"/>
      <w:marTop w:val="0"/>
      <w:marBottom w:val="0"/>
      <w:divBdr>
        <w:top w:val="none" w:sz="0" w:space="0" w:color="auto"/>
        <w:left w:val="none" w:sz="0" w:space="0" w:color="auto"/>
        <w:bottom w:val="none" w:sz="0" w:space="0" w:color="auto"/>
        <w:right w:val="none" w:sz="0" w:space="0" w:color="auto"/>
      </w:divBdr>
    </w:div>
    <w:div w:id="164134221">
      <w:bodyDiv w:val="1"/>
      <w:marLeft w:val="0"/>
      <w:marRight w:val="0"/>
      <w:marTop w:val="0"/>
      <w:marBottom w:val="0"/>
      <w:divBdr>
        <w:top w:val="none" w:sz="0" w:space="0" w:color="auto"/>
        <w:left w:val="none" w:sz="0" w:space="0" w:color="auto"/>
        <w:bottom w:val="none" w:sz="0" w:space="0" w:color="auto"/>
        <w:right w:val="none" w:sz="0" w:space="0" w:color="auto"/>
      </w:divBdr>
    </w:div>
    <w:div w:id="175775722">
      <w:bodyDiv w:val="1"/>
      <w:marLeft w:val="0"/>
      <w:marRight w:val="0"/>
      <w:marTop w:val="0"/>
      <w:marBottom w:val="0"/>
      <w:divBdr>
        <w:top w:val="none" w:sz="0" w:space="0" w:color="auto"/>
        <w:left w:val="none" w:sz="0" w:space="0" w:color="auto"/>
        <w:bottom w:val="none" w:sz="0" w:space="0" w:color="auto"/>
        <w:right w:val="none" w:sz="0" w:space="0" w:color="auto"/>
      </w:divBdr>
    </w:div>
    <w:div w:id="176769026">
      <w:bodyDiv w:val="1"/>
      <w:marLeft w:val="0"/>
      <w:marRight w:val="0"/>
      <w:marTop w:val="0"/>
      <w:marBottom w:val="0"/>
      <w:divBdr>
        <w:top w:val="none" w:sz="0" w:space="0" w:color="auto"/>
        <w:left w:val="none" w:sz="0" w:space="0" w:color="auto"/>
        <w:bottom w:val="none" w:sz="0" w:space="0" w:color="auto"/>
        <w:right w:val="none" w:sz="0" w:space="0" w:color="auto"/>
      </w:divBdr>
    </w:div>
    <w:div w:id="182595296">
      <w:bodyDiv w:val="1"/>
      <w:marLeft w:val="0"/>
      <w:marRight w:val="0"/>
      <w:marTop w:val="0"/>
      <w:marBottom w:val="0"/>
      <w:divBdr>
        <w:top w:val="none" w:sz="0" w:space="0" w:color="auto"/>
        <w:left w:val="none" w:sz="0" w:space="0" w:color="auto"/>
        <w:bottom w:val="none" w:sz="0" w:space="0" w:color="auto"/>
        <w:right w:val="none" w:sz="0" w:space="0" w:color="auto"/>
      </w:divBdr>
    </w:div>
    <w:div w:id="184365243">
      <w:bodyDiv w:val="1"/>
      <w:marLeft w:val="0"/>
      <w:marRight w:val="0"/>
      <w:marTop w:val="0"/>
      <w:marBottom w:val="0"/>
      <w:divBdr>
        <w:top w:val="none" w:sz="0" w:space="0" w:color="auto"/>
        <w:left w:val="none" w:sz="0" w:space="0" w:color="auto"/>
        <w:bottom w:val="none" w:sz="0" w:space="0" w:color="auto"/>
        <w:right w:val="none" w:sz="0" w:space="0" w:color="auto"/>
      </w:divBdr>
    </w:div>
    <w:div w:id="184489966">
      <w:bodyDiv w:val="1"/>
      <w:marLeft w:val="0"/>
      <w:marRight w:val="0"/>
      <w:marTop w:val="0"/>
      <w:marBottom w:val="0"/>
      <w:divBdr>
        <w:top w:val="none" w:sz="0" w:space="0" w:color="auto"/>
        <w:left w:val="none" w:sz="0" w:space="0" w:color="auto"/>
        <w:bottom w:val="none" w:sz="0" w:space="0" w:color="auto"/>
        <w:right w:val="none" w:sz="0" w:space="0" w:color="auto"/>
      </w:divBdr>
    </w:div>
    <w:div w:id="187455892">
      <w:bodyDiv w:val="1"/>
      <w:marLeft w:val="0"/>
      <w:marRight w:val="0"/>
      <w:marTop w:val="0"/>
      <w:marBottom w:val="0"/>
      <w:divBdr>
        <w:top w:val="none" w:sz="0" w:space="0" w:color="auto"/>
        <w:left w:val="none" w:sz="0" w:space="0" w:color="auto"/>
        <w:bottom w:val="none" w:sz="0" w:space="0" w:color="auto"/>
        <w:right w:val="none" w:sz="0" w:space="0" w:color="auto"/>
      </w:divBdr>
    </w:div>
    <w:div w:id="188421650">
      <w:bodyDiv w:val="1"/>
      <w:marLeft w:val="0"/>
      <w:marRight w:val="0"/>
      <w:marTop w:val="0"/>
      <w:marBottom w:val="0"/>
      <w:divBdr>
        <w:top w:val="none" w:sz="0" w:space="0" w:color="auto"/>
        <w:left w:val="none" w:sz="0" w:space="0" w:color="auto"/>
        <w:bottom w:val="none" w:sz="0" w:space="0" w:color="auto"/>
        <w:right w:val="none" w:sz="0" w:space="0" w:color="auto"/>
      </w:divBdr>
    </w:div>
    <w:div w:id="200944707">
      <w:bodyDiv w:val="1"/>
      <w:marLeft w:val="0"/>
      <w:marRight w:val="0"/>
      <w:marTop w:val="0"/>
      <w:marBottom w:val="0"/>
      <w:divBdr>
        <w:top w:val="none" w:sz="0" w:space="0" w:color="auto"/>
        <w:left w:val="none" w:sz="0" w:space="0" w:color="auto"/>
        <w:bottom w:val="none" w:sz="0" w:space="0" w:color="auto"/>
        <w:right w:val="none" w:sz="0" w:space="0" w:color="auto"/>
      </w:divBdr>
    </w:div>
    <w:div w:id="205602704">
      <w:bodyDiv w:val="1"/>
      <w:marLeft w:val="0"/>
      <w:marRight w:val="0"/>
      <w:marTop w:val="0"/>
      <w:marBottom w:val="0"/>
      <w:divBdr>
        <w:top w:val="none" w:sz="0" w:space="0" w:color="auto"/>
        <w:left w:val="none" w:sz="0" w:space="0" w:color="auto"/>
        <w:bottom w:val="none" w:sz="0" w:space="0" w:color="auto"/>
        <w:right w:val="none" w:sz="0" w:space="0" w:color="auto"/>
      </w:divBdr>
    </w:div>
    <w:div w:id="236404487">
      <w:bodyDiv w:val="1"/>
      <w:marLeft w:val="0"/>
      <w:marRight w:val="0"/>
      <w:marTop w:val="0"/>
      <w:marBottom w:val="0"/>
      <w:divBdr>
        <w:top w:val="none" w:sz="0" w:space="0" w:color="auto"/>
        <w:left w:val="none" w:sz="0" w:space="0" w:color="auto"/>
        <w:bottom w:val="none" w:sz="0" w:space="0" w:color="auto"/>
        <w:right w:val="none" w:sz="0" w:space="0" w:color="auto"/>
      </w:divBdr>
    </w:div>
    <w:div w:id="252207212">
      <w:bodyDiv w:val="1"/>
      <w:marLeft w:val="0"/>
      <w:marRight w:val="0"/>
      <w:marTop w:val="0"/>
      <w:marBottom w:val="0"/>
      <w:divBdr>
        <w:top w:val="none" w:sz="0" w:space="0" w:color="auto"/>
        <w:left w:val="none" w:sz="0" w:space="0" w:color="auto"/>
        <w:bottom w:val="none" w:sz="0" w:space="0" w:color="auto"/>
        <w:right w:val="none" w:sz="0" w:space="0" w:color="auto"/>
      </w:divBdr>
    </w:div>
    <w:div w:id="252982032">
      <w:bodyDiv w:val="1"/>
      <w:marLeft w:val="0"/>
      <w:marRight w:val="0"/>
      <w:marTop w:val="0"/>
      <w:marBottom w:val="0"/>
      <w:divBdr>
        <w:top w:val="none" w:sz="0" w:space="0" w:color="auto"/>
        <w:left w:val="none" w:sz="0" w:space="0" w:color="auto"/>
        <w:bottom w:val="none" w:sz="0" w:space="0" w:color="auto"/>
        <w:right w:val="none" w:sz="0" w:space="0" w:color="auto"/>
      </w:divBdr>
    </w:div>
    <w:div w:id="253980994">
      <w:bodyDiv w:val="1"/>
      <w:marLeft w:val="0"/>
      <w:marRight w:val="0"/>
      <w:marTop w:val="0"/>
      <w:marBottom w:val="0"/>
      <w:divBdr>
        <w:top w:val="none" w:sz="0" w:space="0" w:color="auto"/>
        <w:left w:val="none" w:sz="0" w:space="0" w:color="auto"/>
        <w:bottom w:val="none" w:sz="0" w:space="0" w:color="auto"/>
        <w:right w:val="none" w:sz="0" w:space="0" w:color="auto"/>
      </w:divBdr>
    </w:div>
    <w:div w:id="255596531">
      <w:bodyDiv w:val="1"/>
      <w:marLeft w:val="0"/>
      <w:marRight w:val="0"/>
      <w:marTop w:val="0"/>
      <w:marBottom w:val="0"/>
      <w:divBdr>
        <w:top w:val="none" w:sz="0" w:space="0" w:color="auto"/>
        <w:left w:val="none" w:sz="0" w:space="0" w:color="auto"/>
        <w:bottom w:val="none" w:sz="0" w:space="0" w:color="auto"/>
        <w:right w:val="none" w:sz="0" w:space="0" w:color="auto"/>
      </w:divBdr>
    </w:div>
    <w:div w:id="257714402">
      <w:bodyDiv w:val="1"/>
      <w:marLeft w:val="0"/>
      <w:marRight w:val="0"/>
      <w:marTop w:val="0"/>
      <w:marBottom w:val="0"/>
      <w:divBdr>
        <w:top w:val="none" w:sz="0" w:space="0" w:color="auto"/>
        <w:left w:val="none" w:sz="0" w:space="0" w:color="auto"/>
        <w:bottom w:val="none" w:sz="0" w:space="0" w:color="auto"/>
        <w:right w:val="none" w:sz="0" w:space="0" w:color="auto"/>
      </w:divBdr>
    </w:div>
    <w:div w:id="260647763">
      <w:bodyDiv w:val="1"/>
      <w:marLeft w:val="0"/>
      <w:marRight w:val="0"/>
      <w:marTop w:val="0"/>
      <w:marBottom w:val="0"/>
      <w:divBdr>
        <w:top w:val="none" w:sz="0" w:space="0" w:color="auto"/>
        <w:left w:val="none" w:sz="0" w:space="0" w:color="auto"/>
        <w:bottom w:val="none" w:sz="0" w:space="0" w:color="auto"/>
        <w:right w:val="none" w:sz="0" w:space="0" w:color="auto"/>
      </w:divBdr>
    </w:div>
    <w:div w:id="272711321">
      <w:bodyDiv w:val="1"/>
      <w:marLeft w:val="0"/>
      <w:marRight w:val="0"/>
      <w:marTop w:val="0"/>
      <w:marBottom w:val="0"/>
      <w:divBdr>
        <w:top w:val="none" w:sz="0" w:space="0" w:color="auto"/>
        <w:left w:val="none" w:sz="0" w:space="0" w:color="auto"/>
        <w:bottom w:val="none" w:sz="0" w:space="0" w:color="auto"/>
        <w:right w:val="none" w:sz="0" w:space="0" w:color="auto"/>
      </w:divBdr>
    </w:div>
    <w:div w:id="276639659">
      <w:bodyDiv w:val="1"/>
      <w:marLeft w:val="0"/>
      <w:marRight w:val="0"/>
      <w:marTop w:val="0"/>
      <w:marBottom w:val="0"/>
      <w:divBdr>
        <w:top w:val="none" w:sz="0" w:space="0" w:color="auto"/>
        <w:left w:val="none" w:sz="0" w:space="0" w:color="auto"/>
        <w:bottom w:val="none" w:sz="0" w:space="0" w:color="auto"/>
        <w:right w:val="none" w:sz="0" w:space="0" w:color="auto"/>
      </w:divBdr>
    </w:div>
    <w:div w:id="284703581">
      <w:bodyDiv w:val="1"/>
      <w:marLeft w:val="0"/>
      <w:marRight w:val="0"/>
      <w:marTop w:val="0"/>
      <w:marBottom w:val="0"/>
      <w:divBdr>
        <w:top w:val="none" w:sz="0" w:space="0" w:color="auto"/>
        <w:left w:val="none" w:sz="0" w:space="0" w:color="auto"/>
        <w:bottom w:val="none" w:sz="0" w:space="0" w:color="auto"/>
        <w:right w:val="none" w:sz="0" w:space="0" w:color="auto"/>
      </w:divBdr>
    </w:div>
    <w:div w:id="284849277">
      <w:bodyDiv w:val="1"/>
      <w:marLeft w:val="0"/>
      <w:marRight w:val="0"/>
      <w:marTop w:val="0"/>
      <w:marBottom w:val="0"/>
      <w:divBdr>
        <w:top w:val="none" w:sz="0" w:space="0" w:color="auto"/>
        <w:left w:val="none" w:sz="0" w:space="0" w:color="auto"/>
        <w:bottom w:val="none" w:sz="0" w:space="0" w:color="auto"/>
        <w:right w:val="none" w:sz="0" w:space="0" w:color="auto"/>
      </w:divBdr>
    </w:div>
    <w:div w:id="284889727">
      <w:bodyDiv w:val="1"/>
      <w:marLeft w:val="0"/>
      <w:marRight w:val="0"/>
      <w:marTop w:val="0"/>
      <w:marBottom w:val="0"/>
      <w:divBdr>
        <w:top w:val="none" w:sz="0" w:space="0" w:color="auto"/>
        <w:left w:val="none" w:sz="0" w:space="0" w:color="auto"/>
        <w:bottom w:val="none" w:sz="0" w:space="0" w:color="auto"/>
        <w:right w:val="none" w:sz="0" w:space="0" w:color="auto"/>
      </w:divBdr>
    </w:div>
    <w:div w:id="301887982">
      <w:bodyDiv w:val="1"/>
      <w:marLeft w:val="0"/>
      <w:marRight w:val="0"/>
      <w:marTop w:val="0"/>
      <w:marBottom w:val="0"/>
      <w:divBdr>
        <w:top w:val="none" w:sz="0" w:space="0" w:color="auto"/>
        <w:left w:val="none" w:sz="0" w:space="0" w:color="auto"/>
        <w:bottom w:val="none" w:sz="0" w:space="0" w:color="auto"/>
        <w:right w:val="none" w:sz="0" w:space="0" w:color="auto"/>
      </w:divBdr>
    </w:div>
    <w:div w:id="307826515">
      <w:bodyDiv w:val="1"/>
      <w:marLeft w:val="0"/>
      <w:marRight w:val="0"/>
      <w:marTop w:val="0"/>
      <w:marBottom w:val="0"/>
      <w:divBdr>
        <w:top w:val="none" w:sz="0" w:space="0" w:color="auto"/>
        <w:left w:val="none" w:sz="0" w:space="0" w:color="auto"/>
        <w:bottom w:val="none" w:sz="0" w:space="0" w:color="auto"/>
        <w:right w:val="none" w:sz="0" w:space="0" w:color="auto"/>
      </w:divBdr>
    </w:div>
    <w:div w:id="315451442">
      <w:bodyDiv w:val="1"/>
      <w:marLeft w:val="0"/>
      <w:marRight w:val="0"/>
      <w:marTop w:val="0"/>
      <w:marBottom w:val="0"/>
      <w:divBdr>
        <w:top w:val="none" w:sz="0" w:space="0" w:color="auto"/>
        <w:left w:val="none" w:sz="0" w:space="0" w:color="auto"/>
        <w:bottom w:val="none" w:sz="0" w:space="0" w:color="auto"/>
        <w:right w:val="none" w:sz="0" w:space="0" w:color="auto"/>
      </w:divBdr>
    </w:div>
    <w:div w:id="317269588">
      <w:bodyDiv w:val="1"/>
      <w:marLeft w:val="0"/>
      <w:marRight w:val="0"/>
      <w:marTop w:val="0"/>
      <w:marBottom w:val="0"/>
      <w:divBdr>
        <w:top w:val="none" w:sz="0" w:space="0" w:color="auto"/>
        <w:left w:val="none" w:sz="0" w:space="0" w:color="auto"/>
        <w:bottom w:val="none" w:sz="0" w:space="0" w:color="auto"/>
        <w:right w:val="none" w:sz="0" w:space="0" w:color="auto"/>
      </w:divBdr>
    </w:div>
    <w:div w:id="317610535">
      <w:bodyDiv w:val="1"/>
      <w:marLeft w:val="0"/>
      <w:marRight w:val="0"/>
      <w:marTop w:val="0"/>
      <w:marBottom w:val="0"/>
      <w:divBdr>
        <w:top w:val="none" w:sz="0" w:space="0" w:color="auto"/>
        <w:left w:val="none" w:sz="0" w:space="0" w:color="auto"/>
        <w:bottom w:val="none" w:sz="0" w:space="0" w:color="auto"/>
        <w:right w:val="none" w:sz="0" w:space="0" w:color="auto"/>
      </w:divBdr>
    </w:div>
    <w:div w:id="322703934">
      <w:bodyDiv w:val="1"/>
      <w:marLeft w:val="0"/>
      <w:marRight w:val="0"/>
      <w:marTop w:val="0"/>
      <w:marBottom w:val="0"/>
      <w:divBdr>
        <w:top w:val="none" w:sz="0" w:space="0" w:color="auto"/>
        <w:left w:val="none" w:sz="0" w:space="0" w:color="auto"/>
        <w:bottom w:val="none" w:sz="0" w:space="0" w:color="auto"/>
        <w:right w:val="none" w:sz="0" w:space="0" w:color="auto"/>
      </w:divBdr>
    </w:div>
    <w:div w:id="337079499">
      <w:bodyDiv w:val="1"/>
      <w:marLeft w:val="0"/>
      <w:marRight w:val="0"/>
      <w:marTop w:val="0"/>
      <w:marBottom w:val="0"/>
      <w:divBdr>
        <w:top w:val="none" w:sz="0" w:space="0" w:color="auto"/>
        <w:left w:val="none" w:sz="0" w:space="0" w:color="auto"/>
        <w:bottom w:val="none" w:sz="0" w:space="0" w:color="auto"/>
        <w:right w:val="none" w:sz="0" w:space="0" w:color="auto"/>
      </w:divBdr>
    </w:div>
    <w:div w:id="340084463">
      <w:bodyDiv w:val="1"/>
      <w:marLeft w:val="0"/>
      <w:marRight w:val="0"/>
      <w:marTop w:val="0"/>
      <w:marBottom w:val="0"/>
      <w:divBdr>
        <w:top w:val="none" w:sz="0" w:space="0" w:color="auto"/>
        <w:left w:val="none" w:sz="0" w:space="0" w:color="auto"/>
        <w:bottom w:val="none" w:sz="0" w:space="0" w:color="auto"/>
        <w:right w:val="none" w:sz="0" w:space="0" w:color="auto"/>
      </w:divBdr>
    </w:div>
    <w:div w:id="344211530">
      <w:bodyDiv w:val="1"/>
      <w:marLeft w:val="0"/>
      <w:marRight w:val="0"/>
      <w:marTop w:val="0"/>
      <w:marBottom w:val="0"/>
      <w:divBdr>
        <w:top w:val="none" w:sz="0" w:space="0" w:color="auto"/>
        <w:left w:val="none" w:sz="0" w:space="0" w:color="auto"/>
        <w:bottom w:val="none" w:sz="0" w:space="0" w:color="auto"/>
        <w:right w:val="none" w:sz="0" w:space="0" w:color="auto"/>
      </w:divBdr>
    </w:div>
    <w:div w:id="357047198">
      <w:bodyDiv w:val="1"/>
      <w:marLeft w:val="0"/>
      <w:marRight w:val="0"/>
      <w:marTop w:val="0"/>
      <w:marBottom w:val="0"/>
      <w:divBdr>
        <w:top w:val="none" w:sz="0" w:space="0" w:color="auto"/>
        <w:left w:val="none" w:sz="0" w:space="0" w:color="auto"/>
        <w:bottom w:val="none" w:sz="0" w:space="0" w:color="auto"/>
        <w:right w:val="none" w:sz="0" w:space="0" w:color="auto"/>
      </w:divBdr>
    </w:div>
    <w:div w:id="362941223">
      <w:bodyDiv w:val="1"/>
      <w:marLeft w:val="0"/>
      <w:marRight w:val="0"/>
      <w:marTop w:val="0"/>
      <w:marBottom w:val="0"/>
      <w:divBdr>
        <w:top w:val="none" w:sz="0" w:space="0" w:color="auto"/>
        <w:left w:val="none" w:sz="0" w:space="0" w:color="auto"/>
        <w:bottom w:val="none" w:sz="0" w:space="0" w:color="auto"/>
        <w:right w:val="none" w:sz="0" w:space="0" w:color="auto"/>
      </w:divBdr>
    </w:div>
    <w:div w:id="397477443">
      <w:bodyDiv w:val="1"/>
      <w:marLeft w:val="0"/>
      <w:marRight w:val="0"/>
      <w:marTop w:val="0"/>
      <w:marBottom w:val="0"/>
      <w:divBdr>
        <w:top w:val="none" w:sz="0" w:space="0" w:color="auto"/>
        <w:left w:val="none" w:sz="0" w:space="0" w:color="auto"/>
        <w:bottom w:val="none" w:sz="0" w:space="0" w:color="auto"/>
        <w:right w:val="none" w:sz="0" w:space="0" w:color="auto"/>
      </w:divBdr>
    </w:div>
    <w:div w:id="401298687">
      <w:bodyDiv w:val="1"/>
      <w:marLeft w:val="0"/>
      <w:marRight w:val="0"/>
      <w:marTop w:val="0"/>
      <w:marBottom w:val="0"/>
      <w:divBdr>
        <w:top w:val="none" w:sz="0" w:space="0" w:color="auto"/>
        <w:left w:val="none" w:sz="0" w:space="0" w:color="auto"/>
        <w:bottom w:val="none" w:sz="0" w:space="0" w:color="auto"/>
        <w:right w:val="none" w:sz="0" w:space="0" w:color="auto"/>
      </w:divBdr>
    </w:div>
    <w:div w:id="402141716">
      <w:bodyDiv w:val="1"/>
      <w:marLeft w:val="0"/>
      <w:marRight w:val="0"/>
      <w:marTop w:val="0"/>
      <w:marBottom w:val="0"/>
      <w:divBdr>
        <w:top w:val="none" w:sz="0" w:space="0" w:color="auto"/>
        <w:left w:val="none" w:sz="0" w:space="0" w:color="auto"/>
        <w:bottom w:val="none" w:sz="0" w:space="0" w:color="auto"/>
        <w:right w:val="none" w:sz="0" w:space="0" w:color="auto"/>
      </w:divBdr>
    </w:div>
    <w:div w:id="407730003">
      <w:bodyDiv w:val="1"/>
      <w:marLeft w:val="0"/>
      <w:marRight w:val="0"/>
      <w:marTop w:val="0"/>
      <w:marBottom w:val="0"/>
      <w:divBdr>
        <w:top w:val="none" w:sz="0" w:space="0" w:color="auto"/>
        <w:left w:val="none" w:sz="0" w:space="0" w:color="auto"/>
        <w:bottom w:val="none" w:sz="0" w:space="0" w:color="auto"/>
        <w:right w:val="none" w:sz="0" w:space="0" w:color="auto"/>
      </w:divBdr>
    </w:div>
    <w:div w:id="410353241">
      <w:bodyDiv w:val="1"/>
      <w:marLeft w:val="0"/>
      <w:marRight w:val="0"/>
      <w:marTop w:val="0"/>
      <w:marBottom w:val="0"/>
      <w:divBdr>
        <w:top w:val="none" w:sz="0" w:space="0" w:color="auto"/>
        <w:left w:val="none" w:sz="0" w:space="0" w:color="auto"/>
        <w:bottom w:val="none" w:sz="0" w:space="0" w:color="auto"/>
        <w:right w:val="none" w:sz="0" w:space="0" w:color="auto"/>
      </w:divBdr>
    </w:div>
    <w:div w:id="435830231">
      <w:bodyDiv w:val="1"/>
      <w:marLeft w:val="0"/>
      <w:marRight w:val="0"/>
      <w:marTop w:val="0"/>
      <w:marBottom w:val="0"/>
      <w:divBdr>
        <w:top w:val="none" w:sz="0" w:space="0" w:color="auto"/>
        <w:left w:val="none" w:sz="0" w:space="0" w:color="auto"/>
        <w:bottom w:val="none" w:sz="0" w:space="0" w:color="auto"/>
        <w:right w:val="none" w:sz="0" w:space="0" w:color="auto"/>
      </w:divBdr>
    </w:div>
    <w:div w:id="437604972">
      <w:bodyDiv w:val="1"/>
      <w:marLeft w:val="0"/>
      <w:marRight w:val="0"/>
      <w:marTop w:val="0"/>
      <w:marBottom w:val="0"/>
      <w:divBdr>
        <w:top w:val="none" w:sz="0" w:space="0" w:color="auto"/>
        <w:left w:val="none" w:sz="0" w:space="0" w:color="auto"/>
        <w:bottom w:val="none" w:sz="0" w:space="0" w:color="auto"/>
        <w:right w:val="none" w:sz="0" w:space="0" w:color="auto"/>
      </w:divBdr>
    </w:div>
    <w:div w:id="442042974">
      <w:bodyDiv w:val="1"/>
      <w:marLeft w:val="0"/>
      <w:marRight w:val="0"/>
      <w:marTop w:val="0"/>
      <w:marBottom w:val="0"/>
      <w:divBdr>
        <w:top w:val="none" w:sz="0" w:space="0" w:color="auto"/>
        <w:left w:val="none" w:sz="0" w:space="0" w:color="auto"/>
        <w:bottom w:val="none" w:sz="0" w:space="0" w:color="auto"/>
        <w:right w:val="none" w:sz="0" w:space="0" w:color="auto"/>
      </w:divBdr>
    </w:div>
    <w:div w:id="446779554">
      <w:bodyDiv w:val="1"/>
      <w:marLeft w:val="0"/>
      <w:marRight w:val="0"/>
      <w:marTop w:val="0"/>
      <w:marBottom w:val="0"/>
      <w:divBdr>
        <w:top w:val="none" w:sz="0" w:space="0" w:color="auto"/>
        <w:left w:val="none" w:sz="0" w:space="0" w:color="auto"/>
        <w:bottom w:val="none" w:sz="0" w:space="0" w:color="auto"/>
        <w:right w:val="none" w:sz="0" w:space="0" w:color="auto"/>
      </w:divBdr>
    </w:div>
    <w:div w:id="448621386">
      <w:bodyDiv w:val="1"/>
      <w:marLeft w:val="0"/>
      <w:marRight w:val="0"/>
      <w:marTop w:val="0"/>
      <w:marBottom w:val="0"/>
      <w:divBdr>
        <w:top w:val="none" w:sz="0" w:space="0" w:color="auto"/>
        <w:left w:val="none" w:sz="0" w:space="0" w:color="auto"/>
        <w:bottom w:val="none" w:sz="0" w:space="0" w:color="auto"/>
        <w:right w:val="none" w:sz="0" w:space="0" w:color="auto"/>
      </w:divBdr>
    </w:div>
    <w:div w:id="453182580">
      <w:bodyDiv w:val="1"/>
      <w:marLeft w:val="0"/>
      <w:marRight w:val="0"/>
      <w:marTop w:val="0"/>
      <w:marBottom w:val="0"/>
      <w:divBdr>
        <w:top w:val="none" w:sz="0" w:space="0" w:color="auto"/>
        <w:left w:val="none" w:sz="0" w:space="0" w:color="auto"/>
        <w:bottom w:val="none" w:sz="0" w:space="0" w:color="auto"/>
        <w:right w:val="none" w:sz="0" w:space="0" w:color="auto"/>
      </w:divBdr>
    </w:div>
    <w:div w:id="466779537">
      <w:bodyDiv w:val="1"/>
      <w:marLeft w:val="0"/>
      <w:marRight w:val="0"/>
      <w:marTop w:val="0"/>
      <w:marBottom w:val="0"/>
      <w:divBdr>
        <w:top w:val="none" w:sz="0" w:space="0" w:color="auto"/>
        <w:left w:val="none" w:sz="0" w:space="0" w:color="auto"/>
        <w:bottom w:val="none" w:sz="0" w:space="0" w:color="auto"/>
        <w:right w:val="none" w:sz="0" w:space="0" w:color="auto"/>
      </w:divBdr>
    </w:div>
    <w:div w:id="495849946">
      <w:bodyDiv w:val="1"/>
      <w:marLeft w:val="0"/>
      <w:marRight w:val="0"/>
      <w:marTop w:val="0"/>
      <w:marBottom w:val="0"/>
      <w:divBdr>
        <w:top w:val="none" w:sz="0" w:space="0" w:color="auto"/>
        <w:left w:val="none" w:sz="0" w:space="0" w:color="auto"/>
        <w:bottom w:val="none" w:sz="0" w:space="0" w:color="auto"/>
        <w:right w:val="none" w:sz="0" w:space="0" w:color="auto"/>
      </w:divBdr>
    </w:div>
    <w:div w:id="524712028">
      <w:bodyDiv w:val="1"/>
      <w:marLeft w:val="0"/>
      <w:marRight w:val="0"/>
      <w:marTop w:val="0"/>
      <w:marBottom w:val="0"/>
      <w:divBdr>
        <w:top w:val="none" w:sz="0" w:space="0" w:color="auto"/>
        <w:left w:val="none" w:sz="0" w:space="0" w:color="auto"/>
        <w:bottom w:val="none" w:sz="0" w:space="0" w:color="auto"/>
        <w:right w:val="none" w:sz="0" w:space="0" w:color="auto"/>
      </w:divBdr>
    </w:div>
    <w:div w:id="526333444">
      <w:bodyDiv w:val="1"/>
      <w:marLeft w:val="0"/>
      <w:marRight w:val="0"/>
      <w:marTop w:val="0"/>
      <w:marBottom w:val="0"/>
      <w:divBdr>
        <w:top w:val="none" w:sz="0" w:space="0" w:color="auto"/>
        <w:left w:val="none" w:sz="0" w:space="0" w:color="auto"/>
        <w:bottom w:val="none" w:sz="0" w:space="0" w:color="auto"/>
        <w:right w:val="none" w:sz="0" w:space="0" w:color="auto"/>
      </w:divBdr>
    </w:div>
    <w:div w:id="528950456">
      <w:bodyDiv w:val="1"/>
      <w:marLeft w:val="0"/>
      <w:marRight w:val="0"/>
      <w:marTop w:val="0"/>
      <w:marBottom w:val="0"/>
      <w:divBdr>
        <w:top w:val="none" w:sz="0" w:space="0" w:color="auto"/>
        <w:left w:val="none" w:sz="0" w:space="0" w:color="auto"/>
        <w:bottom w:val="none" w:sz="0" w:space="0" w:color="auto"/>
        <w:right w:val="none" w:sz="0" w:space="0" w:color="auto"/>
      </w:divBdr>
    </w:div>
    <w:div w:id="529412782">
      <w:bodyDiv w:val="1"/>
      <w:marLeft w:val="0"/>
      <w:marRight w:val="0"/>
      <w:marTop w:val="0"/>
      <w:marBottom w:val="0"/>
      <w:divBdr>
        <w:top w:val="none" w:sz="0" w:space="0" w:color="auto"/>
        <w:left w:val="none" w:sz="0" w:space="0" w:color="auto"/>
        <w:bottom w:val="none" w:sz="0" w:space="0" w:color="auto"/>
        <w:right w:val="none" w:sz="0" w:space="0" w:color="auto"/>
      </w:divBdr>
    </w:div>
    <w:div w:id="548806132">
      <w:bodyDiv w:val="1"/>
      <w:marLeft w:val="0"/>
      <w:marRight w:val="0"/>
      <w:marTop w:val="0"/>
      <w:marBottom w:val="0"/>
      <w:divBdr>
        <w:top w:val="none" w:sz="0" w:space="0" w:color="auto"/>
        <w:left w:val="none" w:sz="0" w:space="0" w:color="auto"/>
        <w:bottom w:val="none" w:sz="0" w:space="0" w:color="auto"/>
        <w:right w:val="none" w:sz="0" w:space="0" w:color="auto"/>
      </w:divBdr>
    </w:div>
    <w:div w:id="549456905">
      <w:bodyDiv w:val="1"/>
      <w:marLeft w:val="0"/>
      <w:marRight w:val="0"/>
      <w:marTop w:val="0"/>
      <w:marBottom w:val="0"/>
      <w:divBdr>
        <w:top w:val="none" w:sz="0" w:space="0" w:color="auto"/>
        <w:left w:val="none" w:sz="0" w:space="0" w:color="auto"/>
        <w:bottom w:val="none" w:sz="0" w:space="0" w:color="auto"/>
        <w:right w:val="none" w:sz="0" w:space="0" w:color="auto"/>
      </w:divBdr>
    </w:div>
    <w:div w:id="556015242">
      <w:bodyDiv w:val="1"/>
      <w:marLeft w:val="0"/>
      <w:marRight w:val="0"/>
      <w:marTop w:val="0"/>
      <w:marBottom w:val="0"/>
      <w:divBdr>
        <w:top w:val="none" w:sz="0" w:space="0" w:color="auto"/>
        <w:left w:val="none" w:sz="0" w:space="0" w:color="auto"/>
        <w:bottom w:val="none" w:sz="0" w:space="0" w:color="auto"/>
        <w:right w:val="none" w:sz="0" w:space="0" w:color="auto"/>
      </w:divBdr>
    </w:div>
    <w:div w:id="556935751">
      <w:bodyDiv w:val="1"/>
      <w:marLeft w:val="0"/>
      <w:marRight w:val="0"/>
      <w:marTop w:val="0"/>
      <w:marBottom w:val="0"/>
      <w:divBdr>
        <w:top w:val="none" w:sz="0" w:space="0" w:color="auto"/>
        <w:left w:val="none" w:sz="0" w:space="0" w:color="auto"/>
        <w:bottom w:val="none" w:sz="0" w:space="0" w:color="auto"/>
        <w:right w:val="none" w:sz="0" w:space="0" w:color="auto"/>
      </w:divBdr>
    </w:div>
    <w:div w:id="565577396">
      <w:bodyDiv w:val="1"/>
      <w:marLeft w:val="0"/>
      <w:marRight w:val="0"/>
      <w:marTop w:val="0"/>
      <w:marBottom w:val="0"/>
      <w:divBdr>
        <w:top w:val="none" w:sz="0" w:space="0" w:color="auto"/>
        <w:left w:val="none" w:sz="0" w:space="0" w:color="auto"/>
        <w:bottom w:val="none" w:sz="0" w:space="0" w:color="auto"/>
        <w:right w:val="none" w:sz="0" w:space="0" w:color="auto"/>
      </w:divBdr>
    </w:div>
    <w:div w:id="580605322">
      <w:bodyDiv w:val="1"/>
      <w:marLeft w:val="0"/>
      <w:marRight w:val="0"/>
      <w:marTop w:val="0"/>
      <w:marBottom w:val="0"/>
      <w:divBdr>
        <w:top w:val="none" w:sz="0" w:space="0" w:color="auto"/>
        <w:left w:val="none" w:sz="0" w:space="0" w:color="auto"/>
        <w:bottom w:val="none" w:sz="0" w:space="0" w:color="auto"/>
        <w:right w:val="none" w:sz="0" w:space="0" w:color="auto"/>
      </w:divBdr>
    </w:div>
    <w:div w:id="593787491">
      <w:bodyDiv w:val="1"/>
      <w:marLeft w:val="0"/>
      <w:marRight w:val="0"/>
      <w:marTop w:val="0"/>
      <w:marBottom w:val="0"/>
      <w:divBdr>
        <w:top w:val="none" w:sz="0" w:space="0" w:color="auto"/>
        <w:left w:val="none" w:sz="0" w:space="0" w:color="auto"/>
        <w:bottom w:val="none" w:sz="0" w:space="0" w:color="auto"/>
        <w:right w:val="none" w:sz="0" w:space="0" w:color="auto"/>
      </w:divBdr>
    </w:div>
    <w:div w:id="594944704">
      <w:bodyDiv w:val="1"/>
      <w:marLeft w:val="0"/>
      <w:marRight w:val="0"/>
      <w:marTop w:val="0"/>
      <w:marBottom w:val="0"/>
      <w:divBdr>
        <w:top w:val="none" w:sz="0" w:space="0" w:color="auto"/>
        <w:left w:val="none" w:sz="0" w:space="0" w:color="auto"/>
        <w:bottom w:val="none" w:sz="0" w:space="0" w:color="auto"/>
        <w:right w:val="none" w:sz="0" w:space="0" w:color="auto"/>
      </w:divBdr>
    </w:div>
    <w:div w:id="597909467">
      <w:bodyDiv w:val="1"/>
      <w:marLeft w:val="0"/>
      <w:marRight w:val="0"/>
      <w:marTop w:val="0"/>
      <w:marBottom w:val="0"/>
      <w:divBdr>
        <w:top w:val="none" w:sz="0" w:space="0" w:color="auto"/>
        <w:left w:val="none" w:sz="0" w:space="0" w:color="auto"/>
        <w:bottom w:val="none" w:sz="0" w:space="0" w:color="auto"/>
        <w:right w:val="none" w:sz="0" w:space="0" w:color="auto"/>
      </w:divBdr>
    </w:div>
    <w:div w:id="599874139">
      <w:bodyDiv w:val="1"/>
      <w:marLeft w:val="0"/>
      <w:marRight w:val="0"/>
      <w:marTop w:val="0"/>
      <w:marBottom w:val="0"/>
      <w:divBdr>
        <w:top w:val="none" w:sz="0" w:space="0" w:color="auto"/>
        <w:left w:val="none" w:sz="0" w:space="0" w:color="auto"/>
        <w:bottom w:val="none" w:sz="0" w:space="0" w:color="auto"/>
        <w:right w:val="none" w:sz="0" w:space="0" w:color="auto"/>
      </w:divBdr>
    </w:div>
    <w:div w:id="610626925">
      <w:bodyDiv w:val="1"/>
      <w:marLeft w:val="0"/>
      <w:marRight w:val="0"/>
      <w:marTop w:val="0"/>
      <w:marBottom w:val="0"/>
      <w:divBdr>
        <w:top w:val="none" w:sz="0" w:space="0" w:color="auto"/>
        <w:left w:val="none" w:sz="0" w:space="0" w:color="auto"/>
        <w:bottom w:val="none" w:sz="0" w:space="0" w:color="auto"/>
        <w:right w:val="none" w:sz="0" w:space="0" w:color="auto"/>
      </w:divBdr>
    </w:div>
    <w:div w:id="617958345">
      <w:bodyDiv w:val="1"/>
      <w:marLeft w:val="0"/>
      <w:marRight w:val="0"/>
      <w:marTop w:val="0"/>
      <w:marBottom w:val="0"/>
      <w:divBdr>
        <w:top w:val="none" w:sz="0" w:space="0" w:color="auto"/>
        <w:left w:val="none" w:sz="0" w:space="0" w:color="auto"/>
        <w:bottom w:val="none" w:sz="0" w:space="0" w:color="auto"/>
        <w:right w:val="none" w:sz="0" w:space="0" w:color="auto"/>
      </w:divBdr>
    </w:div>
    <w:div w:id="619533822">
      <w:bodyDiv w:val="1"/>
      <w:marLeft w:val="0"/>
      <w:marRight w:val="0"/>
      <w:marTop w:val="0"/>
      <w:marBottom w:val="0"/>
      <w:divBdr>
        <w:top w:val="none" w:sz="0" w:space="0" w:color="auto"/>
        <w:left w:val="none" w:sz="0" w:space="0" w:color="auto"/>
        <w:bottom w:val="none" w:sz="0" w:space="0" w:color="auto"/>
        <w:right w:val="none" w:sz="0" w:space="0" w:color="auto"/>
      </w:divBdr>
    </w:div>
    <w:div w:id="627050072">
      <w:bodyDiv w:val="1"/>
      <w:marLeft w:val="0"/>
      <w:marRight w:val="0"/>
      <w:marTop w:val="0"/>
      <w:marBottom w:val="0"/>
      <w:divBdr>
        <w:top w:val="none" w:sz="0" w:space="0" w:color="auto"/>
        <w:left w:val="none" w:sz="0" w:space="0" w:color="auto"/>
        <w:bottom w:val="none" w:sz="0" w:space="0" w:color="auto"/>
        <w:right w:val="none" w:sz="0" w:space="0" w:color="auto"/>
      </w:divBdr>
    </w:div>
    <w:div w:id="641497694">
      <w:bodyDiv w:val="1"/>
      <w:marLeft w:val="0"/>
      <w:marRight w:val="0"/>
      <w:marTop w:val="0"/>
      <w:marBottom w:val="0"/>
      <w:divBdr>
        <w:top w:val="none" w:sz="0" w:space="0" w:color="auto"/>
        <w:left w:val="none" w:sz="0" w:space="0" w:color="auto"/>
        <w:bottom w:val="none" w:sz="0" w:space="0" w:color="auto"/>
        <w:right w:val="none" w:sz="0" w:space="0" w:color="auto"/>
      </w:divBdr>
    </w:div>
    <w:div w:id="650402525">
      <w:bodyDiv w:val="1"/>
      <w:marLeft w:val="0"/>
      <w:marRight w:val="0"/>
      <w:marTop w:val="0"/>
      <w:marBottom w:val="0"/>
      <w:divBdr>
        <w:top w:val="none" w:sz="0" w:space="0" w:color="auto"/>
        <w:left w:val="none" w:sz="0" w:space="0" w:color="auto"/>
        <w:bottom w:val="none" w:sz="0" w:space="0" w:color="auto"/>
        <w:right w:val="none" w:sz="0" w:space="0" w:color="auto"/>
      </w:divBdr>
    </w:div>
    <w:div w:id="657461118">
      <w:bodyDiv w:val="1"/>
      <w:marLeft w:val="0"/>
      <w:marRight w:val="0"/>
      <w:marTop w:val="0"/>
      <w:marBottom w:val="0"/>
      <w:divBdr>
        <w:top w:val="none" w:sz="0" w:space="0" w:color="auto"/>
        <w:left w:val="none" w:sz="0" w:space="0" w:color="auto"/>
        <w:bottom w:val="none" w:sz="0" w:space="0" w:color="auto"/>
        <w:right w:val="none" w:sz="0" w:space="0" w:color="auto"/>
      </w:divBdr>
    </w:div>
    <w:div w:id="660960444">
      <w:bodyDiv w:val="1"/>
      <w:marLeft w:val="0"/>
      <w:marRight w:val="0"/>
      <w:marTop w:val="0"/>
      <w:marBottom w:val="0"/>
      <w:divBdr>
        <w:top w:val="none" w:sz="0" w:space="0" w:color="auto"/>
        <w:left w:val="none" w:sz="0" w:space="0" w:color="auto"/>
        <w:bottom w:val="none" w:sz="0" w:space="0" w:color="auto"/>
        <w:right w:val="none" w:sz="0" w:space="0" w:color="auto"/>
      </w:divBdr>
    </w:div>
    <w:div w:id="662860005">
      <w:bodyDiv w:val="1"/>
      <w:marLeft w:val="0"/>
      <w:marRight w:val="0"/>
      <w:marTop w:val="0"/>
      <w:marBottom w:val="0"/>
      <w:divBdr>
        <w:top w:val="none" w:sz="0" w:space="0" w:color="auto"/>
        <w:left w:val="none" w:sz="0" w:space="0" w:color="auto"/>
        <w:bottom w:val="none" w:sz="0" w:space="0" w:color="auto"/>
        <w:right w:val="none" w:sz="0" w:space="0" w:color="auto"/>
      </w:divBdr>
    </w:div>
    <w:div w:id="685983183">
      <w:bodyDiv w:val="1"/>
      <w:marLeft w:val="0"/>
      <w:marRight w:val="0"/>
      <w:marTop w:val="0"/>
      <w:marBottom w:val="0"/>
      <w:divBdr>
        <w:top w:val="none" w:sz="0" w:space="0" w:color="auto"/>
        <w:left w:val="none" w:sz="0" w:space="0" w:color="auto"/>
        <w:bottom w:val="none" w:sz="0" w:space="0" w:color="auto"/>
        <w:right w:val="none" w:sz="0" w:space="0" w:color="auto"/>
      </w:divBdr>
    </w:div>
    <w:div w:id="695231688">
      <w:bodyDiv w:val="1"/>
      <w:marLeft w:val="0"/>
      <w:marRight w:val="0"/>
      <w:marTop w:val="0"/>
      <w:marBottom w:val="0"/>
      <w:divBdr>
        <w:top w:val="none" w:sz="0" w:space="0" w:color="auto"/>
        <w:left w:val="none" w:sz="0" w:space="0" w:color="auto"/>
        <w:bottom w:val="none" w:sz="0" w:space="0" w:color="auto"/>
        <w:right w:val="none" w:sz="0" w:space="0" w:color="auto"/>
      </w:divBdr>
    </w:div>
    <w:div w:id="697434305">
      <w:bodyDiv w:val="1"/>
      <w:marLeft w:val="0"/>
      <w:marRight w:val="0"/>
      <w:marTop w:val="0"/>
      <w:marBottom w:val="0"/>
      <w:divBdr>
        <w:top w:val="none" w:sz="0" w:space="0" w:color="auto"/>
        <w:left w:val="none" w:sz="0" w:space="0" w:color="auto"/>
        <w:bottom w:val="none" w:sz="0" w:space="0" w:color="auto"/>
        <w:right w:val="none" w:sz="0" w:space="0" w:color="auto"/>
      </w:divBdr>
    </w:div>
    <w:div w:id="702706261">
      <w:bodyDiv w:val="1"/>
      <w:marLeft w:val="0"/>
      <w:marRight w:val="0"/>
      <w:marTop w:val="0"/>
      <w:marBottom w:val="0"/>
      <w:divBdr>
        <w:top w:val="none" w:sz="0" w:space="0" w:color="auto"/>
        <w:left w:val="none" w:sz="0" w:space="0" w:color="auto"/>
        <w:bottom w:val="none" w:sz="0" w:space="0" w:color="auto"/>
        <w:right w:val="none" w:sz="0" w:space="0" w:color="auto"/>
      </w:divBdr>
    </w:div>
    <w:div w:id="708602748">
      <w:bodyDiv w:val="1"/>
      <w:marLeft w:val="0"/>
      <w:marRight w:val="0"/>
      <w:marTop w:val="0"/>
      <w:marBottom w:val="0"/>
      <w:divBdr>
        <w:top w:val="none" w:sz="0" w:space="0" w:color="auto"/>
        <w:left w:val="none" w:sz="0" w:space="0" w:color="auto"/>
        <w:bottom w:val="none" w:sz="0" w:space="0" w:color="auto"/>
        <w:right w:val="none" w:sz="0" w:space="0" w:color="auto"/>
      </w:divBdr>
    </w:div>
    <w:div w:id="745150874">
      <w:bodyDiv w:val="1"/>
      <w:marLeft w:val="0"/>
      <w:marRight w:val="0"/>
      <w:marTop w:val="0"/>
      <w:marBottom w:val="0"/>
      <w:divBdr>
        <w:top w:val="none" w:sz="0" w:space="0" w:color="auto"/>
        <w:left w:val="none" w:sz="0" w:space="0" w:color="auto"/>
        <w:bottom w:val="none" w:sz="0" w:space="0" w:color="auto"/>
        <w:right w:val="none" w:sz="0" w:space="0" w:color="auto"/>
      </w:divBdr>
    </w:div>
    <w:div w:id="751586768">
      <w:bodyDiv w:val="1"/>
      <w:marLeft w:val="0"/>
      <w:marRight w:val="0"/>
      <w:marTop w:val="0"/>
      <w:marBottom w:val="0"/>
      <w:divBdr>
        <w:top w:val="none" w:sz="0" w:space="0" w:color="auto"/>
        <w:left w:val="none" w:sz="0" w:space="0" w:color="auto"/>
        <w:bottom w:val="none" w:sz="0" w:space="0" w:color="auto"/>
        <w:right w:val="none" w:sz="0" w:space="0" w:color="auto"/>
      </w:divBdr>
    </w:div>
    <w:div w:id="757406921">
      <w:bodyDiv w:val="1"/>
      <w:marLeft w:val="0"/>
      <w:marRight w:val="0"/>
      <w:marTop w:val="0"/>
      <w:marBottom w:val="0"/>
      <w:divBdr>
        <w:top w:val="none" w:sz="0" w:space="0" w:color="auto"/>
        <w:left w:val="none" w:sz="0" w:space="0" w:color="auto"/>
        <w:bottom w:val="none" w:sz="0" w:space="0" w:color="auto"/>
        <w:right w:val="none" w:sz="0" w:space="0" w:color="auto"/>
      </w:divBdr>
    </w:div>
    <w:div w:id="770123152">
      <w:bodyDiv w:val="1"/>
      <w:marLeft w:val="0"/>
      <w:marRight w:val="0"/>
      <w:marTop w:val="0"/>
      <w:marBottom w:val="0"/>
      <w:divBdr>
        <w:top w:val="none" w:sz="0" w:space="0" w:color="auto"/>
        <w:left w:val="none" w:sz="0" w:space="0" w:color="auto"/>
        <w:bottom w:val="none" w:sz="0" w:space="0" w:color="auto"/>
        <w:right w:val="none" w:sz="0" w:space="0" w:color="auto"/>
      </w:divBdr>
    </w:div>
    <w:div w:id="773404278">
      <w:bodyDiv w:val="1"/>
      <w:marLeft w:val="0"/>
      <w:marRight w:val="0"/>
      <w:marTop w:val="0"/>
      <w:marBottom w:val="0"/>
      <w:divBdr>
        <w:top w:val="none" w:sz="0" w:space="0" w:color="auto"/>
        <w:left w:val="none" w:sz="0" w:space="0" w:color="auto"/>
        <w:bottom w:val="none" w:sz="0" w:space="0" w:color="auto"/>
        <w:right w:val="none" w:sz="0" w:space="0" w:color="auto"/>
      </w:divBdr>
    </w:div>
    <w:div w:id="774907532">
      <w:bodyDiv w:val="1"/>
      <w:marLeft w:val="0"/>
      <w:marRight w:val="0"/>
      <w:marTop w:val="0"/>
      <w:marBottom w:val="0"/>
      <w:divBdr>
        <w:top w:val="none" w:sz="0" w:space="0" w:color="auto"/>
        <w:left w:val="none" w:sz="0" w:space="0" w:color="auto"/>
        <w:bottom w:val="none" w:sz="0" w:space="0" w:color="auto"/>
        <w:right w:val="none" w:sz="0" w:space="0" w:color="auto"/>
      </w:divBdr>
    </w:div>
    <w:div w:id="774910854">
      <w:bodyDiv w:val="1"/>
      <w:marLeft w:val="0"/>
      <w:marRight w:val="0"/>
      <w:marTop w:val="0"/>
      <w:marBottom w:val="0"/>
      <w:divBdr>
        <w:top w:val="none" w:sz="0" w:space="0" w:color="auto"/>
        <w:left w:val="none" w:sz="0" w:space="0" w:color="auto"/>
        <w:bottom w:val="none" w:sz="0" w:space="0" w:color="auto"/>
        <w:right w:val="none" w:sz="0" w:space="0" w:color="auto"/>
      </w:divBdr>
    </w:div>
    <w:div w:id="787547994">
      <w:bodyDiv w:val="1"/>
      <w:marLeft w:val="0"/>
      <w:marRight w:val="0"/>
      <w:marTop w:val="0"/>
      <w:marBottom w:val="0"/>
      <w:divBdr>
        <w:top w:val="none" w:sz="0" w:space="0" w:color="auto"/>
        <w:left w:val="none" w:sz="0" w:space="0" w:color="auto"/>
        <w:bottom w:val="none" w:sz="0" w:space="0" w:color="auto"/>
        <w:right w:val="none" w:sz="0" w:space="0" w:color="auto"/>
      </w:divBdr>
    </w:div>
    <w:div w:id="788202840">
      <w:bodyDiv w:val="1"/>
      <w:marLeft w:val="0"/>
      <w:marRight w:val="0"/>
      <w:marTop w:val="0"/>
      <w:marBottom w:val="0"/>
      <w:divBdr>
        <w:top w:val="none" w:sz="0" w:space="0" w:color="auto"/>
        <w:left w:val="none" w:sz="0" w:space="0" w:color="auto"/>
        <w:bottom w:val="none" w:sz="0" w:space="0" w:color="auto"/>
        <w:right w:val="none" w:sz="0" w:space="0" w:color="auto"/>
      </w:divBdr>
    </w:div>
    <w:div w:id="795607825">
      <w:bodyDiv w:val="1"/>
      <w:marLeft w:val="0"/>
      <w:marRight w:val="0"/>
      <w:marTop w:val="0"/>
      <w:marBottom w:val="0"/>
      <w:divBdr>
        <w:top w:val="none" w:sz="0" w:space="0" w:color="auto"/>
        <w:left w:val="none" w:sz="0" w:space="0" w:color="auto"/>
        <w:bottom w:val="none" w:sz="0" w:space="0" w:color="auto"/>
        <w:right w:val="none" w:sz="0" w:space="0" w:color="auto"/>
      </w:divBdr>
    </w:div>
    <w:div w:id="798375825">
      <w:bodyDiv w:val="1"/>
      <w:marLeft w:val="0"/>
      <w:marRight w:val="0"/>
      <w:marTop w:val="0"/>
      <w:marBottom w:val="0"/>
      <w:divBdr>
        <w:top w:val="none" w:sz="0" w:space="0" w:color="auto"/>
        <w:left w:val="none" w:sz="0" w:space="0" w:color="auto"/>
        <w:bottom w:val="none" w:sz="0" w:space="0" w:color="auto"/>
        <w:right w:val="none" w:sz="0" w:space="0" w:color="auto"/>
      </w:divBdr>
    </w:div>
    <w:div w:id="803039302">
      <w:bodyDiv w:val="1"/>
      <w:marLeft w:val="0"/>
      <w:marRight w:val="0"/>
      <w:marTop w:val="0"/>
      <w:marBottom w:val="0"/>
      <w:divBdr>
        <w:top w:val="none" w:sz="0" w:space="0" w:color="auto"/>
        <w:left w:val="none" w:sz="0" w:space="0" w:color="auto"/>
        <w:bottom w:val="none" w:sz="0" w:space="0" w:color="auto"/>
        <w:right w:val="none" w:sz="0" w:space="0" w:color="auto"/>
      </w:divBdr>
    </w:div>
    <w:div w:id="818882279">
      <w:bodyDiv w:val="1"/>
      <w:marLeft w:val="0"/>
      <w:marRight w:val="0"/>
      <w:marTop w:val="0"/>
      <w:marBottom w:val="0"/>
      <w:divBdr>
        <w:top w:val="none" w:sz="0" w:space="0" w:color="auto"/>
        <w:left w:val="none" w:sz="0" w:space="0" w:color="auto"/>
        <w:bottom w:val="none" w:sz="0" w:space="0" w:color="auto"/>
        <w:right w:val="none" w:sz="0" w:space="0" w:color="auto"/>
      </w:divBdr>
    </w:div>
    <w:div w:id="819346068">
      <w:bodyDiv w:val="1"/>
      <w:marLeft w:val="0"/>
      <w:marRight w:val="0"/>
      <w:marTop w:val="0"/>
      <w:marBottom w:val="0"/>
      <w:divBdr>
        <w:top w:val="none" w:sz="0" w:space="0" w:color="auto"/>
        <w:left w:val="none" w:sz="0" w:space="0" w:color="auto"/>
        <w:bottom w:val="none" w:sz="0" w:space="0" w:color="auto"/>
        <w:right w:val="none" w:sz="0" w:space="0" w:color="auto"/>
      </w:divBdr>
    </w:div>
    <w:div w:id="824122584">
      <w:bodyDiv w:val="1"/>
      <w:marLeft w:val="0"/>
      <w:marRight w:val="0"/>
      <w:marTop w:val="0"/>
      <w:marBottom w:val="0"/>
      <w:divBdr>
        <w:top w:val="none" w:sz="0" w:space="0" w:color="auto"/>
        <w:left w:val="none" w:sz="0" w:space="0" w:color="auto"/>
        <w:bottom w:val="none" w:sz="0" w:space="0" w:color="auto"/>
        <w:right w:val="none" w:sz="0" w:space="0" w:color="auto"/>
      </w:divBdr>
    </w:div>
    <w:div w:id="825706664">
      <w:bodyDiv w:val="1"/>
      <w:marLeft w:val="0"/>
      <w:marRight w:val="0"/>
      <w:marTop w:val="0"/>
      <w:marBottom w:val="0"/>
      <w:divBdr>
        <w:top w:val="none" w:sz="0" w:space="0" w:color="auto"/>
        <w:left w:val="none" w:sz="0" w:space="0" w:color="auto"/>
        <w:bottom w:val="none" w:sz="0" w:space="0" w:color="auto"/>
        <w:right w:val="none" w:sz="0" w:space="0" w:color="auto"/>
      </w:divBdr>
    </w:div>
    <w:div w:id="826752388">
      <w:bodyDiv w:val="1"/>
      <w:marLeft w:val="0"/>
      <w:marRight w:val="0"/>
      <w:marTop w:val="0"/>
      <w:marBottom w:val="0"/>
      <w:divBdr>
        <w:top w:val="none" w:sz="0" w:space="0" w:color="auto"/>
        <w:left w:val="none" w:sz="0" w:space="0" w:color="auto"/>
        <w:bottom w:val="none" w:sz="0" w:space="0" w:color="auto"/>
        <w:right w:val="none" w:sz="0" w:space="0" w:color="auto"/>
      </w:divBdr>
    </w:div>
    <w:div w:id="847015437">
      <w:bodyDiv w:val="1"/>
      <w:marLeft w:val="0"/>
      <w:marRight w:val="0"/>
      <w:marTop w:val="0"/>
      <w:marBottom w:val="0"/>
      <w:divBdr>
        <w:top w:val="none" w:sz="0" w:space="0" w:color="auto"/>
        <w:left w:val="none" w:sz="0" w:space="0" w:color="auto"/>
        <w:bottom w:val="none" w:sz="0" w:space="0" w:color="auto"/>
        <w:right w:val="none" w:sz="0" w:space="0" w:color="auto"/>
      </w:divBdr>
    </w:div>
    <w:div w:id="853961420">
      <w:bodyDiv w:val="1"/>
      <w:marLeft w:val="0"/>
      <w:marRight w:val="0"/>
      <w:marTop w:val="0"/>
      <w:marBottom w:val="0"/>
      <w:divBdr>
        <w:top w:val="none" w:sz="0" w:space="0" w:color="auto"/>
        <w:left w:val="none" w:sz="0" w:space="0" w:color="auto"/>
        <w:bottom w:val="none" w:sz="0" w:space="0" w:color="auto"/>
        <w:right w:val="none" w:sz="0" w:space="0" w:color="auto"/>
      </w:divBdr>
    </w:div>
    <w:div w:id="854075721">
      <w:bodyDiv w:val="1"/>
      <w:marLeft w:val="0"/>
      <w:marRight w:val="0"/>
      <w:marTop w:val="0"/>
      <w:marBottom w:val="0"/>
      <w:divBdr>
        <w:top w:val="none" w:sz="0" w:space="0" w:color="auto"/>
        <w:left w:val="none" w:sz="0" w:space="0" w:color="auto"/>
        <w:bottom w:val="none" w:sz="0" w:space="0" w:color="auto"/>
        <w:right w:val="none" w:sz="0" w:space="0" w:color="auto"/>
      </w:divBdr>
    </w:div>
    <w:div w:id="856502564">
      <w:bodyDiv w:val="1"/>
      <w:marLeft w:val="0"/>
      <w:marRight w:val="0"/>
      <w:marTop w:val="0"/>
      <w:marBottom w:val="0"/>
      <w:divBdr>
        <w:top w:val="none" w:sz="0" w:space="0" w:color="auto"/>
        <w:left w:val="none" w:sz="0" w:space="0" w:color="auto"/>
        <w:bottom w:val="none" w:sz="0" w:space="0" w:color="auto"/>
        <w:right w:val="none" w:sz="0" w:space="0" w:color="auto"/>
      </w:divBdr>
    </w:div>
    <w:div w:id="857429207">
      <w:bodyDiv w:val="1"/>
      <w:marLeft w:val="0"/>
      <w:marRight w:val="0"/>
      <w:marTop w:val="0"/>
      <w:marBottom w:val="0"/>
      <w:divBdr>
        <w:top w:val="none" w:sz="0" w:space="0" w:color="auto"/>
        <w:left w:val="none" w:sz="0" w:space="0" w:color="auto"/>
        <w:bottom w:val="none" w:sz="0" w:space="0" w:color="auto"/>
        <w:right w:val="none" w:sz="0" w:space="0" w:color="auto"/>
      </w:divBdr>
    </w:div>
    <w:div w:id="858617583">
      <w:bodyDiv w:val="1"/>
      <w:marLeft w:val="0"/>
      <w:marRight w:val="0"/>
      <w:marTop w:val="0"/>
      <w:marBottom w:val="0"/>
      <w:divBdr>
        <w:top w:val="none" w:sz="0" w:space="0" w:color="auto"/>
        <w:left w:val="none" w:sz="0" w:space="0" w:color="auto"/>
        <w:bottom w:val="none" w:sz="0" w:space="0" w:color="auto"/>
        <w:right w:val="none" w:sz="0" w:space="0" w:color="auto"/>
      </w:divBdr>
    </w:div>
    <w:div w:id="861364191">
      <w:bodyDiv w:val="1"/>
      <w:marLeft w:val="0"/>
      <w:marRight w:val="0"/>
      <w:marTop w:val="0"/>
      <w:marBottom w:val="0"/>
      <w:divBdr>
        <w:top w:val="none" w:sz="0" w:space="0" w:color="auto"/>
        <w:left w:val="none" w:sz="0" w:space="0" w:color="auto"/>
        <w:bottom w:val="none" w:sz="0" w:space="0" w:color="auto"/>
        <w:right w:val="none" w:sz="0" w:space="0" w:color="auto"/>
      </w:divBdr>
    </w:div>
    <w:div w:id="862593578">
      <w:bodyDiv w:val="1"/>
      <w:marLeft w:val="0"/>
      <w:marRight w:val="0"/>
      <w:marTop w:val="0"/>
      <w:marBottom w:val="0"/>
      <w:divBdr>
        <w:top w:val="none" w:sz="0" w:space="0" w:color="auto"/>
        <w:left w:val="none" w:sz="0" w:space="0" w:color="auto"/>
        <w:bottom w:val="none" w:sz="0" w:space="0" w:color="auto"/>
        <w:right w:val="none" w:sz="0" w:space="0" w:color="auto"/>
      </w:divBdr>
    </w:div>
    <w:div w:id="874007196">
      <w:bodyDiv w:val="1"/>
      <w:marLeft w:val="0"/>
      <w:marRight w:val="0"/>
      <w:marTop w:val="0"/>
      <w:marBottom w:val="0"/>
      <w:divBdr>
        <w:top w:val="none" w:sz="0" w:space="0" w:color="auto"/>
        <w:left w:val="none" w:sz="0" w:space="0" w:color="auto"/>
        <w:bottom w:val="none" w:sz="0" w:space="0" w:color="auto"/>
        <w:right w:val="none" w:sz="0" w:space="0" w:color="auto"/>
      </w:divBdr>
    </w:div>
    <w:div w:id="876040916">
      <w:bodyDiv w:val="1"/>
      <w:marLeft w:val="0"/>
      <w:marRight w:val="0"/>
      <w:marTop w:val="0"/>
      <w:marBottom w:val="0"/>
      <w:divBdr>
        <w:top w:val="none" w:sz="0" w:space="0" w:color="auto"/>
        <w:left w:val="none" w:sz="0" w:space="0" w:color="auto"/>
        <w:bottom w:val="none" w:sz="0" w:space="0" w:color="auto"/>
        <w:right w:val="none" w:sz="0" w:space="0" w:color="auto"/>
      </w:divBdr>
    </w:div>
    <w:div w:id="879633412">
      <w:bodyDiv w:val="1"/>
      <w:marLeft w:val="0"/>
      <w:marRight w:val="0"/>
      <w:marTop w:val="0"/>
      <w:marBottom w:val="0"/>
      <w:divBdr>
        <w:top w:val="none" w:sz="0" w:space="0" w:color="auto"/>
        <w:left w:val="none" w:sz="0" w:space="0" w:color="auto"/>
        <w:bottom w:val="none" w:sz="0" w:space="0" w:color="auto"/>
        <w:right w:val="none" w:sz="0" w:space="0" w:color="auto"/>
      </w:divBdr>
    </w:div>
    <w:div w:id="880938086">
      <w:bodyDiv w:val="1"/>
      <w:marLeft w:val="0"/>
      <w:marRight w:val="0"/>
      <w:marTop w:val="0"/>
      <w:marBottom w:val="0"/>
      <w:divBdr>
        <w:top w:val="none" w:sz="0" w:space="0" w:color="auto"/>
        <w:left w:val="none" w:sz="0" w:space="0" w:color="auto"/>
        <w:bottom w:val="none" w:sz="0" w:space="0" w:color="auto"/>
        <w:right w:val="none" w:sz="0" w:space="0" w:color="auto"/>
      </w:divBdr>
    </w:div>
    <w:div w:id="882599643">
      <w:bodyDiv w:val="1"/>
      <w:marLeft w:val="0"/>
      <w:marRight w:val="0"/>
      <w:marTop w:val="0"/>
      <w:marBottom w:val="0"/>
      <w:divBdr>
        <w:top w:val="none" w:sz="0" w:space="0" w:color="auto"/>
        <w:left w:val="none" w:sz="0" w:space="0" w:color="auto"/>
        <w:bottom w:val="none" w:sz="0" w:space="0" w:color="auto"/>
        <w:right w:val="none" w:sz="0" w:space="0" w:color="auto"/>
      </w:divBdr>
    </w:div>
    <w:div w:id="886065118">
      <w:bodyDiv w:val="1"/>
      <w:marLeft w:val="0"/>
      <w:marRight w:val="0"/>
      <w:marTop w:val="0"/>
      <w:marBottom w:val="0"/>
      <w:divBdr>
        <w:top w:val="none" w:sz="0" w:space="0" w:color="auto"/>
        <w:left w:val="none" w:sz="0" w:space="0" w:color="auto"/>
        <w:bottom w:val="none" w:sz="0" w:space="0" w:color="auto"/>
        <w:right w:val="none" w:sz="0" w:space="0" w:color="auto"/>
      </w:divBdr>
    </w:div>
    <w:div w:id="889145404">
      <w:bodyDiv w:val="1"/>
      <w:marLeft w:val="0"/>
      <w:marRight w:val="0"/>
      <w:marTop w:val="0"/>
      <w:marBottom w:val="0"/>
      <w:divBdr>
        <w:top w:val="none" w:sz="0" w:space="0" w:color="auto"/>
        <w:left w:val="none" w:sz="0" w:space="0" w:color="auto"/>
        <w:bottom w:val="none" w:sz="0" w:space="0" w:color="auto"/>
        <w:right w:val="none" w:sz="0" w:space="0" w:color="auto"/>
      </w:divBdr>
    </w:div>
    <w:div w:id="892734979">
      <w:bodyDiv w:val="1"/>
      <w:marLeft w:val="0"/>
      <w:marRight w:val="0"/>
      <w:marTop w:val="0"/>
      <w:marBottom w:val="0"/>
      <w:divBdr>
        <w:top w:val="none" w:sz="0" w:space="0" w:color="auto"/>
        <w:left w:val="none" w:sz="0" w:space="0" w:color="auto"/>
        <w:bottom w:val="none" w:sz="0" w:space="0" w:color="auto"/>
        <w:right w:val="none" w:sz="0" w:space="0" w:color="auto"/>
      </w:divBdr>
    </w:div>
    <w:div w:id="898053789">
      <w:bodyDiv w:val="1"/>
      <w:marLeft w:val="0"/>
      <w:marRight w:val="0"/>
      <w:marTop w:val="0"/>
      <w:marBottom w:val="0"/>
      <w:divBdr>
        <w:top w:val="none" w:sz="0" w:space="0" w:color="auto"/>
        <w:left w:val="none" w:sz="0" w:space="0" w:color="auto"/>
        <w:bottom w:val="none" w:sz="0" w:space="0" w:color="auto"/>
        <w:right w:val="none" w:sz="0" w:space="0" w:color="auto"/>
      </w:divBdr>
    </w:div>
    <w:div w:id="904493830">
      <w:bodyDiv w:val="1"/>
      <w:marLeft w:val="0"/>
      <w:marRight w:val="0"/>
      <w:marTop w:val="0"/>
      <w:marBottom w:val="0"/>
      <w:divBdr>
        <w:top w:val="none" w:sz="0" w:space="0" w:color="auto"/>
        <w:left w:val="none" w:sz="0" w:space="0" w:color="auto"/>
        <w:bottom w:val="none" w:sz="0" w:space="0" w:color="auto"/>
        <w:right w:val="none" w:sz="0" w:space="0" w:color="auto"/>
      </w:divBdr>
    </w:div>
    <w:div w:id="904796910">
      <w:bodyDiv w:val="1"/>
      <w:marLeft w:val="0"/>
      <w:marRight w:val="0"/>
      <w:marTop w:val="0"/>
      <w:marBottom w:val="0"/>
      <w:divBdr>
        <w:top w:val="none" w:sz="0" w:space="0" w:color="auto"/>
        <w:left w:val="none" w:sz="0" w:space="0" w:color="auto"/>
        <w:bottom w:val="none" w:sz="0" w:space="0" w:color="auto"/>
        <w:right w:val="none" w:sz="0" w:space="0" w:color="auto"/>
      </w:divBdr>
    </w:div>
    <w:div w:id="908422818">
      <w:bodyDiv w:val="1"/>
      <w:marLeft w:val="0"/>
      <w:marRight w:val="0"/>
      <w:marTop w:val="0"/>
      <w:marBottom w:val="0"/>
      <w:divBdr>
        <w:top w:val="none" w:sz="0" w:space="0" w:color="auto"/>
        <w:left w:val="none" w:sz="0" w:space="0" w:color="auto"/>
        <w:bottom w:val="none" w:sz="0" w:space="0" w:color="auto"/>
        <w:right w:val="none" w:sz="0" w:space="0" w:color="auto"/>
      </w:divBdr>
    </w:div>
    <w:div w:id="909269251">
      <w:bodyDiv w:val="1"/>
      <w:marLeft w:val="0"/>
      <w:marRight w:val="0"/>
      <w:marTop w:val="0"/>
      <w:marBottom w:val="0"/>
      <w:divBdr>
        <w:top w:val="none" w:sz="0" w:space="0" w:color="auto"/>
        <w:left w:val="none" w:sz="0" w:space="0" w:color="auto"/>
        <w:bottom w:val="none" w:sz="0" w:space="0" w:color="auto"/>
        <w:right w:val="none" w:sz="0" w:space="0" w:color="auto"/>
      </w:divBdr>
    </w:div>
    <w:div w:id="910771496">
      <w:bodyDiv w:val="1"/>
      <w:marLeft w:val="0"/>
      <w:marRight w:val="0"/>
      <w:marTop w:val="0"/>
      <w:marBottom w:val="0"/>
      <w:divBdr>
        <w:top w:val="none" w:sz="0" w:space="0" w:color="auto"/>
        <w:left w:val="none" w:sz="0" w:space="0" w:color="auto"/>
        <w:bottom w:val="none" w:sz="0" w:space="0" w:color="auto"/>
        <w:right w:val="none" w:sz="0" w:space="0" w:color="auto"/>
      </w:divBdr>
    </w:div>
    <w:div w:id="912159322">
      <w:bodyDiv w:val="1"/>
      <w:marLeft w:val="0"/>
      <w:marRight w:val="0"/>
      <w:marTop w:val="0"/>
      <w:marBottom w:val="0"/>
      <w:divBdr>
        <w:top w:val="none" w:sz="0" w:space="0" w:color="auto"/>
        <w:left w:val="none" w:sz="0" w:space="0" w:color="auto"/>
        <w:bottom w:val="none" w:sz="0" w:space="0" w:color="auto"/>
        <w:right w:val="none" w:sz="0" w:space="0" w:color="auto"/>
      </w:divBdr>
    </w:div>
    <w:div w:id="913392640">
      <w:bodyDiv w:val="1"/>
      <w:marLeft w:val="0"/>
      <w:marRight w:val="0"/>
      <w:marTop w:val="0"/>
      <w:marBottom w:val="0"/>
      <w:divBdr>
        <w:top w:val="none" w:sz="0" w:space="0" w:color="auto"/>
        <w:left w:val="none" w:sz="0" w:space="0" w:color="auto"/>
        <w:bottom w:val="none" w:sz="0" w:space="0" w:color="auto"/>
        <w:right w:val="none" w:sz="0" w:space="0" w:color="auto"/>
      </w:divBdr>
    </w:div>
    <w:div w:id="913852584">
      <w:bodyDiv w:val="1"/>
      <w:marLeft w:val="0"/>
      <w:marRight w:val="0"/>
      <w:marTop w:val="0"/>
      <w:marBottom w:val="0"/>
      <w:divBdr>
        <w:top w:val="none" w:sz="0" w:space="0" w:color="auto"/>
        <w:left w:val="none" w:sz="0" w:space="0" w:color="auto"/>
        <w:bottom w:val="none" w:sz="0" w:space="0" w:color="auto"/>
        <w:right w:val="none" w:sz="0" w:space="0" w:color="auto"/>
      </w:divBdr>
    </w:div>
    <w:div w:id="916944257">
      <w:bodyDiv w:val="1"/>
      <w:marLeft w:val="0"/>
      <w:marRight w:val="0"/>
      <w:marTop w:val="0"/>
      <w:marBottom w:val="0"/>
      <w:divBdr>
        <w:top w:val="none" w:sz="0" w:space="0" w:color="auto"/>
        <w:left w:val="none" w:sz="0" w:space="0" w:color="auto"/>
        <w:bottom w:val="none" w:sz="0" w:space="0" w:color="auto"/>
        <w:right w:val="none" w:sz="0" w:space="0" w:color="auto"/>
      </w:divBdr>
    </w:div>
    <w:div w:id="929696191">
      <w:bodyDiv w:val="1"/>
      <w:marLeft w:val="0"/>
      <w:marRight w:val="0"/>
      <w:marTop w:val="0"/>
      <w:marBottom w:val="0"/>
      <w:divBdr>
        <w:top w:val="none" w:sz="0" w:space="0" w:color="auto"/>
        <w:left w:val="none" w:sz="0" w:space="0" w:color="auto"/>
        <w:bottom w:val="none" w:sz="0" w:space="0" w:color="auto"/>
        <w:right w:val="none" w:sz="0" w:space="0" w:color="auto"/>
      </w:divBdr>
    </w:div>
    <w:div w:id="930965966">
      <w:bodyDiv w:val="1"/>
      <w:marLeft w:val="0"/>
      <w:marRight w:val="0"/>
      <w:marTop w:val="0"/>
      <w:marBottom w:val="0"/>
      <w:divBdr>
        <w:top w:val="none" w:sz="0" w:space="0" w:color="auto"/>
        <w:left w:val="none" w:sz="0" w:space="0" w:color="auto"/>
        <w:bottom w:val="none" w:sz="0" w:space="0" w:color="auto"/>
        <w:right w:val="none" w:sz="0" w:space="0" w:color="auto"/>
      </w:divBdr>
    </w:div>
    <w:div w:id="944772132">
      <w:bodyDiv w:val="1"/>
      <w:marLeft w:val="0"/>
      <w:marRight w:val="0"/>
      <w:marTop w:val="0"/>
      <w:marBottom w:val="0"/>
      <w:divBdr>
        <w:top w:val="none" w:sz="0" w:space="0" w:color="auto"/>
        <w:left w:val="none" w:sz="0" w:space="0" w:color="auto"/>
        <w:bottom w:val="none" w:sz="0" w:space="0" w:color="auto"/>
        <w:right w:val="none" w:sz="0" w:space="0" w:color="auto"/>
      </w:divBdr>
    </w:div>
    <w:div w:id="964433733">
      <w:bodyDiv w:val="1"/>
      <w:marLeft w:val="0"/>
      <w:marRight w:val="0"/>
      <w:marTop w:val="0"/>
      <w:marBottom w:val="0"/>
      <w:divBdr>
        <w:top w:val="none" w:sz="0" w:space="0" w:color="auto"/>
        <w:left w:val="none" w:sz="0" w:space="0" w:color="auto"/>
        <w:bottom w:val="none" w:sz="0" w:space="0" w:color="auto"/>
        <w:right w:val="none" w:sz="0" w:space="0" w:color="auto"/>
      </w:divBdr>
    </w:div>
    <w:div w:id="965816254">
      <w:bodyDiv w:val="1"/>
      <w:marLeft w:val="0"/>
      <w:marRight w:val="0"/>
      <w:marTop w:val="0"/>
      <w:marBottom w:val="0"/>
      <w:divBdr>
        <w:top w:val="none" w:sz="0" w:space="0" w:color="auto"/>
        <w:left w:val="none" w:sz="0" w:space="0" w:color="auto"/>
        <w:bottom w:val="none" w:sz="0" w:space="0" w:color="auto"/>
        <w:right w:val="none" w:sz="0" w:space="0" w:color="auto"/>
      </w:divBdr>
    </w:div>
    <w:div w:id="967124921">
      <w:bodyDiv w:val="1"/>
      <w:marLeft w:val="0"/>
      <w:marRight w:val="0"/>
      <w:marTop w:val="0"/>
      <w:marBottom w:val="0"/>
      <w:divBdr>
        <w:top w:val="none" w:sz="0" w:space="0" w:color="auto"/>
        <w:left w:val="none" w:sz="0" w:space="0" w:color="auto"/>
        <w:bottom w:val="none" w:sz="0" w:space="0" w:color="auto"/>
        <w:right w:val="none" w:sz="0" w:space="0" w:color="auto"/>
      </w:divBdr>
    </w:div>
    <w:div w:id="970525135">
      <w:bodyDiv w:val="1"/>
      <w:marLeft w:val="0"/>
      <w:marRight w:val="0"/>
      <w:marTop w:val="0"/>
      <w:marBottom w:val="0"/>
      <w:divBdr>
        <w:top w:val="none" w:sz="0" w:space="0" w:color="auto"/>
        <w:left w:val="none" w:sz="0" w:space="0" w:color="auto"/>
        <w:bottom w:val="none" w:sz="0" w:space="0" w:color="auto"/>
        <w:right w:val="none" w:sz="0" w:space="0" w:color="auto"/>
      </w:divBdr>
    </w:div>
    <w:div w:id="975141060">
      <w:bodyDiv w:val="1"/>
      <w:marLeft w:val="0"/>
      <w:marRight w:val="0"/>
      <w:marTop w:val="0"/>
      <w:marBottom w:val="0"/>
      <w:divBdr>
        <w:top w:val="none" w:sz="0" w:space="0" w:color="auto"/>
        <w:left w:val="none" w:sz="0" w:space="0" w:color="auto"/>
        <w:bottom w:val="none" w:sz="0" w:space="0" w:color="auto"/>
        <w:right w:val="none" w:sz="0" w:space="0" w:color="auto"/>
      </w:divBdr>
    </w:div>
    <w:div w:id="985746660">
      <w:bodyDiv w:val="1"/>
      <w:marLeft w:val="0"/>
      <w:marRight w:val="0"/>
      <w:marTop w:val="0"/>
      <w:marBottom w:val="0"/>
      <w:divBdr>
        <w:top w:val="none" w:sz="0" w:space="0" w:color="auto"/>
        <w:left w:val="none" w:sz="0" w:space="0" w:color="auto"/>
        <w:bottom w:val="none" w:sz="0" w:space="0" w:color="auto"/>
        <w:right w:val="none" w:sz="0" w:space="0" w:color="auto"/>
      </w:divBdr>
    </w:div>
    <w:div w:id="996692433">
      <w:bodyDiv w:val="1"/>
      <w:marLeft w:val="0"/>
      <w:marRight w:val="0"/>
      <w:marTop w:val="0"/>
      <w:marBottom w:val="0"/>
      <w:divBdr>
        <w:top w:val="none" w:sz="0" w:space="0" w:color="auto"/>
        <w:left w:val="none" w:sz="0" w:space="0" w:color="auto"/>
        <w:bottom w:val="none" w:sz="0" w:space="0" w:color="auto"/>
        <w:right w:val="none" w:sz="0" w:space="0" w:color="auto"/>
      </w:divBdr>
    </w:div>
    <w:div w:id="1000276109">
      <w:bodyDiv w:val="1"/>
      <w:marLeft w:val="0"/>
      <w:marRight w:val="0"/>
      <w:marTop w:val="0"/>
      <w:marBottom w:val="0"/>
      <w:divBdr>
        <w:top w:val="none" w:sz="0" w:space="0" w:color="auto"/>
        <w:left w:val="none" w:sz="0" w:space="0" w:color="auto"/>
        <w:bottom w:val="none" w:sz="0" w:space="0" w:color="auto"/>
        <w:right w:val="none" w:sz="0" w:space="0" w:color="auto"/>
      </w:divBdr>
    </w:div>
    <w:div w:id="1008094553">
      <w:bodyDiv w:val="1"/>
      <w:marLeft w:val="0"/>
      <w:marRight w:val="0"/>
      <w:marTop w:val="0"/>
      <w:marBottom w:val="0"/>
      <w:divBdr>
        <w:top w:val="none" w:sz="0" w:space="0" w:color="auto"/>
        <w:left w:val="none" w:sz="0" w:space="0" w:color="auto"/>
        <w:bottom w:val="none" w:sz="0" w:space="0" w:color="auto"/>
        <w:right w:val="none" w:sz="0" w:space="0" w:color="auto"/>
      </w:divBdr>
    </w:div>
    <w:div w:id="1010524045">
      <w:bodyDiv w:val="1"/>
      <w:marLeft w:val="0"/>
      <w:marRight w:val="0"/>
      <w:marTop w:val="0"/>
      <w:marBottom w:val="0"/>
      <w:divBdr>
        <w:top w:val="none" w:sz="0" w:space="0" w:color="auto"/>
        <w:left w:val="none" w:sz="0" w:space="0" w:color="auto"/>
        <w:bottom w:val="none" w:sz="0" w:space="0" w:color="auto"/>
        <w:right w:val="none" w:sz="0" w:space="0" w:color="auto"/>
      </w:divBdr>
    </w:div>
    <w:div w:id="1017922092">
      <w:bodyDiv w:val="1"/>
      <w:marLeft w:val="0"/>
      <w:marRight w:val="0"/>
      <w:marTop w:val="0"/>
      <w:marBottom w:val="0"/>
      <w:divBdr>
        <w:top w:val="none" w:sz="0" w:space="0" w:color="auto"/>
        <w:left w:val="none" w:sz="0" w:space="0" w:color="auto"/>
        <w:bottom w:val="none" w:sz="0" w:space="0" w:color="auto"/>
        <w:right w:val="none" w:sz="0" w:space="0" w:color="auto"/>
      </w:divBdr>
    </w:div>
    <w:div w:id="1018312285">
      <w:bodyDiv w:val="1"/>
      <w:marLeft w:val="0"/>
      <w:marRight w:val="0"/>
      <w:marTop w:val="0"/>
      <w:marBottom w:val="0"/>
      <w:divBdr>
        <w:top w:val="none" w:sz="0" w:space="0" w:color="auto"/>
        <w:left w:val="none" w:sz="0" w:space="0" w:color="auto"/>
        <w:bottom w:val="none" w:sz="0" w:space="0" w:color="auto"/>
        <w:right w:val="none" w:sz="0" w:space="0" w:color="auto"/>
      </w:divBdr>
    </w:div>
    <w:div w:id="1040129451">
      <w:bodyDiv w:val="1"/>
      <w:marLeft w:val="0"/>
      <w:marRight w:val="0"/>
      <w:marTop w:val="0"/>
      <w:marBottom w:val="0"/>
      <w:divBdr>
        <w:top w:val="none" w:sz="0" w:space="0" w:color="auto"/>
        <w:left w:val="none" w:sz="0" w:space="0" w:color="auto"/>
        <w:bottom w:val="none" w:sz="0" w:space="0" w:color="auto"/>
        <w:right w:val="none" w:sz="0" w:space="0" w:color="auto"/>
      </w:divBdr>
    </w:div>
    <w:div w:id="1054741832">
      <w:bodyDiv w:val="1"/>
      <w:marLeft w:val="0"/>
      <w:marRight w:val="0"/>
      <w:marTop w:val="0"/>
      <w:marBottom w:val="0"/>
      <w:divBdr>
        <w:top w:val="none" w:sz="0" w:space="0" w:color="auto"/>
        <w:left w:val="none" w:sz="0" w:space="0" w:color="auto"/>
        <w:bottom w:val="none" w:sz="0" w:space="0" w:color="auto"/>
        <w:right w:val="none" w:sz="0" w:space="0" w:color="auto"/>
      </w:divBdr>
    </w:div>
    <w:div w:id="1055082665">
      <w:bodyDiv w:val="1"/>
      <w:marLeft w:val="0"/>
      <w:marRight w:val="0"/>
      <w:marTop w:val="0"/>
      <w:marBottom w:val="0"/>
      <w:divBdr>
        <w:top w:val="none" w:sz="0" w:space="0" w:color="auto"/>
        <w:left w:val="none" w:sz="0" w:space="0" w:color="auto"/>
        <w:bottom w:val="none" w:sz="0" w:space="0" w:color="auto"/>
        <w:right w:val="none" w:sz="0" w:space="0" w:color="auto"/>
      </w:divBdr>
    </w:div>
    <w:div w:id="1056204285">
      <w:bodyDiv w:val="1"/>
      <w:marLeft w:val="0"/>
      <w:marRight w:val="0"/>
      <w:marTop w:val="0"/>
      <w:marBottom w:val="0"/>
      <w:divBdr>
        <w:top w:val="none" w:sz="0" w:space="0" w:color="auto"/>
        <w:left w:val="none" w:sz="0" w:space="0" w:color="auto"/>
        <w:bottom w:val="none" w:sz="0" w:space="0" w:color="auto"/>
        <w:right w:val="none" w:sz="0" w:space="0" w:color="auto"/>
      </w:divBdr>
    </w:div>
    <w:div w:id="1060322948">
      <w:bodyDiv w:val="1"/>
      <w:marLeft w:val="0"/>
      <w:marRight w:val="0"/>
      <w:marTop w:val="0"/>
      <w:marBottom w:val="0"/>
      <w:divBdr>
        <w:top w:val="none" w:sz="0" w:space="0" w:color="auto"/>
        <w:left w:val="none" w:sz="0" w:space="0" w:color="auto"/>
        <w:bottom w:val="none" w:sz="0" w:space="0" w:color="auto"/>
        <w:right w:val="none" w:sz="0" w:space="0" w:color="auto"/>
      </w:divBdr>
    </w:div>
    <w:div w:id="1063214346">
      <w:bodyDiv w:val="1"/>
      <w:marLeft w:val="0"/>
      <w:marRight w:val="0"/>
      <w:marTop w:val="0"/>
      <w:marBottom w:val="0"/>
      <w:divBdr>
        <w:top w:val="none" w:sz="0" w:space="0" w:color="auto"/>
        <w:left w:val="none" w:sz="0" w:space="0" w:color="auto"/>
        <w:bottom w:val="none" w:sz="0" w:space="0" w:color="auto"/>
        <w:right w:val="none" w:sz="0" w:space="0" w:color="auto"/>
      </w:divBdr>
    </w:div>
    <w:div w:id="1065756695">
      <w:bodyDiv w:val="1"/>
      <w:marLeft w:val="0"/>
      <w:marRight w:val="0"/>
      <w:marTop w:val="0"/>
      <w:marBottom w:val="0"/>
      <w:divBdr>
        <w:top w:val="none" w:sz="0" w:space="0" w:color="auto"/>
        <w:left w:val="none" w:sz="0" w:space="0" w:color="auto"/>
        <w:bottom w:val="none" w:sz="0" w:space="0" w:color="auto"/>
        <w:right w:val="none" w:sz="0" w:space="0" w:color="auto"/>
      </w:divBdr>
    </w:div>
    <w:div w:id="1066873781">
      <w:bodyDiv w:val="1"/>
      <w:marLeft w:val="0"/>
      <w:marRight w:val="0"/>
      <w:marTop w:val="0"/>
      <w:marBottom w:val="0"/>
      <w:divBdr>
        <w:top w:val="none" w:sz="0" w:space="0" w:color="auto"/>
        <w:left w:val="none" w:sz="0" w:space="0" w:color="auto"/>
        <w:bottom w:val="none" w:sz="0" w:space="0" w:color="auto"/>
        <w:right w:val="none" w:sz="0" w:space="0" w:color="auto"/>
      </w:divBdr>
    </w:div>
    <w:div w:id="1077291890">
      <w:bodyDiv w:val="1"/>
      <w:marLeft w:val="0"/>
      <w:marRight w:val="0"/>
      <w:marTop w:val="0"/>
      <w:marBottom w:val="0"/>
      <w:divBdr>
        <w:top w:val="none" w:sz="0" w:space="0" w:color="auto"/>
        <w:left w:val="none" w:sz="0" w:space="0" w:color="auto"/>
        <w:bottom w:val="none" w:sz="0" w:space="0" w:color="auto"/>
        <w:right w:val="none" w:sz="0" w:space="0" w:color="auto"/>
      </w:divBdr>
    </w:div>
    <w:div w:id="1083726806">
      <w:bodyDiv w:val="1"/>
      <w:marLeft w:val="0"/>
      <w:marRight w:val="0"/>
      <w:marTop w:val="0"/>
      <w:marBottom w:val="0"/>
      <w:divBdr>
        <w:top w:val="none" w:sz="0" w:space="0" w:color="auto"/>
        <w:left w:val="none" w:sz="0" w:space="0" w:color="auto"/>
        <w:bottom w:val="none" w:sz="0" w:space="0" w:color="auto"/>
        <w:right w:val="none" w:sz="0" w:space="0" w:color="auto"/>
      </w:divBdr>
    </w:div>
    <w:div w:id="1084257683">
      <w:bodyDiv w:val="1"/>
      <w:marLeft w:val="0"/>
      <w:marRight w:val="0"/>
      <w:marTop w:val="0"/>
      <w:marBottom w:val="0"/>
      <w:divBdr>
        <w:top w:val="none" w:sz="0" w:space="0" w:color="auto"/>
        <w:left w:val="none" w:sz="0" w:space="0" w:color="auto"/>
        <w:bottom w:val="none" w:sz="0" w:space="0" w:color="auto"/>
        <w:right w:val="none" w:sz="0" w:space="0" w:color="auto"/>
      </w:divBdr>
    </w:div>
    <w:div w:id="1090661107">
      <w:bodyDiv w:val="1"/>
      <w:marLeft w:val="0"/>
      <w:marRight w:val="0"/>
      <w:marTop w:val="0"/>
      <w:marBottom w:val="0"/>
      <w:divBdr>
        <w:top w:val="none" w:sz="0" w:space="0" w:color="auto"/>
        <w:left w:val="none" w:sz="0" w:space="0" w:color="auto"/>
        <w:bottom w:val="none" w:sz="0" w:space="0" w:color="auto"/>
        <w:right w:val="none" w:sz="0" w:space="0" w:color="auto"/>
      </w:divBdr>
    </w:div>
    <w:div w:id="1094401790">
      <w:bodyDiv w:val="1"/>
      <w:marLeft w:val="0"/>
      <w:marRight w:val="0"/>
      <w:marTop w:val="0"/>
      <w:marBottom w:val="0"/>
      <w:divBdr>
        <w:top w:val="none" w:sz="0" w:space="0" w:color="auto"/>
        <w:left w:val="none" w:sz="0" w:space="0" w:color="auto"/>
        <w:bottom w:val="none" w:sz="0" w:space="0" w:color="auto"/>
        <w:right w:val="none" w:sz="0" w:space="0" w:color="auto"/>
      </w:divBdr>
    </w:div>
    <w:div w:id="1108089418">
      <w:bodyDiv w:val="1"/>
      <w:marLeft w:val="0"/>
      <w:marRight w:val="0"/>
      <w:marTop w:val="0"/>
      <w:marBottom w:val="0"/>
      <w:divBdr>
        <w:top w:val="none" w:sz="0" w:space="0" w:color="auto"/>
        <w:left w:val="none" w:sz="0" w:space="0" w:color="auto"/>
        <w:bottom w:val="none" w:sz="0" w:space="0" w:color="auto"/>
        <w:right w:val="none" w:sz="0" w:space="0" w:color="auto"/>
      </w:divBdr>
    </w:div>
    <w:div w:id="1111047449">
      <w:bodyDiv w:val="1"/>
      <w:marLeft w:val="0"/>
      <w:marRight w:val="0"/>
      <w:marTop w:val="0"/>
      <w:marBottom w:val="0"/>
      <w:divBdr>
        <w:top w:val="none" w:sz="0" w:space="0" w:color="auto"/>
        <w:left w:val="none" w:sz="0" w:space="0" w:color="auto"/>
        <w:bottom w:val="none" w:sz="0" w:space="0" w:color="auto"/>
        <w:right w:val="none" w:sz="0" w:space="0" w:color="auto"/>
      </w:divBdr>
    </w:div>
    <w:div w:id="1123964069">
      <w:bodyDiv w:val="1"/>
      <w:marLeft w:val="0"/>
      <w:marRight w:val="0"/>
      <w:marTop w:val="0"/>
      <w:marBottom w:val="0"/>
      <w:divBdr>
        <w:top w:val="none" w:sz="0" w:space="0" w:color="auto"/>
        <w:left w:val="none" w:sz="0" w:space="0" w:color="auto"/>
        <w:bottom w:val="none" w:sz="0" w:space="0" w:color="auto"/>
        <w:right w:val="none" w:sz="0" w:space="0" w:color="auto"/>
      </w:divBdr>
    </w:div>
    <w:div w:id="1128283591">
      <w:bodyDiv w:val="1"/>
      <w:marLeft w:val="0"/>
      <w:marRight w:val="0"/>
      <w:marTop w:val="0"/>
      <w:marBottom w:val="0"/>
      <w:divBdr>
        <w:top w:val="none" w:sz="0" w:space="0" w:color="auto"/>
        <w:left w:val="none" w:sz="0" w:space="0" w:color="auto"/>
        <w:bottom w:val="none" w:sz="0" w:space="0" w:color="auto"/>
        <w:right w:val="none" w:sz="0" w:space="0" w:color="auto"/>
      </w:divBdr>
    </w:div>
    <w:div w:id="1129475119">
      <w:bodyDiv w:val="1"/>
      <w:marLeft w:val="0"/>
      <w:marRight w:val="0"/>
      <w:marTop w:val="0"/>
      <w:marBottom w:val="0"/>
      <w:divBdr>
        <w:top w:val="none" w:sz="0" w:space="0" w:color="auto"/>
        <w:left w:val="none" w:sz="0" w:space="0" w:color="auto"/>
        <w:bottom w:val="none" w:sz="0" w:space="0" w:color="auto"/>
        <w:right w:val="none" w:sz="0" w:space="0" w:color="auto"/>
      </w:divBdr>
    </w:div>
    <w:div w:id="1129662457">
      <w:bodyDiv w:val="1"/>
      <w:marLeft w:val="0"/>
      <w:marRight w:val="0"/>
      <w:marTop w:val="0"/>
      <w:marBottom w:val="0"/>
      <w:divBdr>
        <w:top w:val="none" w:sz="0" w:space="0" w:color="auto"/>
        <w:left w:val="none" w:sz="0" w:space="0" w:color="auto"/>
        <w:bottom w:val="none" w:sz="0" w:space="0" w:color="auto"/>
        <w:right w:val="none" w:sz="0" w:space="0" w:color="auto"/>
      </w:divBdr>
    </w:div>
    <w:div w:id="1136988580">
      <w:bodyDiv w:val="1"/>
      <w:marLeft w:val="0"/>
      <w:marRight w:val="0"/>
      <w:marTop w:val="0"/>
      <w:marBottom w:val="0"/>
      <w:divBdr>
        <w:top w:val="none" w:sz="0" w:space="0" w:color="auto"/>
        <w:left w:val="none" w:sz="0" w:space="0" w:color="auto"/>
        <w:bottom w:val="none" w:sz="0" w:space="0" w:color="auto"/>
        <w:right w:val="none" w:sz="0" w:space="0" w:color="auto"/>
      </w:divBdr>
    </w:div>
    <w:div w:id="1139611461">
      <w:bodyDiv w:val="1"/>
      <w:marLeft w:val="0"/>
      <w:marRight w:val="0"/>
      <w:marTop w:val="0"/>
      <w:marBottom w:val="0"/>
      <w:divBdr>
        <w:top w:val="none" w:sz="0" w:space="0" w:color="auto"/>
        <w:left w:val="none" w:sz="0" w:space="0" w:color="auto"/>
        <w:bottom w:val="none" w:sz="0" w:space="0" w:color="auto"/>
        <w:right w:val="none" w:sz="0" w:space="0" w:color="auto"/>
      </w:divBdr>
    </w:div>
    <w:div w:id="1142692222">
      <w:bodyDiv w:val="1"/>
      <w:marLeft w:val="0"/>
      <w:marRight w:val="0"/>
      <w:marTop w:val="0"/>
      <w:marBottom w:val="0"/>
      <w:divBdr>
        <w:top w:val="none" w:sz="0" w:space="0" w:color="auto"/>
        <w:left w:val="none" w:sz="0" w:space="0" w:color="auto"/>
        <w:bottom w:val="none" w:sz="0" w:space="0" w:color="auto"/>
        <w:right w:val="none" w:sz="0" w:space="0" w:color="auto"/>
      </w:divBdr>
    </w:div>
    <w:div w:id="1146163050">
      <w:bodyDiv w:val="1"/>
      <w:marLeft w:val="0"/>
      <w:marRight w:val="0"/>
      <w:marTop w:val="0"/>
      <w:marBottom w:val="0"/>
      <w:divBdr>
        <w:top w:val="none" w:sz="0" w:space="0" w:color="auto"/>
        <w:left w:val="none" w:sz="0" w:space="0" w:color="auto"/>
        <w:bottom w:val="none" w:sz="0" w:space="0" w:color="auto"/>
        <w:right w:val="none" w:sz="0" w:space="0" w:color="auto"/>
      </w:divBdr>
    </w:div>
    <w:div w:id="1146893388">
      <w:bodyDiv w:val="1"/>
      <w:marLeft w:val="0"/>
      <w:marRight w:val="0"/>
      <w:marTop w:val="0"/>
      <w:marBottom w:val="0"/>
      <w:divBdr>
        <w:top w:val="none" w:sz="0" w:space="0" w:color="auto"/>
        <w:left w:val="none" w:sz="0" w:space="0" w:color="auto"/>
        <w:bottom w:val="none" w:sz="0" w:space="0" w:color="auto"/>
        <w:right w:val="none" w:sz="0" w:space="0" w:color="auto"/>
      </w:divBdr>
    </w:div>
    <w:div w:id="1147552415">
      <w:bodyDiv w:val="1"/>
      <w:marLeft w:val="0"/>
      <w:marRight w:val="0"/>
      <w:marTop w:val="0"/>
      <w:marBottom w:val="0"/>
      <w:divBdr>
        <w:top w:val="none" w:sz="0" w:space="0" w:color="auto"/>
        <w:left w:val="none" w:sz="0" w:space="0" w:color="auto"/>
        <w:bottom w:val="none" w:sz="0" w:space="0" w:color="auto"/>
        <w:right w:val="none" w:sz="0" w:space="0" w:color="auto"/>
      </w:divBdr>
    </w:div>
    <w:div w:id="1148133309">
      <w:bodyDiv w:val="1"/>
      <w:marLeft w:val="0"/>
      <w:marRight w:val="0"/>
      <w:marTop w:val="0"/>
      <w:marBottom w:val="0"/>
      <w:divBdr>
        <w:top w:val="none" w:sz="0" w:space="0" w:color="auto"/>
        <w:left w:val="none" w:sz="0" w:space="0" w:color="auto"/>
        <w:bottom w:val="none" w:sz="0" w:space="0" w:color="auto"/>
        <w:right w:val="none" w:sz="0" w:space="0" w:color="auto"/>
      </w:divBdr>
    </w:div>
    <w:div w:id="1153328893">
      <w:bodyDiv w:val="1"/>
      <w:marLeft w:val="0"/>
      <w:marRight w:val="0"/>
      <w:marTop w:val="0"/>
      <w:marBottom w:val="0"/>
      <w:divBdr>
        <w:top w:val="none" w:sz="0" w:space="0" w:color="auto"/>
        <w:left w:val="none" w:sz="0" w:space="0" w:color="auto"/>
        <w:bottom w:val="none" w:sz="0" w:space="0" w:color="auto"/>
        <w:right w:val="none" w:sz="0" w:space="0" w:color="auto"/>
      </w:divBdr>
    </w:div>
    <w:div w:id="1167088411">
      <w:bodyDiv w:val="1"/>
      <w:marLeft w:val="0"/>
      <w:marRight w:val="0"/>
      <w:marTop w:val="0"/>
      <w:marBottom w:val="0"/>
      <w:divBdr>
        <w:top w:val="none" w:sz="0" w:space="0" w:color="auto"/>
        <w:left w:val="none" w:sz="0" w:space="0" w:color="auto"/>
        <w:bottom w:val="none" w:sz="0" w:space="0" w:color="auto"/>
        <w:right w:val="none" w:sz="0" w:space="0" w:color="auto"/>
      </w:divBdr>
    </w:div>
    <w:div w:id="1167600570">
      <w:bodyDiv w:val="1"/>
      <w:marLeft w:val="0"/>
      <w:marRight w:val="0"/>
      <w:marTop w:val="0"/>
      <w:marBottom w:val="0"/>
      <w:divBdr>
        <w:top w:val="none" w:sz="0" w:space="0" w:color="auto"/>
        <w:left w:val="none" w:sz="0" w:space="0" w:color="auto"/>
        <w:bottom w:val="none" w:sz="0" w:space="0" w:color="auto"/>
        <w:right w:val="none" w:sz="0" w:space="0" w:color="auto"/>
      </w:divBdr>
    </w:div>
    <w:div w:id="1168324472">
      <w:bodyDiv w:val="1"/>
      <w:marLeft w:val="0"/>
      <w:marRight w:val="0"/>
      <w:marTop w:val="0"/>
      <w:marBottom w:val="0"/>
      <w:divBdr>
        <w:top w:val="none" w:sz="0" w:space="0" w:color="auto"/>
        <w:left w:val="none" w:sz="0" w:space="0" w:color="auto"/>
        <w:bottom w:val="none" w:sz="0" w:space="0" w:color="auto"/>
        <w:right w:val="none" w:sz="0" w:space="0" w:color="auto"/>
      </w:divBdr>
    </w:div>
    <w:div w:id="1175264597">
      <w:bodyDiv w:val="1"/>
      <w:marLeft w:val="0"/>
      <w:marRight w:val="0"/>
      <w:marTop w:val="0"/>
      <w:marBottom w:val="0"/>
      <w:divBdr>
        <w:top w:val="none" w:sz="0" w:space="0" w:color="auto"/>
        <w:left w:val="none" w:sz="0" w:space="0" w:color="auto"/>
        <w:bottom w:val="none" w:sz="0" w:space="0" w:color="auto"/>
        <w:right w:val="none" w:sz="0" w:space="0" w:color="auto"/>
      </w:divBdr>
    </w:div>
    <w:div w:id="1184855191">
      <w:bodyDiv w:val="1"/>
      <w:marLeft w:val="0"/>
      <w:marRight w:val="0"/>
      <w:marTop w:val="0"/>
      <w:marBottom w:val="0"/>
      <w:divBdr>
        <w:top w:val="none" w:sz="0" w:space="0" w:color="auto"/>
        <w:left w:val="none" w:sz="0" w:space="0" w:color="auto"/>
        <w:bottom w:val="none" w:sz="0" w:space="0" w:color="auto"/>
        <w:right w:val="none" w:sz="0" w:space="0" w:color="auto"/>
      </w:divBdr>
    </w:div>
    <w:div w:id="1188954351">
      <w:bodyDiv w:val="1"/>
      <w:marLeft w:val="0"/>
      <w:marRight w:val="0"/>
      <w:marTop w:val="0"/>
      <w:marBottom w:val="0"/>
      <w:divBdr>
        <w:top w:val="none" w:sz="0" w:space="0" w:color="auto"/>
        <w:left w:val="none" w:sz="0" w:space="0" w:color="auto"/>
        <w:bottom w:val="none" w:sz="0" w:space="0" w:color="auto"/>
        <w:right w:val="none" w:sz="0" w:space="0" w:color="auto"/>
      </w:divBdr>
    </w:div>
    <w:div w:id="1203372104">
      <w:bodyDiv w:val="1"/>
      <w:marLeft w:val="0"/>
      <w:marRight w:val="0"/>
      <w:marTop w:val="0"/>
      <w:marBottom w:val="0"/>
      <w:divBdr>
        <w:top w:val="none" w:sz="0" w:space="0" w:color="auto"/>
        <w:left w:val="none" w:sz="0" w:space="0" w:color="auto"/>
        <w:bottom w:val="none" w:sz="0" w:space="0" w:color="auto"/>
        <w:right w:val="none" w:sz="0" w:space="0" w:color="auto"/>
      </w:divBdr>
    </w:div>
    <w:div w:id="1219976148">
      <w:bodyDiv w:val="1"/>
      <w:marLeft w:val="0"/>
      <w:marRight w:val="0"/>
      <w:marTop w:val="0"/>
      <w:marBottom w:val="0"/>
      <w:divBdr>
        <w:top w:val="none" w:sz="0" w:space="0" w:color="auto"/>
        <w:left w:val="none" w:sz="0" w:space="0" w:color="auto"/>
        <w:bottom w:val="none" w:sz="0" w:space="0" w:color="auto"/>
        <w:right w:val="none" w:sz="0" w:space="0" w:color="auto"/>
      </w:divBdr>
    </w:div>
    <w:div w:id="1221668000">
      <w:bodyDiv w:val="1"/>
      <w:marLeft w:val="0"/>
      <w:marRight w:val="0"/>
      <w:marTop w:val="0"/>
      <w:marBottom w:val="0"/>
      <w:divBdr>
        <w:top w:val="none" w:sz="0" w:space="0" w:color="auto"/>
        <w:left w:val="none" w:sz="0" w:space="0" w:color="auto"/>
        <w:bottom w:val="none" w:sz="0" w:space="0" w:color="auto"/>
        <w:right w:val="none" w:sz="0" w:space="0" w:color="auto"/>
      </w:divBdr>
    </w:div>
    <w:div w:id="1226648239">
      <w:bodyDiv w:val="1"/>
      <w:marLeft w:val="0"/>
      <w:marRight w:val="0"/>
      <w:marTop w:val="0"/>
      <w:marBottom w:val="0"/>
      <w:divBdr>
        <w:top w:val="none" w:sz="0" w:space="0" w:color="auto"/>
        <w:left w:val="none" w:sz="0" w:space="0" w:color="auto"/>
        <w:bottom w:val="none" w:sz="0" w:space="0" w:color="auto"/>
        <w:right w:val="none" w:sz="0" w:space="0" w:color="auto"/>
      </w:divBdr>
    </w:div>
    <w:div w:id="1228608788">
      <w:bodyDiv w:val="1"/>
      <w:marLeft w:val="0"/>
      <w:marRight w:val="0"/>
      <w:marTop w:val="0"/>
      <w:marBottom w:val="0"/>
      <w:divBdr>
        <w:top w:val="none" w:sz="0" w:space="0" w:color="auto"/>
        <w:left w:val="none" w:sz="0" w:space="0" w:color="auto"/>
        <w:bottom w:val="none" w:sz="0" w:space="0" w:color="auto"/>
        <w:right w:val="none" w:sz="0" w:space="0" w:color="auto"/>
      </w:divBdr>
    </w:div>
    <w:div w:id="1232735281">
      <w:bodyDiv w:val="1"/>
      <w:marLeft w:val="0"/>
      <w:marRight w:val="0"/>
      <w:marTop w:val="0"/>
      <w:marBottom w:val="0"/>
      <w:divBdr>
        <w:top w:val="none" w:sz="0" w:space="0" w:color="auto"/>
        <w:left w:val="none" w:sz="0" w:space="0" w:color="auto"/>
        <w:bottom w:val="none" w:sz="0" w:space="0" w:color="auto"/>
        <w:right w:val="none" w:sz="0" w:space="0" w:color="auto"/>
      </w:divBdr>
    </w:div>
    <w:div w:id="1235898038">
      <w:bodyDiv w:val="1"/>
      <w:marLeft w:val="0"/>
      <w:marRight w:val="0"/>
      <w:marTop w:val="0"/>
      <w:marBottom w:val="0"/>
      <w:divBdr>
        <w:top w:val="none" w:sz="0" w:space="0" w:color="auto"/>
        <w:left w:val="none" w:sz="0" w:space="0" w:color="auto"/>
        <w:bottom w:val="none" w:sz="0" w:space="0" w:color="auto"/>
        <w:right w:val="none" w:sz="0" w:space="0" w:color="auto"/>
      </w:divBdr>
    </w:div>
    <w:div w:id="1236428804">
      <w:bodyDiv w:val="1"/>
      <w:marLeft w:val="0"/>
      <w:marRight w:val="0"/>
      <w:marTop w:val="0"/>
      <w:marBottom w:val="0"/>
      <w:divBdr>
        <w:top w:val="none" w:sz="0" w:space="0" w:color="auto"/>
        <w:left w:val="none" w:sz="0" w:space="0" w:color="auto"/>
        <w:bottom w:val="none" w:sz="0" w:space="0" w:color="auto"/>
        <w:right w:val="none" w:sz="0" w:space="0" w:color="auto"/>
      </w:divBdr>
    </w:div>
    <w:div w:id="1244950147">
      <w:bodyDiv w:val="1"/>
      <w:marLeft w:val="0"/>
      <w:marRight w:val="0"/>
      <w:marTop w:val="0"/>
      <w:marBottom w:val="0"/>
      <w:divBdr>
        <w:top w:val="none" w:sz="0" w:space="0" w:color="auto"/>
        <w:left w:val="none" w:sz="0" w:space="0" w:color="auto"/>
        <w:bottom w:val="none" w:sz="0" w:space="0" w:color="auto"/>
        <w:right w:val="none" w:sz="0" w:space="0" w:color="auto"/>
      </w:divBdr>
    </w:div>
    <w:div w:id="1256011494">
      <w:bodyDiv w:val="1"/>
      <w:marLeft w:val="0"/>
      <w:marRight w:val="0"/>
      <w:marTop w:val="0"/>
      <w:marBottom w:val="0"/>
      <w:divBdr>
        <w:top w:val="none" w:sz="0" w:space="0" w:color="auto"/>
        <w:left w:val="none" w:sz="0" w:space="0" w:color="auto"/>
        <w:bottom w:val="none" w:sz="0" w:space="0" w:color="auto"/>
        <w:right w:val="none" w:sz="0" w:space="0" w:color="auto"/>
      </w:divBdr>
    </w:div>
    <w:div w:id="1256327816">
      <w:bodyDiv w:val="1"/>
      <w:marLeft w:val="0"/>
      <w:marRight w:val="0"/>
      <w:marTop w:val="0"/>
      <w:marBottom w:val="0"/>
      <w:divBdr>
        <w:top w:val="none" w:sz="0" w:space="0" w:color="auto"/>
        <w:left w:val="none" w:sz="0" w:space="0" w:color="auto"/>
        <w:bottom w:val="none" w:sz="0" w:space="0" w:color="auto"/>
        <w:right w:val="none" w:sz="0" w:space="0" w:color="auto"/>
      </w:divBdr>
    </w:div>
    <w:div w:id="1290933335">
      <w:bodyDiv w:val="1"/>
      <w:marLeft w:val="0"/>
      <w:marRight w:val="0"/>
      <w:marTop w:val="0"/>
      <w:marBottom w:val="0"/>
      <w:divBdr>
        <w:top w:val="none" w:sz="0" w:space="0" w:color="auto"/>
        <w:left w:val="none" w:sz="0" w:space="0" w:color="auto"/>
        <w:bottom w:val="none" w:sz="0" w:space="0" w:color="auto"/>
        <w:right w:val="none" w:sz="0" w:space="0" w:color="auto"/>
      </w:divBdr>
    </w:div>
    <w:div w:id="1297418934">
      <w:bodyDiv w:val="1"/>
      <w:marLeft w:val="0"/>
      <w:marRight w:val="0"/>
      <w:marTop w:val="0"/>
      <w:marBottom w:val="0"/>
      <w:divBdr>
        <w:top w:val="none" w:sz="0" w:space="0" w:color="auto"/>
        <w:left w:val="none" w:sz="0" w:space="0" w:color="auto"/>
        <w:bottom w:val="none" w:sz="0" w:space="0" w:color="auto"/>
        <w:right w:val="none" w:sz="0" w:space="0" w:color="auto"/>
      </w:divBdr>
    </w:div>
    <w:div w:id="1310327150">
      <w:bodyDiv w:val="1"/>
      <w:marLeft w:val="0"/>
      <w:marRight w:val="0"/>
      <w:marTop w:val="0"/>
      <w:marBottom w:val="0"/>
      <w:divBdr>
        <w:top w:val="none" w:sz="0" w:space="0" w:color="auto"/>
        <w:left w:val="none" w:sz="0" w:space="0" w:color="auto"/>
        <w:bottom w:val="none" w:sz="0" w:space="0" w:color="auto"/>
        <w:right w:val="none" w:sz="0" w:space="0" w:color="auto"/>
      </w:divBdr>
    </w:div>
    <w:div w:id="1312833073">
      <w:bodyDiv w:val="1"/>
      <w:marLeft w:val="0"/>
      <w:marRight w:val="0"/>
      <w:marTop w:val="0"/>
      <w:marBottom w:val="0"/>
      <w:divBdr>
        <w:top w:val="none" w:sz="0" w:space="0" w:color="auto"/>
        <w:left w:val="none" w:sz="0" w:space="0" w:color="auto"/>
        <w:bottom w:val="none" w:sz="0" w:space="0" w:color="auto"/>
        <w:right w:val="none" w:sz="0" w:space="0" w:color="auto"/>
      </w:divBdr>
    </w:div>
    <w:div w:id="1318801433">
      <w:bodyDiv w:val="1"/>
      <w:marLeft w:val="0"/>
      <w:marRight w:val="0"/>
      <w:marTop w:val="0"/>
      <w:marBottom w:val="0"/>
      <w:divBdr>
        <w:top w:val="none" w:sz="0" w:space="0" w:color="auto"/>
        <w:left w:val="none" w:sz="0" w:space="0" w:color="auto"/>
        <w:bottom w:val="none" w:sz="0" w:space="0" w:color="auto"/>
        <w:right w:val="none" w:sz="0" w:space="0" w:color="auto"/>
      </w:divBdr>
    </w:div>
    <w:div w:id="1322806436">
      <w:bodyDiv w:val="1"/>
      <w:marLeft w:val="0"/>
      <w:marRight w:val="0"/>
      <w:marTop w:val="0"/>
      <w:marBottom w:val="0"/>
      <w:divBdr>
        <w:top w:val="none" w:sz="0" w:space="0" w:color="auto"/>
        <w:left w:val="none" w:sz="0" w:space="0" w:color="auto"/>
        <w:bottom w:val="none" w:sz="0" w:space="0" w:color="auto"/>
        <w:right w:val="none" w:sz="0" w:space="0" w:color="auto"/>
      </w:divBdr>
    </w:div>
    <w:div w:id="1325671181">
      <w:bodyDiv w:val="1"/>
      <w:marLeft w:val="0"/>
      <w:marRight w:val="0"/>
      <w:marTop w:val="0"/>
      <w:marBottom w:val="0"/>
      <w:divBdr>
        <w:top w:val="none" w:sz="0" w:space="0" w:color="auto"/>
        <w:left w:val="none" w:sz="0" w:space="0" w:color="auto"/>
        <w:bottom w:val="none" w:sz="0" w:space="0" w:color="auto"/>
        <w:right w:val="none" w:sz="0" w:space="0" w:color="auto"/>
      </w:divBdr>
    </w:div>
    <w:div w:id="1330250306">
      <w:bodyDiv w:val="1"/>
      <w:marLeft w:val="0"/>
      <w:marRight w:val="0"/>
      <w:marTop w:val="0"/>
      <w:marBottom w:val="0"/>
      <w:divBdr>
        <w:top w:val="none" w:sz="0" w:space="0" w:color="auto"/>
        <w:left w:val="none" w:sz="0" w:space="0" w:color="auto"/>
        <w:bottom w:val="none" w:sz="0" w:space="0" w:color="auto"/>
        <w:right w:val="none" w:sz="0" w:space="0" w:color="auto"/>
      </w:divBdr>
    </w:div>
    <w:div w:id="1330525469">
      <w:bodyDiv w:val="1"/>
      <w:marLeft w:val="0"/>
      <w:marRight w:val="0"/>
      <w:marTop w:val="0"/>
      <w:marBottom w:val="0"/>
      <w:divBdr>
        <w:top w:val="none" w:sz="0" w:space="0" w:color="auto"/>
        <w:left w:val="none" w:sz="0" w:space="0" w:color="auto"/>
        <w:bottom w:val="none" w:sz="0" w:space="0" w:color="auto"/>
        <w:right w:val="none" w:sz="0" w:space="0" w:color="auto"/>
      </w:divBdr>
    </w:div>
    <w:div w:id="1331561982">
      <w:bodyDiv w:val="1"/>
      <w:marLeft w:val="0"/>
      <w:marRight w:val="0"/>
      <w:marTop w:val="0"/>
      <w:marBottom w:val="0"/>
      <w:divBdr>
        <w:top w:val="none" w:sz="0" w:space="0" w:color="auto"/>
        <w:left w:val="none" w:sz="0" w:space="0" w:color="auto"/>
        <w:bottom w:val="none" w:sz="0" w:space="0" w:color="auto"/>
        <w:right w:val="none" w:sz="0" w:space="0" w:color="auto"/>
      </w:divBdr>
    </w:div>
    <w:div w:id="1337922922">
      <w:bodyDiv w:val="1"/>
      <w:marLeft w:val="0"/>
      <w:marRight w:val="0"/>
      <w:marTop w:val="0"/>
      <w:marBottom w:val="0"/>
      <w:divBdr>
        <w:top w:val="none" w:sz="0" w:space="0" w:color="auto"/>
        <w:left w:val="none" w:sz="0" w:space="0" w:color="auto"/>
        <w:bottom w:val="none" w:sz="0" w:space="0" w:color="auto"/>
        <w:right w:val="none" w:sz="0" w:space="0" w:color="auto"/>
      </w:divBdr>
    </w:div>
    <w:div w:id="1339769620">
      <w:bodyDiv w:val="1"/>
      <w:marLeft w:val="0"/>
      <w:marRight w:val="0"/>
      <w:marTop w:val="0"/>
      <w:marBottom w:val="0"/>
      <w:divBdr>
        <w:top w:val="none" w:sz="0" w:space="0" w:color="auto"/>
        <w:left w:val="none" w:sz="0" w:space="0" w:color="auto"/>
        <w:bottom w:val="none" w:sz="0" w:space="0" w:color="auto"/>
        <w:right w:val="none" w:sz="0" w:space="0" w:color="auto"/>
      </w:divBdr>
    </w:div>
    <w:div w:id="1340235902">
      <w:bodyDiv w:val="1"/>
      <w:marLeft w:val="0"/>
      <w:marRight w:val="0"/>
      <w:marTop w:val="0"/>
      <w:marBottom w:val="0"/>
      <w:divBdr>
        <w:top w:val="none" w:sz="0" w:space="0" w:color="auto"/>
        <w:left w:val="none" w:sz="0" w:space="0" w:color="auto"/>
        <w:bottom w:val="none" w:sz="0" w:space="0" w:color="auto"/>
        <w:right w:val="none" w:sz="0" w:space="0" w:color="auto"/>
      </w:divBdr>
    </w:div>
    <w:div w:id="1340309422">
      <w:bodyDiv w:val="1"/>
      <w:marLeft w:val="0"/>
      <w:marRight w:val="0"/>
      <w:marTop w:val="0"/>
      <w:marBottom w:val="0"/>
      <w:divBdr>
        <w:top w:val="none" w:sz="0" w:space="0" w:color="auto"/>
        <w:left w:val="none" w:sz="0" w:space="0" w:color="auto"/>
        <w:bottom w:val="none" w:sz="0" w:space="0" w:color="auto"/>
        <w:right w:val="none" w:sz="0" w:space="0" w:color="auto"/>
      </w:divBdr>
    </w:div>
    <w:div w:id="1350370392">
      <w:bodyDiv w:val="1"/>
      <w:marLeft w:val="0"/>
      <w:marRight w:val="0"/>
      <w:marTop w:val="0"/>
      <w:marBottom w:val="0"/>
      <w:divBdr>
        <w:top w:val="none" w:sz="0" w:space="0" w:color="auto"/>
        <w:left w:val="none" w:sz="0" w:space="0" w:color="auto"/>
        <w:bottom w:val="none" w:sz="0" w:space="0" w:color="auto"/>
        <w:right w:val="none" w:sz="0" w:space="0" w:color="auto"/>
      </w:divBdr>
    </w:div>
    <w:div w:id="1351831588">
      <w:bodyDiv w:val="1"/>
      <w:marLeft w:val="0"/>
      <w:marRight w:val="0"/>
      <w:marTop w:val="0"/>
      <w:marBottom w:val="0"/>
      <w:divBdr>
        <w:top w:val="none" w:sz="0" w:space="0" w:color="auto"/>
        <w:left w:val="none" w:sz="0" w:space="0" w:color="auto"/>
        <w:bottom w:val="none" w:sz="0" w:space="0" w:color="auto"/>
        <w:right w:val="none" w:sz="0" w:space="0" w:color="auto"/>
      </w:divBdr>
    </w:div>
    <w:div w:id="1355956682">
      <w:bodyDiv w:val="1"/>
      <w:marLeft w:val="0"/>
      <w:marRight w:val="0"/>
      <w:marTop w:val="0"/>
      <w:marBottom w:val="0"/>
      <w:divBdr>
        <w:top w:val="none" w:sz="0" w:space="0" w:color="auto"/>
        <w:left w:val="none" w:sz="0" w:space="0" w:color="auto"/>
        <w:bottom w:val="none" w:sz="0" w:space="0" w:color="auto"/>
        <w:right w:val="none" w:sz="0" w:space="0" w:color="auto"/>
      </w:divBdr>
    </w:div>
    <w:div w:id="1357192505">
      <w:bodyDiv w:val="1"/>
      <w:marLeft w:val="0"/>
      <w:marRight w:val="0"/>
      <w:marTop w:val="0"/>
      <w:marBottom w:val="0"/>
      <w:divBdr>
        <w:top w:val="none" w:sz="0" w:space="0" w:color="auto"/>
        <w:left w:val="none" w:sz="0" w:space="0" w:color="auto"/>
        <w:bottom w:val="none" w:sz="0" w:space="0" w:color="auto"/>
        <w:right w:val="none" w:sz="0" w:space="0" w:color="auto"/>
      </w:divBdr>
    </w:div>
    <w:div w:id="1373336592">
      <w:bodyDiv w:val="1"/>
      <w:marLeft w:val="0"/>
      <w:marRight w:val="0"/>
      <w:marTop w:val="0"/>
      <w:marBottom w:val="0"/>
      <w:divBdr>
        <w:top w:val="none" w:sz="0" w:space="0" w:color="auto"/>
        <w:left w:val="none" w:sz="0" w:space="0" w:color="auto"/>
        <w:bottom w:val="none" w:sz="0" w:space="0" w:color="auto"/>
        <w:right w:val="none" w:sz="0" w:space="0" w:color="auto"/>
      </w:divBdr>
    </w:div>
    <w:div w:id="1377465869">
      <w:bodyDiv w:val="1"/>
      <w:marLeft w:val="0"/>
      <w:marRight w:val="0"/>
      <w:marTop w:val="0"/>
      <w:marBottom w:val="0"/>
      <w:divBdr>
        <w:top w:val="none" w:sz="0" w:space="0" w:color="auto"/>
        <w:left w:val="none" w:sz="0" w:space="0" w:color="auto"/>
        <w:bottom w:val="none" w:sz="0" w:space="0" w:color="auto"/>
        <w:right w:val="none" w:sz="0" w:space="0" w:color="auto"/>
      </w:divBdr>
    </w:div>
    <w:div w:id="1386224676">
      <w:bodyDiv w:val="1"/>
      <w:marLeft w:val="0"/>
      <w:marRight w:val="0"/>
      <w:marTop w:val="0"/>
      <w:marBottom w:val="0"/>
      <w:divBdr>
        <w:top w:val="none" w:sz="0" w:space="0" w:color="auto"/>
        <w:left w:val="none" w:sz="0" w:space="0" w:color="auto"/>
        <w:bottom w:val="none" w:sz="0" w:space="0" w:color="auto"/>
        <w:right w:val="none" w:sz="0" w:space="0" w:color="auto"/>
      </w:divBdr>
    </w:div>
    <w:div w:id="1386640766">
      <w:bodyDiv w:val="1"/>
      <w:marLeft w:val="0"/>
      <w:marRight w:val="0"/>
      <w:marTop w:val="0"/>
      <w:marBottom w:val="0"/>
      <w:divBdr>
        <w:top w:val="none" w:sz="0" w:space="0" w:color="auto"/>
        <w:left w:val="none" w:sz="0" w:space="0" w:color="auto"/>
        <w:bottom w:val="none" w:sz="0" w:space="0" w:color="auto"/>
        <w:right w:val="none" w:sz="0" w:space="0" w:color="auto"/>
      </w:divBdr>
    </w:div>
    <w:div w:id="1397632841">
      <w:bodyDiv w:val="1"/>
      <w:marLeft w:val="0"/>
      <w:marRight w:val="0"/>
      <w:marTop w:val="0"/>
      <w:marBottom w:val="0"/>
      <w:divBdr>
        <w:top w:val="none" w:sz="0" w:space="0" w:color="auto"/>
        <w:left w:val="none" w:sz="0" w:space="0" w:color="auto"/>
        <w:bottom w:val="none" w:sz="0" w:space="0" w:color="auto"/>
        <w:right w:val="none" w:sz="0" w:space="0" w:color="auto"/>
      </w:divBdr>
    </w:div>
    <w:div w:id="1409882417">
      <w:bodyDiv w:val="1"/>
      <w:marLeft w:val="0"/>
      <w:marRight w:val="0"/>
      <w:marTop w:val="0"/>
      <w:marBottom w:val="0"/>
      <w:divBdr>
        <w:top w:val="none" w:sz="0" w:space="0" w:color="auto"/>
        <w:left w:val="none" w:sz="0" w:space="0" w:color="auto"/>
        <w:bottom w:val="none" w:sz="0" w:space="0" w:color="auto"/>
        <w:right w:val="none" w:sz="0" w:space="0" w:color="auto"/>
      </w:divBdr>
    </w:div>
    <w:div w:id="1426724461">
      <w:bodyDiv w:val="1"/>
      <w:marLeft w:val="0"/>
      <w:marRight w:val="0"/>
      <w:marTop w:val="0"/>
      <w:marBottom w:val="0"/>
      <w:divBdr>
        <w:top w:val="none" w:sz="0" w:space="0" w:color="auto"/>
        <w:left w:val="none" w:sz="0" w:space="0" w:color="auto"/>
        <w:bottom w:val="none" w:sz="0" w:space="0" w:color="auto"/>
        <w:right w:val="none" w:sz="0" w:space="0" w:color="auto"/>
      </w:divBdr>
    </w:div>
    <w:div w:id="1437868796">
      <w:bodyDiv w:val="1"/>
      <w:marLeft w:val="0"/>
      <w:marRight w:val="0"/>
      <w:marTop w:val="0"/>
      <w:marBottom w:val="0"/>
      <w:divBdr>
        <w:top w:val="none" w:sz="0" w:space="0" w:color="auto"/>
        <w:left w:val="none" w:sz="0" w:space="0" w:color="auto"/>
        <w:bottom w:val="none" w:sz="0" w:space="0" w:color="auto"/>
        <w:right w:val="none" w:sz="0" w:space="0" w:color="auto"/>
      </w:divBdr>
    </w:div>
    <w:div w:id="1442073761">
      <w:bodyDiv w:val="1"/>
      <w:marLeft w:val="0"/>
      <w:marRight w:val="0"/>
      <w:marTop w:val="0"/>
      <w:marBottom w:val="0"/>
      <w:divBdr>
        <w:top w:val="none" w:sz="0" w:space="0" w:color="auto"/>
        <w:left w:val="none" w:sz="0" w:space="0" w:color="auto"/>
        <w:bottom w:val="none" w:sz="0" w:space="0" w:color="auto"/>
        <w:right w:val="none" w:sz="0" w:space="0" w:color="auto"/>
      </w:divBdr>
    </w:div>
    <w:div w:id="1444108521">
      <w:bodyDiv w:val="1"/>
      <w:marLeft w:val="0"/>
      <w:marRight w:val="0"/>
      <w:marTop w:val="0"/>
      <w:marBottom w:val="0"/>
      <w:divBdr>
        <w:top w:val="none" w:sz="0" w:space="0" w:color="auto"/>
        <w:left w:val="none" w:sz="0" w:space="0" w:color="auto"/>
        <w:bottom w:val="none" w:sz="0" w:space="0" w:color="auto"/>
        <w:right w:val="none" w:sz="0" w:space="0" w:color="auto"/>
      </w:divBdr>
    </w:div>
    <w:div w:id="1457531254">
      <w:bodyDiv w:val="1"/>
      <w:marLeft w:val="0"/>
      <w:marRight w:val="0"/>
      <w:marTop w:val="0"/>
      <w:marBottom w:val="0"/>
      <w:divBdr>
        <w:top w:val="none" w:sz="0" w:space="0" w:color="auto"/>
        <w:left w:val="none" w:sz="0" w:space="0" w:color="auto"/>
        <w:bottom w:val="none" w:sz="0" w:space="0" w:color="auto"/>
        <w:right w:val="none" w:sz="0" w:space="0" w:color="auto"/>
      </w:divBdr>
    </w:div>
    <w:div w:id="1466697857">
      <w:bodyDiv w:val="1"/>
      <w:marLeft w:val="0"/>
      <w:marRight w:val="0"/>
      <w:marTop w:val="0"/>
      <w:marBottom w:val="0"/>
      <w:divBdr>
        <w:top w:val="none" w:sz="0" w:space="0" w:color="auto"/>
        <w:left w:val="none" w:sz="0" w:space="0" w:color="auto"/>
        <w:bottom w:val="none" w:sz="0" w:space="0" w:color="auto"/>
        <w:right w:val="none" w:sz="0" w:space="0" w:color="auto"/>
      </w:divBdr>
    </w:div>
    <w:div w:id="1468428053">
      <w:bodyDiv w:val="1"/>
      <w:marLeft w:val="0"/>
      <w:marRight w:val="0"/>
      <w:marTop w:val="0"/>
      <w:marBottom w:val="0"/>
      <w:divBdr>
        <w:top w:val="none" w:sz="0" w:space="0" w:color="auto"/>
        <w:left w:val="none" w:sz="0" w:space="0" w:color="auto"/>
        <w:bottom w:val="none" w:sz="0" w:space="0" w:color="auto"/>
        <w:right w:val="none" w:sz="0" w:space="0" w:color="auto"/>
      </w:divBdr>
    </w:div>
    <w:div w:id="1493762182">
      <w:bodyDiv w:val="1"/>
      <w:marLeft w:val="0"/>
      <w:marRight w:val="0"/>
      <w:marTop w:val="0"/>
      <w:marBottom w:val="0"/>
      <w:divBdr>
        <w:top w:val="none" w:sz="0" w:space="0" w:color="auto"/>
        <w:left w:val="none" w:sz="0" w:space="0" w:color="auto"/>
        <w:bottom w:val="none" w:sz="0" w:space="0" w:color="auto"/>
        <w:right w:val="none" w:sz="0" w:space="0" w:color="auto"/>
      </w:divBdr>
    </w:div>
    <w:div w:id="1499807386">
      <w:bodyDiv w:val="1"/>
      <w:marLeft w:val="0"/>
      <w:marRight w:val="0"/>
      <w:marTop w:val="0"/>
      <w:marBottom w:val="0"/>
      <w:divBdr>
        <w:top w:val="none" w:sz="0" w:space="0" w:color="auto"/>
        <w:left w:val="none" w:sz="0" w:space="0" w:color="auto"/>
        <w:bottom w:val="none" w:sz="0" w:space="0" w:color="auto"/>
        <w:right w:val="none" w:sz="0" w:space="0" w:color="auto"/>
      </w:divBdr>
    </w:div>
    <w:div w:id="1506091338">
      <w:bodyDiv w:val="1"/>
      <w:marLeft w:val="0"/>
      <w:marRight w:val="0"/>
      <w:marTop w:val="0"/>
      <w:marBottom w:val="0"/>
      <w:divBdr>
        <w:top w:val="none" w:sz="0" w:space="0" w:color="auto"/>
        <w:left w:val="none" w:sz="0" w:space="0" w:color="auto"/>
        <w:bottom w:val="none" w:sz="0" w:space="0" w:color="auto"/>
        <w:right w:val="none" w:sz="0" w:space="0" w:color="auto"/>
      </w:divBdr>
    </w:div>
    <w:div w:id="1512798208">
      <w:bodyDiv w:val="1"/>
      <w:marLeft w:val="0"/>
      <w:marRight w:val="0"/>
      <w:marTop w:val="0"/>
      <w:marBottom w:val="0"/>
      <w:divBdr>
        <w:top w:val="none" w:sz="0" w:space="0" w:color="auto"/>
        <w:left w:val="none" w:sz="0" w:space="0" w:color="auto"/>
        <w:bottom w:val="none" w:sz="0" w:space="0" w:color="auto"/>
        <w:right w:val="none" w:sz="0" w:space="0" w:color="auto"/>
      </w:divBdr>
    </w:div>
    <w:div w:id="1514609307">
      <w:bodyDiv w:val="1"/>
      <w:marLeft w:val="0"/>
      <w:marRight w:val="0"/>
      <w:marTop w:val="0"/>
      <w:marBottom w:val="0"/>
      <w:divBdr>
        <w:top w:val="none" w:sz="0" w:space="0" w:color="auto"/>
        <w:left w:val="none" w:sz="0" w:space="0" w:color="auto"/>
        <w:bottom w:val="none" w:sz="0" w:space="0" w:color="auto"/>
        <w:right w:val="none" w:sz="0" w:space="0" w:color="auto"/>
      </w:divBdr>
    </w:div>
    <w:div w:id="1518346236">
      <w:bodyDiv w:val="1"/>
      <w:marLeft w:val="0"/>
      <w:marRight w:val="0"/>
      <w:marTop w:val="0"/>
      <w:marBottom w:val="0"/>
      <w:divBdr>
        <w:top w:val="none" w:sz="0" w:space="0" w:color="auto"/>
        <w:left w:val="none" w:sz="0" w:space="0" w:color="auto"/>
        <w:bottom w:val="none" w:sz="0" w:space="0" w:color="auto"/>
        <w:right w:val="none" w:sz="0" w:space="0" w:color="auto"/>
      </w:divBdr>
    </w:div>
    <w:div w:id="1524975465">
      <w:bodyDiv w:val="1"/>
      <w:marLeft w:val="0"/>
      <w:marRight w:val="0"/>
      <w:marTop w:val="0"/>
      <w:marBottom w:val="0"/>
      <w:divBdr>
        <w:top w:val="none" w:sz="0" w:space="0" w:color="auto"/>
        <w:left w:val="none" w:sz="0" w:space="0" w:color="auto"/>
        <w:bottom w:val="none" w:sz="0" w:space="0" w:color="auto"/>
        <w:right w:val="none" w:sz="0" w:space="0" w:color="auto"/>
      </w:divBdr>
    </w:div>
    <w:div w:id="1534032796">
      <w:bodyDiv w:val="1"/>
      <w:marLeft w:val="0"/>
      <w:marRight w:val="0"/>
      <w:marTop w:val="0"/>
      <w:marBottom w:val="0"/>
      <w:divBdr>
        <w:top w:val="none" w:sz="0" w:space="0" w:color="auto"/>
        <w:left w:val="none" w:sz="0" w:space="0" w:color="auto"/>
        <w:bottom w:val="none" w:sz="0" w:space="0" w:color="auto"/>
        <w:right w:val="none" w:sz="0" w:space="0" w:color="auto"/>
      </w:divBdr>
    </w:div>
    <w:div w:id="1557740281">
      <w:bodyDiv w:val="1"/>
      <w:marLeft w:val="0"/>
      <w:marRight w:val="0"/>
      <w:marTop w:val="0"/>
      <w:marBottom w:val="0"/>
      <w:divBdr>
        <w:top w:val="none" w:sz="0" w:space="0" w:color="auto"/>
        <w:left w:val="none" w:sz="0" w:space="0" w:color="auto"/>
        <w:bottom w:val="none" w:sz="0" w:space="0" w:color="auto"/>
        <w:right w:val="none" w:sz="0" w:space="0" w:color="auto"/>
      </w:divBdr>
    </w:div>
    <w:div w:id="1558322523">
      <w:bodyDiv w:val="1"/>
      <w:marLeft w:val="0"/>
      <w:marRight w:val="0"/>
      <w:marTop w:val="0"/>
      <w:marBottom w:val="0"/>
      <w:divBdr>
        <w:top w:val="none" w:sz="0" w:space="0" w:color="auto"/>
        <w:left w:val="none" w:sz="0" w:space="0" w:color="auto"/>
        <w:bottom w:val="none" w:sz="0" w:space="0" w:color="auto"/>
        <w:right w:val="none" w:sz="0" w:space="0" w:color="auto"/>
      </w:divBdr>
    </w:div>
    <w:div w:id="1564290428">
      <w:bodyDiv w:val="1"/>
      <w:marLeft w:val="0"/>
      <w:marRight w:val="0"/>
      <w:marTop w:val="0"/>
      <w:marBottom w:val="0"/>
      <w:divBdr>
        <w:top w:val="none" w:sz="0" w:space="0" w:color="auto"/>
        <w:left w:val="none" w:sz="0" w:space="0" w:color="auto"/>
        <w:bottom w:val="none" w:sz="0" w:space="0" w:color="auto"/>
        <w:right w:val="none" w:sz="0" w:space="0" w:color="auto"/>
      </w:divBdr>
    </w:div>
    <w:div w:id="1573737515">
      <w:bodyDiv w:val="1"/>
      <w:marLeft w:val="0"/>
      <w:marRight w:val="0"/>
      <w:marTop w:val="0"/>
      <w:marBottom w:val="0"/>
      <w:divBdr>
        <w:top w:val="none" w:sz="0" w:space="0" w:color="auto"/>
        <w:left w:val="none" w:sz="0" w:space="0" w:color="auto"/>
        <w:bottom w:val="none" w:sz="0" w:space="0" w:color="auto"/>
        <w:right w:val="none" w:sz="0" w:space="0" w:color="auto"/>
      </w:divBdr>
    </w:div>
    <w:div w:id="1580823985">
      <w:bodyDiv w:val="1"/>
      <w:marLeft w:val="0"/>
      <w:marRight w:val="0"/>
      <w:marTop w:val="0"/>
      <w:marBottom w:val="0"/>
      <w:divBdr>
        <w:top w:val="none" w:sz="0" w:space="0" w:color="auto"/>
        <w:left w:val="none" w:sz="0" w:space="0" w:color="auto"/>
        <w:bottom w:val="none" w:sz="0" w:space="0" w:color="auto"/>
        <w:right w:val="none" w:sz="0" w:space="0" w:color="auto"/>
      </w:divBdr>
    </w:div>
    <w:div w:id="1591042897">
      <w:bodyDiv w:val="1"/>
      <w:marLeft w:val="0"/>
      <w:marRight w:val="0"/>
      <w:marTop w:val="0"/>
      <w:marBottom w:val="0"/>
      <w:divBdr>
        <w:top w:val="none" w:sz="0" w:space="0" w:color="auto"/>
        <w:left w:val="none" w:sz="0" w:space="0" w:color="auto"/>
        <w:bottom w:val="none" w:sz="0" w:space="0" w:color="auto"/>
        <w:right w:val="none" w:sz="0" w:space="0" w:color="auto"/>
      </w:divBdr>
    </w:div>
    <w:div w:id="1591817645">
      <w:bodyDiv w:val="1"/>
      <w:marLeft w:val="0"/>
      <w:marRight w:val="0"/>
      <w:marTop w:val="0"/>
      <w:marBottom w:val="0"/>
      <w:divBdr>
        <w:top w:val="none" w:sz="0" w:space="0" w:color="auto"/>
        <w:left w:val="none" w:sz="0" w:space="0" w:color="auto"/>
        <w:bottom w:val="none" w:sz="0" w:space="0" w:color="auto"/>
        <w:right w:val="none" w:sz="0" w:space="0" w:color="auto"/>
      </w:divBdr>
    </w:div>
    <w:div w:id="1593079527">
      <w:bodyDiv w:val="1"/>
      <w:marLeft w:val="0"/>
      <w:marRight w:val="0"/>
      <w:marTop w:val="0"/>
      <w:marBottom w:val="0"/>
      <w:divBdr>
        <w:top w:val="none" w:sz="0" w:space="0" w:color="auto"/>
        <w:left w:val="none" w:sz="0" w:space="0" w:color="auto"/>
        <w:bottom w:val="none" w:sz="0" w:space="0" w:color="auto"/>
        <w:right w:val="none" w:sz="0" w:space="0" w:color="auto"/>
      </w:divBdr>
    </w:div>
    <w:div w:id="1594363473">
      <w:bodyDiv w:val="1"/>
      <w:marLeft w:val="0"/>
      <w:marRight w:val="0"/>
      <w:marTop w:val="0"/>
      <w:marBottom w:val="0"/>
      <w:divBdr>
        <w:top w:val="none" w:sz="0" w:space="0" w:color="auto"/>
        <w:left w:val="none" w:sz="0" w:space="0" w:color="auto"/>
        <w:bottom w:val="none" w:sz="0" w:space="0" w:color="auto"/>
        <w:right w:val="none" w:sz="0" w:space="0" w:color="auto"/>
      </w:divBdr>
    </w:div>
    <w:div w:id="1597711847">
      <w:bodyDiv w:val="1"/>
      <w:marLeft w:val="0"/>
      <w:marRight w:val="0"/>
      <w:marTop w:val="0"/>
      <w:marBottom w:val="0"/>
      <w:divBdr>
        <w:top w:val="none" w:sz="0" w:space="0" w:color="auto"/>
        <w:left w:val="none" w:sz="0" w:space="0" w:color="auto"/>
        <w:bottom w:val="none" w:sz="0" w:space="0" w:color="auto"/>
        <w:right w:val="none" w:sz="0" w:space="0" w:color="auto"/>
      </w:divBdr>
    </w:div>
    <w:div w:id="1600135220">
      <w:bodyDiv w:val="1"/>
      <w:marLeft w:val="0"/>
      <w:marRight w:val="0"/>
      <w:marTop w:val="0"/>
      <w:marBottom w:val="0"/>
      <w:divBdr>
        <w:top w:val="none" w:sz="0" w:space="0" w:color="auto"/>
        <w:left w:val="none" w:sz="0" w:space="0" w:color="auto"/>
        <w:bottom w:val="none" w:sz="0" w:space="0" w:color="auto"/>
        <w:right w:val="none" w:sz="0" w:space="0" w:color="auto"/>
      </w:divBdr>
    </w:div>
    <w:div w:id="1603951785">
      <w:bodyDiv w:val="1"/>
      <w:marLeft w:val="0"/>
      <w:marRight w:val="0"/>
      <w:marTop w:val="0"/>
      <w:marBottom w:val="0"/>
      <w:divBdr>
        <w:top w:val="none" w:sz="0" w:space="0" w:color="auto"/>
        <w:left w:val="none" w:sz="0" w:space="0" w:color="auto"/>
        <w:bottom w:val="none" w:sz="0" w:space="0" w:color="auto"/>
        <w:right w:val="none" w:sz="0" w:space="0" w:color="auto"/>
      </w:divBdr>
    </w:div>
    <w:div w:id="1605457109">
      <w:bodyDiv w:val="1"/>
      <w:marLeft w:val="0"/>
      <w:marRight w:val="0"/>
      <w:marTop w:val="0"/>
      <w:marBottom w:val="0"/>
      <w:divBdr>
        <w:top w:val="none" w:sz="0" w:space="0" w:color="auto"/>
        <w:left w:val="none" w:sz="0" w:space="0" w:color="auto"/>
        <w:bottom w:val="none" w:sz="0" w:space="0" w:color="auto"/>
        <w:right w:val="none" w:sz="0" w:space="0" w:color="auto"/>
      </w:divBdr>
    </w:div>
    <w:div w:id="1609433452">
      <w:bodyDiv w:val="1"/>
      <w:marLeft w:val="0"/>
      <w:marRight w:val="0"/>
      <w:marTop w:val="0"/>
      <w:marBottom w:val="0"/>
      <w:divBdr>
        <w:top w:val="none" w:sz="0" w:space="0" w:color="auto"/>
        <w:left w:val="none" w:sz="0" w:space="0" w:color="auto"/>
        <w:bottom w:val="none" w:sz="0" w:space="0" w:color="auto"/>
        <w:right w:val="none" w:sz="0" w:space="0" w:color="auto"/>
      </w:divBdr>
    </w:div>
    <w:div w:id="1628120457">
      <w:bodyDiv w:val="1"/>
      <w:marLeft w:val="0"/>
      <w:marRight w:val="0"/>
      <w:marTop w:val="0"/>
      <w:marBottom w:val="0"/>
      <w:divBdr>
        <w:top w:val="none" w:sz="0" w:space="0" w:color="auto"/>
        <w:left w:val="none" w:sz="0" w:space="0" w:color="auto"/>
        <w:bottom w:val="none" w:sz="0" w:space="0" w:color="auto"/>
        <w:right w:val="none" w:sz="0" w:space="0" w:color="auto"/>
      </w:divBdr>
    </w:div>
    <w:div w:id="1638532986">
      <w:bodyDiv w:val="1"/>
      <w:marLeft w:val="0"/>
      <w:marRight w:val="0"/>
      <w:marTop w:val="0"/>
      <w:marBottom w:val="0"/>
      <w:divBdr>
        <w:top w:val="none" w:sz="0" w:space="0" w:color="auto"/>
        <w:left w:val="none" w:sz="0" w:space="0" w:color="auto"/>
        <w:bottom w:val="none" w:sz="0" w:space="0" w:color="auto"/>
        <w:right w:val="none" w:sz="0" w:space="0" w:color="auto"/>
      </w:divBdr>
    </w:div>
    <w:div w:id="1649675180">
      <w:bodyDiv w:val="1"/>
      <w:marLeft w:val="0"/>
      <w:marRight w:val="0"/>
      <w:marTop w:val="0"/>
      <w:marBottom w:val="0"/>
      <w:divBdr>
        <w:top w:val="none" w:sz="0" w:space="0" w:color="auto"/>
        <w:left w:val="none" w:sz="0" w:space="0" w:color="auto"/>
        <w:bottom w:val="none" w:sz="0" w:space="0" w:color="auto"/>
        <w:right w:val="none" w:sz="0" w:space="0" w:color="auto"/>
      </w:divBdr>
    </w:div>
    <w:div w:id="1655329176">
      <w:bodyDiv w:val="1"/>
      <w:marLeft w:val="0"/>
      <w:marRight w:val="0"/>
      <w:marTop w:val="0"/>
      <w:marBottom w:val="0"/>
      <w:divBdr>
        <w:top w:val="none" w:sz="0" w:space="0" w:color="auto"/>
        <w:left w:val="none" w:sz="0" w:space="0" w:color="auto"/>
        <w:bottom w:val="none" w:sz="0" w:space="0" w:color="auto"/>
        <w:right w:val="none" w:sz="0" w:space="0" w:color="auto"/>
      </w:divBdr>
    </w:div>
    <w:div w:id="1658343019">
      <w:bodyDiv w:val="1"/>
      <w:marLeft w:val="0"/>
      <w:marRight w:val="0"/>
      <w:marTop w:val="0"/>
      <w:marBottom w:val="0"/>
      <w:divBdr>
        <w:top w:val="none" w:sz="0" w:space="0" w:color="auto"/>
        <w:left w:val="none" w:sz="0" w:space="0" w:color="auto"/>
        <w:bottom w:val="none" w:sz="0" w:space="0" w:color="auto"/>
        <w:right w:val="none" w:sz="0" w:space="0" w:color="auto"/>
      </w:divBdr>
    </w:div>
    <w:div w:id="1659193161">
      <w:bodyDiv w:val="1"/>
      <w:marLeft w:val="0"/>
      <w:marRight w:val="0"/>
      <w:marTop w:val="0"/>
      <w:marBottom w:val="0"/>
      <w:divBdr>
        <w:top w:val="none" w:sz="0" w:space="0" w:color="auto"/>
        <w:left w:val="none" w:sz="0" w:space="0" w:color="auto"/>
        <w:bottom w:val="none" w:sz="0" w:space="0" w:color="auto"/>
        <w:right w:val="none" w:sz="0" w:space="0" w:color="auto"/>
      </w:divBdr>
    </w:div>
    <w:div w:id="1678999434">
      <w:bodyDiv w:val="1"/>
      <w:marLeft w:val="0"/>
      <w:marRight w:val="0"/>
      <w:marTop w:val="0"/>
      <w:marBottom w:val="0"/>
      <w:divBdr>
        <w:top w:val="none" w:sz="0" w:space="0" w:color="auto"/>
        <w:left w:val="none" w:sz="0" w:space="0" w:color="auto"/>
        <w:bottom w:val="none" w:sz="0" w:space="0" w:color="auto"/>
        <w:right w:val="none" w:sz="0" w:space="0" w:color="auto"/>
      </w:divBdr>
    </w:div>
    <w:div w:id="1684818813">
      <w:bodyDiv w:val="1"/>
      <w:marLeft w:val="0"/>
      <w:marRight w:val="0"/>
      <w:marTop w:val="0"/>
      <w:marBottom w:val="0"/>
      <w:divBdr>
        <w:top w:val="none" w:sz="0" w:space="0" w:color="auto"/>
        <w:left w:val="none" w:sz="0" w:space="0" w:color="auto"/>
        <w:bottom w:val="none" w:sz="0" w:space="0" w:color="auto"/>
        <w:right w:val="none" w:sz="0" w:space="0" w:color="auto"/>
      </w:divBdr>
    </w:div>
    <w:div w:id="1688755109">
      <w:bodyDiv w:val="1"/>
      <w:marLeft w:val="0"/>
      <w:marRight w:val="0"/>
      <w:marTop w:val="0"/>
      <w:marBottom w:val="0"/>
      <w:divBdr>
        <w:top w:val="none" w:sz="0" w:space="0" w:color="auto"/>
        <w:left w:val="none" w:sz="0" w:space="0" w:color="auto"/>
        <w:bottom w:val="none" w:sz="0" w:space="0" w:color="auto"/>
        <w:right w:val="none" w:sz="0" w:space="0" w:color="auto"/>
      </w:divBdr>
    </w:div>
    <w:div w:id="1696615268">
      <w:bodyDiv w:val="1"/>
      <w:marLeft w:val="0"/>
      <w:marRight w:val="0"/>
      <w:marTop w:val="0"/>
      <w:marBottom w:val="0"/>
      <w:divBdr>
        <w:top w:val="none" w:sz="0" w:space="0" w:color="auto"/>
        <w:left w:val="none" w:sz="0" w:space="0" w:color="auto"/>
        <w:bottom w:val="none" w:sz="0" w:space="0" w:color="auto"/>
        <w:right w:val="none" w:sz="0" w:space="0" w:color="auto"/>
      </w:divBdr>
    </w:div>
    <w:div w:id="1700468518">
      <w:bodyDiv w:val="1"/>
      <w:marLeft w:val="0"/>
      <w:marRight w:val="0"/>
      <w:marTop w:val="0"/>
      <w:marBottom w:val="0"/>
      <w:divBdr>
        <w:top w:val="none" w:sz="0" w:space="0" w:color="auto"/>
        <w:left w:val="none" w:sz="0" w:space="0" w:color="auto"/>
        <w:bottom w:val="none" w:sz="0" w:space="0" w:color="auto"/>
        <w:right w:val="none" w:sz="0" w:space="0" w:color="auto"/>
      </w:divBdr>
    </w:div>
    <w:div w:id="1704984940">
      <w:bodyDiv w:val="1"/>
      <w:marLeft w:val="0"/>
      <w:marRight w:val="0"/>
      <w:marTop w:val="0"/>
      <w:marBottom w:val="0"/>
      <w:divBdr>
        <w:top w:val="none" w:sz="0" w:space="0" w:color="auto"/>
        <w:left w:val="none" w:sz="0" w:space="0" w:color="auto"/>
        <w:bottom w:val="none" w:sz="0" w:space="0" w:color="auto"/>
        <w:right w:val="none" w:sz="0" w:space="0" w:color="auto"/>
      </w:divBdr>
    </w:div>
    <w:div w:id="1710687053">
      <w:bodyDiv w:val="1"/>
      <w:marLeft w:val="0"/>
      <w:marRight w:val="0"/>
      <w:marTop w:val="0"/>
      <w:marBottom w:val="0"/>
      <w:divBdr>
        <w:top w:val="none" w:sz="0" w:space="0" w:color="auto"/>
        <w:left w:val="none" w:sz="0" w:space="0" w:color="auto"/>
        <w:bottom w:val="none" w:sz="0" w:space="0" w:color="auto"/>
        <w:right w:val="none" w:sz="0" w:space="0" w:color="auto"/>
      </w:divBdr>
    </w:div>
    <w:div w:id="1721590963">
      <w:bodyDiv w:val="1"/>
      <w:marLeft w:val="0"/>
      <w:marRight w:val="0"/>
      <w:marTop w:val="0"/>
      <w:marBottom w:val="0"/>
      <w:divBdr>
        <w:top w:val="none" w:sz="0" w:space="0" w:color="auto"/>
        <w:left w:val="none" w:sz="0" w:space="0" w:color="auto"/>
        <w:bottom w:val="none" w:sz="0" w:space="0" w:color="auto"/>
        <w:right w:val="none" w:sz="0" w:space="0" w:color="auto"/>
      </w:divBdr>
    </w:div>
    <w:div w:id="1731271637">
      <w:bodyDiv w:val="1"/>
      <w:marLeft w:val="0"/>
      <w:marRight w:val="0"/>
      <w:marTop w:val="0"/>
      <w:marBottom w:val="0"/>
      <w:divBdr>
        <w:top w:val="none" w:sz="0" w:space="0" w:color="auto"/>
        <w:left w:val="none" w:sz="0" w:space="0" w:color="auto"/>
        <w:bottom w:val="none" w:sz="0" w:space="0" w:color="auto"/>
        <w:right w:val="none" w:sz="0" w:space="0" w:color="auto"/>
      </w:divBdr>
    </w:div>
    <w:div w:id="1753818725">
      <w:bodyDiv w:val="1"/>
      <w:marLeft w:val="0"/>
      <w:marRight w:val="0"/>
      <w:marTop w:val="0"/>
      <w:marBottom w:val="0"/>
      <w:divBdr>
        <w:top w:val="none" w:sz="0" w:space="0" w:color="auto"/>
        <w:left w:val="none" w:sz="0" w:space="0" w:color="auto"/>
        <w:bottom w:val="none" w:sz="0" w:space="0" w:color="auto"/>
        <w:right w:val="none" w:sz="0" w:space="0" w:color="auto"/>
      </w:divBdr>
    </w:div>
    <w:div w:id="1754738767">
      <w:bodyDiv w:val="1"/>
      <w:marLeft w:val="0"/>
      <w:marRight w:val="0"/>
      <w:marTop w:val="0"/>
      <w:marBottom w:val="0"/>
      <w:divBdr>
        <w:top w:val="none" w:sz="0" w:space="0" w:color="auto"/>
        <w:left w:val="none" w:sz="0" w:space="0" w:color="auto"/>
        <w:bottom w:val="none" w:sz="0" w:space="0" w:color="auto"/>
        <w:right w:val="none" w:sz="0" w:space="0" w:color="auto"/>
      </w:divBdr>
    </w:div>
    <w:div w:id="1760449090">
      <w:bodyDiv w:val="1"/>
      <w:marLeft w:val="0"/>
      <w:marRight w:val="0"/>
      <w:marTop w:val="0"/>
      <w:marBottom w:val="0"/>
      <w:divBdr>
        <w:top w:val="none" w:sz="0" w:space="0" w:color="auto"/>
        <w:left w:val="none" w:sz="0" w:space="0" w:color="auto"/>
        <w:bottom w:val="none" w:sz="0" w:space="0" w:color="auto"/>
        <w:right w:val="none" w:sz="0" w:space="0" w:color="auto"/>
      </w:divBdr>
    </w:div>
    <w:div w:id="1769884907">
      <w:bodyDiv w:val="1"/>
      <w:marLeft w:val="0"/>
      <w:marRight w:val="0"/>
      <w:marTop w:val="0"/>
      <w:marBottom w:val="0"/>
      <w:divBdr>
        <w:top w:val="none" w:sz="0" w:space="0" w:color="auto"/>
        <w:left w:val="none" w:sz="0" w:space="0" w:color="auto"/>
        <w:bottom w:val="none" w:sz="0" w:space="0" w:color="auto"/>
        <w:right w:val="none" w:sz="0" w:space="0" w:color="auto"/>
      </w:divBdr>
    </w:div>
    <w:div w:id="1779642160">
      <w:bodyDiv w:val="1"/>
      <w:marLeft w:val="0"/>
      <w:marRight w:val="0"/>
      <w:marTop w:val="0"/>
      <w:marBottom w:val="0"/>
      <w:divBdr>
        <w:top w:val="none" w:sz="0" w:space="0" w:color="auto"/>
        <w:left w:val="none" w:sz="0" w:space="0" w:color="auto"/>
        <w:bottom w:val="none" w:sz="0" w:space="0" w:color="auto"/>
        <w:right w:val="none" w:sz="0" w:space="0" w:color="auto"/>
      </w:divBdr>
    </w:div>
    <w:div w:id="1786533425">
      <w:bodyDiv w:val="1"/>
      <w:marLeft w:val="0"/>
      <w:marRight w:val="0"/>
      <w:marTop w:val="0"/>
      <w:marBottom w:val="0"/>
      <w:divBdr>
        <w:top w:val="none" w:sz="0" w:space="0" w:color="auto"/>
        <w:left w:val="none" w:sz="0" w:space="0" w:color="auto"/>
        <w:bottom w:val="none" w:sz="0" w:space="0" w:color="auto"/>
        <w:right w:val="none" w:sz="0" w:space="0" w:color="auto"/>
      </w:divBdr>
    </w:div>
    <w:div w:id="1789814000">
      <w:bodyDiv w:val="1"/>
      <w:marLeft w:val="0"/>
      <w:marRight w:val="0"/>
      <w:marTop w:val="0"/>
      <w:marBottom w:val="0"/>
      <w:divBdr>
        <w:top w:val="none" w:sz="0" w:space="0" w:color="auto"/>
        <w:left w:val="none" w:sz="0" w:space="0" w:color="auto"/>
        <w:bottom w:val="none" w:sz="0" w:space="0" w:color="auto"/>
        <w:right w:val="none" w:sz="0" w:space="0" w:color="auto"/>
      </w:divBdr>
    </w:div>
    <w:div w:id="1798446846">
      <w:bodyDiv w:val="1"/>
      <w:marLeft w:val="0"/>
      <w:marRight w:val="0"/>
      <w:marTop w:val="0"/>
      <w:marBottom w:val="0"/>
      <w:divBdr>
        <w:top w:val="none" w:sz="0" w:space="0" w:color="auto"/>
        <w:left w:val="none" w:sz="0" w:space="0" w:color="auto"/>
        <w:bottom w:val="none" w:sz="0" w:space="0" w:color="auto"/>
        <w:right w:val="none" w:sz="0" w:space="0" w:color="auto"/>
      </w:divBdr>
    </w:div>
    <w:div w:id="1803427172">
      <w:bodyDiv w:val="1"/>
      <w:marLeft w:val="0"/>
      <w:marRight w:val="0"/>
      <w:marTop w:val="0"/>
      <w:marBottom w:val="0"/>
      <w:divBdr>
        <w:top w:val="none" w:sz="0" w:space="0" w:color="auto"/>
        <w:left w:val="none" w:sz="0" w:space="0" w:color="auto"/>
        <w:bottom w:val="none" w:sz="0" w:space="0" w:color="auto"/>
        <w:right w:val="none" w:sz="0" w:space="0" w:color="auto"/>
      </w:divBdr>
    </w:div>
    <w:div w:id="1824540351">
      <w:bodyDiv w:val="1"/>
      <w:marLeft w:val="0"/>
      <w:marRight w:val="0"/>
      <w:marTop w:val="0"/>
      <w:marBottom w:val="0"/>
      <w:divBdr>
        <w:top w:val="none" w:sz="0" w:space="0" w:color="auto"/>
        <w:left w:val="none" w:sz="0" w:space="0" w:color="auto"/>
        <w:bottom w:val="none" w:sz="0" w:space="0" w:color="auto"/>
        <w:right w:val="none" w:sz="0" w:space="0" w:color="auto"/>
      </w:divBdr>
    </w:div>
    <w:div w:id="1833330721">
      <w:bodyDiv w:val="1"/>
      <w:marLeft w:val="0"/>
      <w:marRight w:val="0"/>
      <w:marTop w:val="0"/>
      <w:marBottom w:val="0"/>
      <w:divBdr>
        <w:top w:val="none" w:sz="0" w:space="0" w:color="auto"/>
        <w:left w:val="none" w:sz="0" w:space="0" w:color="auto"/>
        <w:bottom w:val="none" w:sz="0" w:space="0" w:color="auto"/>
        <w:right w:val="none" w:sz="0" w:space="0" w:color="auto"/>
      </w:divBdr>
    </w:div>
    <w:div w:id="1838298726">
      <w:bodyDiv w:val="1"/>
      <w:marLeft w:val="0"/>
      <w:marRight w:val="0"/>
      <w:marTop w:val="0"/>
      <w:marBottom w:val="0"/>
      <w:divBdr>
        <w:top w:val="none" w:sz="0" w:space="0" w:color="auto"/>
        <w:left w:val="none" w:sz="0" w:space="0" w:color="auto"/>
        <w:bottom w:val="none" w:sz="0" w:space="0" w:color="auto"/>
        <w:right w:val="none" w:sz="0" w:space="0" w:color="auto"/>
      </w:divBdr>
    </w:div>
    <w:div w:id="1849636983">
      <w:bodyDiv w:val="1"/>
      <w:marLeft w:val="0"/>
      <w:marRight w:val="0"/>
      <w:marTop w:val="0"/>
      <w:marBottom w:val="0"/>
      <w:divBdr>
        <w:top w:val="none" w:sz="0" w:space="0" w:color="auto"/>
        <w:left w:val="none" w:sz="0" w:space="0" w:color="auto"/>
        <w:bottom w:val="none" w:sz="0" w:space="0" w:color="auto"/>
        <w:right w:val="none" w:sz="0" w:space="0" w:color="auto"/>
      </w:divBdr>
    </w:div>
    <w:div w:id="1858303251">
      <w:bodyDiv w:val="1"/>
      <w:marLeft w:val="0"/>
      <w:marRight w:val="0"/>
      <w:marTop w:val="0"/>
      <w:marBottom w:val="0"/>
      <w:divBdr>
        <w:top w:val="none" w:sz="0" w:space="0" w:color="auto"/>
        <w:left w:val="none" w:sz="0" w:space="0" w:color="auto"/>
        <w:bottom w:val="none" w:sz="0" w:space="0" w:color="auto"/>
        <w:right w:val="none" w:sz="0" w:space="0" w:color="auto"/>
      </w:divBdr>
    </w:div>
    <w:div w:id="1885868693">
      <w:bodyDiv w:val="1"/>
      <w:marLeft w:val="0"/>
      <w:marRight w:val="0"/>
      <w:marTop w:val="0"/>
      <w:marBottom w:val="0"/>
      <w:divBdr>
        <w:top w:val="none" w:sz="0" w:space="0" w:color="auto"/>
        <w:left w:val="none" w:sz="0" w:space="0" w:color="auto"/>
        <w:bottom w:val="none" w:sz="0" w:space="0" w:color="auto"/>
        <w:right w:val="none" w:sz="0" w:space="0" w:color="auto"/>
      </w:divBdr>
    </w:div>
    <w:div w:id="1888495330">
      <w:bodyDiv w:val="1"/>
      <w:marLeft w:val="0"/>
      <w:marRight w:val="0"/>
      <w:marTop w:val="0"/>
      <w:marBottom w:val="0"/>
      <w:divBdr>
        <w:top w:val="none" w:sz="0" w:space="0" w:color="auto"/>
        <w:left w:val="none" w:sz="0" w:space="0" w:color="auto"/>
        <w:bottom w:val="none" w:sz="0" w:space="0" w:color="auto"/>
        <w:right w:val="none" w:sz="0" w:space="0" w:color="auto"/>
      </w:divBdr>
    </w:div>
    <w:div w:id="1889217760">
      <w:bodyDiv w:val="1"/>
      <w:marLeft w:val="0"/>
      <w:marRight w:val="0"/>
      <w:marTop w:val="0"/>
      <w:marBottom w:val="0"/>
      <w:divBdr>
        <w:top w:val="none" w:sz="0" w:space="0" w:color="auto"/>
        <w:left w:val="none" w:sz="0" w:space="0" w:color="auto"/>
        <w:bottom w:val="none" w:sz="0" w:space="0" w:color="auto"/>
        <w:right w:val="none" w:sz="0" w:space="0" w:color="auto"/>
      </w:divBdr>
    </w:div>
    <w:div w:id="1897011563">
      <w:bodyDiv w:val="1"/>
      <w:marLeft w:val="0"/>
      <w:marRight w:val="0"/>
      <w:marTop w:val="0"/>
      <w:marBottom w:val="0"/>
      <w:divBdr>
        <w:top w:val="none" w:sz="0" w:space="0" w:color="auto"/>
        <w:left w:val="none" w:sz="0" w:space="0" w:color="auto"/>
        <w:bottom w:val="none" w:sz="0" w:space="0" w:color="auto"/>
        <w:right w:val="none" w:sz="0" w:space="0" w:color="auto"/>
      </w:divBdr>
    </w:div>
    <w:div w:id="1897273651">
      <w:bodyDiv w:val="1"/>
      <w:marLeft w:val="0"/>
      <w:marRight w:val="0"/>
      <w:marTop w:val="0"/>
      <w:marBottom w:val="0"/>
      <w:divBdr>
        <w:top w:val="none" w:sz="0" w:space="0" w:color="auto"/>
        <w:left w:val="none" w:sz="0" w:space="0" w:color="auto"/>
        <w:bottom w:val="none" w:sz="0" w:space="0" w:color="auto"/>
        <w:right w:val="none" w:sz="0" w:space="0" w:color="auto"/>
      </w:divBdr>
    </w:div>
    <w:div w:id="1897280101">
      <w:bodyDiv w:val="1"/>
      <w:marLeft w:val="0"/>
      <w:marRight w:val="0"/>
      <w:marTop w:val="0"/>
      <w:marBottom w:val="0"/>
      <w:divBdr>
        <w:top w:val="none" w:sz="0" w:space="0" w:color="auto"/>
        <w:left w:val="none" w:sz="0" w:space="0" w:color="auto"/>
        <w:bottom w:val="none" w:sz="0" w:space="0" w:color="auto"/>
        <w:right w:val="none" w:sz="0" w:space="0" w:color="auto"/>
      </w:divBdr>
    </w:div>
    <w:div w:id="1899894164">
      <w:bodyDiv w:val="1"/>
      <w:marLeft w:val="0"/>
      <w:marRight w:val="0"/>
      <w:marTop w:val="0"/>
      <w:marBottom w:val="0"/>
      <w:divBdr>
        <w:top w:val="none" w:sz="0" w:space="0" w:color="auto"/>
        <w:left w:val="none" w:sz="0" w:space="0" w:color="auto"/>
        <w:bottom w:val="none" w:sz="0" w:space="0" w:color="auto"/>
        <w:right w:val="none" w:sz="0" w:space="0" w:color="auto"/>
      </w:divBdr>
    </w:div>
    <w:div w:id="1919706877">
      <w:bodyDiv w:val="1"/>
      <w:marLeft w:val="0"/>
      <w:marRight w:val="0"/>
      <w:marTop w:val="0"/>
      <w:marBottom w:val="0"/>
      <w:divBdr>
        <w:top w:val="none" w:sz="0" w:space="0" w:color="auto"/>
        <w:left w:val="none" w:sz="0" w:space="0" w:color="auto"/>
        <w:bottom w:val="none" w:sz="0" w:space="0" w:color="auto"/>
        <w:right w:val="none" w:sz="0" w:space="0" w:color="auto"/>
      </w:divBdr>
    </w:div>
    <w:div w:id="1939361957">
      <w:bodyDiv w:val="1"/>
      <w:marLeft w:val="0"/>
      <w:marRight w:val="0"/>
      <w:marTop w:val="0"/>
      <w:marBottom w:val="0"/>
      <w:divBdr>
        <w:top w:val="none" w:sz="0" w:space="0" w:color="auto"/>
        <w:left w:val="none" w:sz="0" w:space="0" w:color="auto"/>
        <w:bottom w:val="none" w:sz="0" w:space="0" w:color="auto"/>
        <w:right w:val="none" w:sz="0" w:space="0" w:color="auto"/>
      </w:divBdr>
    </w:div>
    <w:div w:id="1940139787">
      <w:bodyDiv w:val="1"/>
      <w:marLeft w:val="0"/>
      <w:marRight w:val="0"/>
      <w:marTop w:val="0"/>
      <w:marBottom w:val="0"/>
      <w:divBdr>
        <w:top w:val="none" w:sz="0" w:space="0" w:color="auto"/>
        <w:left w:val="none" w:sz="0" w:space="0" w:color="auto"/>
        <w:bottom w:val="none" w:sz="0" w:space="0" w:color="auto"/>
        <w:right w:val="none" w:sz="0" w:space="0" w:color="auto"/>
      </w:divBdr>
    </w:div>
    <w:div w:id="1940404432">
      <w:bodyDiv w:val="1"/>
      <w:marLeft w:val="0"/>
      <w:marRight w:val="0"/>
      <w:marTop w:val="0"/>
      <w:marBottom w:val="0"/>
      <w:divBdr>
        <w:top w:val="none" w:sz="0" w:space="0" w:color="auto"/>
        <w:left w:val="none" w:sz="0" w:space="0" w:color="auto"/>
        <w:bottom w:val="none" w:sz="0" w:space="0" w:color="auto"/>
        <w:right w:val="none" w:sz="0" w:space="0" w:color="auto"/>
      </w:divBdr>
    </w:div>
    <w:div w:id="1944680700">
      <w:bodyDiv w:val="1"/>
      <w:marLeft w:val="0"/>
      <w:marRight w:val="0"/>
      <w:marTop w:val="0"/>
      <w:marBottom w:val="0"/>
      <w:divBdr>
        <w:top w:val="none" w:sz="0" w:space="0" w:color="auto"/>
        <w:left w:val="none" w:sz="0" w:space="0" w:color="auto"/>
        <w:bottom w:val="none" w:sz="0" w:space="0" w:color="auto"/>
        <w:right w:val="none" w:sz="0" w:space="0" w:color="auto"/>
      </w:divBdr>
    </w:div>
    <w:div w:id="1951669161">
      <w:bodyDiv w:val="1"/>
      <w:marLeft w:val="0"/>
      <w:marRight w:val="0"/>
      <w:marTop w:val="0"/>
      <w:marBottom w:val="0"/>
      <w:divBdr>
        <w:top w:val="none" w:sz="0" w:space="0" w:color="auto"/>
        <w:left w:val="none" w:sz="0" w:space="0" w:color="auto"/>
        <w:bottom w:val="none" w:sz="0" w:space="0" w:color="auto"/>
        <w:right w:val="none" w:sz="0" w:space="0" w:color="auto"/>
      </w:divBdr>
    </w:div>
    <w:div w:id="1954825674">
      <w:bodyDiv w:val="1"/>
      <w:marLeft w:val="0"/>
      <w:marRight w:val="0"/>
      <w:marTop w:val="0"/>
      <w:marBottom w:val="0"/>
      <w:divBdr>
        <w:top w:val="none" w:sz="0" w:space="0" w:color="auto"/>
        <w:left w:val="none" w:sz="0" w:space="0" w:color="auto"/>
        <w:bottom w:val="none" w:sz="0" w:space="0" w:color="auto"/>
        <w:right w:val="none" w:sz="0" w:space="0" w:color="auto"/>
      </w:divBdr>
    </w:div>
    <w:div w:id="1955094434">
      <w:bodyDiv w:val="1"/>
      <w:marLeft w:val="0"/>
      <w:marRight w:val="0"/>
      <w:marTop w:val="0"/>
      <w:marBottom w:val="0"/>
      <w:divBdr>
        <w:top w:val="none" w:sz="0" w:space="0" w:color="auto"/>
        <w:left w:val="none" w:sz="0" w:space="0" w:color="auto"/>
        <w:bottom w:val="none" w:sz="0" w:space="0" w:color="auto"/>
        <w:right w:val="none" w:sz="0" w:space="0" w:color="auto"/>
      </w:divBdr>
    </w:div>
    <w:div w:id="1957565861">
      <w:bodyDiv w:val="1"/>
      <w:marLeft w:val="0"/>
      <w:marRight w:val="0"/>
      <w:marTop w:val="0"/>
      <w:marBottom w:val="0"/>
      <w:divBdr>
        <w:top w:val="none" w:sz="0" w:space="0" w:color="auto"/>
        <w:left w:val="none" w:sz="0" w:space="0" w:color="auto"/>
        <w:bottom w:val="none" w:sz="0" w:space="0" w:color="auto"/>
        <w:right w:val="none" w:sz="0" w:space="0" w:color="auto"/>
      </w:divBdr>
    </w:div>
    <w:div w:id="1962345683">
      <w:bodyDiv w:val="1"/>
      <w:marLeft w:val="0"/>
      <w:marRight w:val="0"/>
      <w:marTop w:val="0"/>
      <w:marBottom w:val="0"/>
      <w:divBdr>
        <w:top w:val="none" w:sz="0" w:space="0" w:color="auto"/>
        <w:left w:val="none" w:sz="0" w:space="0" w:color="auto"/>
        <w:bottom w:val="none" w:sz="0" w:space="0" w:color="auto"/>
        <w:right w:val="none" w:sz="0" w:space="0" w:color="auto"/>
      </w:divBdr>
    </w:div>
    <w:div w:id="1962684512">
      <w:bodyDiv w:val="1"/>
      <w:marLeft w:val="0"/>
      <w:marRight w:val="0"/>
      <w:marTop w:val="0"/>
      <w:marBottom w:val="0"/>
      <w:divBdr>
        <w:top w:val="none" w:sz="0" w:space="0" w:color="auto"/>
        <w:left w:val="none" w:sz="0" w:space="0" w:color="auto"/>
        <w:bottom w:val="none" w:sz="0" w:space="0" w:color="auto"/>
        <w:right w:val="none" w:sz="0" w:space="0" w:color="auto"/>
      </w:divBdr>
    </w:div>
    <w:div w:id="1965427320">
      <w:bodyDiv w:val="1"/>
      <w:marLeft w:val="0"/>
      <w:marRight w:val="0"/>
      <w:marTop w:val="0"/>
      <w:marBottom w:val="0"/>
      <w:divBdr>
        <w:top w:val="none" w:sz="0" w:space="0" w:color="auto"/>
        <w:left w:val="none" w:sz="0" w:space="0" w:color="auto"/>
        <w:bottom w:val="none" w:sz="0" w:space="0" w:color="auto"/>
        <w:right w:val="none" w:sz="0" w:space="0" w:color="auto"/>
      </w:divBdr>
    </w:div>
    <w:div w:id="1966228111">
      <w:bodyDiv w:val="1"/>
      <w:marLeft w:val="0"/>
      <w:marRight w:val="0"/>
      <w:marTop w:val="0"/>
      <w:marBottom w:val="0"/>
      <w:divBdr>
        <w:top w:val="none" w:sz="0" w:space="0" w:color="auto"/>
        <w:left w:val="none" w:sz="0" w:space="0" w:color="auto"/>
        <w:bottom w:val="none" w:sz="0" w:space="0" w:color="auto"/>
        <w:right w:val="none" w:sz="0" w:space="0" w:color="auto"/>
      </w:divBdr>
    </w:div>
    <w:div w:id="1994214627">
      <w:bodyDiv w:val="1"/>
      <w:marLeft w:val="0"/>
      <w:marRight w:val="0"/>
      <w:marTop w:val="0"/>
      <w:marBottom w:val="0"/>
      <w:divBdr>
        <w:top w:val="none" w:sz="0" w:space="0" w:color="auto"/>
        <w:left w:val="none" w:sz="0" w:space="0" w:color="auto"/>
        <w:bottom w:val="none" w:sz="0" w:space="0" w:color="auto"/>
        <w:right w:val="none" w:sz="0" w:space="0" w:color="auto"/>
      </w:divBdr>
    </w:div>
    <w:div w:id="1995864699">
      <w:bodyDiv w:val="1"/>
      <w:marLeft w:val="0"/>
      <w:marRight w:val="0"/>
      <w:marTop w:val="0"/>
      <w:marBottom w:val="0"/>
      <w:divBdr>
        <w:top w:val="none" w:sz="0" w:space="0" w:color="auto"/>
        <w:left w:val="none" w:sz="0" w:space="0" w:color="auto"/>
        <w:bottom w:val="none" w:sz="0" w:space="0" w:color="auto"/>
        <w:right w:val="none" w:sz="0" w:space="0" w:color="auto"/>
      </w:divBdr>
    </w:div>
    <w:div w:id="2008290302">
      <w:bodyDiv w:val="1"/>
      <w:marLeft w:val="0"/>
      <w:marRight w:val="0"/>
      <w:marTop w:val="0"/>
      <w:marBottom w:val="0"/>
      <w:divBdr>
        <w:top w:val="none" w:sz="0" w:space="0" w:color="auto"/>
        <w:left w:val="none" w:sz="0" w:space="0" w:color="auto"/>
        <w:bottom w:val="none" w:sz="0" w:space="0" w:color="auto"/>
        <w:right w:val="none" w:sz="0" w:space="0" w:color="auto"/>
      </w:divBdr>
    </w:div>
    <w:div w:id="2009020128">
      <w:bodyDiv w:val="1"/>
      <w:marLeft w:val="0"/>
      <w:marRight w:val="0"/>
      <w:marTop w:val="0"/>
      <w:marBottom w:val="0"/>
      <w:divBdr>
        <w:top w:val="none" w:sz="0" w:space="0" w:color="auto"/>
        <w:left w:val="none" w:sz="0" w:space="0" w:color="auto"/>
        <w:bottom w:val="none" w:sz="0" w:space="0" w:color="auto"/>
        <w:right w:val="none" w:sz="0" w:space="0" w:color="auto"/>
      </w:divBdr>
    </w:div>
    <w:div w:id="2010793880">
      <w:bodyDiv w:val="1"/>
      <w:marLeft w:val="0"/>
      <w:marRight w:val="0"/>
      <w:marTop w:val="0"/>
      <w:marBottom w:val="0"/>
      <w:divBdr>
        <w:top w:val="none" w:sz="0" w:space="0" w:color="auto"/>
        <w:left w:val="none" w:sz="0" w:space="0" w:color="auto"/>
        <w:bottom w:val="none" w:sz="0" w:space="0" w:color="auto"/>
        <w:right w:val="none" w:sz="0" w:space="0" w:color="auto"/>
      </w:divBdr>
    </w:div>
    <w:div w:id="2015304724">
      <w:bodyDiv w:val="1"/>
      <w:marLeft w:val="0"/>
      <w:marRight w:val="0"/>
      <w:marTop w:val="0"/>
      <w:marBottom w:val="0"/>
      <w:divBdr>
        <w:top w:val="none" w:sz="0" w:space="0" w:color="auto"/>
        <w:left w:val="none" w:sz="0" w:space="0" w:color="auto"/>
        <w:bottom w:val="none" w:sz="0" w:space="0" w:color="auto"/>
        <w:right w:val="none" w:sz="0" w:space="0" w:color="auto"/>
      </w:divBdr>
    </w:div>
    <w:div w:id="2017221297">
      <w:bodyDiv w:val="1"/>
      <w:marLeft w:val="0"/>
      <w:marRight w:val="0"/>
      <w:marTop w:val="0"/>
      <w:marBottom w:val="0"/>
      <w:divBdr>
        <w:top w:val="none" w:sz="0" w:space="0" w:color="auto"/>
        <w:left w:val="none" w:sz="0" w:space="0" w:color="auto"/>
        <w:bottom w:val="none" w:sz="0" w:space="0" w:color="auto"/>
        <w:right w:val="none" w:sz="0" w:space="0" w:color="auto"/>
      </w:divBdr>
    </w:div>
    <w:div w:id="2017875599">
      <w:bodyDiv w:val="1"/>
      <w:marLeft w:val="0"/>
      <w:marRight w:val="0"/>
      <w:marTop w:val="0"/>
      <w:marBottom w:val="0"/>
      <w:divBdr>
        <w:top w:val="none" w:sz="0" w:space="0" w:color="auto"/>
        <w:left w:val="none" w:sz="0" w:space="0" w:color="auto"/>
        <w:bottom w:val="none" w:sz="0" w:space="0" w:color="auto"/>
        <w:right w:val="none" w:sz="0" w:space="0" w:color="auto"/>
      </w:divBdr>
    </w:div>
    <w:div w:id="2020504929">
      <w:bodyDiv w:val="1"/>
      <w:marLeft w:val="0"/>
      <w:marRight w:val="0"/>
      <w:marTop w:val="0"/>
      <w:marBottom w:val="0"/>
      <w:divBdr>
        <w:top w:val="none" w:sz="0" w:space="0" w:color="auto"/>
        <w:left w:val="none" w:sz="0" w:space="0" w:color="auto"/>
        <w:bottom w:val="none" w:sz="0" w:space="0" w:color="auto"/>
        <w:right w:val="none" w:sz="0" w:space="0" w:color="auto"/>
      </w:divBdr>
    </w:div>
    <w:div w:id="2020739372">
      <w:bodyDiv w:val="1"/>
      <w:marLeft w:val="0"/>
      <w:marRight w:val="0"/>
      <w:marTop w:val="0"/>
      <w:marBottom w:val="0"/>
      <w:divBdr>
        <w:top w:val="none" w:sz="0" w:space="0" w:color="auto"/>
        <w:left w:val="none" w:sz="0" w:space="0" w:color="auto"/>
        <w:bottom w:val="none" w:sz="0" w:space="0" w:color="auto"/>
        <w:right w:val="none" w:sz="0" w:space="0" w:color="auto"/>
      </w:divBdr>
    </w:div>
    <w:div w:id="2021734394">
      <w:bodyDiv w:val="1"/>
      <w:marLeft w:val="0"/>
      <w:marRight w:val="0"/>
      <w:marTop w:val="0"/>
      <w:marBottom w:val="0"/>
      <w:divBdr>
        <w:top w:val="none" w:sz="0" w:space="0" w:color="auto"/>
        <w:left w:val="none" w:sz="0" w:space="0" w:color="auto"/>
        <w:bottom w:val="none" w:sz="0" w:space="0" w:color="auto"/>
        <w:right w:val="none" w:sz="0" w:space="0" w:color="auto"/>
      </w:divBdr>
    </w:div>
    <w:div w:id="2029066924">
      <w:bodyDiv w:val="1"/>
      <w:marLeft w:val="0"/>
      <w:marRight w:val="0"/>
      <w:marTop w:val="0"/>
      <w:marBottom w:val="0"/>
      <w:divBdr>
        <w:top w:val="none" w:sz="0" w:space="0" w:color="auto"/>
        <w:left w:val="none" w:sz="0" w:space="0" w:color="auto"/>
        <w:bottom w:val="none" w:sz="0" w:space="0" w:color="auto"/>
        <w:right w:val="none" w:sz="0" w:space="0" w:color="auto"/>
      </w:divBdr>
    </w:div>
    <w:div w:id="2036809432">
      <w:bodyDiv w:val="1"/>
      <w:marLeft w:val="0"/>
      <w:marRight w:val="0"/>
      <w:marTop w:val="0"/>
      <w:marBottom w:val="0"/>
      <w:divBdr>
        <w:top w:val="none" w:sz="0" w:space="0" w:color="auto"/>
        <w:left w:val="none" w:sz="0" w:space="0" w:color="auto"/>
        <w:bottom w:val="none" w:sz="0" w:space="0" w:color="auto"/>
        <w:right w:val="none" w:sz="0" w:space="0" w:color="auto"/>
      </w:divBdr>
    </w:div>
    <w:div w:id="2038239832">
      <w:bodyDiv w:val="1"/>
      <w:marLeft w:val="0"/>
      <w:marRight w:val="0"/>
      <w:marTop w:val="0"/>
      <w:marBottom w:val="0"/>
      <w:divBdr>
        <w:top w:val="none" w:sz="0" w:space="0" w:color="auto"/>
        <w:left w:val="none" w:sz="0" w:space="0" w:color="auto"/>
        <w:bottom w:val="none" w:sz="0" w:space="0" w:color="auto"/>
        <w:right w:val="none" w:sz="0" w:space="0" w:color="auto"/>
      </w:divBdr>
    </w:div>
    <w:div w:id="2038658409">
      <w:bodyDiv w:val="1"/>
      <w:marLeft w:val="0"/>
      <w:marRight w:val="0"/>
      <w:marTop w:val="0"/>
      <w:marBottom w:val="0"/>
      <w:divBdr>
        <w:top w:val="none" w:sz="0" w:space="0" w:color="auto"/>
        <w:left w:val="none" w:sz="0" w:space="0" w:color="auto"/>
        <w:bottom w:val="none" w:sz="0" w:space="0" w:color="auto"/>
        <w:right w:val="none" w:sz="0" w:space="0" w:color="auto"/>
      </w:divBdr>
    </w:div>
    <w:div w:id="2043045890">
      <w:bodyDiv w:val="1"/>
      <w:marLeft w:val="0"/>
      <w:marRight w:val="0"/>
      <w:marTop w:val="0"/>
      <w:marBottom w:val="0"/>
      <w:divBdr>
        <w:top w:val="none" w:sz="0" w:space="0" w:color="auto"/>
        <w:left w:val="none" w:sz="0" w:space="0" w:color="auto"/>
        <w:bottom w:val="none" w:sz="0" w:space="0" w:color="auto"/>
        <w:right w:val="none" w:sz="0" w:space="0" w:color="auto"/>
      </w:divBdr>
    </w:div>
    <w:div w:id="2051218738">
      <w:bodyDiv w:val="1"/>
      <w:marLeft w:val="0"/>
      <w:marRight w:val="0"/>
      <w:marTop w:val="0"/>
      <w:marBottom w:val="0"/>
      <w:divBdr>
        <w:top w:val="none" w:sz="0" w:space="0" w:color="auto"/>
        <w:left w:val="none" w:sz="0" w:space="0" w:color="auto"/>
        <w:bottom w:val="none" w:sz="0" w:space="0" w:color="auto"/>
        <w:right w:val="none" w:sz="0" w:space="0" w:color="auto"/>
      </w:divBdr>
    </w:div>
    <w:div w:id="2054185818">
      <w:bodyDiv w:val="1"/>
      <w:marLeft w:val="0"/>
      <w:marRight w:val="0"/>
      <w:marTop w:val="0"/>
      <w:marBottom w:val="0"/>
      <w:divBdr>
        <w:top w:val="none" w:sz="0" w:space="0" w:color="auto"/>
        <w:left w:val="none" w:sz="0" w:space="0" w:color="auto"/>
        <w:bottom w:val="none" w:sz="0" w:space="0" w:color="auto"/>
        <w:right w:val="none" w:sz="0" w:space="0" w:color="auto"/>
      </w:divBdr>
    </w:div>
    <w:div w:id="2064062652">
      <w:bodyDiv w:val="1"/>
      <w:marLeft w:val="0"/>
      <w:marRight w:val="0"/>
      <w:marTop w:val="0"/>
      <w:marBottom w:val="0"/>
      <w:divBdr>
        <w:top w:val="none" w:sz="0" w:space="0" w:color="auto"/>
        <w:left w:val="none" w:sz="0" w:space="0" w:color="auto"/>
        <w:bottom w:val="none" w:sz="0" w:space="0" w:color="auto"/>
        <w:right w:val="none" w:sz="0" w:space="0" w:color="auto"/>
      </w:divBdr>
    </w:div>
    <w:div w:id="2068912794">
      <w:bodyDiv w:val="1"/>
      <w:marLeft w:val="0"/>
      <w:marRight w:val="0"/>
      <w:marTop w:val="0"/>
      <w:marBottom w:val="0"/>
      <w:divBdr>
        <w:top w:val="none" w:sz="0" w:space="0" w:color="auto"/>
        <w:left w:val="none" w:sz="0" w:space="0" w:color="auto"/>
        <w:bottom w:val="none" w:sz="0" w:space="0" w:color="auto"/>
        <w:right w:val="none" w:sz="0" w:space="0" w:color="auto"/>
      </w:divBdr>
    </w:div>
    <w:div w:id="2073386406">
      <w:bodyDiv w:val="1"/>
      <w:marLeft w:val="0"/>
      <w:marRight w:val="0"/>
      <w:marTop w:val="0"/>
      <w:marBottom w:val="0"/>
      <w:divBdr>
        <w:top w:val="none" w:sz="0" w:space="0" w:color="auto"/>
        <w:left w:val="none" w:sz="0" w:space="0" w:color="auto"/>
        <w:bottom w:val="none" w:sz="0" w:space="0" w:color="auto"/>
        <w:right w:val="none" w:sz="0" w:space="0" w:color="auto"/>
      </w:divBdr>
    </w:div>
    <w:div w:id="2074693021">
      <w:bodyDiv w:val="1"/>
      <w:marLeft w:val="0"/>
      <w:marRight w:val="0"/>
      <w:marTop w:val="0"/>
      <w:marBottom w:val="0"/>
      <w:divBdr>
        <w:top w:val="none" w:sz="0" w:space="0" w:color="auto"/>
        <w:left w:val="none" w:sz="0" w:space="0" w:color="auto"/>
        <w:bottom w:val="none" w:sz="0" w:space="0" w:color="auto"/>
        <w:right w:val="none" w:sz="0" w:space="0" w:color="auto"/>
      </w:divBdr>
    </w:div>
    <w:div w:id="2099018055">
      <w:bodyDiv w:val="1"/>
      <w:marLeft w:val="0"/>
      <w:marRight w:val="0"/>
      <w:marTop w:val="0"/>
      <w:marBottom w:val="0"/>
      <w:divBdr>
        <w:top w:val="none" w:sz="0" w:space="0" w:color="auto"/>
        <w:left w:val="none" w:sz="0" w:space="0" w:color="auto"/>
        <w:bottom w:val="none" w:sz="0" w:space="0" w:color="auto"/>
        <w:right w:val="none" w:sz="0" w:space="0" w:color="auto"/>
      </w:divBdr>
    </w:div>
    <w:div w:id="2101101260">
      <w:bodyDiv w:val="1"/>
      <w:marLeft w:val="0"/>
      <w:marRight w:val="0"/>
      <w:marTop w:val="0"/>
      <w:marBottom w:val="0"/>
      <w:divBdr>
        <w:top w:val="none" w:sz="0" w:space="0" w:color="auto"/>
        <w:left w:val="none" w:sz="0" w:space="0" w:color="auto"/>
        <w:bottom w:val="none" w:sz="0" w:space="0" w:color="auto"/>
        <w:right w:val="none" w:sz="0" w:space="0" w:color="auto"/>
      </w:divBdr>
    </w:div>
    <w:div w:id="2104640605">
      <w:bodyDiv w:val="1"/>
      <w:marLeft w:val="0"/>
      <w:marRight w:val="0"/>
      <w:marTop w:val="0"/>
      <w:marBottom w:val="0"/>
      <w:divBdr>
        <w:top w:val="none" w:sz="0" w:space="0" w:color="auto"/>
        <w:left w:val="none" w:sz="0" w:space="0" w:color="auto"/>
        <w:bottom w:val="none" w:sz="0" w:space="0" w:color="auto"/>
        <w:right w:val="none" w:sz="0" w:space="0" w:color="auto"/>
      </w:divBdr>
    </w:div>
    <w:div w:id="2104833605">
      <w:bodyDiv w:val="1"/>
      <w:marLeft w:val="0"/>
      <w:marRight w:val="0"/>
      <w:marTop w:val="0"/>
      <w:marBottom w:val="0"/>
      <w:divBdr>
        <w:top w:val="none" w:sz="0" w:space="0" w:color="auto"/>
        <w:left w:val="none" w:sz="0" w:space="0" w:color="auto"/>
        <w:bottom w:val="none" w:sz="0" w:space="0" w:color="auto"/>
        <w:right w:val="none" w:sz="0" w:space="0" w:color="auto"/>
      </w:divBdr>
    </w:div>
    <w:div w:id="2110277458">
      <w:bodyDiv w:val="1"/>
      <w:marLeft w:val="0"/>
      <w:marRight w:val="0"/>
      <w:marTop w:val="0"/>
      <w:marBottom w:val="0"/>
      <w:divBdr>
        <w:top w:val="none" w:sz="0" w:space="0" w:color="auto"/>
        <w:left w:val="none" w:sz="0" w:space="0" w:color="auto"/>
        <w:bottom w:val="none" w:sz="0" w:space="0" w:color="auto"/>
        <w:right w:val="none" w:sz="0" w:space="0" w:color="auto"/>
      </w:divBdr>
    </w:div>
    <w:div w:id="2110806615">
      <w:bodyDiv w:val="1"/>
      <w:marLeft w:val="0"/>
      <w:marRight w:val="0"/>
      <w:marTop w:val="0"/>
      <w:marBottom w:val="0"/>
      <w:divBdr>
        <w:top w:val="none" w:sz="0" w:space="0" w:color="auto"/>
        <w:left w:val="none" w:sz="0" w:space="0" w:color="auto"/>
        <w:bottom w:val="none" w:sz="0" w:space="0" w:color="auto"/>
        <w:right w:val="none" w:sz="0" w:space="0" w:color="auto"/>
      </w:divBdr>
    </w:div>
    <w:div w:id="2113627622">
      <w:bodyDiv w:val="1"/>
      <w:marLeft w:val="0"/>
      <w:marRight w:val="0"/>
      <w:marTop w:val="0"/>
      <w:marBottom w:val="0"/>
      <w:divBdr>
        <w:top w:val="none" w:sz="0" w:space="0" w:color="auto"/>
        <w:left w:val="none" w:sz="0" w:space="0" w:color="auto"/>
        <w:bottom w:val="none" w:sz="0" w:space="0" w:color="auto"/>
        <w:right w:val="none" w:sz="0" w:space="0" w:color="auto"/>
      </w:divBdr>
    </w:div>
    <w:div w:id="2113816784">
      <w:bodyDiv w:val="1"/>
      <w:marLeft w:val="0"/>
      <w:marRight w:val="0"/>
      <w:marTop w:val="0"/>
      <w:marBottom w:val="0"/>
      <w:divBdr>
        <w:top w:val="none" w:sz="0" w:space="0" w:color="auto"/>
        <w:left w:val="none" w:sz="0" w:space="0" w:color="auto"/>
        <w:bottom w:val="none" w:sz="0" w:space="0" w:color="auto"/>
        <w:right w:val="none" w:sz="0" w:space="0" w:color="auto"/>
      </w:divBdr>
    </w:div>
    <w:div w:id="2115861229">
      <w:bodyDiv w:val="1"/>
      <w:marLeft w:val="0"/>
      <w:marRight w:val="0"/>
      <w:marTop w:val="0"/>
      <w:marBottom w:val="0"/>
      <w:divBdr>
        <w:top w:val="none" w:sz="0" w:space="0" w:color="auto"/>
        <w:left w:val="none" w:sz="0" w:space="0" w:color="auto"/>
        <w:bottom w:val="none" w:sz="0" w:space="0" w:color="auto"/>
        <w:right w:val="none" w:sz="0" w:space="0" w:color="auto"/>
      </w:divBdr>
    </w:div>
    <w:div w:id="2119638263">
      <w:bodyDiv w:val="1"/>
      <w:marLeft w:val="0"/>
      <w:marRight w:val="0"/>
      <w:marTop w:val="0"/>
      <w:marBottom w:val="0"/>
      <w:divBdr>
        <w:top w:val="none" w:sz="0" w:space="0" w:color="auto"/>
        <w:left w:val="none" w:sz="0" w:space="0" w:color="auto"/>
        <w:bottom w:val="none" w:sz="0" w:space="0" w:color="auto"/>
        <w:right w:val="none" w:sz="0" w:space="0" w:color="auto"/>
      </w:divBdr>
    </w:div>
    <w:div w:id="21283132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ui.gov.co/web/normatividad/general/resolucion-no.-sspd-20211000206585-del-03-06-2021-expediente-2021534260104975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M:\Laura\plantilla\creg.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C9E31-FDA7-4FE5-A1BB-8C79A0B3F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creg.dot</Template>
  <TotalTime>2</TotalTime>
  <Pages>74</Pages>
  <Words>28612</Words>
  <Characters>157370</Characters>
  <Application>Microsoft Office Word</Application>
  <DocSecurity>0</DocSecurity>
  <PresentationFormat/>
  <Lines>1311</Lines>
  <Paragraphs>371</Paragraphs>
  <Slides>0</Slides>
  <Notes>0</Notes>
  <HiddenSlides>0</HiddenSlides>
  <MMClips>0</MMClips>
  <ScaleCrop>false</ScaleCrop>
  <HeadingPairs>
    <vt:vector size="2" baseType="variant">
      <vt:variant>
        <vt:lpstr>Título</vt:lpstr>
      </vt:variant>
      <vt:variant>
        <vt:i4>1</vt:i4>
      </vt:variant>
    </vt:vector>
  </HeadingPairs>
  <TitlesOfParts>
    <vt:vector size="1" baseType="lpstr">
      <vt:lpstr>Carta</vt:lpstr>
    </vt:vector>
  </TitlesOfParts>
  <Company>CREG</Company>
  <LinksUpToDate>false</LinksUpToDate>
  <CharactersWithSpaces>185611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dc:title>
  <dc:subject/>
  <dc:creator>CREG</dc:creator>
  <cp:keywords/>
  <dc:description/>
  <cp:lastModifiedBy>Diego Chitiva</cp:lastModifiedBy>
  <cp:revision>3</cp:revision>
  <cp:lastPrinted>2019-11-28T20:40:00Z</cp:lastPrinted>
  <dcterms:created xsi:type="dcterms:W3CDTF">2021-11-18T21:05:00Z</dcterms:created>
  <dcterms:modified xsi:type="dcterms:W3CDTF">2021-11-18T21:06:00Z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3082</vt:i4>
  </property>
</Properties>
</file>