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B01032"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8" o:title=""/>
          </v:shape>
          <o:OLEObject Type="Embed" ProgID="PBrush" ShapeID="_x0000_s2050" DrawAspect="Content" ObjectID="_1698159524" r:id="rId9"/>
        </w:object>
      </w:r>
    </w:p>
    <w:p w14:paraId="05D4A61F" w14:textId="77777777" w:rsidR="00CA77FB" w:rsidRPr="00E060BE" w:rsidRDefault="00CA77FB" w:rsidP="000A0E2C">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A0E2C">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58AD5DA4" w14:textId="2451326D" w:rsidR="00CA77FB" w:rsidRPr="00E060BE" w:rsidRDefault="00CA77FB" w:rsidP="000A0E2C">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w:t>
      </w:r>
      <w:r w:rsidR="001E4A38">
        <w:rPr>
          <w:rFonts w:ascii="Bookman Old Style" w:hAnsi="Bookman Old Style"/>
          <w:sz w:val="24"/>
          <w:szCs w:val="24"/>
        </w:rPr>
        <w:t>o.</w:t>
      </w:r>
      <w:r w:rsidR="001E4A38" w:rsidRPr="001E4A38">
        <w:rPr>
          <w:rFonts w:ascii="Bookman Old Style" w:hAnsi="Bookman Old Style"/>
          <w:sz w:val="32"/>
          <w:szCs w:val="32"/>
        </w:rPr>
        <w:t>172</w:t>
      </w:r>
      <w:r w:rsidR="00093AE3" w:rsidRPr="001E4A38">
        <w:rPr>
          <w:rFonts w:ascii="Bookman Old Style" w:hAnsi="Bookman Old Style"/>
          <w:sz w:val="32"/>
          <w:szCs w:val="32"/>
        </w:rPr>
        <w:t xml:space="preserve">   </w:t>
      </w:r>
      <w:r w:rsidRPr="00E060BE">
        <w:rPr>
          <w:rFonts w:ascii="Bookman Old Style" w:hAnsi="Bookman Old Style"/>
          <w:sz w:val="24"/>
          <w:szCs w:val="24"/>
        </w:rPr>
        <w:t>DE 20</w:t>
      </w:r>
      <w:r w:rsidR="00A72BBD">
        <w:rPr>
          <w:rFonts w:ascii="Bookman Old Style" w:hAnsi="Bookman Old Style"/>
          <w:sz w:val="24"/>
          <w:szCs w:val="24"/>
        </w:rPr>
        <w:t>21</w:t>
      </w:r>
    </w:p>
    <w:p w14:paraId="0DEE40C3" w14:textId="77777777" w:rsidR="00CA77FB" w:rsidRPr="00E060BE" w:rsidRDefault="00CA77FB" w:rsidP="000A0E2C">
      <w:pPr>
        <w:tabs>
          <w:tab w:val="left" w:pos="0"/>
          <w:tab w:val="right" w:pos="9356"/>
        </w:tabs>
        <w:ind w:left="0"/>
        <w:jc w:val="center"/>
        <w:rPr>
          <w:rFonts w:ascii="Bookman Old Style" w:hAnsi="Bookman Old Style" w:cs="Arial"/>
          <w:b/>
          <w:snapToGrid w:val="0"/>
          <w:color w:val="000000"/>
          <w:lang w:val="es-ES_tradnl"/>
        </w:rPr>
      </w:pPr>
    </w:p>
    <w:p w14:paraId="083726B3" w14:textId="0108253F" w:rsidR="00CA77FB" w:rsidRPr="00E060BE" w:rsidRDefault="00CA77FB" w:rsidP="000A0E2C">
      <w:pPr>
        <w:pStyle w:val="Ttulo3"/>
        <w:tabs>
          <w:tab w:val="left" w:pos="0"/>
          <w:tab w:val="right" w:pos="9356"/>
        </w:tabs>
        <w:ind w:left="0"/>
        <w:rPr>
          <w:rFonts w:ascii="Bookman Old Style" w:hAnsi="Bookman Old Style"/>
          <w:b w:val="0"/>
          <w:szCs w:val="24"/>
        </w:rPr>
      </w:pPr>
      <w:r w:rsidRPr="001E4A38">
        <w:rPr>
          <w:rFonts w:ascii="Bookman Old Style" w:hAnsi="Bookman Old Style"/>
          <w:b w:val="0"/>
          <w:sz w:val="32"/>
          <w:szCs w:val="32"/>
        </w:rPr>
        <w:t xml:space="preserve">(  </w:t>
      </w:r>
      <w:r w:rsidR="00093AE3" w:rsidRPr="001E4A38">
        <w:rPr>
          <w:rFonts w:ascii="Bookman Old Style" w:hAnsi="Bookman Old Style"/>
          <w:b w:val="0"/>
          <w:sz w:val="32"/>
          <w:szCs w:val="32"/>
        </w:rPr>
        <w:t xml:space="preserve">  </w:t>
      </w:r>
      <w:r w:rsidR="00772D68" w:rsidRPr="001E4A38">
        <w:rPr>
          <w:rFonts w:ascii="Bookman Old Style" w:hAnsi="Bookman Old Style"/>
          <w:bCs/>
          <w:sz w:val="32"/>
          <w:szCs w:val="32"/>
        </w:rPr>
        <w:t>07</w:t>
      </w:r>
      <w:r w:rsidR="00093AE3" w:rsidRPr="001E4A38">
        <w:rPr>
          <w:rFonts w:ascii="Bookman Old Style" w:hAnsi="Bookman Old Style"/>
          <w:bCs/>
          <w:sz w:val="32"/>
          <w:szCs w:val="32"/>
        </w:rPr>
        <w:t xml:space="preserve"> OCT</w:t>
      </w:r>
      <w:r w:rsidR="00FD7264" w:rsidRPr="001E4A38">
        <w:rPr>
          <w:rFonts w:ascii="Bookman Old Style" w:hAnsi="Bookman Old Style"/>
          <w:bCs/>
          <w:sz w:val="32"/>
          <w:szCs w:val="32"/>
        </w:rPr>
        <w:t>. 2021</w:t>
      </w:r>
      <w:r w:rsidRPr="00E060BE">
        <w:rPr>
          <w:rFonts w:ascii="Bookman Old Style" w:hAnsi="Bookman Old Style"/>
          <w:b w:val="0"/>
          <w:szCs w:val="24"/>
        </w:rPr>
        <w:t xml:space="preserve">    )</w:t>
      </w:r>
    </w:p>
    <w:p w14:paraId="46D45ACC" w14:textId="2B9ED7FA" w:rsidR="00CA77FB" w:rsidRDefault="00CA77FB" w:rsidP="000A0E2C">
      <w:pPr>
        <w:tabs>
          <w:tab w:val="left" w:pos="0"/>
          <w:tab w:val="right" w:pos="9356"/>
        </w:tabs>
        <w:ind w:left="0"/>
        <w:jc w:val="center"/>
        <w:rPr>
          <w:rFonts w:ascii="Bookman Old Style" w:hAnsi="Bookman Old Style"/>
          <w:lang w:val="es-ES_tradnl"/>
        </w:rPr>
      </w:pPr>
    </w:p>
    <w:p w14:paraId="0AEB051C" w14:textId="77777777" w:rsidR="001E4A38" w:rsidRDefault="001E4A38" w:rsidP="000A0E2C">
      <w:pPr>
        <w:ind w:left="0"/>
        <w:jc w:val="center"/>
        <w:rPr>
          <w:rFonts w:ascii="Bookman Old Style" w:hAnsi="Bookman Old Style"/>
        </w:rPr>
      </w:pPr>
    </w:p>
    <w:p w14:paraId="7749A159" w14:textId="4072B087" w:rsidR="00093AE3" w:rsidRPr="00A72BBD" w:rsidRDefault="00093AE3" w:rsidP="000A0E2C">
      <w:pPr>
        <w:ind w:left="0"/>
        <w:jc w:val="center"/>
        <w:rPr>
          <w:rFonts w:ascii="Bookman Old Style" w:hAnsi="Bookman Old Style"/>
        </w:rPr>
      </w:pPr>
      <w:r w:rsidRPr="00093AE3">
        <w:rPr>
          <w:rFonts w:ascii="Bookman Old Style" w:hAnsi="Bookman Old Style"/>
        </w:rPr>
        <w:t>Por la cual se ordena hacer público un proyecto de resolución de carácter general “Por la cual se señala el porcentaje de la contribución especial que deben pagar las personas prestadoras del servicio de energía eléctrica, gas natural y gas licuado de petróleo (GLP), sometidas a la regulación de la Comisión de Regulación de Energía y Gas en el año 202</w:t>
      </w:r>
      <w:r>
        <w:rPr>
          <w:rFonts w:ascii="Bookman Old Style" w:hAnsi="Bookman Old Style"/>
        </w:rPr>
        <w:t>1</w:t>
      </w:r>
      <w:r w:rsidRPr="00093AE3">
        <w:rPr>
          <w:rFonts w:ascii="Bookman Old Style" w:hAnsi="Bookman Old Style"/>
        </w:rPr>
        <w:t xml:space="preserve"> y se dictan otras disposiciones”.</w:t>
      </w:r>
    </w:p>
    <w:p w14:paraId="7547E1F9" w14:textId="77777777" w:rsidR="00A72BBD" w:rsidRPr="00A72BBD" w:rsidRDefault="00A72BBD" w:rsidP="000A0E2C">
      <w:pPr>
        <w:ind w:left="0"/>
        <w:jc w:val="both"/>
        <w:rPr>
          <w:rFonts w:ascii="Bookman Old Style" w:hAnsi="Bookman Old Style"/>
          <w:highlight w:val="green"/>
        </w:rPr>
      </w:pPr>
    </w:p>
    <w:p w14:paraId="61B4FB26" w14:textId="77777777" w:rsidR="00A72BBD" w:rsidRPr="00A72BBD" w:rsidRDefault="00A72BBD" w:rsidP="000A0E2C">
      <w:pPr>
        <w:ind w:left="0"/>
        <w:jc w:val="center"/>
        <w:rPr>
          <w:rFonts w:ascii="Bookman Old Style" w:hAnsi="Bookman Old Style"/>
        </w:rPr>
      </w:pPr>
    </w:p>
    <w:p w14:paraId="7713DE02" w14:textId="77777777" w:rsidR="00A72BBD" w:rsidRPr="00A72BBD" w:rsidRDefault="00A72BBD" w:rsidP="000A0E2C">
      <w:pPr>
        <w:ind w:left="0"/>
        <w:jc w:val="center"/>
        <w:rPr>
          <w:rFonts w:ascii="Bookman Old Style" w:hAnsi="Bookman Old Style"/>
          <w:b/>
        </w:rPr>
      </w:pPr>
      <w:r w:rsidRPr="00A72BBD">
        <w:rPr>
          <w:rFonts w:ascii="Bookman Old Style" w:hAnsi="Bookman Old Style"/>
          <w:b/>
        </w:rPr>
        <w:t>LA COMISIÓN DE REGULACIÓN DE ENERGÍA Y GAS</w:t>
      </w:r>
    </w:p>
    <w:p w14:paraId="5038E092" w14:textId="43B80A35" w:rsidR="00A72BBD" w:rsidRDefault="00A72BBD" w:rsidP="000A0E2C">
      <w:pPr>
        <w:ind w:left="0"/>
        <w:jc w:val="both"/>
        <w:rPr>
          <w:rFonts w:ascii="Bookman Old Style" w:hAnsi="Bookman Old Style"/>
          <w:b/>
        </w:rPr>
      </w:pPr>
    </w:p>
    <w:p w14:paraId="4B215950" w14:textId="47A0A80D" w:rsidR="00093AE3" w:rsidRDefault="00093AE3" w:rsidP="000A0E2C">
      <w:pPr>
        <w:ind w:left="0"/>
        <w:jc w:val="center"/>
        <w:rPr>
          <w:rFonts w:ascii="Bookman Old Style" w:hAnsi="Bookman Old Style"/>
        </w:rPr>
      </w:pPr>
      <w:r w:rsidRPr="00093AE3">
        <w:rPr>
          <w:rFonts w:ascii="Bookman Old Style" w:hAnsi="Bookman Old Style"/>
        </w:rPr>
        <w:t xml:space="preserve">En ejercicio de sus atribuciones </w:t>
      </w:r>
      <w:r>
        <w:rPr>
          <w:rFonts w:ascii="Bookman Old Style" w:hAnsi="Bookman Old Style"/>
        </w:rPr>
        <w:t xml:space="preserve">constitucionales y </w:t>
      </w:r>
      <w:r w:rsidRPr="00093AE3">
        <w:rPr>
          <w:rFonts w:ascii="Bookman Old Style" w:hAnsi="Bookman Old Style"/>
        </w:rPr>
        <w:t xml:space="preserve">legales, en especial las </w:t>
      </w:r>
      <w:r>
        <w:rPr>
          <w:rFonts w:ascii="Bookman Old Style" w:hAnsi="Bookman Old Style"/>
        </w:rPr>
        <w:t>conferidas por las Leyes 142 y 143 de 1994</w:t>
      </w:r>
      <w:r w:rsidR="00B01BEE">
        <w:rPr>
          <w:rFonts w:ascii="Bookman Old Style" w:hAnsi="Bookman Old Style"/>
        </w:rPr>
        <w:t xml:space="preserve">, </w:t>
      </w:r>
      <w:r w:rsidR="00B01BEE" w:rsidRPr="00A72BBD">
        <w:rPr>
          <w:rFonts w:ascii="Bookman Old Style" w:hAnsi="Bookman Old Style"/>
        </w:rPr>
        <w:t>en cumplimiento</w:t>
      </w:r>
      <w:r w:rsidR="00B01BEE" w:rsidRPr="00A72BBD">
        <w:t xml:space="preserve"> </w:t>
      </w:r>
      <w:r w:rsidR="00B01BEE">
        <w:t xml:space="preserve">del </w:t>
      </w:r>
      <w:r w:rsidR="00B01BEE" w:rsidRPr="00093AE3">
        <w:rPr>
          <w:rFonts w:ascii="Bookman Old Style" w:hAnsi="Bookman Old Style"/>
        </w:rPr>
        <w:t>artículo 85 de la Ley 142 de 1994</w:t>
      </w:r>
      <w:r w:rsidR="00B01BEE">
        <w:rPr>
          <w:rFonts w:ascii="Bookman Old Style" w:hAnsi="Bookman Old Style"/>
        </w:rPr>
        <w:t xml:space="preserve">, </w:t>
      </w:r>
      <w:r w:rsidR="00B01BEE" w:rsidRPr="00093AE3">
        <w:rPr>
          <w:rFonts w:ascii="Bookman Old Style" w:hAnsi="Bookman Old Style"/>
        </w:rPr>
        <w:t>el artículo 8 de la Ley 1437 de 2011</w:t>
      </w:r>
      <w:r w:rsidR="00B01BEE">
        <w:rPr>
          <w:rFonts w:ascii="Bookman Old Style" w:hAnsi="Bookman Old Style"/>
        </w:rPr>
        <w:t xml:space="preserve">, </w:t>
      </w:r>
      <w:r>
        <w:rPr>
          <w:rFonts w:ascii="Bookman Old Style" w:hAnsi="Bookman Old Style"/>
        </w:rPr>
        <w:t xml:space="preserve">en desarrollo de los </w:t>
      </w:r>
      <w:r w:rsidRPr="00A72BBD">
        <w:rPr>
          <w:rFonts w:ascii="Bookman Old Style" w:hAnsi="Bookman Old Style"/>
        </w:rPr>
        <w:t>Decretos 1524, 2253 de 1994 y</w:t>
      </w:r>
      <w:r w:rsidRPr="00A72BBD">
        <w:rPr>
          <w:rFonts w:ascii="Bookman Old Style" w:hAnsi="Bookman Old Style"/>
          <w:caps/>
        </w:rPr>
        <w:t xml:space="preserve"> 1260 </w:t>
      </w:r>
      <w:r w:rsidRPr="00A72BBD">
        <w:rPr>
          <w:rFonts w:ascii="Bookman Old Style" w:hAnsi="Bookman Old Style"/>
        </w:rPr>
        <w:t>de</w:t>
      </w:r>
      <w:r w:rsidRPr="00A72BBD">
        <w:rPr>
          <w:rFonts w:ascii="Bookman Old Style" w:hAnsi="Bookman Old Style"/>
          <w:caps/>
        </w:rPr>
        <w:t xml:space="preserve"> 2013</w:t>
      </w:r>
      <w:r>
        <w:rPr>
          <w:rFonts w:ascii="Bookman Old Style" w:hAnsi="Bookman Old Style"/>
          <w:caps/>
        </w:rPr>
        <w:t xml:space="preserve">, </w:t>
      </w:r>
      <w:r w:rsidR="00B01BEE" w:rsidRPr="00093AE3">
        <w:rPr>
          <w:rFonts w:ascii="Bookman Old Style" w:hAnsi="Bookman Old Style"/>
        </w:rPr>
        <w:t xml:space="preserve">el </w:t>
      </w:r>
      <w:r w:rsidR="00B01BEE">
        <w:rPr>
          <w:rFonts w:ascii="Bookman Old Style" w:hAnsi="Bookman Old Style"/>
        </w:rPr>
        <w:t>Título 13</w:t>
      </w:r>
      <w:r w:rsidR="00B01BEE" w:rsidRPr="00093AE3">
        <w:rPr>
          <w:rFonts w:ascii="Bookman Old Style" w:hAnsi="Bookman Old Style"/>
        </w:rPr>
        <w:t xml:space="preserve"> del Decreto </w:t>
      </w:r>
      <w:r w:rsidR="00B01BEE">
        <w:rPr>
          <w:rFonts w:ascii="Bookman Old Style" w:hAnsi="Bookman Old Style"/>
        </w:rPr>
        <w:t>1078</w:t>
      </w:r>
      <w:r w:rsidR="00B01BEE" w:rsidRPr="00093AE3">
        <w:rPr>
          <w:rFonts w:ascii="Bookman Old Style" w:hAnsi="Bookman Old Style"/>
        </w:rPr>
        <w:t xml:space="preserve"> de 20</w:t>
      </w:r>
      <w:r w:rsidR="00B01BEE">
        <w:rPr>
          <w:rFonts w:ascii="Bookman Old Style" w:hAnsi="Bookman Old Style"/>
        </w:rPr>
        <w:t>15 y la Resolución 039 de 2017.</w:t>
      </w:r>
    </w:p>
    <w:p w14:paraId="3A196845" w14:textId="0B0927B8" w:rsidR="00A72BBD" w:rsidRDefault="00A72BBD" w:rsidP="000A0E2C">
      <w:pPr>
        <w:ind w:left="0"/>
        <w:jc w:val="both"/>
        <w:rPr>
          <w:rFonts w:ascii="Bookman Old Style" w:hAnsi="Bookman Old Style" w:cs="Arial"/>
          <w:b/>
        </w:rPr>
      </w:pPr>
    </w:p>
    <w:p w14:paraId="79457151" w14:textId="77777777" w:rsidR="000A0E2C" w:rsidRPr="00A72BBD" w:rsidRDefault="000A0E2C" w:rsidP="000A0E2C">
      <w:pPr>
        <w:ind w:left="0"/>
        <w:jc w:val="both"/>
        <w:rPr>
          <w:rFonts w:ascii="Bookman Old Style" w:hAnsi="Bookman Old Style" w:cs="Arial"/>
          <w:b/>
        </w:rPr>
      </w:pPr>
    </w:p>
    <w:p w14:paraId="7BC1FC59" w14:textId="77777777" w:rsidR="00A72BBD" w:rsidRPr="00A72BBD" w:rsidRDefault="00A72BBD" w:rsidP="000A0E2C">
      <w:pPr>
        <w:ind w:left="0"/>
        <w:jc w:val="center"/>
        <w:rPr>
          <w:rFonts w:ascii="Bookman Old Style" w:hAnsi="Bookman Old Style" w:cs="Arial"/>
          <w:b/>
        </w:rPr>
      </w:pPr>
      <w:r w:rsidRPr="00A72BBD">
        <w:rPr>
          <w:rFonts w:ascii="Bookman Old Style" w:hAnsi="Bookman Old Style" w:cs="Arial"/>
          <w:b/>
        </w:rPr>
        <w:t>CONSIDERANDO QUE:</w:t>
      </w:r>
    </w:p>
    <w:p w14:paraId="5BFAE801" w14:textId="78192875" w:rsidR="00A72BBD" w:rsidRDefault="00A72BBD" w:rsidP="000A0E2C">
      <w:pPr>
        <w:ind w:left="0"/>
        <w:jc w:val="center"/>
        <w:rPr>
          <w:rFonts w:ascii="Bookman Old Style" w:hAnsi="Bookman Old Style" w:cs="Arial"/>
          <w:b/>
        </w:rPr>
      </w:pPr>
    </w:p>
    <w:p w14:paraId="78321067" w14:textId="77777777" w:rsidR="000A0E2C" w:rsidRPr="00A72BBD" w:rsidRDefault="000A0E2C" w:rsidP="000A0E2C">
      <w:pPr>
        <w:ind w:left="0"/>
        <w:jc w:val="center"/>
        <w:rPr>
          <w:rFonts w:ascii="Bookman Old Style" w:hAnsi="Bookman Old Style" w:cs="Arial"/>
          <w:b/>
        </w:rPr>
      </w:pPr>
    </w:p>
    <w:p w14:paraId="43A34A00" w14:textId="08E55C61" w:rsidR="00A72BBD" w:rsidRDefault="00A72BBD" w:rsidP="000A0E2C">
      <w:pPr>
        <w:ind w:left="0"/>
        <w:jc w:val="both"/>
        <w:rPr>
          <w:rFonts w:ascii="Bookman Old Style" w:hAnsi="Bookman Old Style"/>
          <w:spacing w:val="-3"/>
        </w:rPr>
      </w:pPr>
      <w:r w:rsidRPr="00A72BBD">
        <w:rPr>
          <w:rFonts w:ascii="Bookman Old Style" w:hAnsi="Bookman Old Style"/>
          <w:spacing w:val="-3"/>
        </w:rPr>
        <w:t xml:space="preserve">Conforme a lo dispuesto por el artículo 8 del Código de Procedimiento Administrativo y de lo Contencioso Administrativo, y </w:t>
      </w:r>
      <w:r w:rsidRPr="00A72BBD">
        <w:rPr>
          <w:rFonts w:ascii="Bookman Old Style" w:hAnsi="Bookman Old Style" w:cs="Arial"/>
        </w:rPr>
        <w:t>el artículo 32 de la Resolución CREG 039 de 2017</w:t>
      </w:r>
      <w:r w:rsidRPr="00A72BBD">
        <w:rPr>
          <w:rFonts w:ascii="Bookman Old Style" w:hAnsi="Bookman Old Style"/>
          <w:spacing w:val="-3"/>
        </w:rPr>
        <w:t>, la Comisión debe hacer público en su página web todos los proyectos de resolución de carácter general que pretenda adoptar.</w:t>
      </w:r>
    </w:p>
    <w:p w14:paraId="62159E4C" w14:textId="77777777" w:rsidR="000A0E2C" w:rsidRPr="00A72BBD" w:rsidRDefault="000A0E2C" w:rsidP="000A0E2C">
      <w:pPr>
        <w:ind w:left="0"/>
        <w:jc w:val="both"/>
        <w:rPr>
          <w:rFonts w:ascii="Bookman Old Style" w:hAnsi="Bookman Old Style"/>
          <w:spacing w:val="-3"/>
        </w:rPr>
      </w:pPr>
    </w:p>
    <w:p w14:paraId="36BC8F14" w14:textId="1EEB5634" w:rsidR="00A72BBD" w:rsidRPr="00A72BBD" w:rsidRDefault="00A72BBD" w:rsidP="000A0E2C">
      <w:pPr>
        <w:ind w:left="0"/>
        <w:jc w:val="both"/>
        <w:rPr>
          <w:rFonts w:ascii="Bookman Old Style" w:hAnsi="Bookman Old Style"/>
        </w:rPr>
      </w:pPr>
      <w:r w:rsidRPr="00A72BBD">
        <w:rPr>
          <w:rFonts w:ascii="Bookman Old Style" w:hAnsi="Bookman Old Style"/>
          <w:spacing w:val="-3"/>
        </w:rPr>
        <w:t xml:space="preserve">La Comisión de Regulación de Energía y Gas, en su sesión </w:t>
      </w:r>
      <w:r w:rsidR="00772D68">
        <w:rPr>
          <w:rFonts w:ascii="Bookman Old Style" w:hAnsi="Bookman Old Style"/>
          <w:spacing w:val="-3"/>
        </w:rPr>
        <w:t xml:space="preserve">1127 </w:t>
      </w:r>
      <w:r w:rsidRPr="00A72BBD">
        <w:rPr>
          <w:rFonts w:ascii="Bookman Old Style" w:hAnsi="Bookman Old Style"/>
          <w:spacing w:val="-3"/>
        </w:rPr>
        <w:t xml:space="preserve">del </w:t>
      </w:r>
      <w:r w:rsidR="00772D68">
        <w:rPr>
          <w:rFonts w:ascii="Bookman Old Style" w:hAnsi="Bookman Old Style"/>
          <w:spacing w:val="-3"/>
        </w:rPr>
        <w:t xml:space="preserve">7 </w:t>
      </w:r>
      <w:r w:rsidRPr="00A72BBD">
        <w:rPr>
          <w:rFonts w:ascii="Bookman Old Style" w:hAnsi="Bookman Old Style"/>
          <w:spacing w:val="-3"/>
        </w:rPr>
        <w:t xml:space="preserve">de </w:t>
      </w:r>
      <w:r w:rsidR="00B01BEE">
        <w:rPr>
          <w:rFonts w:ascii="Bookman Old Style" w:hAnsi="Bookman Old Style"/>
          <w:spacing w:val="-3"/>
        </w:rPr>
        <w:t xml:space="preserve">octubre </w:t>
      </w:r>
      <w:r w:rsidRPr="00A72BBD">
        <w:rPr>
          <w:rFonts w:ascii="Bookman Old Style" w:hAnsi="Bookman Old Style"/>
          <w:spacing w:val="-3"/>
        </w:rPr>
        <w:t>de 202</w:t>
      </w:r>
      <w:r>
        <w:rPr>
          <w:rFonts w:ascii="Bookman Old Style" w:hAnsi="Bookman Old Style"/>
          <w:spacing w:val="-3"/>
        </w:rPr>
        <w:t>1</w:t>
      </w:r>
      <w:r w:rsidRPr="00A72BBD">
        <w:rPr>
          <w:rFonts w:ascii="Bookman Old Style" w:hAnsi="Bookman Old Style"/>
          <w:spacing w:val="-3"/>
        </w:rPr>
        <w:t xml:space="preserve">, acordó hacer público el proyecto de resolución </w:t>
      </w:r>
      <w:r w:rsidR="00B01BEE" w:rsidRPr="00B01BEE">
        <w:rPr>
          <w:rFonts w:ascii="Bookman Old Style" w:hAnsi="Bookman Old Style"/>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2021 y se dictan otras disposiciones”.</w:t>
      </w:r>
    </w:p>
    <w:p w14:paraId="6BF57C8C" w14:textId="77777777" w:rsidR="000A0E2C" w:rsidRDefault="000A0E2C" w:rsidP="000A0E2C">
      <w:pPr>
        <w:ind w:left="0"/>
        <w:jc w:val="both"/>
        <w:rPr>
          <w:rFonts w:ascii="Bookman Old Style" w:hAnsi="Bookman Old Style"/>
        </w:rPr>
      </w:pPr>
    </w:p>
    <w:p w14:paraId="0BD5472F" w14:textId="6A4CBF4F" w:rsidR="00B01BEE" w:rsidRDefault="00A72BBD" w:rsidP="000A0E2C">
      <w:pPr>
        <w:ind w:left="0"/>
        <w:jc w:val="both"/>
        <w:rPr>
          <w:rFonts w:ascii="Bookman Old Style" w:hAnsi="Bookman Old Style"/>
        </w:rPr>
      </w:pPr>
      <w:r w:rsidRPr="00A72BBD">
        <w:rPr>
          <w:rFonts w:ascii="Bookman Old Style" w:hAnsi="Bookman Old Style"/>
        </w:rPr>
        <w:t xml:space="preserve">En </w:t>
      </w:r>
      <w:r w:rsidRPr="00526894">
        <w:rPr>
          <w:rFonts w:ascii="Bookman Old Style" w:hAnsi="Bookman Old Style"/>
        </w:rPr>
        <w:t xml:space="preserve">el Documento CREG </w:t>
      </w:r>
      <w:r w:rsidR="001E4A38" w:rsidRPr="001E4A38">
        <w:rPr>
          <w:rFonts w:ascii="Bookman Old Style" w:hAnsi="Bookman Old Style"/>
        </w:rPr>
        <w:t>140</w:t>
      </w:r>
      <w:r w:rsidRPr="00526894">
        <w:rPr>
          <w:rFonts w:ascii="Bookman Old Style" w:hAnsi="Bookman Old Style"/>
        </w:rPr>
        <w:t xml:space="preserve"> de</w:t>
      </w:r>
      <w:r w:rsidRPr="00A72BBD">
        <w:rPr>
          <w:rFonts w:ascii="Bookman Old Style" w:hAnsi="Bookman Old Style"/>
        </w:rPr>
        <w:t xml:space="preserve"> 202</w:t>
      </w:r>
      <w:r>
        <w:rPr>
          <w:rFonts w:ascii="Bookman Old Style" w:hAnsi="Bookman Old Style"/>
        </w:rPr>
        <w:t>1</w:t>
      </w:r>
      <w:r w:rsidRPr="00A72BBD">
        <w:rPr>
          <w:rFonts w:ascii="Bookman Old Style" w:hAnsi="Bookman Old Style"/>
        </w:rPr>
        <w:t xml:space="preserve"> se exponen </w:t>
      </w:r>
      <w:r w:rsidR="008560BA">
        <w:rPr>
          <w:rFonts w:ascii="Bookman Old Style" w:hAnsi="Bookman Old Style"/>
        </w:rPr>
        <w:t xml:space="preserve">los resultados de la depuración </w:t>
      </w:r>
      <w:r>
        <w:rPr>
          <w:rFonts w:ascii="Bookman Old Style" w:hAnsi="Bookman Old Style"/>
        </w:rPr>
        <w:t xml:space="preserve">y </w:t>
      </w:r>
      <w:r w:rsidR="008560BA">
        <w:rPr>
          <w:rFonts w:ascii="Bookman Old Style" w:hAnsi="Bookman Old Style"/>
        </w:rPr>
        <w:t xml:space="preserve">los </w:t>
      </w:r>
      <w:r>
        <w:rPr>
          <w:rFonts w:ascii="Bookman Old Style" w:hAnsi="Bookman Old Style"/>
        </w:rPr>
        <w:t xml:space="preserve">fundamentos de la presente propuesta </w:t>
      </w:r>
      <w:r w:rsidR="00B01BEE" w:rsidRPr="00B01BEE">
        <w:rPr>
          <w:rFonts w:ascii="Bookman Old Style" w:hAnsi="Bookman Old Style"/>
        </w:rPr>
        <w:t>de asignación de porcentaje de contribución que deben pagar las entidades sometidas a la regulación de la CREG para el año 202</w:t>
      </w:r>
      <w:r w:rsidR="000F69BE">
        <w:rPr>
          <w:rFonts w:ascii="Bookman Old Style" w:hAnsi="Bookman Old Style"/>
        </w:rPr>
        <w:t>1.</w:t>
      </w:r>
    </w:p>
    <w:p w14:paraId="4CE3460C" w14:textId="77777777" w:rsidR="008560BA" w:rsidRDefault="008560BA" w:rsidP="000A0E2C">
      <w:pPr>
        <w:ind w:left="0"/>
        <w:jc w:val="both"/>
        <w:rPr>
          <w:rFonts w:ascii="Bookman Old Style" w:hAnsi="Bookman Old Style"/>
        </w:rPr>
      </w:pPr>
    </w:p>
    <w:p w14:paraId="542E13F1" w14:textId="7918A718" w:rsidR="000F69BE" w:rsidRDefault="000F69BE" w:rsidP="000A0E2C">
      <w:pPr>
        <w:ind w:left="0"/>
        <w:jc w:val="both"/>
        <w:rPr>
          <w:rFonts w:ascii="Bookman Old Style" w:hAnsi="Bookman Old Style"/>
        </w:rPr>
      </w:pPr>
      <w:r w:rsidRPr="000F69BE">
        <w:rPr>
          <w:rFonts w:ascii="Bookman Old Style" w:hAnsi="Bookman Old Style"/>
        </w:rPr>
        <w:t>Atendiendo lo anterior</w:t>
      </w:r>
      <w:r w:rsidR="00332E07">
        <w:rPr>
          <w:rFonts w:ascii="Bookman Old Style" w:hAnsi="Bookman Old Style"/>
        </w:rPr>
        <w:t>,</w:t>
      </w:r>
      <w:r w:rsidRPr="000F69BE">
        <w:rPr>
          <w:rFonts w:ascii="Bookman Old Style" w:hAnsi="Bookman Old Style"/>
        </w:rPr>
        <w:t xml:space="preserve"> se hace necesario publicar el presente proyecto de resolución con el fin de recibir comentarios al mismo y cumplir con los presupuestos de publicidad establecidos por la ley.</w:t>
      </w:r>
    </w:p>
    <w:p w14:paraId="2F5BC5DE" w14:textId="77777777" w:rsidR="00A72BBD" w:rsidRPr="00A72BBD" w:rsidRDefault="00A72BBD" w:rsidP="000A0E2C">
      <w:pPr>
        <w:ind w:left="0"/>
        <w:jc w:val="center"/>
        <w:rPr>
          <w:rFonts w:ascii="Bookman Old Style" w:hAnsi="Bookman Old Style"/>
          <w:b/>
          <w:spacing w:val="40"/>
        </w:rPr>
      </w:pPr>
      <w:r w:rsidRPr="00A72BBD">
        <w:rPr>
          <w:rFonts w:ascii="Bookman Old Style" w:hAnsi="Bookman Old Style"/>
          <w:b/>
        </w:rPr>
        <w:lastRenderedPageBreak/>
        <w:t xml:space="preserve">R E S U E L V </w:t>
      </w:r>
      <w:r w:rsidRPr="00A72BBD">
        <w:rPr>
          <w:rFonts w:ascii="Bookman Old Style" w:hAnsi="Bookman Old Style"/>
          <w:b/>
          <w:spacing w:val="40"/>
        </w:rPr>
        <w:t>E:</w:t>
      </w:r>
    </w:p>
    <w:p w14:paraId="6EC2A84B" w14:textId="77777777" w:rsidR="00A72BBD" w:rsidRPr="00A72BBD" w:rsidRDefault="00A72BBD" w:rsidP="000A0E2C">
      <w:pPr>
        <w:ind w:left="0"/>
        <w:jc w:val="center"/>
        <w:rPr>
          <w:rFonts w:ascii="Bookman Old Style" w:hAnsi="Bookman Old Style"/>
          <w:b/>
          <w:spacing w:val="40"/>
        </w:rPr>
      </w:pPr>
    </w:p>
    <w:p w14:paraId="0D1AE9AB" w14:textId="4FAD24DC" w:rsidR="00A72BBD" w:rsidRDefault="00A72BBD" w:rsidP="000A0E2C">
      <w:pPr>
        <w:ind w:left="0"/>
        <w:jc w:val="both"/>
        <w:rPr>
          <w:rFonts w:ascii="Bookman Old Style" w:hAnsi="Bookman Old Style"/>
        </w:rPr>
      </w:pPr>
      <w:r w:rsidRPr="00A72BBD">
        <w:rPr>
          <w:rFonts w:ascii="Bookman Old Style" w:hAnsi="Bookman Old Style"/>
          <w:b/>
          <w:bCs/>
        </w:rPr>
        <w:t>Artículo 1. Objeto.</w:t>
      </w:r>
      <w:r w:rsidRPr="00A72BBD">
        <w:rPr>
          <w:rFonts w:ascii="Bookman Old Style" w:hAnsi="Bookman Old Style"/>
        </w:rPr>
        <w:t xml:space="preserve">  Hágase público el proyecto de resolución </w:t>
      </w:r>
      <w:r w:rsidR="00FF601F" w:rsidRPr="00FF601F">
        <w:rPr>
          <w:rFonts w:ascii="Bookman Old Style" w:hAnsi="Bookman Old Style"/>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2021 y se dictan otras disposiciones”.</w:t>
      </w:r>
    </w:p>
    <w:p w14:paraId="406BF1C0" w14:textId="77777777" w:rsidR="000A0E2C" w:rsidRPr="00A72BBD" w:rsidRDefault="000A0E2C" w:rsidP="000A0E2C">
      <w:pPr>
        <w:ind w:left="0"/>
        <w:jc w:val="both"/>
        <w:rPr>
          <w:rFonts w:ascii="Bookman Old Style" w:hAnsi="Bookman Old Style"/>
        </w:rPr>
      </w:pPr>
    </w:p>
    <w:p w14:paraId="283CEF1C" w14:textId="480FABDC" w:rsidR="00A72BBD" w:rsidRDefault="00A72BBD" w:rsidP="000A0E2C">
      <w:pPr>
        <w:ind w:left="0"/>
        <w:jc w:val="both"/>
        <w:rPr>
          <w:rFonts w:ascii="Bookman Old Style" w:hAnsi="Bookman Old Style"/>
        </w:rPr>
      </w:pPr>
      <w:r w:rsidRPr="00A72BBD">
        <w:rPr>
          <w:rFonts w:ascii="Bookman Old Style" w:hAnsi="Bookman Old Style"/>
          <w:b/>
        </w:rPr>
        <w:t>Artículo 2. Presentación de comentarios, observaciones y sugerencias.</w:t>
      </w:r>
      <w:r w:rsidRPr="00A72BBD">
        <w:rPr>
          <w:rFonts w:ascii="Bookman Old Style" w:hAnsi="Bookman Old Style"/>
        </w:rPr>
        <w:t xml:space="preserve"> Se invita a los </w:t>
      </w:r>
      <w:r w:rsidR="00FF601F">
        <w:rPr>
          <w:rFonts w:ascii="Bookman Old Style" w:hAnsi="Bookman Old Style"/>
        </w:rPr>
        <w:t xml:space="preserve">ciudadanos, </w:t>
      </w:r>
      <w:r w:rsidRPr="00A72BBD">
        <w:rPr>
          <w:rFonts w:ascii="Bookman Old Style" w:hAnsi="Bookman Old Style"/>
        </w:rPr>
        <w:t xml:space="preserve">usuarios, a </w:t>
      </w:r>
      <w:r w:rsidR="00FF601F">
        <w:rPr>
          <w:rFonts w:ascii="Bookman Old Style" w:hAnsi="Bookman Old Style"/>
        </w:rPr>
        <w:t>las empresas reguladas prestadoras de los servicios de energía eléctrica, gas natural y gas licuado de petróleo (GLP)</w:t>
      </w:r>
      <w:r w:rsidRPr="00A72BBD">
        <w:rPr>
          <w:rFonts w:ascii="Bookman Old Style" w:hAnsi="Bookman Old Style"/>
        </w:rPr>
        <w:t xml:space="preserve">, a las autoridades </w:t>
      </w:r>
      <w:r w:rsidR="00FF601F">
        <w:rPr>
          <w:rFonts w:ascii="Bookman Old Style" w:hAnsi="Bookman Old Style"/>
        </w:rPr>
        <w:t xml:space="preserve">nacionales, </w:t>
      </w:r>
      <w:r w:rsidRPr="00A72BBD">
        <w:rPr>
          <w:rFonts w:ascii="Bookman Old Style" w:hAnsi="Bookman Old Style"/>
        </w:rPr>
        <w:t xml:space="preserve">departamentales, </w:t>
      </w:r>
      <w:r w:rsidR="00FF601F">
        <w:rPr>
          <w:rFonts w:ascii="Bookman Old Style" w:hAnsi="Bookman Old Style"/>
        </w:rPr>
        <w:t xml:space="preserve">municipales y locales, a las veedurías ciudadanas, </w:t>
      </w:r>
      <w:r w:rsidR="00746E36">
        <w:rPr>
          <w:rFonts w:ascii="Bookman Old Style" w:hAnsi="Bookman Old Style"/>
        </w:rPr>
        <w:t xml:space="preserve">a los </w:t>
      </w:r>
      <w:r w:rsidRPr="00A72BBD">
        <w:rPr>
          <w:rFonts w:ascii="Bookman Old Style" w:hAnsi="Bookman Old Style"/>
        </w:rPr>
        <w:t>gremios, a las entidades</w:t>
      </w:r>
      <w:r w:rsidR="00FF601F">
        <w:rPr>
          <w:rFonts w:ascii="Bookman Old Style" w:hAnsi="Bookman Old Style"/>
        </w:rPr>
        <w:t xml:space="preserve"> de fiscalización y control </w:t>
      </w:r>
      <w:r w:rsidRPr="00A72BBD">
        <w:rPr>
          <w:rFonts w:ascii="Bookman Old Style" w:hAnsi="Bookman Old Style"/>
        </w:rPr>
        <w:t>y a los demás interesados</w:t>
      </w:r>
      <w:r w:rsidR="00FF601F">
        <w:rPr>
          <w:rFonts w:ascii="Bookman Old Style" w:hAnsi="Bookman Old Style"/>
        </w:rPr>
        <w:t>;</w:t>
      </w:r>
      <w:r w:rsidRPr="00A72BBD">
        <w:rPr>
          <w:rFonts w:ascii="Bookman Old Style" w:hAnsi="Bookman Old Style"/>
        </w:rPr>
        <w:t xml:space="preserve"> para que remitan sus observaciones o sugerencias sobre las propuestas contenidas en el proyecto de resolución adjunto</w:t>
      </w:r>
      <w:r>
        <w:rPr>
          <w:rFonts w:ascii="Bookman Old Style" w:hAnsi="Bookman Old Style"/>
        </w:rPr>
        <w:t xml:space="preserve"> dentro de los </w:t>
      </w:r>
      <w:r w:rsidR="00BD4D39">
        <w:rPr>
          <w:rFonts w:ascii="Bookman Old Style" w:hAnsi="Bookman Old Style"/>
        </w:rPr>
        <w:t xml:space="preserve">quince </w:t>
      </w:r>
      <w:r w:rsidR="00444704">
        <w:rPr>
          <w:rFonts w:ascii="Bookman Old Style" w:hAnsi="Bookman Old Style"/>
        </w:rPr>
        <w:t>(1</w:t>
      </w:r>
      <w:r w:rsidR="00BD4D39">
        <w:rPr>
          <w:rFonts w:ascii="Bookman Old Style" w:hAnsi="Bookman Old Style"/>
        </w:rPr>
        <w:t>5</w:t>
      </w:r>
      <w:r w:rsidR="00444704">
        <w:rPr>
          <w:rFonts w:ascii="Bookman Old Style" w:hAnsi="Bookman Old Style"/>
        </w:rPr>
        <w:t xml:space="preserve">) </w:t>
      </w:r>
      <w:r>
        <w:rPr>
          <w:rFonts w:ascii="Bookman Old Style" w:hAnsi="Bookman Old Style"/>
        </w:rPr>
        <w:t xml:space="preserve"> días </w:t>
      </w:r>
      <w:r w:rsidR="00FF601F">
        <w:rPr>
          <w:rFonts w:ascii="Bookman Old Style" w:hAnsi="Bookman Old Style"/>
        </w:rPr>
        <w:t>hábiles</w:t>
      </w:r>
      <w:r w:rsidR="00CB168B">
        <w:rPr>
          <w:rFonts w:ascii="Bookman Old Style" w:hAnsi="Bookman Old Style"/>
        </w:rPr>
        <w:t xml:space="preserve"> siguientes</w:t>
      </w:r>
      <w:r w:rsidR="00F84DEA">
        <w:rPr>
          <w:rFonts w:ascii="Bookman Old Style" w:hAnsi="Bookman Old Style"/>
        </w:rPr>
        <w:t xml:space="preserve"> </w:t>
      </w:r>
      <w:r>
        <w:rPr>
          <w:rFonts w:ascii="Bookman Old Style" w:hAnsi="Bookman Old Style"/>
        </w:rPr>
        <w:t>a la publicación de la presente propuesta en la página web de la CREG</w:t>
      </w:r>
      <w:r w:rsidRPr="00A72BBD">
        <w:rPr>
          <w:rFonts w:ascii="Bookman Old Style" w:hAnsi="Bookman Old Style"/>
        </w:rPr>
        <w:t>.</w:t>
      </w:r>
      <w:r w:rsidR="00C05D73" w:rsidRPr="00C05D73">
        <w:t xml:space="preserve"> </w:t>
      </w:r>
    </w:p>
    <w:p w14:paraId="3AAC187C" w14:textId="77777777" w:rsidR="000A0E2C" w:rsidRPr="00A72BBD" w:rsidRDefault="000A0E2C" w:rsidP="000A0E2C">
      <w:pPr>
        <w:ind w:left="0"/>
        <w:jc w:val="both"/>
        <w:rPr>
          <w:rFonts w:ascii="Bookman Old Style" w:hAnsi="Bookman Old Style"/>
        </w:rPr>
      </w:pPr>
    </w:p>
    <w:p w14:paraId="58D65B5D" w14:textId="0F40CCC7" w:rsidR="00A72BBD" w:rsidRDefault="00A72BBD" w:rsidP="000A0E2C">
      <w:pPr>
        <w:ind w:left="0"/>
        <w:jc w:val="both"/>
        <w:rPr>
          <w:rFonts w:ascii="Bookman Old Style" w:hAnsi="Bookman Old Style"/>
        </w:rPr>
      </w:pPr>
      <w:r w:rsidRPr="00A72BBD">
        <w:rPr>
          <w:rFonts w:ascii="Bookman Old Style" w:hAnsi="Bookman Old Style"/>
        </w:rPr>
        <w:t>Las observaciones y sugerencias sobre el</w:t>
      </w:r>
      <w:r w:rsidR="000A0E2C">
        <w:rPr>
          <w:rFonts w:ascii="Bookman Old Style" w:hAnsi="Bookman Old Style"/>
        </w:rPr>
        <w:t xml:space="preserve"> presente</w:t>
      </w:r>
      <w:r w:rsidRPr="00A72BBD">
        <w:rPr>
          <w:rFonts w:ascii="Bookman Old Style" w:hAnsi="Bookman Old Style"/>
        </w:rPr>
        <w:t xml:space="preserve"> proyecto deberán dirigirse al director ejecutivo de la Comisión al correo electrónico</w:t>
      </w:r>
      <w:r w:rsidR="000A0E2C">
        <w:rPr>
          <w:rFonts w:ascii="Bookman Old Style" w:hAnsi="Bookman Old Style"/>
        </w:rPr>
        <w:t>:</w:t>
      </w:r>
      <w:r w:rsidRPr="00A72BBD">
        <w:rPr>
          <w:rFonts w:ascii="Bookman Old Style" w:hAnsi="Bookman Old Style"/>
        </w:rPr>
        <w:t xml:space="preserve"> </w:t>
      </w:r>
      <w:hyperlink r:id="rId10">
        <w:r w:rsidRPr="00A72BBD">
          <w:rPr>
            <w:rFonts w:ascii="Bookman Old Style" w:hAnsi="Bookman Old Style"/>
            <w:color w:val="0000FF"/>
            <w:u w:val="single"/>
          </w:rPr>
          <w:t>creg@creg.gov.co</w:t>
        </w:r>
      </w:hyperlink>
      <w:r w:rsidRPr="00A72BBD">
        <w:rPr>
          <w:rFonts w:ascii="Bookman Old Style" w:hAnsi="Bookman Old Style"/>
        </w:rPr>
        <w:t xml:space="preserve"> </w:t>
      </w:r>
    </w:p>
    <w:p w14:paraId="2842F2F0" w14:textId="77777777" w:rsidR="000A0E2C" w:rsidRPr="00A72BBD" w:rsidRDefault="000A0E2C" w:rsidP="000A0E2C">
      <w:pPr>
        <w:ind w:left="0"/>
        <w:jc w:val="both"/>
        <w:rPr>
          <w:rFonts w:ascii="Bookman Old Style" w:hAnsi="Bookman Old Style"/>
        </w:rPr>
      </w:pPr>
    </w:p>
    <w:p w14:paraId="5354EDC1" w14:textId="77777777" w:rsidR="00A72BBD" w:rsidRPr="00A72BBD" w:rsidRDefault="00A72BBD" w:rsidP="000A0E2C">
      <w:pPr>
        <w:ind w:left="0"/>
        <w:jc w:val="both"/>
        <w:rPr>
          <w:rFonts w:ascii="Bookman Old Style" w:hAnsi="Bookman Old Style"/>
        </w:rPr>
      </w:pPr>
      <w:r w:rsidRPr="00A72BBD">
        <w:rPr>
          <w:rFonts w:ascii="Bookman Old Style" w:hAnsi="Bookman Old Style"/>
          <w:b/>
        </w:rPr>
        <w:t>Artículo 3. Vigencia.</w:t>
      </w:r>
      <w:r w:rsidRPr="00A72BBD">
        <w:rPr>
          <w:rFonts w:ascii="Bookman Old Style" w:hAnsi="Bookman Old Style"/>
        </w:rPr>
        <w:t xml:space="preserve">  La presente resolución rige a partir de su publicación en el </w:t>
      </w:r>
      <w:r w:rsidRPr="00A72BBD">
        <w:rPr>
          <w:rFonts w:ascii="Bookman Old Style" w:hAnsi="Bookman Old Style"/>
          <w:i/>
        </w:rPr>
        <w:t>Diario Oficial,</w:t>
      </w:r>
      <w:r w:rsidRPr="00A72BBD">
        <w:rPr>
          <w:rFonts w:ascii="Bookman Old Style" w:hAnsi="Bookman Old Style"/>
        </w:rPr>
        <w:t xml:space="preserve"> y no deroga ni modifica disposiciones vigentes por tratarse de un acto de trámite.</w:t>
      </w:r>
    </w:p>
    <w:p w14:paraId="7C31E8EA" w14:textId="14399AD6" w:rsidR="00A72BBD" w:rsidRDefault="00A72BBD" w:rsidP="000A0E2C">
      <w:pPr>
        <w:ind w:left="0"/>
        <w:jc w:val="both"/>
        <w:rPr>
          <w:rFonts w:ascii="Bookman Old Style" w:hAnsi="Bookman Old Style"/>
        </w:rPr>
      </w:pPr>
    </w:p>
    <w:p w14:paraId="00F5AD8E" w14:textId="77777777" w:rsidR="002F31C8" w:rsidRPr="00A72BBD" w:rsidRDefault="002F31C8" w:rsidP="000A0E2C">
      <w:pPr>
        <w:ind w:left="0"/>
        <w:jc w:val="both"/>
        <w:rPr>
          <w:rFonts w:ascii="Bookman Old Style" w:hAnsi="Bookman Old Style"/>
        </w:rPr>
      </w:pPr>
    </w:p>
    <w:p w14:paraId="21C1571D" w14:textId="43FCA823" w:rsidR="00A72BBD" w:rsidRDefault="00A72BBD" w:rsidP="000A0E2C">
      <w:pPr>
        <w:ind w:left="0"/>
        <w:jc w:val="center"/>
        <w:rPr>
          <w:rFonts w:ascii="Bookman Old Style" w:hAnsi="Bookman Old Style"/>
          <w:b/>
        </w:rPr>
      </w:pPr>
      <w:r w:rsidRPr="00A72BBD">
        <w:rPr>
          <w:rFonts w:ascii="Bookman Old Style" w:hAnsi="Bookman Old Style"/>
          <w:b/>
        </w:rPr>
        <w:t>PUBLÍQUESE Y CÚMPLASE</w:t>
      </w:r>
    </w:p>
    <w:p w14:paraId="4ECB293F" w14:textId="77777777" w:rsidR="000A0E2C" w:rsidRPr="00A72BBD" w:rsidRDefault="000A0E2C" w:rsidP="000A0E2C">
      <w:pPr>
        <w:ind w:left="0"/>
        <w:jc w:val="center"/>
        <w:rPr>
          <w:rFonts w:ascii="Bookman Old Style" w:hAnsi="Bookman Old Style"/>
          <w:b/>
        </w:rPr>
      </w:pPr>
    </w:p>
    <w:p w14:paraId="1137C1FD" w14:textId="77777777" w:rsidR="00A72BBD" w:rsidRPr="00A72BBD" w:rsidRDefault="00A72BBD" w:rsidP="000A0E2C">
      <w:pPr>
        <w:ind w:left="0"/>
        <w:jc w:val="center"/>
        <w:rPr>
          <w:rFonts w:ascii="Bookman Old Style" w:hAnsi="Bookman Old Style"/>
          <w:b/>
        </w:rPr>
      </w:pPr>
    </w:p>
    <w:p w14:paraId="2319C135" w14:textId="36F71B65" w:rsidR="00A72BBD" w:rsidRPr="00871F89" w:rsidRDefault="00A72BBD" w:rsidP="000A0E2C">
      <w:pPr>
        <w:ind w:left="0"/>
        <w:jc w:val="both"/>
        <w:rPr>
          <w:rFonts w:ascii="Bookman Old Style" w:hAnsi="Bookman Old Style"/>
          <w:b/>
          <w:bCs/>
        </w:rPr>
      </w:pPr>
      <w:r w:rsidRPr="00A72BBD">
        <w:rPr>
          <w:rFonts w:ascii="Bookman Old Style" w:hAnsi="Bookman Old Style"/>
        </w:rPr>
        <w:t xml:space="preserve">Dado en Bogotá, D. C. </w:t>
      </w:r>
      <w:r w:rsidR="00772D68">
        <w:rPr>
          <w:rFonts w:ascii="Bookman Old Style" w:hAnsi="Bookman Old Style"/>
          <w:b/>
          <w:bCs/>
        </w:rPr>
        <w:t>07</w:t>
      </w:r>
      <w:r w:rsidR="00871F89" w:rsidRPr="00871F89">
        <w:rPr>
          <w:rFonts w:ascii="Bookman Old Style" w:hAnsi="Bookman Old Style"/>
          <w:b/>
          <w:bCs/>
        </w:rPr>
        <w:t xml:space="preserve"> </w:t>
      </w:r>
      <w:r w:rsidR="00FF601F">
        <w:rPr>
          <w:rFonts w:ascii="Bookman Old Style" w:hAnsi="Bookman Old Style"/>
          <w:b/>
          <w:bCs/>
        </w:rPr>
        <w:t>OCT</w:t>
      </w:r>
      <w:r w:rsidR="00871F89" w:rsidRPr="00871F89">
        <w:rPr>
          <w:rFonts w:ascii="Bookman Old Style" w:hAnsi="Bookman Old Style"/>
          <w:b/>
          <w:bCs/>
        </w:rPr>
        <w:t>. 2021</w:t>
      </w:r>
    </w:p>
    <w:tbl>
      <w:tblPr>
        <w:tblW w:w="8789" w:type="dxa"/>
        <w:jc w:val="center"/>
        <w:tblCellSpacing w:w="0" w:type="dxa"/>
        <w:tblCellMar>
          <w:left w:w="0" w:type="dxa"/>
          <w:right w:w="0" w:type="dxa"/>
        </w:tblCellMar>
        <w:tblLook w:val="04A0" w:firstRow="1" w:lastRow="0" w:firstColumn="1" w:lastColumn="0" w:noHBand="0" w:noVBand="1"/>
      </w:tblPr>
      <w:tblGrid>
        <w:gridCol w:w="4111"/>
        <w:gridCol w:w="4678"/>
      </w:tblGrid>
      <w:tr w:rsidR="00A72BBD" w:rsidRPr="00A72BBD" w14:paraId="288151FC" w14:textId="77777777" w:rsidTr="00D86244">
        <w:trPr>
          <w:trHeight w:val="1685"/>
          <w:tblCellSpacing w:w="0" w:type="dxa"/>
          <w:jc w:val="center"/>
        </w:trPr>
        <w:tc>
          <w:tcPr>
            <w:tcW w:w="4111" w:type="dxa"/>
          </w:tcPr>
          <w:p w14:paraId="2E15CDDF" w14:textId="77777777" w:rsidR="00A72BBD" w:rsidRPr="00A72BBD" w:rsidRDefault="00A72BBD" w:rsidP="000A0E2C">
            <w:pPr>
              <w:ind w:left="0"/>
              <w:rPr>
                <w:rFonts w:ascii="Bookman Old Style" w:hAnsi="Bookman Old Style" w:cs="Arial"/>
                <w:b/>
                <w:spacing w:val="-3"/>
              </w:rPr>
            </w:pPr>
          </w:p>
          <w:p w14:paraId="15879FA8" w14:textId="6B55A2D5" w:rsidR="00A72BBD" w:rsidRDefault="00A72BBD" w:rsidP="000A0E2C">
            <w:pPr>
              <w:rPr>
                <w:rFonts w:ascii="Bookman Old Style" w:hAnsi="Bookman Old Style" w:cs="Arial"/>
                <w:b/>
                <w:spacing w:val="-3"/>
              </w:rPr>
            </w:pPr>
          </w:p>
          <w:p w14:paraId="4F54BEE9" w14:textId="77777777" w:rsidR="00CB74EA" w:rsidRPr="00A72BBD" w:rsidRDefault="00CB74EA" w:rsidP="000A0E2C">
            <w:pPr>
              <w:rPr>
                <w:rFonts w:ascii="Bookman Old Style" w:hAnsi="Bookman Old Style" w:cs="Arial"/>
                <w:b/>
                <w:spacing w:val="-3"/>
              </w:rPr>
            </w:pPr>
          </w:p>
          <w:p w14:paraId="435FDD1A" w14:textId="62FA2A41" w:rsidR="00A72BBD" w:rsidRDefault="00A72BBD" w:rsidP="000A0E2C">
            <w:pPr>
              <w:ind w:left="66"/>
              <w:jc w:val="center"/>
              <w:rPr>
                <w:rFonts w:ascii="Bookman Old Style" w:hAnsi="Bookman Old Style" w:cs="Arial"/>
                <w:b/>
                <w:spacing w:val="-3"/>
              </w:rPr>
            </w:pPr>
          </w:p>
          <w:p w14:paraId="3233EDAF" w14:textId="77777777" w:rsidR="000A0E2C" w:rsidRPr="00A72BBD" w:rsidRDefault="000A0E2C" w:rsidP="000A0E2C">
            <w:pPr>
              <w:ind w:left="66"/>
              <w:jc w:val="center"/>
              <w:rPr>
                <w:rFonts w:ascii="Bookman Old Style" w:hAnsi="Bookman Old Style" w:cs="Arial"/>
                <w:b/>
                <w:spacing w:val="-3"/>
              </w:rPr>
            </w:pPr>
          </w:p>
          <w:p w14:paraId="4FB1FF24" w14:textId="77777777" w:rsidR="00A72BBD" w:rsidRPr="00A72BBD" w:rsidRDefault="00A72BBD" w:rsidP="000A0E2C">
            <w:pPr>
              <w:ind w:left="66"/>
              <w:jc w:val="center"/>
              <w:rPr>
                <w:rFonts w:ascii="Bookman Old Style" w:hAnsi="Bookman Old Style" w:cs="Arial"/>
                <w:b/>
                <w:spacing w:val="-3"/>
              </w:rPr>
            </w:pPr>
          </w:p>
          <w:p w14:paraId="7A95F9F7" w14:textId="75419C5C" w:rsidR="00A72BBD" w:rsidRPr="00A72BBD" w:rsidRDefault="00444704" w:rsidP="000A0E2C">
            <w:pPr>
              <w:ind w:left="66"/>
              <w:jc w:val="center"/>
              <w:rPr>
                <w:rFonts w:ascii="Bookman Old Style" w:hAnsi="Bookman Old Style" w:cs="Arial"/>
                <w:b/>
                <w:spacing w:val="-3"/>
              </w:rPr>
            </w:pPr>
            <w:r>
              <w:rPr>
                <w:rFonts w:ascii="Bookman Old Style" w:hAnsi="Bookman Old Style" w:cs="Arial"/>
                <w:b/>
              </w:rPr>
              <w:t>MIGUEL LOTERO ROBLEDO</w:t>
            </w:r>
          </w:p>
        </w:tc>
        <w:tc>
          <w:tcPr>
            <w:tcW w:w="4678" w:type="dxa"/>
          </w:tcPr>
          <w:p w14:paraId="66A37C87" w14:textId="77777777" w:rsidR="00A72BBD" w:rsidRPr="00A72BBD" w:rsidRDefault="00A72BBD" w:rsidP="000A0E2C">
            <w:pPr>
              <w:ind w:left="89"/>
              <w:jc w:val="center"/>
              <w:rPr>
                <w:rFonts w:ascii="Bookman Old Style" w:hAnsi="Bookman Old Style" w:cs="Arial"/>
                <w:b/>
                <w:spacing w:val="-3"/>
              </w:rPr>
            </w:pPr>
          </w:p>
          <w:p w14:paraId="28ED345D" w14:textId="77777777" w:rsidR="00A72BBD" w:rsidRPr="00A72BBD" w:rsidRDefault="00A72BBD" w:rsidP="000A0E2C">
            <w:pPr>
              <w:ind w:left="89"/>
              <w:jc w:val="center"/>
              <w:rPr>
                <w:rFonts w:ascii="Bookman Old Style" w:hAnsi="Bookman Old Style" w:cs="Arial"/>
                <w:b/>
                <w:spacing w:val="-3"/>
              </w:rPr>
            </w:pPr>
          </w:p>
          <w:p w14:paraId="2EFEAE26" w14:textId="77777777" w:rsidR="00A72BBD" w:rsidRPr="00A72BBD" w:rsidRDefault="00A72BBD" w:rsidP="000A0E2C">
            <w:pPr>
              <w:ind w:left="89"/>
              <w:jc w:val="center"/>
              <w:rPr>
                <w:rFonts w:ascii="Bookman Old Style" w:hAnsi="Bookman Old Style" w:cs="Arial"/>
                <w:b/>
                <w:spacing w:val="-3"/>
              </w:rPr>
            </w:pPr>
          </w:p>
          <w:p w14:paraId="7B6BC3E3" w14:textId="012CE277" w:rsidR="00A72BBD" w:rsidRDefault="00A72BBD" w:rsidP="000A0E2C">
            <w:pPr>
              <w:ind w:left="89"/>
              <w:jc w:val="center"/>
              <w:rPr>
                <w:rFonts w:ascii="Bookman Old Style" w:hAnsi="Bookman Old Style" w:cs="Arial"/>
                <w:b/>
                <w:spacing w:val="-3"/>
              </w:rPr>
            </w:pPr>
          </w:p>
          <w:p w14:paraId="7046E4BB" w14:textId="2DEA0DB4" w:rsidR="00A72BBD" w:rsidRDefault="00A72BBD" w:rsidP="000A0E2C">
            <w:pPr>
              <w:ind w:left="89"/>
              <w:jc w:val="center"/>
              <w:rPr>
                <w:rFonts w:ascii="Bookman Old Style" w:hAnsi="Bookman Old Style" w:cs="Arial"/>
                <w:b/>
                <w:spacing w:val="-3"/>
              </w:rPr>
            </w:pPr>
          </w:p>
          <w:p w14:paraId="071C8A06" w14:textId="77777777" w:rsidR="002F31C8" w:rsidRPr="00A72BBD" w:rsidRDefault="002F31C8" w:rsidP="000A0E2C">
            <w:pPr>
              <w:ind w:left="89"/>
              <w:jc w:val="center"/>
              <w:rPr>
                <w:rFonts w:ascii="Bookman Old Style" w:hAnsi="Bookman Old Style" w:cs="Arial"/>
                <w:b/>
                <w:spacing w:val="-3"/>
              </w:rPr>
            </w:pPr>
          </w:p>
          <w:p w14:paraId="6AC1D124" w14:textId="77777777" w:rsidR="00A72BBD" w:rsidRPr="00A72BBD" w:rsidRDefault="00A72BBD" w:rsidP="000A0E2C">
            <w:pPr>
              <w:ind w:left="89"/>
              <w:jc w:val="center"/>
              <w:rPr>
                <w:rFonts w:ascii="Bookman Old Style" w:hAnsi="Bookman Old Style" w:cs="Arial"/>
                <w:b/>
                <w:spacing w:val="-3"/>
              </w:rPr>
            </w:pPr>
            <w:r w:rsidRPr="00A72BBD">
              <w:rPr>
                <w:rFonts w:ascii="Bookman Old Style" w:hAnsi="Bookman Old Style" w:cs="Arial"/>
                <w:b/>
                <w:spacing w:val="-3"/>
              </w:rPr>
              <w:t>JORGE ALBERTO VALENCIA MARIN</w:t>
            </w:r>
          </w:p>
        </w:tc>
      </w:tr>
      <w:tr w:rsidR="00A72BBD" w:rsidRPr="00A72BBD" w14:paraId="4D22D632" w14:textId="77777777" w:rsidTr="00D86244">
        <w:trPr>
          <w:trHeight w:val="285"/>
          <w:tblCellSpacing w:w="0" w:type="dxa"/>
          <w:jc w:val="center"/>
        </w:trPr>
        <w:tc>
          <w:tcPr>
            <w:tcW w:w="4111" w:type="dxa"/>
            <w:hideMark/>
          </w:tcPr>
          <w:p w14:paraId="0432E659" w14:textId="63248CD8" w:rsidR="00A72BBD" w:rsidRPr="00A72BBD" w:rsidRDefault="00444704" w:rsidP="000A0E2C">
            <w:pPr>
              <w:ind w:left="66"/>
              <w:jc w:val="center"/>
              <w:rPr>
                <w:rFonts w:ascii="Bookman Old Style" w:eastAsia="Arial Unicode MS" w:hAnsi="Bookman Old Style" w:cs="Arial"/>
                <w:color w:val="000000"/>
              </w:rPr>
            </w:pPr>
            <w:r>
              <w:rPr>
                <w:rFonts w:ascii="Bookman Old Style" w:hAnsi="Bookman Old Style" w:cs="Arial"/>
                <w:lang w:val="es-CO" w:eastAsia="es-CO"/>
              </w:rPr>
              <w:t xml:space="preserve">Viceministro de Energía, delegado del </w:t>
            </w:r>
            <w:r w:rsidR="00A72BBD" w:rsidRPr="00A72BBD">
              <w:rPr>
                <w:rFonts w:ascii="Bookman Old Style" w:hAnsi="Bookman Old Style" w:cs="Arial"/>
                <w:lang w:val="es-CO" w:eastAsia="es-CO"/>
              </w:rPr>
              <w:t>Ministro de Minas y Energía</w:t>
            </w:r>
          </w:p>
        </w:tc>
        <w:tc>
          <w:tcPr>
            <w:tcW w:w="4678" w:type="dxa"/>
            <w:hideMark/>
          </w:tcPr>
          <w:p w14:paraId="2FBBA7D8" w14:textId="77777777" w:rsidR="00A72BBD" w:rsidRPr="00A72BBD" w:rsidRDefault="00A72BBD" w:rsidP="000A0E2C">
            <w:pPr>
              <w:jc w:val="center"/>
              <w:rPr>
                <w:rFonts w:ascii="Bookman Old Style" w:eastAsia="Arial Unicode MS" w:hAnsi="Bookman Old Style" w:cs="Arial"/>
                <w:color w:val="000000"/>
              </w:rPr>
            </w:pPr>
            <w:r w:rsidRPr="00A72BBD">
              <w:rPr>
                <w:rFonts w:ascii="Bookman Old Style" w:hAnsi="Bookman Old Style" w:cs="Arial"/>
                <w:spacing w:val="-3"/>
              </w:rPr>
              <w:t>Director Ejecutivo</w:t>
            </w:r>
          </w:p>
        </w:tc>
      </w:tr>
      <w:tr w:rsidR="00A72BBD" w:rsidRPr="00A72BBD" w14:paraId="666390A8" w14:textId="77777777" w:rsidTr="00D86244">
        <w:trPr>
          <w:trHeight w:val="285"/>
          <w:tblCellSpacing w:w="0" w:type="dxa"/>
          <w:jc w:val="center"/>
        </w:trPr>
        <w:tc>
          <w:tcPr>
            <w:tcW w:w="4111" w:type="dxa"/>
            <w:hideMark/>
          </w:tcPr>
          <w:p w14:paraId="4C801601" w14:textId="77777777" w:rsidR="00A72BBD" w:rsidRPr="00A72BBD" w:rsidRDefault="00A72BBD" w:rsidP="000A0E2C">
            <w:pPr>
              <w:ind w:left="66"/>
              <w:jc w:val="center"/>
              <w:rPr>
                <w:rFonts w:ascii="Bookman Old Style" w:eastAsia="Arial Unicode MS" w:hAnsi="Bookman Old Style" w:cs="Arial"/>
                <w:color w:val="000000"/>
              </w:rPr>
            </w:pPr>
            <w:r w:rsidRPr="00A72BBD">
              <w:rPr>
                <w:rFonts w:ascii="Bookman Old Style" w:hAnsi="Bookman Old Style" w:cs="Arial"/>
                <w:spacing w:val="-3"/>
              </w:rPr>
              <w:t>Presidente</w:t>
            </w:r>
          </w:p>
        </w:tc>
        <w:tc>
          <w:tcPr>
            <w:tcW w:w="4678" w:type="dxa"/>
          </w:tcPr>
          <w:p w14:paraId="68D8F608" w14:textId="77777777" w:rsidR="00A72BBD" w:rsidRPr="00A72BBD" w:rsidRDefault="00A72BBD" w:rsidP="000A0E2C">
            <w:pPr>
              <w:jc w:val="center"/>
              <w:rPr>
                <w:rFonts w:ascii="Bookman Old Style" w:eastAsia="Arial Unicode MS" w:hAnsi="Bookman Old Style" w:cs="Arial"/>
                <w:color w:val="000000"/>
              </w:rPr>
            </w:pPr>
          </w:p>
        </w:tc>
      </w:tr>
    </w:tbl>
    <w:p w14:paraId="14B1719F" w14:textId="77777777" w:rsidR="00A72BBD" w:rsidRPr="00A72BBD" w:rsidRDefault="00A72BBD" w:rsidP="000A0E2C">
      <w:pPr>
        <w:ind w:left="0"/>
        <w:jc w:val="both"/>
        <w:rPr>
          <w:rFonts w:ascii="Bookman Old Style" w:hAnsi="Bookman Old Style"/>
        </w:rPr>
      </w:pPr>
    </w:p>
    <w:p w14:paraId="7660AC83" w14:textId="77777777" w:rsidR="00A72BBD" w:rsidRPr="00A72BBD" w:rsidRDefault="00A72BBD" w:rsidP="000A0E2C">
      <w:pPr>
        <w:ind w:left="0"/>
        <w:jc w:val="both"/>
        <w:rPr>
          <w:rFonts w:ascii="Bookman Old Style" w:hAnsi="Bookman Old Style"/>
        </w:rPr>
      </w:pPr>
    </w:p>
    <w:p w14:paraId="5DEE1A8B" w14:textId="645E7F37" w:rsidR="0076100F" w:rsidRDefault="0076100F" w:rsidP="000A0E2C">
      <w:pPr>
        <w:pStyle w:val="Ttulo4"/>
        <w:tabs>
          <w:tab w:val="left" w:pos="0"/>
          <w:tab w:val="right" w:pos="9356"/>
        </w:tabs>
        <w:ind w:left="0"/>
        <w:rPr>
          <w:rFonts w:ascii="Bookman Old Style" w:hAnsi="Bookman Old Style"/>
          <w:b w:val="0"/>
          <w:bCs/>
          <w:sz w:val="24"/>
          <w:szCs w:val="24"/>
        </w:rPr>
      </w:pPr>
    </w:p>
    <w:p w14:paraId="184350B4" w14:textId="697BB632" w:rsidR="001E4A38" w:rsidRDefault="001E4A38" w:rsidP="001E4A38">
      <w:pPr>
        <w:rPr>
          <w:lang w:val="es-ES_tradnl"/>
        </w:rPr>
      </w:pPr>
    </w:p>
    <w:p w14:paraId="4A098DD4" w14:textId="6B92ECE8" w:rsidR="001E4A38" w:rsidRDefault="001E4A38" w:rsidP="001E4A38">
      <w:pPr>
        <w:rPr>
          <w:lang w:val="es-ES_tradnl"/>
        </w:rPr>
      </w:pPr>
    </w:p>
    <w:p w14:paraId="7E9779E3" w14:textId="142BF22D" w:rsidR="001E4A38" w:rsidRDefault="001E4A38" w:rsidP="001E4A38">
      <w:pPr>
        <w:rPr>
          <w:lang w:val="es-ES_tradnl"/>
        </w:rPr>
      </w:pPr>
    </w:p>
    <w:p w14:paraId="74F673CC" w14:textId="2DC555F1" w:rsidR="001E4A38" w:rsidRDefault="001E4A38" w:rsidP="001E4A38">
      <w:pPr>
        <w:rPr>
          <w:lang w:val="es-ES_tradnl"/>
        </w:rPr>
      </w:pPr>
    </w:p>
    <w:p w14:paraId="067EC9B5" w14:textId="490CDF59" w:rsidR="001E4A38" w:rsidRDefault="001E4A38" w:rsidP="001E4A38">
      <w:pPr>
        <w:rPr>
          <w:lang w:val="es-ES_tradnl"/>
        </w:rPr>
      </w:pPr>
    </w:p>
    <w:p w14:paraId="0DE134D3" w14:textId="13B42DD0" w:rsidR="001E4A38" w:rsidRDefault="001E4A38" w:rsidP="001E4A38">
      <w:pPr>
        <w:rPr>
          <w:lang w:val="es-ES_tradnl"/>
        </w:rPr>
      </w:pPr>
    </w:p>
    <w:p w14:paraId="024E5005" w14:textId="3BB98700" w:rsidR="001E4A38" w:rsidRPr="001E4A38" w:rsidRDefault="001E4A38" w:rsidP="001E4A38">
      <w:pPr>
        <w:jc w:val="center"/>
        <w:rPr>
          <w:rFonts w:ascii="Bookman Old Style" w:hAnsi="Bookman Old Style"/>
          <w:b/>
          <w:bCs/>
          <w:lang w:val="es-ES_tradnl"/>
        </w:rPr>
      </w:pPr>
      <w:r w:rsidRPr="001E4A38">
        <w:rPr>
          <w:rFonts w:ascii="Bookman Old Style" w:hAnsi="Bookman Old Style"/>
          <w:b/>
          <w:bCs/>
          <w:lang w:val="es-ES_tradnl"/>
        </w:rPr>
        <w:lastRenderedPageBreak/>
        <w:t>PROYECTO DE RESOLUCIÓN</w:t>
      </w:r>
    </w:p>
    <w:p w14:paraId="3E184BBE" w14:textId="451E7BAF" w:rsidR="001E4A38" w:rsidRDefault="001E4A38" w:rsidP="001E4A38">
      <w:pPr>
        <w:rPr>
          <w:lang w:val="es-ES_tradnl"/>
        </w:rPr>
      </w:pPr>
    </w:p>
    <w:p w14:paraId="30731567" w14:textId="06D5A3EB" w:rsidR="00C034CB" w:rsidRDefault="00C034CB" w:rsidP="000A0E2C">
      <w:pPr>
        <w:ind w:left="0"/>
        <w:rPr>
          <w:rFonts w:ascii="Bookman Old Style" w:hAnsi="Bookman Old Style"/>
          <w:bCs/>
          <w:color w:val="FF0000"/>
          <w:lang w:val="es-CO"/>
        </w:rPr>
      </w:pPr>
    </w:p>
    <w:p w14:paraId="51270DA2" w14:textId="13FEC40D" w:rsidR="00A72BBD" w:rsidRDefault="00FF601F" w:rsidP="001E4A38">
      <w:pPr>
        <w:ind w:left="0"/>
        <w:jc w:val="both"/>
        <w:rPr>
          <w:rFonts w:ascii="Bookman Old Style" w:hAnsi="Bookman Old Style"/>
        </w:rPr>
      </w:pPr>
      <w:r w:rsidRPr="00FF601F">
        <w:rPr>
          <w:rFonts w:ascii="Bookman Old Style" w:hAnsi="Bookman Old Style"/>
        </w:rPr>
        <w:t>Por la cual se señala el porcentaje de la contribución especial que deben pagar las personas prestadoras del servicio de energía eléctrica, gas natural y gas licuado de petróleo (GLP), sometidas a</w:t>
      </w:r>
      <w:r w:rsidR="00C74F02">
        <w:rPr>
          <w:rFonts w:ascii="Bookman Old Style" w:hAnsi="Bookman Old Style"/>
        </w:rPr>
        <w:t xml:space="preserve">l ámbito de </w:t>
      </w:r>
      <w:r w:rsidRPr="00FF601F">
        <w:rPr>
          <w:rFonts w:ascii="Bookman Old Style" w:hAnsi="Bookman Old Style"/>
        </w:rPr>
        <w:t>regulación de la Comisión de Regulación de Energía y Gas en el año 2021 y se dictan otras disposiciones</w:t>
      </w:r>
      <w:r w:rsidR="00C74F02">
        <w:rPr>
          <w:rFonts w:ascii="Bookman Old Style" w:hAnsi="Bookman Old Style"/>
        </w:rPr>
        <w:t>.</w:t>
      </w:r>
    </w:p>
    <w:p w14:paraId="430523DF" w14:textId="6F01CC9D" w:rsidR="000A0E2C" w:rsidRDefault="000A0E2C" w:rsidP="000A0E2C">
      <w:pPr>
        <w:ind w:left="0"/>
        <w:jc w:val="center"/>
        <w:rPr>
          <w:rFonts w:ascii="Bookman Old Style" w:hAnsi="Bookman Old Style"/>
        </w:rPr>
      </w:pPr>
    </w:p>
    <w:p w14:paraId="33139A06" w14:textId="77777777" w:rsidR="00B33435" w:rsidRPr="00A72BBD" w:rsidRDefault="00B33435" w:rsidP="000A0E2C">
      <w:pPr>
        <w:ind w:left="0"/>
        <w:jc w:val="center"/>
        <w:rPr>
          <w:rFonts w:ascii="Bookman Old Style" w:hAnsi="Bookman Old Style"/>
        </w:rPr>
      </w:pPr>
    </w:p>
    <w:p w14:paraId="6242E348" w14:textId="5F1A9B0C" w:rsidR="00A72BBD" w:rsidRDefault="00A72BBD" w:rsidP="000A0E2C">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0A0E2C">
      <w:pPr>
        <w:ind w:left="0"/>
        <w:jc w:val="center"/>
        <w:rPr>
          <w:rFonts w:ascii="Bookman Old Style" w:hAnsi="Bookman Old Style"/>
          <w:b/>
        </w:rPr>
      </w:pPr>
    </w:p>
    <w:p w14:paraId="69A63B02" w14:textId="1FA61935" w:rsidR="00337053" w:rsidRDefault="00337053" w:rsidP="000A0E2C">
      <w:pPr>
        <w:ind w:left="0"/>
        <w:jc w:val="center"/>
        <w:rPr>
          <w:rFonts w:ascii="Bookman Old Style" w:hAnsi="Bookman Old Style"/>
        </w:rPr>
      </w:pPr>
      <w:r w:rsidRPr="00337053">
        <w:rPr>
          <w:rFonts w:ascii="Bookman Old Style" w:hAnsi="Bookman Old Style"/>
        </w:rPr>
        <w:t>En ejercicio de sus atribuciones constitucionales y legales, en especial las conferidas por las Leyes 142 y 143 de 1994, en cumplimiento del artículo 85 de la Ley 142 de 1994, el parágrafo 3º del artículo 2º de la Ley 901 de 2004, los artículos 1° al 5° de la Ley 1066 de 2006</w:t>
      </w:r>
      <w:r>
        <w:rPr>
          <w:rFonts w:ascii="Bookman Old Style" w:hAnsi="Bookman Old Style"/>
        </w:rPr>
        <w:t xml:space="preserve">, </w:t>
      </w:r>
      <w:r w:rsidRPr="00337053">
        <w:rPr>
          <w:rFonts w:ascii="Bookman Old Style" w:hAnsi="Bookman Old Style"/>
        </w:rPr>
        <w:t xml:space="preserve">el artículo 8 de la Ley 1437 de 2011, en desarrollo de los Decretos 1524, 2253 de 1994, </w:t>
      </w:r>
      <w:r>
        <w:rPr>
          <w:rFonts w:ascii="Bookman Old Style" w:hAnsi="Bookman Old Style"/>
        </w:rPr>
        <w:t xml:space="preserve">el capítulo III del </w:t>
      </w:r>
      <w:r w:rsidRPr="00337053">
        <w:rPr>
          <w:rFonts w:ascii="Bookman Old Style" w:hAnsi="Bookman Old Style"/>
        </w:rPr>
        <w:t>Decreto 2461 de 1999 y 1260 de 2013, el Título 13 del Decreto 1078 de 2015 y la Resolución 039 de 2017</w:t>
      </w:r>
    </w:p>
    <w:p w14:paraId="4221D6F4" w14:textId="12089CBE" w:rsidR="000A0E2C" w:rsidRDefault="000A0E2C" w:rsidP="000A0E2C">
      <w:pPr>
        <w:ind w:left="0"/>
        <w:jc w:val="center"/>
        <w:rPr>
          <w:rFonts w:ascii="Bookman Old Style" w:hAnsi="Bookman Old Style"/>
        </w:rPr>
      </w:pPr>
    </w:p>
    <w:p w14:paraId="6C4A5404" w14:textId="4D9BE377" w:rsidR="00045D3D" w:rsidRDefault="00045D3D" w:rsidP="000A0E2C">
      <w:pPr>
        <w:ind w:right="51"/>
        <w:jc w:val="center"/>
        <w:rPr>
          <w:rFonts w:ascii="Bookman Old Style" w:hAnsi="Bookman Old Style"/>
          <w:b/>
        </w:rPr>
      </w:pPr>
      <w:r w:rsidRPr="00C435C3">
        <w:rPr>
          <w:rFonts w:ascii="Bookman Old Style" w:hAnsi="Bookman Old Style"/>
          <w:b/>
        </w:rPr>
        <w:t xml:space="preserve">C O N S I D E R A N D </w:t>
      </w:r>
      <w:r w:rsidR="00337053" w:rsidRPr="00C435C3">
        <w:rPr>
          <w:rFonts w:ascii="Bookman Old Style" w:hAnsi="Bookman Old Style"/>
          <w:b/>
        </w:rPr>
        <w:t>O</w:t>
      </w:r>
      <w:r w:rsidR="00337053">
        <w:rPr>
          <w:rFonts w:ascii="Bookman Old Style" w:hAnsi="Bookman Old Style"/>
          <w:b/>
        </w:rPr>
        <w:t xml:space="preserve">   Q</w:t>
      </w:r>
      <w:r>
        <w:rPr>
          <w:rFonts w:ascii="Bookman Old Style" w:hAnsi="Bookman Old Style"/>
          <w:b/>
        </w:rPr>
        <w:t xml:space="preserve"> U E</w:t>
      </w:r>
      <w:r w:rsidRPr="00C435C3">
        <w:rPr>
          <w:rFonts w:ascii="Bookman Old Style" w:hAnsi="Bookman Old Style"/>
          <w:b/>
        </w:rPr>
        <w:t>:</w:t>
      </w:r>
    </w:p>
    <w:p w14:paraId="70721881" w14:textId="15014671" w:rsidR="000A0E2C" w:rsidRDefault="000A0E2C" w:rsidP="000A0E2C">
      <w:pPr>
        <w:ind w:right="51"/>
        <w:rPr>
          <w:rFonts w:ascii="Bookman Old Style" w:hAnsi="Bookman Old Style"/>
          <w:b/>
        </w:rPr>
      </w:pPr>
    </w:p>
    <w:p w14:paraId="6138C10E" w14:textId="34557A74" w:rsidR="000A0E2C" w:rsidRDefault="000A7931" w:rsidP="00EC6CE6">
      <w:pPr>
        <w:ind w:left="0"/>
        <w:jc w:val="both"/>
        <w:rPr>
          <w:rFonts w:ascii="Bookman Old Style" w:hAnsi="Bookman Old Style" w:cs="Arial"/>
          <w:lang w:val="es-CO"/>
        </w:rPr>
      </w:pPr>
      <w:r>
        <w:rPr>
          <w:rFonts w:ascii="Bookman Old Style" w:hAnsi="Bookman Old Style" w:cs="Arial"/>
          <w:lang w:val="es-CO"/>
        </w:rPr>
        <w:t>E</w:t>
      </w:r>
      <w:r w:rsidR="00EC6CE6" w:rsidRPr="00EC6CE6">
        <w:rPr>
          <w:rFonts w:ascii="Bookman Old Style" w:hAnsi="Bookman Old Style" w:cs="Arial"/>
          <w:lang w:val="es-CO"/>
        </w:rPr>
        <w:t xml:space="preserve">l inciso 2 del artículo 338 de la Constitución Política </w:t>
      </w:r>
      <w:r w:rsidR="00EC6CE6">
        <w:rPr>
          <w:rFonts w:ascii="Bookman Old Style" w:hAnsi="Bookman Old Style" w:cs="Arial"/>
          <w:lang w:val="es-CO"/>
        </w:rPr>
        <w:t xml:space="preserve">de Colombia promulgada en 1991, </w:t>
      </w:r>
      <w:r w:rsidR="00EC6CE6" w:rsidRPr="00EC6CE6">
        <w:rPr>
          <w:rFonts w:ascii="Bookman Old Style" w:hAnsi="Bookman Old Style" w:cs="Arial"/>
          <w:lang w:val="es-CO"/>
        </w:rPr>
        <w:t>señala que “… La ley, las</w:t>
      </w:r>
      <w:r w:rsidR="00EC6CE6">
        <w:rPr>
          <w:rFonts w:ascii="Bookman Old Style" w:hAnsi="Bookman Old Style" w:cs="Arial"/>
          <w:lang w:val="es-CO"/>
        </w:rPr>
        <w:t xml:space="preserve"> </w:t>
      </w:r>
      <w:r w:rsidR="00EC6CE6" w:rsidRPr="00EC6CE6">
        <w:rPr>
          <w:rFonts w:ascii="Bookman Old Style" w:hAnsi="Bookman Old Style" w:cs="Arial"/>
          <w:lang w:val="es-CO"/>
        </w:rPr>
        <w:t>ordenanzas y los acuerdos pueden permitir que las autoridades fijen la tarifa de las tasas y contribuciones que cobren a los contribuyentes, como recuperación de los costos de los</w:t>
      </w:r>
      <w:r w:rsidR="00EC6CE6">
        <w:rPr>
          <w:rFonts w:ascii="Bookman Old Style" w:hAnsi="Bookman Old Style" w:cs="Arial"/>
          <w:lang w:val="es-CO"/>
        </w:rPr>
        <w:t xml:space="preserve"> </w:t>
      </w:r>
      <w:r w:rsidR="00EC6CE6" w:rsidRPr="00EC6CE6">
        <w:rPr>
          <w:rFonts w:ascii="Bookman Old Style" w:hAnsi="Bookman Old Style" w:cs="Arial"/>
          <w:lang w:val="es-CO"/>
        </w:rPr>
        <w:t>servicios que les presten o participación en los beneficios que les proporcionen; pero el</w:t>
      </w:r>
      <w:r w:rsidR="00EC6CE6">
        <w:rPr>
          <w:rFonts w:ascii="Bookman Old Style" w:hAnsi="Bookman Old Style" w:cs="Arial"/>
          <w:lang w:val="es-CO"/>
        </w:rPr>
        <w:t xml:space="preserve"> </w:t>
      </w:r>
      <w:r w:rsidR="00EC6CE6" w:rsidRPr="00EC6CE6">
        <w:rPr>
          <w:rFonts w:ascii="Bookman Old Style" w:hAnsi="Bookman Old Style" w:cs="Arial"/>
          <w:lang w:val="es-CO"/>
        </w:rPr>
        <w:t>sistema, y el método para definir tales costos y beneficios, y la forma de hacer su reparto, debe</w:t>
      </w:r>
      <w:r w:rsidR="00EC6CE6">
        <w:rPr>
          <w:rFonts w:ascii="Bookman Old Style" w:hAnsi="Bookman Old Style" w:cs="Arial"/>
          <w:lang w:val="es-CO"/>
        </w:rPr>
        <w:t xml:space="preserve"> </w:t>
      </w:r>
      <w:r w:rsidR="00EC6CE6" w:rsidRPr="00EC6CE6">
        <w:rPr>
          <w:rFonts w:ascii="Bookman Old Style" w:hAnsi="Bookman Old Style" w:cs="Arial"/>
          <w:lang w:val="es-CO"/>
        </w:rPr>
        <w:t>ser fijados por la ley, las ordenanzas o los acuerdos”.</w:t>
      </w:r>
    </w:p>
    <w:p w14:paraId="672F90B5" w14:textId="7ACF8BFD" w:rsidR="00FE744A" w:rsidRDefault="00FE744A" w:rsidP="00EC6CE6">
      <w:pPr>
        <w:ind w:left="0"/>
        <w:jc w:val="both"/>
        <w:rPr>
          <w:rFonts w:ascii="Bookman Old Style" w:hAnsi="Bookman Old Style" w:cs="Arial"/>
          <w:lang w:val="es-CO"/>
        </w:rPr>
      </w:pPr>
    </w:p>
    <w:p w14:paraId="073A6E36" w14:textId="291BF37F" w:rsidR="00FE744A" w:rsidRPr="00EC6CE6" w:rsidRDefault="000A7931" w:rsidP="00FE744A">
      <w:pPr>
        <w:ind w:left="0"/>
        <w:jc w:val="both"/>
        <w:rPr>
          <w:rFonts w:ascii="Bookman Old Style" w:hAnsi="Bookman Old Style" w:cs="Arial"/>
          <w:lang w:val="es-CO"/>
        </w:rPr>
      </w:pPr>
      <w:r>
        <w:rPr>
          <w:rFonts w:ascii="Bookman Old Style" w:hAnsi="Bookman Old Style" w:cs="Arial"/>
          <w:lang w:val="es-CO"/>
        </w:rPr>
        <w:t>E</w:t>
      </w:r>
      <w:r w:rsidR="00FE744A" w:rsidRPr="00FE744A">
        <w:rPr>
          <w:rFonts w:ascii="Bookman Old Style" w:hAnsi="Bookman Old Style" w:cs="Arial"/>
          <w:lang w:val="es-CO"/>
        </w:rPr>
        <w:t>l artículo 365 de la Constitución Política establece que los servicios públicos son inherentes</w:t>
      </w:r>
      <w:r w:rsidR="00FE744A">
        <w:rPr>
          <w:rFonts w:ascii="Bookman Old Style" w:hAnsi="Bookman Old Style" w:cs="Arial"/>
          <w:lang w:val="es-CO"/>
        </w:rPr>
        <w:t xml:space="preserve"> </w:t>
      </w:r>
      <w:r w:rsidR="00FE744A" w:rsidRPr="00FE744A">
        <w:rPr>
          <w:rFonts w:ascii="Bookman Old Style" w:hAnsi="Bookman Old Style" w:cs="Arial"/>
          <w:lang w:val="es-CO"/>
        </w:rPr>
        <w:t>a la finalidad social del Estado, quien debe garantizar su prestación eficiente a todos los habitantes</w:t>
      </w:r>
      <w:r w:rsidR="00FE744A">
        <w:rPr>
          <w:rFonts w:ascii="Bookman Old Style" w:hAnsi="Bookman Old Style" w:cs="Arial"/>
          <w:lang w:val="es-CO"/>
        </w:rPr>
        <w:t xml:space="preserve"> </w:t>
      </w:r>
      <w:r w:rsidR="00FE744A" w:rsidRPr="00FE744A">
        <w:rPr>
          <w:rFonts w:ascii="Bookman Old Style" w:hAnsi="Bookman Old Style" w:cs="Arial"/>
          <w:lang w:val="es-CO"/>
        </w:rPr>
        <w:t>del territorio nacional.</w:t>
      </w:r>
    </w:p>
    <w:p w14:paraId="785A8D54" w14:textId="77777777" w:rsidR="00EC6CE6" w:rsidRDefault="00EC6CE6" w:rsidP="000A0E2C">
      <w:pPr>
        <w:ind w:left="0"/>
        <w:jc w:val="both"/>
        <w:rPr>
          <w:rFonts w:ascii="Bookman Old Style" w:hAnsi="Bookman Old Style" w:cs="Arial"/>
          <w:lang w:val="es-CO"/>
        </w:rPr>
      </w:pPr>
    </w:p>
    <w:p w14:paraId="4ADE43B1" w14:textId="658BE740" w:rsidR="00EC6CE6" w:rsidRDefault="000A7931" w:rsidP="00EC6CE6">
      <w:pPr>
        <w:ind w:left="0"/>
        <w:jc w:val="both"/>
        <w:rPr>
          <w:rFonts w:ascii="Bookman Old Style" w:hAnsi="Bookman Old Style" w:cs="Arial"/>
          <w:lang w:val="es-CO"/>
        </w:rPr>
      </w:pPr>
      <w:r>
        <w:rPr>
          <w:rFonts w:ascii="Bookman Old Style" w:hAnsi="Bookman Old Style" w:cs="Arial"/>
          <w:lang w:val="es-CO"/>
        </w:rPr>
        <w:t>E</w:t>
      </w:r>
      <w:r w:rsidR="00EC6CE6" w:rsidRPr="00EC6CE6">
        <w:rPr>
          <w:rFonts w:ascii="Bookman Old Style" w:hAnsi="Bookman Old Style" w:cs="Arial"/>
          <w:lang w:val="es-CO"/>
        </w:rPr>
        <w:t>l artículo 370 ibidem, dispone que “</w:t>
      </w:r>
      <w:r w:rsidR="00EC6CE6" w:rsidRPr="00280F45">
        <w:rPr>
          <w:rFonts w:ascii="Bookman Old Style" w:hAnsi="Bookman Old Style" w:cs="Arial"/>
          <w:i/>
          <w:iCs/>
          <w:lang w:val="es-CO"/>
        </w:rPr>
        <w:t xml:space="preserve">Corresponde al Presidente de la República señalar, con sujeción a la ley, las políticas generales de administración y control de eficiencia de los servicios públicos domiciliarios y ejercer por medio de la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uperintendencia de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ervicios </w:t>
      </w:r>
      <w:r w:rsidR="00947AA8" w:rsidRPr="00280F45">
        <w:rPr>
          <w:rFonts w:ascii="Bookman Old Style" w:hAnsi="Bookman Old Style" w:cs="Arial"/>
          <w:i/>
          <w:iCs/>
          <w:lang w:val="es-CO"/>
        </w:rPr>
        <w:t>P</w:t>
      </w:r>
      <w:r w:rsidR="00EC6CE6" w:rsidRPr="00280F45">
        <w:rPr>
          <w:rFonts w:ascii="Bookman Old Style" w:hAnsi="Bookman Old Style" w:cs="Arial"/>
          <w:i/>
          <w:iCs/>
          <w:lang w:val="es-CO"/>
        </w:rPr>
        <w:t xml:space="preserve">úblicos </w:t>
      </w:r>
      <w:r w:rsidR="00947AA8" w:rsidRPr="00280F45">
        <w:rPr>
          <w:rFonts w:ascii="Bookman Old Style" w:hAnsi="Bookman Old Style" w:cs="Arial"/>
          <w:i/>
          <w:iCs/>
          <w:lang w:val="es-CO"/>
        </w:rPr>
        <w:t>D</w:t>
      </w:r>
      <w:r w:rsidR="00EC6CE6" w:rsidRPr="00280F45">
        <w:rPr>
          <w:rFonts w:ascii="Bookman Old Style" w:hAnsi="Bookman Old Style" w:cs="Arial"/>
          <w:i/>
          <w:iCs/>
          <w:lang w:val="es-CO"/>
        </w:rPr>
        <w:t>omiciliarios</w:t>
      </w:r>
      <w:r w:rsidR="00947AA8" w:rsidRPr="00280F45">
        <w:rPr>
          <w:rFonts w:ascii="Bookman Old Style" w:hAnsi="Bookman Old Style" w:cs="Arial"/>
          <w:i/>
          <w:iCs/>
          <w:lang w:val="es-CO"/>
        </w:rPr>
        <w:t xml:space="preserve"> (SSPD)</w:t>
      </w:r>
      <w:r w:rsidR="00EC6CE6" w:rsidRPr="00280F45">
        <w:rPr>
          <w:rFonts w:ascii="Bookman Old Style" w:hAnsi="Bookman Old Style" w:cs="Arial"/>
          <w:i/>
          <w:iCs/>
          <w:lang w:val="es-CO"/>
        </w:rPr>
        <w:t>, el control, la inspección y vigilancia de las entidades que los presten</w:t>
      </w:r>
      <w:r w:rsidR="00EC6CE6" w:rsidRPr="00EC6CE6">
        <w:rPr>
          <w:rFonts w:ascii="Bookman Old Style" w:hAnsi="Bookman Old Style" w:cs="Arial"/>
          <w:lang w:val="es-CO"/>
        </w:rPr>
        <w:t>”</w:t>
      </w:r>
      <w:r w:rsidR="00EC6CE6">
        <w:rPr>
          <w:rFonts w:ascii="Bookman Old Style" w:hAnsi="Bookman Old Style" w:cs="Arial"/>
          <w:lang w:val="es-CO"/>
        </w:rPr>
        <w:t>.</w:t>
      </w:r>
    </w:p>
    <w:p w14:paraId="00593CEC" w14:textId="7A82DDCE" w:rsidR="00947AA8" w:rsidRDefault="00947AA8" w:rsidP="00EC6CE6">
      <w:pPr>
        <w:ind w:left="0"/>
        <w:jc w:val="both"/>
        <w:rPr>
          <w:rFonts w:ascii="Bookman Old Style" w:hAnsi="Bookman Old Style" w:cs="Arial"/>
          <w:lang w:val="es-CO"/>
        </w:rPr>
      </w:pPr>
    </w:p>
    <w:p w14:paraId="09843142" w14:textId="6BA4BC84" w:rsidR="00947AA8" w:rsidRDefault="000A7931" w:rsidP="00947AA8">
      <w:pPr>
        <w:ind w:left="0"/>
        <w:jc w:val="both"/>
        <w:rPr>
          <w:rFonts w:ascii="Bookman Old Style" w:hAnsi="Bookman Old Style" w:cs="Arial"/>
          <w:lang w:val="es-CO"/>
        </w:rPr>
      </w:pPr>
      <w:r>
        <w:rPr>
          <w:rFonts w:ascii="Bookman Old Style" w:hAnsi="Bookman Old Style" w:cs="Arial"/>
          <w:lang w:val="es-CO"/>
        </w:rPr>
        <w:t>L</w:t>
      </w:r>
      <w:r w:rsidR="00947AA8" w:rsidRPr="00947AA8">
        <w:rPr>
          <w:rFonts w:ascii="Bookman Old Style" w:hAnsi="Bookman Old Style" w:cs="Arial"/>
          <w:lang w:val="es-CO"/>
        </w:rPr>
        <w:t xml:space="preserve">a presente </w:t>
      </w:r>
      <w:r>
        <w:rPr>
          <w:rFonts w:ascii="Bookman Old Style" w:hAnsi="Bookman Old Style" w:cs="Arial"/>
          <w:lang w:val="es-CO"/>
        </w:rPr>
        <w:t>r</w:t>
      </w:r>
      <w:r w:rsidR="00947AA8" w:rsidRPr="00947AA8">
        <w:rPr>
          <w:rFonts w:ascii="Bookman Old Style" w:hAnsi="Bookman Old Style" w:cs="Arial"/>
          <w:lang w:val="es-CO"/>
        </w:rPr>
        <w:t>esolución es aplicable a quienes tienen la calidad de personas prestadoras de</w:t>
      </w:r>
      <w:r w:rsidR="00947AA8">
        <w:rPr>
          <w:rFonts w:ascii="Bookman Old Style" w:hAnsi="Bookman Old Style" w:cs="Arial"/>
          <w:lang w:val="es-CO"/>
        </w:rPr>
        <w:t xml:space="preserve"> </w:t>
      </w:r>
      <w:r w:rsidR="00947AA8" w:rsidRPr="00947AA8">
        <w:rPr>
          <w:rFonts w:ascii="Bookman Old Style" w:hAnsi="Bookman Old Style" w:cs="Arial"/>
          <w:lang w:val="es-CO"/>
        </w:rPr>
        <w:t>servicios públicos domiciliarios</w:t>
      </w:r>
      <w:r w:rsidR="00E60491">
        <w:rPr>
          <w:rFonts w:ascii="Bookman Old Style" w:hAnsi="Bookman Old Style" w:cs="Arial"/>
          <w:lang w:val="es-CO"/>
        </w:rPr>
        <w:t>,</w:t>
      </w:r>
      <w:r w:rsidR="00947AA8" w:rsidRPr="00947AA8">
        <w:rPr>
          <w:rFonts w:ascii="Bookman Old Style" w:hAnsi="Bookman Old Style" w:cs="Arial"/>
          <w:lang w:val="es-CO"/>
        </w:rPr>
        <w:t xml:space="preserve"> y </w:t>
      </w:r>
      <w:r w:rsidR="00E60491">
        <w:rPr>
          <w:rFonts w:ascii="Bookman Old Style" w:hAnsi="Bookman Old Style" w:cs="Arial"/>
          <w:lang w:val="es-CO"/>
        </w:rPr>
        <w:t xml:space="preserve">a </w:t>
      </w:r>
      <w:r w:rsidR="00947AA8" w:rsidRPr="00947AA8">
        <w:rPr>
          <w:rFonts w:ascii="Bookman Old Style" w:hAnsi="Bookman Old Style" w:cs="Arial"/>
          <w:lang w:val="es-CO"/>
        </w:rPr>
        <w:t>aquellas que en general realicen actividades complementarias</w:t>
      </w:r>
      <w:r w:rsidR="00947AA8">
        <w:rPr>
          <w:rFonts w:ascii="Bookman Old Style" w:hAnsi="Bookman Old Style" w:cs="Arial"/>
          <w:lang w:val="es-CO"/>
        </w:rPr>
        <w:t xml:space="preserve"> </w:t>
      </w:r>
      <w:r w:rsidR="00947AA8" w:rsidRPr="00947AA8">
        <w:rPr>
          <w:rFonts w:ascii="Bookman Old Style" w:hAnsi="Bookman Old Style" w:cs="Arial"/>
          <w:lang w:val="es-CO"/>
        </w:rPr>
        <w:t>que las haga sujetos de aplicación de las Leyes 142 de 1994, 143 de 1994, 689 de 2001, y</w:t>
      </w:r>
      <w:r w:rsidR="00947AA8">
        <w:rPr>
          <w:rFonts w:ascii="Bookman Old Style" w:hAnsi="Bookman Old Style" w:cs="Arial"/>
          <w:lang w:val="es-CO"/>
        </w:rPr>
        <w:t xml:space="preserve"> </w:t>
      </w:r>
      <w:r w:rsidR="00947AA8" w:rsidRPr="00947AA8">
        <w:rPr>
          <w:rFonts w:ascii="Bookman Old Style" w:hAnsi="Bookman Old Style" w:cs="Arial"/>
          <w:lang w:val="es-CO"/>
        </w:rPr>
        <w:t>demás normas que las adicionen, modifiquen o sustituyan</w:t>
      </w:r>
      <w:r w:rsidR="00947AA8">
        <w:rPr>
          <w:rFonts w:ascii="Bookman Old Style" w:hAnsi="Bookman Old Style" w:cs="Arial"/>
          <w:lang w:val="es-CO"/>
        </w:rPr>
        <w:t>.</w:t>
      </w:r>
    </w:p>
    <w:p w14:paraId="29E11090" w14:textId="77777777" w:rsidR="001E4A38" w:rsidRDefault="001E4A38" w:rsidP="00947AA8">
      <w:pPr>
        <w:ind w:left="0"/>
        <w:jc w:val="both"/>
        <w:rPr>
          <w:rFonts w:ascii="Bookman Old Style" w:hAnsi="Bookman Old Style" w:cs="Arial"/>
          <w:lang w:val="es-CO"/>
        </w:rPr>
      </w:pPr>
    </w:p>
    <w:p w14:paraId="0904EF8F" w14:textId="1B2BEAE6" w:rsidR="003628A6" w:rsidRDefault="000A7931" w:rsidP="000A7931">
      <w:pPr>
        <w:ind w:left="0"/>
        <w:jc w:val="both"/>
        <w:rPr>
          <w:rFonts w:ascii="Bookman Old Style" w:hAnsi="Bookman Old Style" w:cs="Arial"/>
          <w:lang w:val="es-CO"/>
        </w:rPr>
      </w:pPr>
      <w:r>
        <w:rPr>
          <w:rFonts w:ascii="Bookman Old Style" w:hAnsi="Bookman Old Style" w:cs="Arial"/>
          <w:lang w:val="es-CO"/>
        </w:rPr>
        <w:t xml:space="preserve">Las empresas prestadoras de servicios públicos domiciliarios </w:t>
      </w:r>
      <w:r w:rsidR="00E95862">
        <w:rPr>
          <w:rFonts w:ascii="Bookman Old Style" w:hAnsi="Bookman Old Style" w:cs="Arial"/>
          <w:lang w:val="es-CO"/>
        </w:rPr>
        <w:t>tienen la obligación de colocar</w:t>
      </w:r>
      <w:r>
        <w:rPr>
          <w:rFonts w:ascii="Bookman Old Style" w:hAnsi="Bookman Old Style" w:cs="Arial"/>
          <w:lang w:val="es-CO"/>
        </w:rPr>
        <w:t xml:space="preserve"> a disposición </w:t>
      </w:r>
      <w:r w:rsidR="00E95862">
        <w:rPr>
          <w:rFonts w:ascii="Bookman Old Style" w:hAnsi="Bookman Old Style" w:cs="Arial"/>
          <w:lang w:val="es-CO"/>
        </w:rPr>
        <w:t xml:space="preserve">de la SSPD </w:t>
      </w:r>
      <w:r>
        <w:rPr>
          <w:rFonts w:ascii="Bookman Old Style" w:hAnsi="Bookman Old Style" w:cs="Arial"/>
          <w:lang w:val="es-CO"/>
        </w:rPr>
        <w:t>su información financiera</w:t>
      </w:r>
      <w:r w:rsidR="002F31C8">
        <w:rPr>
          <w:rFonts w:ascii="Bookman Old Style" w:hAnsi="Bookman Old Style" w:cs="Arial"/>
          <w:lang w:val="es-CO"/>
        </w:rPr>
        <w:t xml:space="preserve"> certificada</w:t>
      </w:r>
      <w:r>
        <w:rPr>
          <w:rFonts w:ascii="Bookman Old Style" w:hAnsi="Bookman Old Style" w:cs="Arial"/>
          <w:lang w:val="es-CO"/>
        </w:rPr>
        <w:t>,</w:t>
      </w:r>
      <w:r w:rsidRPr="000A7931">
        <w:rPr>
          <w:rFonts w:ascii="Bookman Old Style" w:hAnsi="Bookman Old Style" w:cs="Arial"/>
          <w:lang w:val="es-CO"/>
        </w:rPr>
        <w:t xml:space="preserve"> a través del Sistema Único de Información de servicios públicos domiciliarios (SUI)</w:t>
      </w:r>
      <w:r w:rsidR="002F31C8">
        <w:rPr>
          <w:rFonts w:ascii="Bookman Old Style" w:hAnsi="Bookman Old Style" w:cs="Arial"/>
          <w:lang w:val="es-CO"/>
        </w:rPr>
        <w:t xml:space="preserve">, </w:t>
      </w:r>
      <w:r w:rsidR="002F31C8">
        <w:rPr>
          <w:rFonts w:ascii="Bookman Old Style" w:hAnsi="Bookman Old Style" w:cs="Arial"/>
          <w:lang w:val="es-CO"/>
        </w:rPr>
        <w:lastRenderedPageBreak/>
        <w:t xml:space="preserve">la cual </w:t>
      </w:r>
      <w:r w:rsidR="003628A6" w:rsidRPr="003B17C1">
        <w:rPr>
          <w:rFonts w:ascii="Bookman Old Style" w:hAnsi="Bookman Old Style" w:cs="Arial"/>
        </w:rPr>
        <w:t xml:space="preserve">deberá cumplir con los requisitos de calidad y oportunidad señalados por la </w:t>
      </w:r>
      <w:r w:rsidR="003628A6">
        <w:rPr>
          <w:rFonts w:ascii="Bookman Old Style" w:hAnsi="Bookman Old Style" w:cs="Arial"/>
        </w:rPr>
        <w:t>SSPD.</w:t>
      </w:r>
    </w:p>
    <w:p w14:paraId="5C8AA90C" w14:textId="77777777" w:rsidR="000A7931" w:rsidRDefault="000A7931" w:rsidP="000A0E2C">
      <w:pPr>
        <w:ind w:left="0"/>
        <w:jc w:val="both"/>
        <w:rPr>
          <w:rFonts w:ascii="Bookman Old Style" w:hAnsi="Bookman Old Style" w:cs="Arial"/>
          <w:lang w:val="es-CO"/>
        </w:rPr>
      </w:pPr>
    </w:p>
    <w:p w14:paraId="43E27D0C" w14:textId="1EE5A2A7" w:rsidR="000A7931" w:rsidRDefault="000A7931" w:rsidP="000A0E2C">
      <w:pPr>
        <w:ind w:left="0"/>
        <w:jc w:val="both"/>
        <w:rPr>
          <w:rFonts w:ascii="Bookman Old Style" w:hAnsi="Bookman Old Style" w:cs="Arial"/>
          <w:lang w:val="es-CO"/>
        </w:rPr>
      </w:pPr>
      <w:r w:rsidRPr="000A7931">
        <w:rPr>
          <w:rFonts w:ascii="Bookman Old Style" w:hAnsi="Bookman Old Style" w:cs="Arial"/>
          <w:lang w:val="es-CO"/>
        </w:rPr>
        <w:t xml:space="preserve">Los artículos 85 de la Ley 142 de 1994 y el numeral 18 del artículo 8 del Decreto 1260 de 2013, facultan a la CREG para liquidar y cobrar anualmente una </w:t>
      </w:r>
      <w:r>
        <w:rPr>
          <w:rFonts w:ascii="Bookman Old Style" w:hAnsi="Bookman Old Style" w:cs="Arial"/>
          <w:lang w:val="es-CO"/>
        </w:rPr>
        <w:t>tasa parafiscal de c</w:t>
      </w:r>
      <w:r w:rsidRPr="000A7931">
        <w:rPr>
          <w:rFonts w:ascii="Bookman Old Style" w:hAnsi="Bookman Old Style" w:cs="Arial"/>
          <w:lang w:val="es-CO"/>
        </w:rPr>
        <w:t xml:space="preserve">ontribución </w:t>
      </w:r>
      <w:r>
        <w:rPr>
          <w:rFonts w:ascii="Bookman Old Style" w:hAnsi="Bookman Old Style" w:cs="Arial"/>
          <w:lang w:val="es-CO"/>
        </w:rPr>
        <w:t>e</w:t>
      </w:r>
      <w:r w:rsidRPr="000A7931">
        <w:rPr>
          <w:rFonts w:ascii="Bookman Old Style" w:hAnsi="Bookman Old Style" w:cs="Arial"/>
          <w:lang w:val="es-CO"/>
        </w:rPr>
        <w:t xml:space="preserve">special a las </w:t>
      </w:r>
      <w:r>
        <w:rPr>
          <w:rFonts w:ascii="Bookman Old Style" w:hAnsi="Bookman Old Style" w:cs="Arial"/>
          <w:lang w:val="es-CO"/>
        </w:rPr>
        <w:t>empresas prestadoras de servicios públicos domiciliarios</w:t>
      </w:r>
      <w:r w:rsidR="00E60491">
        <w:rPr>
          <w:rFonts w:ascii="Bookman Old Style" w:hAnsi="Bookman Old Style" w:cs="Arial"/>
          <w:lang w:val="es-CO"/>
        </w:rPr>
        <w:t>,</w:t>
      </w:r>
      <w:r>
        <w:rPr>
          <w:rFonts w:ascii="Bookman Old Style" w:hAnsi="Bookman Old Style" w:cs="Arial"/>
          <w:lang w:val="es-CO"/>
        </w:rPr>
        <w:t xml:space="preserve"> </w:t>
      </w:r>
      <w:r w:rsidRPr="00947AA8">
        <w:rPr>
          <w:rFonts w:ascii="Bookman Old Style" w:hAnsi="Bookman Old Style" w:cs="Arial"/>
          <w:lang w:val="es-CO"/>
        </w:rPr>
        <w:t xml:space="preserve">y </w:t>
      </w:r>
      <w:r w:rsidR="00E60491">
        <w:rPr>
          <w:rFonts w:ascii="Bookman Old Style" w:hAnsi="Bookman Old Style" w:cs="Arial"/>
          <w:lang w:val="es-CO"/>
        </w:rPr>
        <w:t xml:space="preserve">a </w:t>
      </w:r>
      <w:r w:rsidRPr="00947AA8">
        <w:rPr>
          <w:rFonts w:ascii="Bookman Old Style" w:hAnsi="Bookman Old Style" w:cs="Arial"/>
          <w:lang w:val="es-CO"/>
        </w:rPr>
        <w:t>aquellas que en general realicen actividades complementarias</w:t>
      </w:r>
      <w:r>
        <w:rPr>
          <w:rFonts w:ascii="Bookman Old Style" w:hAnsi="Bookman Old Style" w:cs="Arial"/>
          <w:lang w:val="es-CO"/>
        </w:rPr>
        <w:t xml:space="preserve">, </w:t>
      </w:r>
      <w:r w:rsidRPr="000A7931">
        <w:rPr>
          <w:rFonts w:ascii="Bookman Old Style" w:hAnsi="Bookman Old Style" w:cs="Arial"/>
          <w:lang w:val="es-CO"/>
        </w:rPr>
        <w:t>sometidas a su ámbito de regulación</w:t>
      </w:r>
      <w:r w:rsidR="00E60491">
        <w:rPr>
          <w:rFonts w:ascii="Bookman Old Style" w:hAnsi="Bookman Old Style" w:cs="Arial"/>
          <w:lang w:val="es-CO"/>
        </w:rPr>
        <w:t>,</w:t>
      </w:r>
      <w:r w:rsidRPr="000A7931">
        <w:rPr>
          <w:rFonts w:ascii="Bookman Old Style" w:hAnsi="Bookman Old Style" w:cs="Arial"/>
          <w:lang w:val="es-CO"/>
        </w:rPr>
        <w:t xml:space="preserve"> para recuperar los costos en que incurre, con una tarifa que no puede ser superior al uno por ciento (1%) del valor de los gastos de funcionamiento asociados al servicio </w:t>
      </w:r>
      <w:r w:rsidR="00E95862">
        <w:rPr>
          <w:rFonts w:ascii="Bookman Old Style" w:hAnsi="Bookman Old Style" w:cs="Arial"/>
          <w:lang w:val="es-CO"/>
        </w:rPr>
        <w:t xml:space="preserve">sometido a regulación y </w:t>
      </w:r>
      <w:r w:rsidRPr="000A7931">
        <w:rPr>
          <w:rFonts w:ascii="Bookman Old Style" w:hAnsi="Bookman Old Style" w:cs="Arial"/>
          <w:lang w:val="es-CO"/>
        </w:rPr>
        <w:t>en el que se ejercen las facultades descritas, el cual podrá ser adicionado, con los gastos operativos, en la misma proporción en que sean indispensables para cubrir faltantes presupuestales de las Comisiones</w:t>
      </w:r>
      <w:r w:rsidR="007A6A69">
        <w:rPr>
          <w:rFonts w:ascii="Bookman Old Style" w:hAnsi="Bookman Old Style" w:cs="Arial"/>
          <w:lang w:val="es-CO"/>
        </w:rPr>
        <w:t>,</w:t>
      </w:r>
      <w:r w:rsidRPr="000A7931">
        <w:rPr>
          <w:rFonts w:ascii="Bookman Old Style" w:hAnsi="Bookman Old Style" w:cs="Arial"/>
          <w:lang w:val="es-CO"/>
        </w:rPr>
        <w:t xml:space="preserve"> de conformidad con el parágrafo 2 del artículo 85 de la Ley 142 de 1994.</w:t>
      </w:r>
    </w:p>
    <w:p w14:paraId="3517F74A" w14:textId="1136596D" w:rsidR="00E95862" w:rsidRDefault="00E95862" w:rsidP="000A0E2C">
      <w:pPr>
        <w:ind w:left="0"/>
        <w:jc w:val="both"/>
        <w:rPr>
          <w:rFonts w:ascii="Bookman Old Style" w:hAnsi="Bookman Old Style" w:cs="Arial"/>
          <w:lang w:val="es-CO"/>
        </w:rPr>
      </w:pPr>
    </w:p>
    <w:p w14:paraId="01C214AE" w14:textId="5DCA96CA" w:rsidR="00337053" w:rsidRDefault="00E95862" w:rsidP="000A0E2C">
      <w:pPr>
        <w:ind w:left="0"/>
        <w:jc w:val="both"/>
        <w:rPr>
          <w:rFonts w:ascii="Bookman Old Style" w:hAnsi="Bookman Old Style" w:cs="Arial"/>
        </w:rPr>
      </w:pPr>
      <w:r>
        <w:rPr>
          <w:rFonts w:ascii="Bookman Old Style" w:hAnsi="Bookman Old Style" w:cs="Arial"/>
          <w:lang w:val="es-CO"/>
        </w:rPr>
        <w:t xml:space="preserve">La información financiera para depurar y calcular la base gravable de la contribución especial a favor de la CREG, es la correspondiente al año anterior al </w:t>
      </w:r>
      <w:r w:rsidR="002F31C8">
        <w:rPr>
          <w:rFonts w:ascii="Bookman Old Style" w:hAnsi="Bookman Old Style" w:cs="Arial"/>
          <w:lang w:val="es-CO"/>
        </w:rPr>
        <w:t xml:space="preserve">porcentaje </w:t>
      </w:r>
      <w:r>
        <w:rPr>
          <w:rFonts w:ascii="Bookman Old Style" w:hAnsi="Bookman Old Style" w:cs="Arial"/>
          <w:lang w:val="es-CO"/>
        </w:rPr>
        <w:t>año de liquidación y cobro</w:t>
      </w:r>
      <w:r w:rsidR="00227605">
        <w:rPr>
          <w:rFonts w:ascii="Bookman Old Style" w:hAnsi="Bookman Old Style" w:cs="Arial"/>
          <w:lang w:val="es-CO"/>
        </w:rPr>
        <w:t xml:space="preserve">, siendo los </w:t>
      </w:r>
      <w:r w:rsidR="00337053" w:rsidRPr="00337053">
        <w:rPr>
          <w:rFonts w:ascii="Bookman Old Style" w:hAnsi="Bookman Old Style" w:cs="Arial"/>
          <w:lang w:val="es-CO"/>
        </w:rPr>
        <w:t>criterios para la metodología y determinación del porcentaje de la contribución y su liquidación</w:t>
      </w:r>
      <w:r w:rsidR="00227605">
        <w:rPr>
          <w:rFonts w:ascii="Bookman Old Style" w:hAnsi="Bookman Old Style" w:cs="Arial"/>
          <w:lang w:val="es-CO"/>
        </w:rPr>
        <w:t xml:space="preserve"> los </w:t>
      </w:r>
      <w:r w:rsidR="00337053" w:rsidRPr="00337053">
        <w:rPr>
          <w:rFonts w:ascii="Bookman Old Style" w:hAnsi="Bookman Old Style" w:cs="Arial"/>
          <w:lang w:val="es-CO"/>
        </w:rPr>
        <w:t>determinados en el artículo 85 de la Ley 142 de 1994</w:t>
      </w:r>
      <w:r w:rsidR="00227605">
        <w:rPr>
          <w:rFonts w:ascii="Bookman Old Style" w:hAnsi="Bookman Old Style" w:cs="Arial"/>
          <w:lang w:val="es-CO"/>
        </w:rPr>
        <w:t xml:space="preserve">, correspondiéndole </w:t>
      </w:r>
      <w:r w:rsidR="00337053" w:rsidRPr="00A96759">
        <w:rPr>
          <w:rFonts w:ascii="Bookman Old Style" w:hAnsi="Bookman Old Style" w:cs="Arial"/>
        </w:rPr>
        <w:t xml:space="preserve">a la </w:t>
      </w:r>
      <w:r w:rsidR="00337053">
        <w:rPr>
          <w:rFonts w:ascii="Bookman Old Style" w:hAnsi="Bookman Old Style" w:cs="Arial"/>
        </w:rPr>
        <w:t>CREG</w:t>
      </w:r>
      <w:r w:rsidR="00337053" w:rsidRPr="00A96759">
        <w:rPr>
          <w:rFonts w:ascii="Bookman Old Style" w:hAnsi="Bookman Old Style" w:cs="Arial"/>
        </w:rPr>
        <w:t xml:space="preserve"> definir el monto de la contribución que se aplicará a cada una de las entidades sometidas a su regulación por el año </w:t>
      </w:r>
      <w:r w:rsidR="00337053">
        <w:rPr>
          <w:rFonts w:ascii="Bookman Old Style" w:hAnsi="Bookman Old Style" w:cs="Arial"/>
        </w:rPr>
        <w:t>2021</w:t>
      </w:r>
      <w:r w:rsidR="00947AA8">
        <w:rPr>
          <w:rFonts w:ascii="Bookman Old Style" w:hAnsi="Bookman Old Style" w:cs="Arial"/>
        </w:rPr>
        <w:t>.</w:t>
      </w:r>
    </w:p>
    <w:p w14:paraId="748BD16E" w14:textId="5F29AA8E" w:rsidR="00337053" w:rsidRDefault="00337053" w:rsidP="000A0E2C">
      <w:pPr>
        <w:ind w:left="0"/>
        <w:jc w:val="both"/>
        <w:rPr>
          <w:rFonts w:ascii="Bookman Old Style" w:hAnsi="Bookman Old Style" w:cs="Arial"/>
        </w:rPr>
      </w:pPr>
    </w:p>
    <w:p w14:paraId="2C132916" w14:textId="74BDF20B" w:rsidR="004408A1" w:rsidRDefault="004408A1" w:rsidP="004408A1">
      <w:pPr>
        <w:ind w:left="0"/>
        <w:jc w:val="both"/>
        <w:rPr>
          <w:rFonts w:ascii="Bookman Old Style" w:hAnsi="Bookman Old Style" w:cs="Arial"/>
        </w:rPr>
      </w:pPr>
      <w:r w:rsidRPr="004408A1">
        <w:rPr>
          <w:rFonts w:ascii="Bookman Old Style" w:hAnsi="Bookman Old Style" w:cs="Arial"/>
        </w:rPr>
        <w:t>Que de conformidad con lo dispuesto en el numeral 8 del artículo 11 de la Ley 142 de 1994, los</w:t>
      </w:r>
      <w:r>
        <w:rPr>
          <w:rFonts w:ascii="Bookman Old Style" w:hAnsi="Bookman Old Style" w:cs="Arial"/>
        </w:rPr>
        <w:t xml:space="preserve"> </w:t>
      </w:r>
      <w:r w:rsidRPr="004408A1">
        <w:rPr>
          <w:rFonts w:ascii="Bookman Old Style" w:hAnsi="Bookman Old Style" w:cs="Arial"/>
        </w:rPr>
        <w:t xml:space="preserve">prestadores de servicios públicos domiciliarios deben informar a la </w:t>
      </w:r>
      <w:r>
        <w:rPr>
          <w:rFonts w:ascii="Bookman Old Style" w:hAnsi="Bookman Old Style" w:cs="Arial"/>
        </w:rPr>
        <w:t>SSPD</w:t>
      </w:r>
      <w:r w:rsidRPr="004408A1">
        <w:rPr>
          <w:rFonts w:ascii="Bookman Old Style" w:hAnsi="Bookman Old Style" w:cs="Arial"/>
        </w:rPr>
        <w:t xml:space="preserve"> y a las Comisiones</w:t>
      </w:r>
      <w:r>
        <w:rPr>
          <w:rFonts w:ascii="Bookman Old Style" w:hAnsi="Bookman Old Style" w:cs="Arial"/>
        </w:rPr>
        <w:t xml:space="preserve"> </w:t>
      </w:r>
      <w:r w:rsidRPr="004408A1">
        <w:rPr>
          <w:rFonts w:ascii="Bookman Old Style" w:hAnsi="Bookman Old Style" w:cs="Arial"/>
        </w:rPr>
        <w:t>de Regulación el inicio de sus actividades para que puedan cumplir con sus funciones de</w:t>
      </w:r>
      <w:r>
        <w:rPr>
          <w:rFonts w:ascii="Bookman Old Style" w:hAnsi="Bookman Old Style" w:cs="Arial"/>
        </w:rPr>
        <w:t xml:space="preserve"> </w:t>
      </w:r>
      <w:r w:rsidRPr="004408A1">
        <w:rPr>
          <w:rFonts w:ascii="Bookman Old Style" w:hAnsi="Bookman Old Style" w:cs="Arial"/>
        </w:rPr>
        <w:t>regulación, inspección, vigilancia y control.</w:t>
      </w:r>
    </w:p>
    <w:p w14:paraId="7A9E4BB3" w14:textId="77777777" w:rsidR="004408A1" w:rsidRPr="004408A1" w:rsidRDefault="004408A1" w:rsidP="004408A1">
      <w:pPr>
        <w:ind w:left="0"/>
        <w:jc w:val="both"/>
        <w:rPr>
          <w:rFonts w:ascii="Bookman Old Style" w:hAnsi="Bookman Old Style" w:cs="Arial"/>
        </w:rPr>
      </w:pPr>
    </w:p>
    <w:p w14:paraId="447E2C83" w14:textId="120AD7A6" w:rsidR="004408A1" w:rsidRDefault="004408A1" w:rsidP="001A0907">
      <w:pPr>
        <w:ind w:left="0"/>
        <w:jc w:val="both"/>
        <w:rPr>
          <w:rFonts w:ascii="Bookman Old Style" w:hAnsi="Bookman Old Style" w:cs="Arial"/>
        </w:rPr>
      </w:pPr>
      <w:r w:rsidRPr="004408A1">
        <w:rPr>
          <w:rFonts w:ascii="Bookman Old Style" w:hAnsi="Bookman Old Style" w:cs="Arial"/>
        </w:rPr>
        <w:t xml:space="preserve">Que la </w:t>
      </w:r>
      <w:r>
        <w:rPr>
          <w:rFonts w:ascii="Bookman Old Style" w:hAnsi="Bookman Old Style" w:cs="Arial"/>
        </w:rPr>
        <w:t>SSPD</w:t>
      </w:r>
      <w:r w:rsidRPr="004408A1">
        <w:rPr>
          <w:rFonts w:ascii="Bookman Old Style" w:hAnsi="Bookman Old Style" w:cs="Arial"/>
        </w:rPr>
        <w:t xml:space="preserve"> dispuso el Registro Único de Prestadores </w:t>
      </w:r>
      <w:r>
        <w:rPr>
          <w:rFonts w:ascii="Bookman Old Style" w:hAnsi="Bookman Old Style" w:cs="Arial"/>
        </w:rPr>
        <w:t>(</w:t>
      </w:r>
      <w:r w:rsidRPr="004408A1">
        <w:rPr>
          <w:rFonts w:ascii="Bookman Old Style" w:hAnsi="Bookman Old Style" w:cs="Arial"/>
        </w:rPr>
        <w:t>RUPS</w:t>
      </w:r>
      <w:r>
        <w:rPr>
          <w:rFonts w:ascii="Bookman Old Style" w:hAnsi="Bookman Old Style" w:cs="Arial"/>
        </w:rPr>
        <w:t>)</w:t>
      </w:r>
      <w:r w:rsidRPr="004408A1">
        <w:rPr>
          <w:rFonts w:ascii="Bookman Old Style" w:hAnsi="Bookman Old Style" w:cs="Arial"/>
        </w:rPr>
        <w:t xml:space="preserve"> para llevar el registro</w:t>
      </w:r>
      <w:r>
        <w:rPr>
          <w:rFonts w:ascii="Bookman Old Style" w:hAnsi="Bookman Old Style" w:cs="Arial"/>
        </w:rPr>
        <w:t xml:space="preserve"> </w:t>
      </w:r>
      <w:r w:rsidRPr="004408A1">
        <w:rPr>
          <w:rFonts w:ascii="Bookman Old Style" w:hAnsi="Bookman Old Style" w:cs="Arial"/>
        </w:rPr>
        <w:t>de los prestadores de servicios públicos domiciliarios que han puesto en conocimiento de la entidad</w:t>
      </w:r>
      <w:r>
        <w:rPr>
          <w:rFonts w:ascii="Bookman Old Style" w:hAnsi="Bookman Old Style" w:cs="Arial"/>
        </w:rPr>
        <w:t xml:space="preserve"> </w:t>
      </w:r>
      <w:r w:rsidRPr="004408A1">
        <w:rPr>
          <w:rFonts w:ascii="Bookman Old Style" w:hAnsi="Bookman Old Style" w:cs="Arial"/>
        </w:rPr>
        <w:t>el inicio de sus operaciones, así como de aquellos que se han identificado en el ejercicio</w:t>
      </w:r>
      <w:r>
        <w:rPr>
          <w:rFonts w:ascii="Bookman Old Style" w:hAnsi="Bookman Old Style" w:cs="Arial"/>
        </w:rPr>
        <w:t xml:space="preserve"> </w:t>
      </w:r>
      <w:r w:rsidRPr="004408A1">
        <w:rPr>
          <w:rFonts w:ascii="Bookman Old Style" w:hAnsi="Bookman Old Style" w:cs="Arial"/>
        </w:rPr>
        <w:t>de las funciones de inspección, vigilancia y control</w:t>
      </w:r>
      <w:r w:rsidR="001A0907">
        <w:rPr>
          <w:rFonts w:ascii="Bookman Old Style" w:hAnsi="Bookman Old Style" w:cs="Arial"/>
        </w:rPr>
        <w:t xml:space="preserve">, a través de la Resolución SSPD N° </w:t>
      </w:r>
      <w:r w:rsidR="001A0907" w:rsidRPr="001A0907">
        <w:rPr>
          <w:rFonts w:ascii="Bookman Old Style" w:hAnsi="Bookman Old Style" w:cs="Arial"/>
        </w:rPr>
        <w:t xml:space="preserve">20151300047005 </w:t>
      </w:r>
      <w:r w:rsidR="001A0907">
        <w:rPr>
          <w:rFonts w:ascii="Bookman Old Style" w:hAnsi="Bookman Old Style" w:cs="Arial"/>
        </w:rPr>
        <w:t>“</w:t>
      </w:r>
      <w:r w:rsidR="001A0907" w:rsidRPr="00280F45">
        <w:rPr>
          <w:rFonts w:ascii="Bookman Old Style" w:hAnsi="Bookman Old Style" w:cs="Arial"/>
          <w:i/>
          <w:iCs/>
        </w:rPr>
        <w:t>Por la cual se establecen los requerimientos que  deben surtir los  prestadores ante la  SSPD, en relación con el  Registro Único de  Prestadores (RUPS) para  su inscripción,  actualización y  cancelación</w:t>
      </w:r>
      <w:r w:rsidR="001A0907">
        <w:rPr>
          <w:rFonts w:ascii="Bookman Old Style" w:hAnsi="Bookman Old Style" w:cs="Arial"/>
        </w:rPr>
        <w:t>”.</w:t>
      </w:r>
    </w:p>
    <w:p w14:paraId="50F9858C" w14:textId="77777777" w:rsidR="001A0907" w:rsidRDefault="001A0907" w:rsidP="000A0E2C">
      <w:pPr>
        <w:ind w:left="0"/>
        <w:jc w:val="both"/>
        <w:rPr>
          <w:rFonts w:ascii="Bookman Old Style" w:hAnsi="Bookman Old Style" w:cs="Arial"/>
        </w:rPr>
      </w:pPr>
    </w:p>
    <w:p w14:paraId="7D4B58C3" w14:textId="17B9C6A2" w:rsidR="00337053" w:rsidRDefault="000E72EB" w:rsidP="000A0E2C">
      <w:pPr>
        <w:ind w:left="0"/>
        <w:jc w:val="both"/>
        <w:rPr>
          <w:rFonts w:ascii="Bookman Old Style" w:hAnsi="Bookman Old Style" w:cs="Arial"/>
        </w:rPr>
      </w:pPr>
      <w:r>
        <w:rPr>
          <w:rFonts w:ascii="Bookman Old Style" w:hAnsi="Bookman Old Style" w:cs="Arial"/>
        </w:rPr>
        <w:t xml:space="preserve">La </w:t>
      </w:r>
      <w:r w:rsidR="00585C3D">
        <w:rPr>
          <w:rFonts w:ascii="Bookman Old Style" w:hAnsi="Bookman Old Style" w:cs="Arial"/>
        </w:rPr>
        <w:t>SSPD</w:t>
      </w:r>
      <w:r>
        <w:rPr>
          <w:rFonts w:ascii="Bookman Old Style" w:hAnsi="Bookman Old Style" w:cs="Arial"/>
        </w:rPr>
        <w:t xml:space="preserve"> a</w:t>
      </w:r>
      <w:r w:rsidRPr="000E72EB">
        <w:rPr>
          <w:rFonts w:ascii="Bookman Old Style" w:hAnsi="Bookman Old Style" w:cs="Arial"/>
        </w:rPr>
        <w:t xml:space="preserve"> través de la Resolución N° 20211000206585 del </w:t>
      </w:r>
      <w:r>
        <w:rPr>
          <w:rFonts w:ascii="Bookman Old Style" w:hAnsi="Bookman Old Style" w:cs="Arial"/>
        </w:rPr>
        <w:t>3</w:t>
      </w:r>
      <w:r w:rsidRPr="000E72EB">
        <w:rPr>
          <w:rFonts w:ascii="Bookman Old Style" w:hAnsi="Bookman Old Style" w:cs="Arial"/>
        </w:rPr>
        <w:t xml:space="preserve"> de </w:t>
      </w:r>
      <w:r>
        <w:rPr>
          <w:rFonts w:ascii="Bookman Old Style" w:hAnsi="Bookman Old Style" w:cs="Arial"/>
        </w:rPr>
        <w:t>junio</w:t>
      </w:r>
      <w:r w:rsidRPr="000E72EB">
        <w:rPr>
          <w:rFonts w:ascii="Bookman Old Style" w:hAnsi="Bookman Old Style" w:cs="Arial"/>
        </w:rPr>
        <w:t xml:space="preserve"> de 202</w:t>
      </w:r>
      <w:r>
        <w:rPr>
          <w:rFonts w:ascii="Bookman Old Style" w:hAnsi="Bookman Old Style" w:cs="Arial"/>
        </w:rPr>
        <w:t>1</w:t>
      </w:r>
      <w:r w:rsidRPr="000E72EB">
        <w:rPr>
          <w:rFonts w:ascii="Bookman Old Style" w:hAnsi="Bookman Old Style" w:cs="Arial"/>
        </w:rPr>
        <w:t xml:space="preserve"> “</w:t>
      </w:r>
      <w:r w:rsidRPr="00280F45">
        <w:rPr>
          <w:rFonts w:ascii="Bookman Old Style" w:hAnsi="Bookman Old Style" w:cs="Arial"/>
          <w:i/>
          <w:iCs/>
        </w:rPr>
        <w:t>Por la cual se establece el número de prestadores que servirá como base para liquidar la contribución especial para el año 2021 y la contribución adicional para el fortalecimiento del Fondo Empresarial</w:t>
      </w:r>
      <w:r w:rsidRPr="000E72EB">
        <w:rPr>
          <w:rFonts w:ascii="Bookman Old Style" w:hAnsi="Bookman Old Style" w:cs="Arial"/>
        </w:rPr>
        <w:t>”, determinó el número de prestadores de servicios públicos domiciliarios</w:t>
      </w:r>
      <w:r w:rsidR="00585C3D">
        <w:rPr>
          <w:rFonts w:ascii="Bookman Old Style" w:hAnsi="Bookman Old Style" w:cs="Arial"/>
        </w:rPr>
        <w:t>, los cuales son</w:t>
      </w:r>
      <w:r w:rsidRPr="000E72EB">
        <w:rPr>
          <w:rFonts w:ascii="Bookman Old Style" w:hAnsi="Bookman Old Style" w:cs="Arial"/>
        </w:rPr>
        <w:t xml:space="preserve"> del ámbito de </w:t>
      </w:r>
      <w:r>
        <w:rPr>
          <w:rFonts w:ascii="Bookman Old Style" w:hAnsi="Bookman Old Style" w:cs="Arial"/>
        </w:rPr>
        <w:t xml:space="preserve">regulación de </w:t>
      </w:r>
      <w:r w:rsidRPr="000E72EB">
        <w:rPr>
          <w:rFonts w:ascii="Bookman Old Style" w:hAnsi="Bookman Old Style" w:cs="Arial"/>
        </w:rPr>
        <w:t>la CREG</w:t>
      </w:r>
      <w:r w:rsidR="00585C3D">
        <w:rPr>
          <w:rFonts w:ascii="Bookman Old Style" w:hAnsi="Bookman Old Style" w:cs="Arial"/>
        </w:rPr>
        <w:t>;</w:t>
      </w:r>
      <w:r w:rsidRPr="000E72EB">
        <w:rPr>
          <w:rFonts w:ascii="Bookman Old Style" w:hAnsi="Bookman Old Style" w:cs="Arial"/>
        </w:rPr>
        <w:t xml:space="preserve"> censo que servirá de base para la CREG realizar el cálculo de la tarifa de la Contribución Especial 202</w:t>
      </w:r>
      <w:r>
        <w:rPr>
          <w:rFonts w:ascii="Bookman Old Style" w:hAnsi="Bookman Old Style" w:cs="Arial"/>
        </w:rPr>
        <w:t>1</w:t>
      </w:r>
      <w:r w:rsidRPr="000E72EB">
        <w:rPr>
          <w:rFonts w:ascii="Bookman Old Style" w:hAnsi="Bookman Old Style" w:cs="Arial"/>
        </w:rPr>
        <w:t>.</w:t>
      </w:r>
    </w:p>
    <w:p w14:paraId="4E3509BD" w14:textId="63C372B2" w:rsidR="000A0E2C" w:rsidRDefault="000A0E2C" w:rsidP="000A0E2C">
      <w:pPr>
        <w:ind w:left="0"/>
        <w:jc w:val="both"/>
        <w:rPr>
          <w:rFonts w:ascii="Bookman Old Style" w:hAnsi="Bookman Old Style" w:cs="Arial"/>
        </w:rPr>
      </w:pPr>
    </w:p>
    <w:p w14:paraId="07FAC8A1" w14:textId="01C47A8F" w:rsidR="000A0E2C" w:rsidRDefault="000A0E2C" w:rsidP="000A0E2C">
      <w:pPr>
        <w:ind w:left="0"/>
        <w:jc w:val="both"/>
        <w:rPr>
          <w:rFonts w:ascii="Bookman Old Style" w:hAnsi="Bookman Old Style" w:cs="Arial"/>
        </w:rPr>
      </w:pPr>
      <w:r>
        <w:rPr>
          <w:rFonts w:ascii="Bookman Old Style" w:hAnsi="Bookman Old Style" w:cs="Arial"/>
        </w:rPr>
        <w:t>De conformidad con lo dispuesto en los artículos 53 y 79.4 de la Ley 142 de 1994</w:t>
      </w:r>
      <w:r w:rsidR="007A6A69">
        <w:rPr>
          <w:rFonts w:ascii="Bookman Old Style" w:hAnsi="Bookman Old Style" w:cs="Arial"/>
        </w:rPr>
        <w:t>,</w:t>
      </w:r>
      <w:r>
        <w:rPr>
          <w:rFonts w:ascii="Bookman Old Style" w:hAnsi="Bookman Old Style" w:cs="Arial"/>
        </w:rPr>
        <w:t xml:space="preserve"> y </w:t>
      </w:r>
      <w:r w:rsidR="007A6A69">
        <w:rPr>
          <w:rFonts w:ascii="Bookman Old Style" w:hAnsi="Bookman Old Style" w:cs="Arial"/>
        </w:rPr>
        <w:t xml:space="preserve">el </w:t>
      </w:r>
      <w:r>
        <w:rPr>
          <w:rFonts w:ascii="Bookman Old Style" w:hAnsi="Bookman Old Style" w:cs="Arial"/>
        </w:rPr>
        <w:t>artículo 14 de la Ley 689 de 2001, corresponde a la SSPD, establecer, administrar, mantener y operar el SUI, como s</w:t>
      </w:r>
      <w:r w:rsidRPr="0072159E">
        <w:rPr>
          <w:rFonts w:ascii="Bookman Old Style" w:hAnsi="Bookman Old Style" w:cs="Arial"/>
        </w:rPr>
        <w:t xml:space="preserve">istema oficial del sector de </w:t>
      </w:r>
      <w:r w:rsidRPr="0072159E">
        <w:rPr>
          <w:rFonts w:ascii="Bookman Old Style" w:hAnsi="Bookman Old Style" w:cs="Arial"/>
        </w:rPr>
        <w:lastRenderedPageBreak/>
        <w:t xml:space="preserve">servicios públicos domiciliarios del país que recoge, almacena, procesa y publica información reportada por parte de las empresas </w:t>
      </w:r>
      <w:r>
        <w:rPr>
          <w:rFonts w:ascii="Bookman Old Style" w:hAnsi="Bookman Old Style" w:cs="Arial"/>
        </w:rPr>
        <w:t xml:space="preserve">y entidades territoriales </w:t>
      </w:r>
      <w:r w:rsidRPr="0072159E">
        <w:rPr>
          <w:rFonts w:ascii="Bookman Old Style" w:hAnsi="Bookman Old Style" w:cs="Arial"/>
        </w:rPr>
        <w:t xml:space="preserve">prestadoras </w:t>
      </w:r>
      <w:r>
        <w:rPr>
          <w:rFonts w:ascii="Bookman Old Style" w:hAnsi="Bookman Old Style" w:cs="Arial"/>
        </w:rPr>
        <w:t>de servicios públicos</w:t>
      </w:r>
      <w:r w:rsidRPr="0072159E">
        <w:rPr>
          <w:rFonts w:ascii="Bookman Old Style" w:hAnsi="Bookman Old Style" w:cs="Arial"/>
        </w:rPr>
        <w:t>.</w:t>
      </w:r>
    </w:p>
    <w:p w14:paraId="02E22F18" w14:textId="77777777" w:rsidR="000A0E2C" w:rsidRDefault="000A0E2C" w:rsidP="000A0E2C">
      <w:pPr>
        <w:ind w:left="0"/>
        <w:jc w:val="both"/>
        <w:rPr>
          <w:rFonts w:ascii="Bookman Old Style" w:hAnsi="Bookman Old Style" w:cs="Arial"/>
        </w:rPr>
      </w:pPr>
    </w:p>
    <w:p w14:paraId="3AEF7658" w14:textId="7C94273A" w:rsidR="000A0E2C" w:rsidRDefault="000A0E2C" w:rsidP="000A0E2C">
      <w:pPr>
        <w:ind w:left="0"/>
        <w:jc w:val="both"/>
        <w:rPr>
          <w:rFonts w:ascii="Bookman Old Style" w:hAnsi="Bookman Old Style" w:cs="Arial"/>
        </w:rPr>
      </w:pPr>
      <w:r>
        <w:rPr>
          <w:rFonts w:ascii="Bookman Old Style" w:hAnsi="Bookman Old Style" w:cs="Arial"/>
        </w:rPr>
        <w:t>El SUI</w:t>
      </w:r>
      <w:r w:rsidR="007A6A69">
        <w:rPr>
          <w:rFonts w:ascii="Bookman Old Style" w:hAnsi="Bookman Old Style" w:cs="Arial"/>
        </w:rPr>
        <w:t>,</w:t>
      </w:r>
      <w:r>
        <w:rPr>
          <w:rFonts w:ascii="Bookman Old Style" w:hAnsi="Bookman Old Style" w:cs="Arial"/>
        </w:rPr>
        <w:t xml:space="preserve"> como plataforma digital</w:t>
      </w:r>
      <w:r w:rsidR="007A6A69">
        <w:rPr>
          <w:rFonts w:ascii="Bookman Old Style" w:hAnsi="Bookman Old Style" w:cs="Arial"/>
        </w:rPr>
        <w:t>,</w:t>
      </w:r>
      <w:r>
        <w:rPr>
          <w:rFonts w:ascii="Bookman Old Style" w:hAnsi="Bookman Old Style" w:cs="Arial"/>
        </w:rPr>
        <w:t xml:space="preserve"> almacena la información proveniente de los prestadores de servicios públicos sujetos a su inspección, vigilancia y control,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Regulación, y demás autoridades y agentes del sector de los servicios públicos domiciliarios que requieran de la misma, entre otros.</w:t>
      </w:r>
    </w:p>
    <w:p w14:paraId="49663DF9" w14:textId="77777777" w:rsidR="003628A6" w:rsidRDefault="003628A6" w:rsidP="000A0E2C">
      <w:pPr>
        <w:ind w:left="0"/>
        <w:jc w:val="both"/>
        <w:rPr>
          <w:rFonts w:ascii="Bookman Old Style" w:hAnsi="Bookman Old Style" w:cs="Arial"/>
        </w:rPr>
      </w:pPr>
    </w:p>
    <w:p w14:paraId="6C0A3701" w14:textId="77777777" w:rsidR="000A0E2C" w:rsidRDefault="000A0E2C" w:rsidP="000A0E2C">
      <w:pPr>
        <w:ind w:left="0"/>
        <w:jc w:val="both"/>
        <w:rPr>
          <w:rFonts w:ascii="Bookman Old Style" w:hAnsi="Bookman Old Style" w:cs="Arial"/>
        </w:rPr>
      </w:pPr>
      <w:r>
        <w:rPr>
          <w:rFonts w:ascii="Bookman Old Style" w:hAnsi="Bookman Old Style" w:cs="Arial"/>
        </w:rPr>
        <w:t>El d</w:t>
      </w:r>
      <w:r w:rsidRPr="0065221D">
        <w:rPr>
          <w:rFonts w:ascii="Bookman Old Style" w:hAnsi="Bookman Old Style" w:cs="Arial"/>
        </w:rPr>
        <w:t xml:space="preserve">ocumento CONPES </w:t>
      </w:r>
      <w:r>
        <w:rPr>
          <w:rFonts w:ascii="Bookman Old Style" w:hAnsi="Bookman Old Style" w:cs="Arial"/>
        </w:rPr>
        <w:t xml:space="preserve">N° </w:t>
      </w:r>
      <w:r w:rsidRPr="0065221D">
        <w:rPr>
          <w:rFonts w:ascii="Bookman Old Style" w:hAnsi="Bookman Old Style" w:cs="Arial"/>
        </w:rPr>
        <w:t xml:space="preserve">3168 de 2002 </w:t>
      </w:r>
      <w:r>
        <w:rPr>
          <w:rFonts w:ascii="Bookman Old Style" w:hAnsi="Bookman Old Style" w:cs="Arial"/>
        </w:rPr>
        <w:t>estableció</w:t>
      </w:r>
      <w:r w:rsidRPr="0065221D">
        <w:rPr>
          <w:rFonts w:ascii="Bookman Old Style" w:hAnsi="Bookman Old Style" w:cs="Arial"/>
        </w:rPr>
        <w:t xml:space="preserve"> las estrategias para el diseño y adopción del SUI</w:t>
      </w:r>
      <w:r>
        <w:rPr>
          <w:rFonts w:ascii="Bookman Old Style" w:hAnsi="Bookman Old Style" w:cs="Arial"/>
        </w:rPr>
        <w:t>, el cual b</w:t>
      </w:r>
      <w:r w:rsidRPr="0065221D">
        <w:rPr>
          <w:rFonts w:ascii="Bookman Old Style" w:hAnsi="Bookman Old Style" w:cs="Arial"/>
        </w:rPr>
        <w:t>usca estandarizar requerimientos de información y aportar datos que permita a las entidades del Gobierno evaluar la prest</w:t>
      </w:r>
      <w:r>
        <w:rPr>
          <w:rFonts w:ascii="Bookman Old Style" w:hAnsi="Bookman Old Style" w:cs="Arial"/>
        </w:rPr>
        <w:t xml:space="preserve">ación de los servicios públicos, siendo </w:t>
      </w:r>
      <w:r w:rsidRPr="0065221D">
        <w:rPr>
          <w:rFonts w:ascii="Bookman Old Style" w:hAnsi="Bookman Old Style" w:cs="Arial"/>
        </w:rPr>
        <w:t>un sistema suprainstitucional que busca eliminar asimetrías de informació</w:t>
      </w:r>
      <w:r>
        <w:rPr>
          <w:rFonts w:ascii="Bookman Old Style" w:hAnsi="Bookman Old Style" w:cs="Arial"/>
        </w:rPr>
        <w:t xml:space="preserve">n, y la duplicidad de esfuerzos, </w:t>
      </w:r>
      <w:r w:rsidRPr="0065221D">
        <w:rPr>
          <w:rFonts w:ascii="Bookman Old Style" w:hAnsi="Bookman Old Style" w:cs="Arial"/>
        </w:rPr>
        <w:t>garantiza</w:t>
      </w:r>
      <w:r>
        <w:rPr>
          <w:rFonts w:ascii="Bookman Old Style" w:hAnsi="Bookman Old Style" w:cs="Arial"/>
        </w:rPr>
        <w:t>ndo</w:t>
      </w:r>
      <w:r w:rsidRPr="0065221D">
        <w:rPr>
          <w:rFonts w:ascii="Bookman Old Style" w:hAnsi="Bookman Old Style" w:cs="Arial"/>
        </w:rPr>
        <w:t xml:space="preserve"> la consecución de datos completos, confiables y oportunos, permitiendo el cumplimiento de las funciones misionales, en beneficio de la comunidad.</w:t>
      </w:r>
    </w:p>
    <w:p w14:paraId="5EED2037" w14:textId="77777777" w:rsidR="000A0E2C" w:rsidRDefault="000A0E2C" w:rsidP="000A0E2C">
      <w:pPr>
        <w:ind w:left="0"/>
        <w:jc w:val="both"/>
        <w:rPr>
          <w:rFonts w:ascii="Bookman Old Style" w:hAnsi="Bookman Old Style" w:cs="Arial"/>
        </w:rPr>
      </w:pPr>
    </w:p>
    <w:p w14:paraId="49F9CBC0" w14:textId="77777777" w:rsidR="000A0E2C" w:rsidRDefault="000A0E2C" w:rsidP="000A0E2C">
      <w:pPr>
        <w:ind w:left="0"/>
        <w:jc w:val="both"/>
        <w:rPr>
          <w:rFonts w:ascii="Bookman Old Style" w:hAnsi="Bookman Old Style" w:cs="Arial"/>
        </w:rPr>
      </w:pPr>
      <w:r>
        <w:rPr>
          <w:rFonts w:ascii="Bookman Old Style" w:hAnsi="Bookman Old Style" w:cs="Arial"/>
        </w:rPr>
        <w:t xml:space="preserve">En la </w:t>
      </w:r>
      <w:r w:rsidRPr="00460949">
        <w:rPr>
          <w:rFonts w:ascii="Bookman Old Style" w:hAnsi="Bookman Old Style" w:cs="Arial"/>
        </w:rPr>
        <w:t xml:space="preserve">Resolución </w:t>
      </w:r>
      <w:r>
        <w:rPr>
          <w:rFonts w:ascii="Bookman Old Style" w:hAnsi="Bookman Old Style" w:cs="Arial"/>
        </w:rPr>
        <w:t>SSPD N°</w:t>
      </w:r>
      <w:r w:rsidRPr="00460949">
        <w:rPr>
          <w:rFonts w:ascii="Bookman Old Style" w:hAnsi="Bookman Old Style" w:cs="Arial"/>
        </w:rPr>
        <w:t xml:space="preserve"> 013092 de Octubre 30 de 2002</w:t>
      </w:r>
      <w:r>
        <w:rPr>
          <w:rFonts w:ascii="Bookman Old Style" w:hAnsi="Bookman Old Style" w:cs="Arial"/>
        </w:rPr>
        <w:t>, se estableció</w:t>
      </w:r>
      <w:r w:rsidRPr="00460949">
        <w:rPr>
          <w:rFonts w:ascii="Bookman Old Style" w:hAnsi="Bookman Old Style" w:cs="Arial"/>
        </w:rPr>
        <w:t xml:space="preserve"> el Formato Único de Información para las Empresas de Servicios Públicos previo concepto del Ministerio de Ambiente y Desarrollo Sostenible, Ministerio de Vivienda, Ciudad y Territorio de Colombia, Ministerio de Minas y Energía, Ministerios de Tecnologías de la Información y las Comunicaciones y de las Comisiones de Regulación de Agua Potable y Saneamiento Básico (CRA), Comisión de Regulación de Energía y Gas (CREG), Comisión de Regulación de Comunicaciones (CRC) y Departamento Nacional de Planeación (DNP).</w:t>
      </w:r>
    </w:p>
    <w:p w14:paraId="0F0A6290" w14:textId="77777777" w:rsidR="000A0E2C" w:rsidRDefault="000A0E2C" w:rsidP="000A0E2C">
      <w:pPr>
        <w:ind w:left="0"/>
        <w:jc w:val="both"/>
        <w:rPr>
          <w:rFonts w:ascii="Bookman Old Style" w:hAnsi="Bookman Old Style" w:cs="Arial"/>
        </w:rPr>
      </w:pPr>
    </w:p>
    <w:p w14:paraId="1C73F1AD" w14:textId="77777777" w:rsidR="000A0E2C" w:rsidRDefault="000A0E2C" w:rsidP="000A0E2C">
      <w:pPr>
        <w:ind w:left="0"/>
        <w:jc w:val="both"/>
        <w:rPr>
          <w:rFonts w:ascii="Bookman Old Style" w:hAnsi="Bookman Old Style" w:cs="Arial"/>
          <w:lang w:val="es-CO"/>
        </w:rPr>
      </w:pPr>
      <w:r>
        <w:rPr>
          <w:rFonts w:ascii="Bookman Old Style" w:hAnsi="Bookman Old Style" w:cs="Arial"/>
          <w:lang w:val="es-CO"/>
        </w:rPr>
        <w:t xml:space="preserve">En la </w:t>
      </w:r>
      <w:r w:rsidRPr="00842BD2">
        <w:rPr>
          <w:rFonts w:ascii="Bookman Old Style" w:hAnsi="Bookman Old Style" w:cs="Arial"/>
          <w:lang w:val="es-CO"/>
        </w:rPr>
        <w:t xml:space="preserve">Circular </w:t>
      </w:r>
      <w:r>
        <w:rPr>
          <w:rFonts w:ascii="Bookman Old Style" w:hAnsi="Bookman Old Style" w:cs="Arial"/>
          <w:lang w:val="es-CO"/>
        </w:rPr>
        <w:t>e</w:t>
      </w:r>
      <w:r w:rsidRPr="00842BD2">
        <w:rPr>
          <w:rFonts w:ascii="Bookman Old Style" w:hAnsi="Bookman Old Style" w:cs="Arial"/>
          <w:lang w:val="es-CO"/>
        </w:rPr>
        <w:t xml:space="preserve">xterna </w:t>
      </w:r>
      <w:r>
        <w:rPr>
          <w:rFonts w:ascii="Bookman Old Style" w:hAnsi="Bookman Old Style" w:cs="Arial"/>
          <w:lang w:val="es-CO"/>
        </w:rPr>
        <w:t xml:space="preserve">SSPD-CREG N° </w:t>
      </w:r>
      <w:r w:rsidRPr="00842BD2">
        <w:rPr>
          <w:rFonts w:ascii="Bookman Old Style" w:hAnsi="Bookman Old Style" w:cs="Arial"/>
          <w:lang w:val="es-CO"/>
        </w:rPr>
        <w:t xml:space="preserve">000009 </w:t>
      </w:r>
      <w:r>
        <w:rPr>
          <w:rFonts w:ascii="Bookman Old Style" w:hAnsi="Bookman Old Style" w:cs="Arial"/>
          <w:lang w:val="es-CO"/>
        </w:rPr>
        <w:t>del 14 de agosto de 2003 se imparten instrucciones con respecto a la información financiera y el catálogo de cuentas a los prestadores de servicios públicos domiciliarios.</w:t>
      </w:r>
    </w:p>
    <w:p w14:paraId="270B38A4" w14:textId="77777777" w:rsidR="000A0E2C" w:rsidRDefault="000A0E2C" w:rsidP="000A0E2C">
      <w:pPr>
        <w:ind w:left="0"/>
        <w:jc w:val="both"/>
        <w:rPr>
          <w:rFonts w:ascii="Bookman Old Style" w:hAnsi="Bookman Old Style" w:cs="Arial"/>
          <w:lang w:val="es-CO"/>
        </w:rPr>
      </w:pPr>
    </w:p>
    <w:p w14:paraId="7488A74B" w14:textId="2A4F42C5" w:rsidR="000A0E2C" w:rsidRPr="000B2934" w:rsidRDefault="007F4298" w:rsidP="000A0E2C">
      <w:pPr>
        <w:ind w:left="0"/>
        <w:jc w:val="both"/>
        <w:rPr>
          <w:rFonts w:ascii="Bookman Old Style" w:hAnsi="Bookman Old Style" w:cs="Arial"/>
          <w:lang w:val="es-CO"/>
        </w:rPr>
      </w:pPr>
      <w:r>
        <w:rPr>
          <w:rFonts w:ascii="Bookman Old Style" w:hAnsi="Bookman Old Style" w:cs="Arial"/>
          <w:lang w:val="es-CO"/>
        </w:rPr>
        <w:t xml:space="preserve">La </w:t>
      </w:r>
      <w:r w:rsidR="000A0E2C" w:rsidRPr="000B2934">
        <w:rPr>
          <w:rFonts w:ascii="Bookman Old Style" w:hAnsi="Bookman Old Style" w:cs="Arial"/>
          <w:lang w:val="es-CO"/>
        </w:rPr>
        <w:t xml:space="preserve">Resolución SSPD N° 000321 de 2003, </w:t>
      </w:r>
      <w:r>
        <w:rPr>
          <w:rFonts w:ascii="Bookman Old Style" w:hAnsi="Bookman Old Style" w:cs="Arial"/>
          <w:lang w:val="es-CO"/>
        </w:rPr>
        <w:t xml:space="preserve">la Superintendencia de Servicios Públicos Domiciliarios </w:t>
      </w:r>
      <w:r w:rsidR="000A0E2C" w:rsidRPr="000B2934">
        <w:rPr>
          <w:rFonts w:ascii="Bookman Old Style" w:hAnsi="Bookman Old Style" w:cs="Arial"/>
          <w:lang w:val="es-CO"/>
        </w:rPr>
        <w:t xml:space="preserve">determinó que la información reportada al SUI por parte de los prestadores de estos servicios, se considera oficial para todos los fines previstos en la ley. </w:t>
      </w:r>
    </w:p>
    <w:p w14:paraId="3986DF88" w14:textId="77777777" w:rsidR="000A0E2C" w:rsidRPr="000B2934" w:rsidRDefault="000A0E2C" w:rsidP="000A0E2C">
      <w:pPr>
        <w:ind w:left="0"/>
        <w:jc w:val="both"/>
        <w:rPr>
          <w:rFonts w:ascii="Bookman Old Style" w:hAnsi="Bookman Old Style" w:cs="Arial"/>
          <w:lang w:val="es-CO"/>
        </w:rPr>
      </w:pPr>
    </w:p>
    <w:p w14:paraId="4DB955B7" w14:textId="4CD80A9A" w:rsidR="000A0E2C" w:rsidRDefault="000A0E2C" w:rsidP="000A0E2C">
      <w:pPr>
        <w:ind w:left="0"/>
        <w:jc w:val="both"/>
        <w:rPr>
          <w:rFonts w:ascii="Bookman Old Style" w:hAnsi="Bookman Old Style" w:cs="Arial"/>
        </w:rPr>
      </w:pPr>
      <w:r w:rsidRPr="000B2934">
        <w:rPr>
          <w:rFonts w:ascii="Bookman Old Style" w:hAnsi="Bookman Old Style" w:cs="Arial"/>
          <w:lang w:val="es-CO"/>
        </w:rPr>
        <w:t>La información que certifiquen los prestadores de servicios públicos a través del SUI, debe cumplir con los requisitos de calidad y oportunidad, señalados por la Superservicios en la Circular Externa SSPD N° 00001 del 25 de enero de 2006, “Vigilancia y control de la consistencia y calidad de Información reportada al Sistema Único de Información – SUI”</w:t>
      </w:r>
      <w:r w:rsidR="00227605">
        <w:rPr>
          <w:rFonts w:ascii="Bookman Old Style" w:hAnsi="Bookman Old Style" w:cs="Arial"/>
          <w:lang w:val="es-CO"/>
        </w:rPr>
        <w:t xml:space="preserve">, siendo </w:t>
      </w:r>
      <w:r w:rsidR="00585C3D">
        <w:rPr>
          <w:rFonts w:ascii="Bookman Old Style" w:hAnsi="Bookman Old Style" w:cs="Arial"/>
        </w:rPr>
        <w:t>esta</w:t>
      </w:r>
      <w:r>
        <w:rPr>
          <w:rFonts w:ascii="Bookman Old Style" w:hAnsi="Bookman Old Style" w:cs="Arial"/>
        </w:rPr>
        <w:t xml:space="preserve"> plataforma digital fuente de información financiera de carácter oficial para establecer la contribución especial de la CREG.</w:t>
      </w:r>
    </w:p>
    <w:p w14:paraId="3B96819B" w14:textId="1176FE55"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 xml:space="preserve">on ocasión de </w:t>
      </w:r>
      <w:r>
        <w:rPr>
          <w:rFonts w:ascii="Bookman Old Style" w:hAnsi="Bookman Old Style" w:cs="Arial"/>
        </w:rPr>
        <w:t>la adopción por parte de Colombia de</w:t>
      </w:r>
      <w:r w:rsidRPr="00E42BC0">
        <w:rPr>
          <w:rFonts w:ascii="Bookman Old Style" w:hAnsi="Bookman Old Style" w:cs="Arial"/>
        </w:rPr>
        <w:t xml:space="preserve"> </w:t>
      </w:r>
      <w:r>
        <w:rPr>
          <w:rFonts w:ascii="Bookman Old Style" w:hAnsi="Bookman Old Style" w:cs="Arial"/>
        </w:rPr>
        <w:t xml:space="preserve">las </w:t>
      </w:r>
      <w:r w:rsidRPr="00E42BC0">
        <w:rPr>
          <w:rFonts w:ascii="Bookman Old Style" w:hAnsi="Bookman Old Style" w:cs="Arial"/>
        </w:rPr>
        <w:t xml:space="preserve">Normas </w:t>
      </w:r>
      <w:r>
        <w:rPr>
          <w:rFonts w:ascii="Bookman Old Style" w:hAnsi="Bookman Old Style" w:cs="Arial"/>
        </w:rPr>
        <w:t xml:space="preserve">Internacionales </w:t>
      </w:r>
      <w:r w:rsidRPr="00E42BC0">
        <w:rPr>
          <w:rFonts w:ascii="Bookman Old Style" w:hAnsi="Bookman Old Style" w:cs="Arial"/>
        </w:rPr>
        <w:t xml:space="preserve">de Información Financiera </w:t>
      </w:r>
      <w:r>
        <w:rPr>
          <w:rFonts w:ascii="Bookman Old Style" w:hAnsi="Bookman Old Style" w:cs="Arial"/>
        </w:rPr>
        <w:t>(NIIF) para el sector privado y las Normas Internacionales de Contabilidad para el sector público (NICSP)</w:t>
      </w:r>
      <w:r w:rsidR="00172CC4">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 xml:space="preserve">éstas fueron </w:t>
      </w:r>
      <w:r>
        <w:rPr>
          <w:rFonts w:ascii="Bookman Old Style" w:hAnsi="Bookman Old Style" w:cs="Arial"/>
        </w:rPr>
        <w:lastRenderedPageBreak/>
        <w:t>incorporadas</w:t>
      </w:r>
      <w:r w:rsidRPr="00E42BC0">
        <w:rPr>
          <w:rFonts w:ascii="Bookman Old Style" w:hAnsi="Bookman Old Style" w:cs="Arial"/>
        </w:rPr>
        <w:t xml:space="preserve"> en </w:t>
      </w:r>
      <w:r>
        <w:rPr>
          <w:rFonts w:ascii="Bookman Old Style" w:hAnsi="Bookman Old Style" w:cs="Arial"/>
        </w:rPr>
        <w:t xml:space="preserve">la legislación colombiana y </w:t>
      </w:r>
      <w:r w:rsidRPr="00E42BC0">
        <w:rPr>
          <w:rFonts w:ascii="Bookman Old Style" w:hAnsi="Bookman Old Style" w:cs="Arial"/>
        </w:rPr>
        <w:t xml:space="preserve">constituyen </w:t>
      </w:r>
      <w:r>
        <w:rPr>
          <w:rFonts w:ascii="Bookman Old Style" w:hAnsi="Bookman Old Style" w:cs="Arial"/>
        </w:rPr>
        <w:t>por lo tanto el marco normativo contable vigente</w:t>
      </w:r>
      <w:r w:rsidRPr="00E42BC0">
        <w:rPr>
          <w:rFonts w:ascii="Bookman Old Style" w:hAnsi="Bookman Old Style" w:cs="Arial"/>
        </w:rPr>
        <w:t>.</w:t>
      </w:r>
    </w:p>
    <w:p w14:paraId="17F6D919" w14:textId="43B95B95" w:rsidR="000A0E2C" w:rsidRDefault="000A0E2C" w:rsidP="000A0E2C">
      <w:pPr>
        <w:ind w:left="0"/>
        <w:jc w:val="both"/>
        <w:rPr>
          <w:rFonts w:ascii="Bookman Old Style" w:hAnsi="Bookman Old Style" w:cs="Arial"/>
        </w:rPr>
      </w:pPr>
    </w:p>
    <w:p w14:paraId="73F359FD" w14:textId="4C0E112E" w:rsidR="000A0E2C" w:rsidRDefault="000A0E2C" w:rsidP="000A0E2C">
      <w:pPr>
        <w:ind w:left="0"/>
        <w:jc w:val="both"/>
        <w:rPr>
          <w:rFonts w:ascii="Bookman Old Style" w:hAnsi="Bookman Old Style" w:cs="Arial"/>
        </w:rPr>
      </w:pPr>
      <w:r>
        <w:rPr>
          <w:rFonts w:ascii="Bookman Old Style" w:hAnsi="Bookman Old Style" w:cs="Arial"/>
        </w:rPr>
        <w:t>E</w:t>
      </w:r>
      <w:r w:rsidRPr="00B43967">
        <w:rPr>
          <w:rFonts w:ascii="Bookman Old Style" w:hAnsi="Bookman Old Style" w:cs="Arial"/>
        </w:rPr>
        <w:t>l Congreso de la República expidió la Ley 1314 de 2009</w:t>
      </w:r>
      <w:r>
        <w:rPr>
          <w:rStyle w:val="Refdenotaalpie"/>
          <w:rFonts w:ascii="Bookman Old Style" w:hAnsi="Bookman Old Style"/>
        </w:rPr>
        <w:footnoteReference w:id="2"/>
      </w:r>
      <w:r w:rsidRPr="00B43967">
        <w:rPr>
          <w:rFonts w:ascii="Bookman Old Style" w:hAnsi="Bookman Old Style" w:cs="Arial"/>
        </w:rPr>
        <w:t>, y con fundamento en ella, el Gobierno Na</w:t>
      </w:r>
      <w:r>
        <w:rPr>
          <w:rFonts w:ascii="Bookman Old Style" w:hAnsi="Bookman Old Style" w:cs="Arial"/>
        </w:rPr>
        <w:t>cional</w:t>
      </w:r>
      <w:r w:rsidR="00172CC4">
        <w:rPr>
          <w:rFonts w:ascii="Bookman Old Style" w:hAnsi="Bookman Old Style" w:cs="Arial"/>
        </w:rPr>
        <w:t>,</w:t>
      </w:r>
      <w:r>
        <w:rPr>
          <w:rFonts w:ascii="Bookman Old Style" w:hAnsi="Bookman Old Style" w:cs="Arial"/>
        </w:rPr>
        <w:t xml:space="preserve"> mediante el DUR N° 2420</w:t>
      </w:r>
      <w:r w:rsidRPr="00B43967">
        <w:rPr>
          <w:rFonts w:ascii="Bookman Old Style" w:hAnsi="Bookman Old Style" w:cs="Arial"/>
        </w:rPr>
        <w:t xml:space="preserve"> del 14 de diciembre de 2015</w:t>
      </w:r>
      <w:r>
        <w:rPr>
          <w:rStyle w:val="Refdenotaalpie"/>
          <w:rFonts w:ascii="Bookman Old Style" w:hAnsi="Bookman Old Style"/>
        </w:rPr>
        <w:footnoteReference w:id="3"/>
      </w:r>
      <w:r w:rsidRPr="00B43967">
        <w:rPr>
          <w:rFonts w:ascii="Bookman Old Style" w:hAnsi="Bookman Old Style" w:cs="Arial"/>
        </w:rPr>
        <w:t xml:space="preserve"> y demás normas que los modifiquen, compilado en el Decreto 2483 del 28 de diciembre de 2018</w:t>
      </w:r>
      <w:r>
        <w:rPr>
          <w:rStyle w:val="Refdenotaalpie"/>
          <w:rFonts w:ascii="Bookman Old Style" w:hAnsi="Bookman Old Style"/>
        </w:rPr>
        <w:footnoteReference w:id="4"/>
      </w:r>
      <w:r w:rsidRPr="00B43967">
        <w:rPr>
          <w:rFonts w:ascii="Bookman Old Style" w:hAnsi="Bookman Old Style" w:cs="Arial"/>
        </w:rPr>
        <w:t>, estableció los criterios para que los preparadores de información financiera se clasificaran en diferentes grupos</w:t>
      </w:r>
      <w:r>
        <w:rPr>
          <w:rFonts w:ascii="Bookman Old Style" w:hAnsi="Bookman Old Style" w:cs="Arial"/>
        </w:rPr>
        <w:t xml:space="preserve"> </w:t>
      </w:r>
      <w:r w:rsidRPr="009D17F2">
        <w:rPr>
          <w:rFonts w:ascii="Bookman Old Style" w:hAnsi="Bookman Old Style" w:cs="Arial"/>
        </w:rPr>
        <w:t>de acuerdo con sus características</w:t>
      </w:r>
      <w:r w:rsidR="00172CC4">
        <w:rPr>
          <w:rFonts w:ascii="Bookman Old Style" w:hAnsi="Bookman Old Style" w:cs="Arial"/>
        </w:rPr>
        <w:t>,</w:t>
      </w:r>
      <w:r w:rsidRPr="009D17F2">
        <w:rPr>
          <w:rFonts w:ascii="Bookman Old Style" w:hAnsi="Bookman Old Style" w:cs="Arial"/>
        </w:rPr>
        <w:t xml:space="preserve"> e igualmente se adoptaron los marcos técnicos normativos para cada grupo.</w:t>
      </w:r>
    </w:p>
    <w:p w14:paraId="59D02ACE" w14:textId="77777777" w:rsidR="000A0E2C" w:rsidRDefault="000A0E2C" w:rsidP="000A0E2C">
      <w:pPr>
        <w:ind w:left="0"/>
        <w:jc w:val="both"/>
        <w:rPr>
          <w:rFonts w:ascii="Bookman Old Style" w:hAnsi="Bookman Old Style" w:cs="Arial"/>
        </w:rPr>
      </w:pPr>
    </w:p>
    <w:p w14:paraId="0A3F2763" w14:textId="52B5E003" w:rsidR="00227605" w:rsidRDefault="000A0E2C" w:rsidP="00227605">
      <w:pPr>
        <w:ind w:left="0"/>
        <w:jc w:val="both"/>
        <w:rPr>
          <w:rFonts w:ascii="Bookman Old Style" w:hAnsi="Bookman Old Style" w:cs="Arial"/>
        </w:rPr>
      </w:pPr>
      <w:r>
        <w:rPr>
          <w:rFonts w:ascii="Bookman Old Style" w:hAnsi="Bookman Old Style" w:cs="Arial"/>
        </w:rPr>
        <w:t>E</w:t>
      </w:r>
      <w:r w:rsidRPr="009D17F2">
        <w:rPr>
          <w:rFonts w:ascii="Bookman Old Style" w:hAnsi="Bookman Old Style" w:cs="Arial"/>
        </w:rPr>
        <w:t>l artículo 10 de la Ley 1314 de 2009 señaló que corresponde a las autoridades de supervisión, vigilar que los entes económicos sujetos a su inspección, vigilancia y control, así como sus administradores, funcionarios y profesionales de aseguramiento de información</w:t>
      </w:r>
      <w:r w:rsidR="00172CC4">
        <w:rPr>
          <w:rFonts w:ascii="Bookman Old Style" w:hAnsi="Bookman Old Style" w:cs="Arial"/>
        </w:rPr>
        <w:t>,</w:t>
      </w:r>
      <w:r w:rsidRPr="009D17F2">
        <w:rPr>
          <w:rFonts w:ascii="Bookman Old Style" w:hAnsi="Bookman Old Style" w:cs="Arial"/>
        </w:rPr>
        <w:t xml:space="preserve"> cumplan con las normas en materia de contabilidad, de información financiera y de aseguramiento</w:t>
      </w:r>
      <w:r w:rsidR="00227605">
        <w:rPr>
          <w:rFonts w:ascii="Bookman Old Style" w:hAnsi="Bookman Old Style" w:cs="Arial"/>
        </w:rPr>
        <w:t xml:space="preserve"> </w:t>
      </w:r>
      <w:r w:rsidRPr="009D17F2">
        <w:rPr>
          <w:rFonts w:ascii="Bookman Old Style" w:hAnsi="Bookman Old Style" w:cs="Arial"/>
        </w:rPr>
        <w:t>de información.</w:t>
      </w:r>
      <w:r w:rsidR="00227605">
        <w:rPr>
          <w:rFonts w:ascii="Bookman Old Style" w:hAnsi="Bookman Old Style" w:cs="Arial"/>
        </w:rPr>
        <w:t xml:space="preserve"> E</w:t>
      </w:r>
      <w:r w:rsidR="00227605" w:rsidRPr="00127AB5">
        <w:rPr>
          <w:rFonts w:ascii="Bookman Old Style" w:hAnsi="Bookman Old Style" w:cs="Arial"/>
        </w:rPr>
        <w:t xml:space="preserve">l marco de la mencionada </w:t>
      </w:r>
      <w:r w:rsidR="00FD3E0D" w:rsidRPr="00127AB5">
        <w:rPr>
          <w:rFonts w:ascii="Bookman Old Style" w:hAnsi="Bookman Old Style" w:cs="Arial"/>
        </w:rPr>
        <w:t>ley</w:t>
      </w:r>
      <w:r w:rsidR="00227605" w:rsidRPr="00127AB5">
        <w:rPr>
          <w:rFonts w:ascii="Bookman Old Style" w:hAnsi="Bookman Old Style" w:cs="Arial"/>
        </w:rPr>
        <w:t xml:space="preserv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2BAB3838" w14:textId="77777777" w:rsidR="000A0E2C" w:rsidRDefault="000A0E2C" w:rsidP="000A0E2C">
      <w:pPr>
        <w:ind w:left="0"/>
        <w:jc w:val="both"/>
        <w:rPr>
          <w:rFonts w:ascii="Bookman Old Style" w:hAnsi="Bookman Old Style" w:cs="Arial"/>
        </w:rPr>
      </w:pPr>
    </w:p>
    <w:p w14:paraId="3F8A5838" w14:textId="0C13EF09" w:rsidR="000A0E2C" w:rsidRDefault="000A0E2C" w:rsidP="000A0E2C">
      <w:pPr>
        <w:ind w:left="0"/>
        <w:jc w:val="both"/>
        <w:rPr>
          <w:rFonts w:ascii="Bookman Old Style" w:hAnsi="Bookman Old Style" w:cs="Arial"/>
        </w:rPr>
      </w:pPr>
      <w:r>
        <w:rPr>
          <w:rFonts w:ascii="Bookman Old Style" w:hAnsi="Bookman Old Style" w:cs="Arial"/>
        </w:rPr>
        <w:t>L</w:t>
      </w:r>
      <w:r w:rsidRPr="00CB0396">
        <w:rPr>
          <w:rFonts w:ascii="Bookman Old Style" w:hAnsi="Bookman Old Style" w:cs="Arial"/>
        </w:rPr>
        <w:t>a Contaduría General de la Nación</w:t>
      </w:r>
      <w:r>
        <w:rPr>
          <w:rFonts w:ascii="Bookman Old Style" w:hAnsi="Bookman Old Style" w:cs="Arial"/>
        </w:rPr>
        <w:t xml:space="preserve"> (CGN)</w:t>
      </w:r>
      <w:r w:rsidRPr="00CB0396">
        <w:rPr>
          <w:rFonts w:ascii="Bookman Old Style" w:hAnsi="Bookman Old Style" w:cs="Arial"/>
        </w:rPr>
        <w:t xml:space="preserve">, expidió las Resoluciones </w:t>
      </w:r>
      <w:r>
        <w:rPr>
          <w:rFonts w:ascii="Bookman Old Style" w:hAnsi="Bookman Old Style" w:cs="Arial"/>
        </w:rPr>
        <w:t>N° 414 de 2014</w:t>
      </w:r>
      <w:r>
        <w:rPr>
          <w:rStyle w:val="Refdenotaalpie"/>
          <w:rFonts w:ascii="Bookman Old Style" w:hAnsi="Bookman Old Style"/>
        </w:rPr>
        <w:footnoteReference w:id="5"/>
      </w:r>
      <w:r>
        <w:rPr>
          <w:rFonts w:ascii="Bookman Old Style" w:hAnsi="Bookman Old Style" w:cs="Arial"/>
        </w:rPr>
        <w:t xml:space="preserve"> </w:t>
      </w:r>
      <w:r w:rsidRPr="00CB0396">
        <w:rPr>
          <w:rFonts w:ascii="Bookman Old Style" w:hAnsi="Bookman Old Style" w:cs="Arial"/>
        </w:rPr>
        <w:t xml:space="preserve">y </w:t>
      </w:r>
      <w:r>
        <w:rPr>
          <w:rFonts w:ascii="Bookman Old Style" w:hAnsi="Bookman Old Style" w:cs="Arial"/>
        </w:rPr>
        <w:t>N° 533 de 2015</w:t>
      </w:r>
      <w:r>
        <w:rPr>
          <w:rStyle w:val="Refdenotaalpie"/>
          <w:rFonts w:ascii="Bookman Old Style" w:hAnsi="Bookman Old Style"/>
        </w:rPr>
        <w:footnoteReference w:id="6"/>
      </w:r>
      <w:r w:rsidRPr="00CB0396">
        <w:rPr>
          <w:rFonts w:ascii="Bookman Old Style" w:hAnsi="Bookman Old Style" w:cs="Arial"/>
        </w:rPr>
        <w:t xml:space="preserve">, aplicables a las empresas sujetas al ámbito de su competencia y a las entidades del gobierno. Posteriormente </w:t>
      </w:r>
      <w:r>
        <w:rPr>
          <w:rFonts w:ascii="Bookman Old Style" w:hAnsi="Bookman Old Style" w:cs="Arial"/>
        </w:rPr>
        <w:t xml:space="preserve">la CGN </w:t>
      </w:r>
      <w:r w:rsidRPr="00CB0396">
        <w:rPr>
          <w:rFonts w:ascii="Bookman Old Style" w:hAnsi="Bookman Old Style" w:cs="Arial"/>
        </w:rPr>
        <w:t xml:space="preserve">emitió la Resolución </w:t>
      </w:r>
      <w:r>
        <w:rPr>
          <w:rFonts w:ascii="Bookman Old Style" w:hAnsi="Bookman Old Style" w:cs="Arial"/>
        </w:rPr>
        <w:t xml:space="preserve">N° </w:t>
      </w:r>
      <w:r w:rsidRPr="00CB0396">
        <w:rPr>
          <w:rFonts w:ascii="Bookman Old Style" w:hAnsi="Bookman Old Style" w:cs="Arial"/>
        </w:rPr>
        <w:t>037 de 2017</w:t>
      </w:r>
      <w:r>
        <w:rPr>
          <w:rStyle w:val="Refdenotaalpie"/>
          <w:rFonts w:ascii="Bookman Old Style" w:hAnsi="Bookman Old Style"/>
        </w:rPr>
        <w:footnoteReference w:id="7"/>
      </w:r>
      <w:r w:rsidR="00227605">
        <w:rPr>
          <w:rFonts w:ascii="Bookman Old Style" w:hAnsi="Bookman Old Style" w:cs="Arial"/>
        </w:rPr>
        <w:t xml:space="preserve"> </w:t>
      </w:r>
    </w:p>
    <w:p w14:paraId="0421278C" w14:textId="12C674E7" w:rsidR="00685D35" w:rsidRDefault="000A0E2C" w:rsidP="000A0E2C">
      <w:pPr>
        <w:ind w:left="0"/>
        <w:jc w:val="both"/>
        <w:rPr>
          <w:rFonts w:ascii="Bookman Old Style" w:hAnsi="Bookman Old Style" w:cs="Arial"/>
        </w:rPr>
      </w:pPr>
      <w:r>
        <w:rPr>
          <w:rFonts w:ascii="Bookman Old Style" w:hAnsi="Bookman Old Style" w:cs="Arial"/>
        </w:rPr>
        <w:lastRenderedPageBreak/>
        <w:t>E</w:t>
      </w:r>
      <w:r w:rsidRPr="00702D59">
        <w:rPr>
          <w:rFonts w:ascii="Bookman Old Style" w:hAnsi="Bookman Old Style" w:cs="Arial"/>
        </w:rPr>
        <w:t>l lenguaje informático XBRL</w:t>
      </w:r>
      <w:r>
        <w:rPr>
          <w:rStyle w:val="Refdenotaalpie"/>
          <w:rFonts w:ascii="Bookman Old Style" w:hAnsi="Bookman Old Style"/>
        </w:rPr>
        <w:footnoteReference w:id="8"/>
      </w:r>
      <w:r w:rsidRPr="00702D59">
        <w:rPr>
          <w:rFonts w:ascii="Bookman Old Style" w:hAnsi="Bookman Old Style" w:cs="Arial"/>
        </w:rPr>
        <w:t xml:space="preserve"> permite el reporte de información financiera de forma estandarizada, facilitando la comparabilidad, transparencia y fiabilidad</w:t>
      </w:r>
      <w:r w:rsidR="00F01C5E">
        <w:rPr>
          <w:rFonts w:ascii="Bookman Old Style" w:hAnsi="Bookman Old Style" w:cs="Arial"/>
        </w:rPr>
        <w:t>,</w:t>
      </w:r>
      <w:r w:rsidRPr="00702D59">
        <w:rPr>
          <w:rFonts w:ascii="Bookman Old Style" w:hAnsi="Bookman Old Style" w:cs="Arial"/>
        </w:rPr>
        <w:t xml:space="preserve"> e incorporando las reglas de negocio en su implementación.</w:t>
      </w:r>
      <w:r w:rsidR="00227605">
        <w:rPr>
          <w:rFonts w:ascii="Bookman Old Style" w:hAnsi="Bookman Old Style" w:cs="Arial"/>
        </w:rPr>
        <w:t xml:space="preserve"> </w:t>
      </w:r>
    </w:p>
    <w:p w14:paraId="46FC89EA" w14:textId="77777777" w:rsidR="00685D35" w:rsidRDefault="00685D35" w:rsidP="000A0E2C">
      <w:pPr>
        <w:ind w:left="0"/>
        <w:jc w:val="both"/>
        <w:rPr>
          <w:rFonts w:ascii="Bookman Old Style" w:hAnsi="Bookman Old Style" w:cs="Arial"/>
        </w:rPr>
      </w:pPr>
    </w:p>
    <w:p w14:paraId="13D27C12" w14:textId="627F6E46" w:rsidR="000A0E2C" w:rsidRDefault="000A0E2C" w:rsidP="000A0E2C">
      <w:pPr>
        <w:ind w:left="0"/>
        <w:jc w:val="both"/>
        <w:rPr>
          <w:rFonts w:ascii="Bookman Old Style" w:hAnsi="Bookman Old Style" w:cs="Arial"/>
        </w:rPr>
      </w:pPr>
      <w:r>
        <w:rPr>
          <w:rFonts w:ascii="Bookman Old Style" w:hAnsi="Bookman Old Style" w:cs="Arial"/>
        </w:rPr>
        <w:t xml:space="preserve">Para </w:t>
      </w:r>
      <w:r w:rsidR="00227605">
        <w:rPr>
          <w:rFonts w:ascii="Bookman Old Style" w:hAnsi="Bookman Old Style" w:cs="Arial"/>
        </w:rPr>
        <w:t xml:space="preserve">estos </w:t>
      </w:r>
      <w:r>
        <w:rPr>
          <w:rFonts w:ascii="Bookman Old Style" w:hAnsi="Bookman Old Style" w:cs="Arial"/>
        </w:rPr>
        <w:t>efectos</w:t>
      </w:r>
      <w:r w:rsidR="00F01C5E">
        <w:rPr>
          <w:rFonts w:ascii="Bookman Old Style" w:hAnsi="Bookman Old Style" w:cs="Arial"/>
        </w:rPr>
        <w:t>,</w:t>
      </w:r>
      <w:r>
        <w:rPr>
          <w:rFonts w:ascii="Bookman Old Style" w:hAnsi="Bookman Old Style" w:cs="Arial"/>
        </w:rPr>
        <w:t xml:space="preserve"> </w:t>
      </w:r>
      <w:r w:rsidRPr="00E42BC0">
        <w:rPr>
          <w:rFonts w:ascii="Bookman Old Style" w:hAnsi="Bookman Old Style" w:cs="Arial"/>
        </w:rPr>
        <w:t xml:space="preserve">la </w:t>
      </w:r>
      <w:r>
        <w:rPr>
          <w:rFonts w:ascii="Bookman Old Style" w:hAnsi="Bookman Old Style" w:cs="Arial"/>
        </w:rPr>
        <w:t xml:space="preserve">SSPD </w:t>
      </w:r>
      <w:r w:rsidRPr="00E42BC0">
        <w:rPr>
          <w:rFonts w:ascii="Bookman Old Style" w:hAnsi="Bookman Old Style" w:cs="Arial"/>
        </w:rPr>
        <w:t>exp</w:t>
      </w:r>
      <w:r>
        <w:rPr>
          <w:rFonts w:ascii="Bookman Old Style" w:hAnsi="Bookman Old Style" w:cs="Arial"/>
        </w:rPr>
        <w:t>idió la Resolución N°</w:t>
      </w:r>
      <w:r w:rsidRPr="006873EF">
        <w:rPr>
          <w:rFonts w:ascii="Bookman Old Style" w:hAnsi="Bookman Old Style" w:cs="Arial"/>
        </w:rPr>
        <w:t xml:space="preserve"> SSPD -201613</w:t>
      </w:r>
      <w:r>
        <w:rPr>
          <w:rFonts w:ascii="Bookman Old Style" w:hAnsi="Bookman Old Style" w:cs="Arial"/>
        </w:rPr>
        <w:t>00013475 del 19 de mayo de 2016, por la cual se establecen los requerimientos de información financiera para las personas prestadores de servicios públicos domiciliarios, mediante una estructura para reportar</w:t>
      </w:r>
      <w:r w:rsidRPr="00E42BC0">
        <w:rPr>
          <w:rFonts w:ascii="Bookman Old Style" w:hAnsi="Bookman Old Style" w:cs="Arial"/>
        </w:rPr>
        <w:t xml:space="preserve"> </w:t>
      </w:r>
      <w:r>
        <w:rPr>
          <w:rFonts w:ascii="Bookman Old Style" w:hAnsi="Bookman Old Style" w:cs="Arial"/>
        </w:rPr>
        <w:t>la</w:t>
      </w:r>
      <w:r w:rsidRPr="00E42BC0">
        <w:rPr>
          <w:rFonts w:ascii="Bookman Old Style" w:hAnsi="Bookman Old Style" w:cs="Arial"/>
        </w:rPr>
        <w:t xml:space="preserve"> información financiera en el lenguaje informático XBRL, fundamentado en las estructuras de taxonomía</w:t>
      </w:r>
      <w:r>
        <w:rPr>
          <w:rFonts w:ascii="Bookman Old Style" w:hAnsi="Bookman Old Style" w:cs="Arial"/>
        </w:rPr>
        <w:t>s</w:t>
      </w:r>
      <w:r w:rsidRPr="00E42BC0">
        <w:rPr>
          <w:rFonts w:ascii="Bookman Old Style" w:hAnsi="Bookman Old Style" w:cs="Arial"/>
        </w:rPr>
        <w:t xml:space="preserve"> </w:t>
      </w:r>
      <w:r>
        <w:rPr>
          <w:rFonts w:ascii="Bookman Old Style" w:hAnsi="Bookman Old Style" w:cs="Arial"/>
        </w:rPr>
        <w:t xml:space="preserve">XML </w:t>
      </w:r>
      <w:r w:rsidRPr="00E42BC0">
        <w:rPr>
          <w:rFonts w:ascii="Bookman Old Style" w:hAnsi="Bookman Old Style" w:cs="Arial"/>
        </w:rPr>
        <w:t xml:space="preserve">expedidas por </w:t>
      </w:r>
      <w:r>
        <w:rPr>
          <w:rFonts w:ascii="Bookman Old Style" w:hAnsi="Bookman Old Style" w:cs="Arial"/>
        </w:rPr>
        <w:t>la</w:t>
      </w:r>
      <w:r w:rsidRPr="00E42BC0">
        <w:rPr>
          <w:rFonts w:ascii="Bookman Old Style" w:hAnsi="Bookman Old Style" w:cs="Arial"/>
        </w:rPr>
        <w:t xml:space="preserve"> IASB que emite las Normas Internaciona</w:t>
      </w:r>
      <w:r>
        <w:rPr>
          <w:rFonts w:ascii="Bookman Old Style" w:hAnsi="Bookman Old Style" w:cs="Arial"/>
        </w:rPr>
        <w:t>les de Información Financiera.</w:t>
      </w:r>
    </w:p>
    <w:p w14:paraId="0CEE7491" w14:textId="77777777" w:rsidR="000A0E2C" w:rsidRDefault="000A0E2C" w:rsidP="000A0E2C">
      <w:pPr>
        <w:ind w:left="0"/>
        <w:jc w:val="both"/>
        <w:rPr>
          <w:rFonts w:ascii="Bookman Old Style" w:hAnsi="Bookman Old Style" w:cs="Arial"/>
        </w:rPr>
      </w:pPr>
    </w:p>
    <w:p w14:paraId="32FA90BB" w14:textId="77777777" w:rsidR="000A0E2C" w:rsidRDefault="000A0E2C" w:rsidP="000A0E2C">
      <w:pPr>
        <w:ind w:left="0"/>
        <w:jc w:val="both"/>
        <w:rPr>
          <w:rFonts w:ascii="Bookman Old Style" w:hAnsi="Bookman Old Style" w:cs="Arial"/>
        </w:rPr>
      </w:pPr>
      <w:r w:rsidRPr="00127AB5">
        <w:rPr>
          <w:rFonts w:ascii="Bookman Old Style" w:hAnsi="Bookman Old Style" w:cs="Arial"/>
        </w:rPr>
        <w:t>La SSPD 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Para el efecto, la SSPD, dispuso de una nueva taxonomía para la recepción de la información financiera en el SUI según resolución N° 20171300042935 de 2017.</w:t>
      </w:r>
    </w:p>
    <w:p w14:paraId="518F164C" w14:textId="77777777" w:rsidR="000A0E2C" w:rsidRDefault="000A0E2C" w:rsidP="000A0E2C">
      <w:pPr>
        <w:ind w:left="0"/>
        <w:jc w:val="both"/>
        <w:rPr>
          <w:rFonts w:ascii="Bookman Old Style" w:hAnsi="Bookman Old Style" w:cs="Arial"/>
        </w:rPr>
      </w:pPr>
    </w:p>
    <w:p w14:paraId="79573C92" w14:textId="1ADD40A1" w:rsidR="000A0E2C" w:rsidRDefault="000A0E2C" w:rsidP="000A0E2C">
      <w:pPr>
        <w:ind w:left="0"/>
        <w:jc w:val="both"/>
        <w:rPr>
          <w:rFonts w:ascii="Bookman Old Style" w:hAnsi="Bookman Old Style" w:cs="Arial"/>
        </w:rPr>
      </w:pPr>
      <w:r>
        <w:rPr>
          <w:rFonts w:ascii="Bookman Old Style" w:hAnsi="Bookman Old Style" w:cs="Arial"/>
        </w:rPr>
        <w:t>En la Resolución SSPD N° 20192000034975 del 10 de septiembre de 2019 se complementó la Resolución N° 20192200020155 del 25 de junio de 2019 y se establecen los lineamientos de cargue de información al SUI para los formatos contenidos en</w:t>
      </w:r>
      <w:r w:rsidR="00C74F02">
        <w:rPr>
          <w:rFonts w:ascii="Bookman Old Style" w:hAnsi="Bookman Old Style" w:cs="Arial"/>
        </w:rPr>
        <w:t xml:space="preserve"> la Resolución N° </w:t>
      </w:r>
      <w:r w:rsidR="00C74F02" w:rsidRPr="00C74F02">
        <w:rPr>
          <w:rFonts w:ascii="Bookman Old Style" w:hAnsi="Bookman Old Style" w:cs="Arial"/>
        </w:rPr>
        <w:t xml:space="preserve">SSPD 20102400008055 </w:t>
      </w:r>
      <w:r w:rsidR="00C74F02">
        <w:rPr>
          <w:rFonts w:ascii="Bookman Old Style" w:hAnsi="Bookman Old Style" w:cs="Arial"/>
        </w:rPr>
        <w:t>del 16 de marzo de</w:t>
      </w:r>
      <w:r w:rsidR="00C74F02" w:rsidRPr="00C74F02">
        <w:rPr>
          <w:rFonts w:ascii="Bookman Old Style" w:hAnsi="Bookman Old Style" w:cs="Arial"/>
        </w:rPr>
        <w:t xml:space="preserve"> 2010</w:t>
      </w:r>
      <w:r w:rsidR="00C74F02">
        <w:rPr>
          <w:rFonts w:ascii="Bookman Old Style" w:hAnsi="Bookman Old Style" w:cs="Arial"/>
        </w:rPr>
        <w:t>,</w:t>
      </w:r>
      <w:r>
        <w:rPr>
          <w:rFonts w:ascii="Bookman Old Style" w:hAnsi="Bookman Old Style" w:cs="Arial"/>
        </w:rPr>
        <w:t xml:space="preserve"> las circulares SSPD-CREG N° 006 del 30 de diciembre de 2003, modificada por la Circular SSPD-CREG N° 003 del 19 de diciembre de 2005</w:t>
      </w:r>
      <w:r w:rsidR="004C4748">
        <w:rPr>
          <w:rFonts w:ascii="Bookman Old Style" w:hAnsi="Bookman Old Style" w:cs="Arial"/>
        </w:rPr>
        <w:t>, Circular SSPD-CREG N° 002 del 02 de junio de 2005</w:t>
      </w:r>
      <w:r>
        <w:rPr>
          <w:rFonts w:ascii="Bookman Old Style" w:hAnsi="Bookman Old Style" w:cs="Arial"/>
        </w:rPr>
        <w:t xml:space="preserve"> y la Circular SSPD-CREG N° 001 del 05 de abril de 2005</w:t>
      </w:r>
      <w:r w:rsidR="004C4748">
        <w:rPr>
          <w:rFonts w:ascii="Bookman Old Style" w:hAnsi="Bookman Old Style" w:cs="Arial"/>
        </w:rPr>
        <w:t>.</w:t>
      </w:r>
    </w:p>
    <w:p w14:paraId="1E6B5125" w14:textId="1614AA1F" w:rsidR="001A0907" w:rsidRDefault="001A0907" w:rsidP="000A0E2C">
      <w:pPr>
        <w:ind w:left="0"/>
        <w:jc w:val="both"/>
        <w:rPr>
          <w:rFonts w:ascii="Bookman Old Style" w:hAnsi="Bookman Old Style" w:cs="Arial"/>
        </w:rPr>
      </w:pPr>
    </w:p>
    <w:p w14:paraId="65A645C3" w14:textId="39960F0F" w:rsidR="004C4748" w:rsidRDefault="001A0907" w:rsidP="001A0907">
      <w:pPr>
        <w:ind w:left="0"/>
        <w:jc w:val="both"/>
        <w:rPr>
          <w:rFonts w:ascii="Bookman Old Style" w:hAnsi="Bookman Old Style" w:cs="Arial"/>
        </w:rPr>
      </w:pPr>
      <w:r>
        <w:rPr>
          <w:rFonts w:ascii="Bookman Old Style" w:hAnsi="Bookman Old Style" w:cs="Arial"/>
        </w:rPr>
        <w:t xml:space="preserve">La SSPD expidió para las empresas prestadoras de energía eléctrica la </w:t>
      </w:r>
      <w:r w:rsidRPr="001A0907">
        <w:rPr>
          <w:rFonts w:ascii="Bookman Old Style" w:hAnsi="Bookman Old Style" w:cs="Arial"/>
        </w:rPr>
        <w:t xml:space="preserve">Resolución </w:t>
      </w:r>
      <w:r>
        <w:rPr>
          <w:rFonts w:ascii="Bookman Old Style" w:hAnsi="Bookman Old Style" w:cs="Arial"/>
        </w:rPr>
        <w:t>N°</w:t>
      </w:r>
      <w:r w:rsidRPr="001A0907">
        <w:rPr>
          <w:rFonts w:ascii="Bookman Old Style" w:hAnsi="Bookman Old Style" w:cs="Arial"/>
        </w:rPr>
        <w:t xml:space="preserve"> 20102400008055 de</w:t>
      </w:r>
      <w:r w:rsidR="00C74F02">
        <w:rPr>
          <w:rFonts w:ascii="Bookman Old Style" w:hAnsi="Bookman Old Style" w:cs="Arial"/>
        </w:rPr>
        <w:t>l 16 de marzo de</w:t>
      </w:r>
      <w:r>
        <w:rPr>
          <w:rFonts w:ascii="Bookman Old Style" w:hAnsi="Bookman Old Style" w:cs="Arial"/>
        </w:rPr>
        <w:t xml:space="preserve"> </w:t>
      </w:r>
      <w:r w:rsidRPr="001A0907">
        <w:rPr>
          <w:rFonts w:ascii="Bookman Old Style" w:hAnsi="Bookman Old Style" w:cs="Arial"/>
        </w:rPr>
        <w:t>2010</w:t>
      </w:r>
      <w:r>
        <w:rPr>
          <w:rFonts w:ascii="Bookman Old Style" w:hAnsi="Bookman Old Style" w:cs="Arial"/>
        </w:rPr>
        <w:t xml:space="preserve"> “Por la cual se unifica en un solo acto administrativo la normatividad expedida en el sector de energía eléctrica para el cargue de </w:t>
      </w:r>
      <w:r w:rsidRPr="001A0907">
        <w:rPr>
          <w:rFonts w:ascii="Bookman Old Style" w:hAnsi="Bookman Old Style" w:cs="Arial"/>
        </w:rPr>
        <w:t>información al SUI</w:t>
      </w:r>
      <w:r>
        <w:rPr>
          <w:rFonts w:ascii="Bookman Old Style" w:hAnsi="Bookman Old Style" w:cs="Arial"/>
        </w:rPr>
        <w:t>” y sus resoluciones modificatorias</w:t>
      </w:r>
      <w:r w:rsidR="004C4748">
        <w:rPr>
          <w:rFonts w:ascii="Bookman Old Style" w:hAnsi="Bookman Old Style" w:cs="Arial"/>
        </w:rPr>
        <w:t xml:space="preserve">, vigente hasta que una vez </w:t>
      </w:r>
      <w:r w:rsidR="004C4748" w:rsidRPr="004C4748">
        <w:rPr>
          <w:rFonts w:ascii="Bookman Old Style" w:hAnsi="Bookman Old Style" w:cs="Arial"/>
        </w:rPr>
        <w:t xml:space="preserve">se cumpla lo dispuesto en el artículo 15 </w:t>
      </w:r>
      <w:r w:rsidR="004C4748">
        <w:rPr>
          <w:rFonts w:ascii="Bookman Old Style" w:hAnsi="Bookman Old Style" w:cs="Arial"/>
        </w:rPr>
        <w:t xml:space="preserve">de </w:t>
      </w:r>
      <w:r w:rsidR="004C4748" w:rsidRPr="004C4748">
        <w:rPr>
          <w:rFonts w:ascii="Bookman Old Style" w:hAnsi="Bookman Old Style" w:cs="Arial"/>
        </w:rPr>
        <w:t xml:space="preserve">la Resolución </w:t>
      </w:r>
      <w:r w:rsidR="004C4748">
        <w:rPr>
          <w:rFonts w:ascii="Bookman Old Style" w:hAnsi="Bookman Old Style" w:cs="Arial"/>
        </w:rPr>
        <w:t xml:space="preserve">SSPD N° </w:t>
      </w:r>
      <w:r w:rsidR="004C4748" w:rsidRPr="004C4748">
        <w:rPr>
          <w:rFonts w:ascii="Bookman Old Style" w:hAnsi="Bookman Old Style" w:cs="Arial"/>
        </w:rPr>
        <w:t>20212200012515</w:t>
      </w:r>
      <w:r w:rsidR="004C4748">
        <w:rPr>
          <w:rFonts w:ascii="Bookman Old Style" w:hAnsi="Bookman Old Style" w:cs="Arial"/>
        </w:rPr>
        <w:t xml:space="preserve"> del 26 de marzo de 2021.</w:t>
      </w:r>
    </w:p>
    <w:p w14:paraId="26EDF439" w14:textId="77777777" w:rsidR="004C4748" w:rsidRDefault="004C4748" w:rsidP="001A0907">
      <w:pPr>
        <w:ind w:left="0"/>
        <w:jc w:val="both"/>
        <w:rPr>
          <w:rFonts w:ascii="Bookman Old Style" w:hAnsi="Bookman Old Style" w:cs="Arial"/>
        </w:rPr>
      </w:pPr>
    </w:p>
    <w:p w14:paraId="5A1B5B27" w14:textId="5ECB715C" w:rsidR="00227605" w:rsidRDefault="004C4748" w:rsidP="001A0907">
      <w:pPr>
        <w:ind w:left="0"/>
        <w:jc w:val="both"/>
        <w:rPr>
          <w:rFonts w:ascii="Bookman Old Style" w:hAnsi="Bookman Old Style" w:cs="Arial"/>
        </w:rPr>
      </w:pPr>
      <w:r>
        <w:rPr>
          <w:rFonts w:ascii="Bookman Old Style" w:hAnsi="Bookman Old Style" w:cs="Arial"/>
        </w:rPr>
        <w:t xml:space="preserve">La SSPD expidió la Resolución N° </w:t>
      </w:r>
      <w:r w:rsidRPr="004C4748">
        <w:rPr>
          <w:rFonts w:ascii="Bookman Old Style" w:hAnsi="Bookman Old Style" w:cs="Arial"/>
        </w:rPr>
        <w:t>20212200012515</w:t>
      </w:r>
      <w:r>
        <w:rPr>
          <w:rFonts w:ascii="Bookman Old Style" w:hAnsi="Bookman Old Style" w:cs="Arial"/>
        </w:rPr>
        <w:t xml:space="preserve"> del 26 de marzo de 2021 “</w:t>
      </w:r>
      <w:r w:rsidRPr="00280F45">
        <w:rPr>
          <w:rFonts w:ascii="Bookman Old Style" w:hAnsi="Bookman Old Style" w:cs="Arial"/>
          <w:i/>
          <w:iCs/>
        </w:rPr>
        <w:t>Por la cual se expiden los lineamientos para el cargue de información al Sistema Único de Información (SUI) aplicable a los prestadores del servicio público de energía eléctrica del Sistema Interconectado Nacional (SIN</w:t>
      </w:r>
      <w:r w:rsidRPr="004C4748">
        <w:rPr>
          <w:rFonts w:ascii="Bookman Old Style" w:hAnsi="Bookman Old Style" w:cs="Arial"/>
        </w:rPr>
        <w:t>)</w:t>
      </w:r>
      <w:r>
        <w:rPr>
          <w:rFonts w:ascii="Bookman Old Style" w:hAnsi="Bookman Old Style" w:cs="Arial"/>
        </w:rPr>
        <w:t>”</w:t>
      </w:r>
      <w:r w:rsidR="00C74F02">
        <w:rPr>
          <w:rFonts w:ascii="Bookman Old Style" w:hAnsi="Bookman Old Style" w:cs="Arial"/>
        </w:rPr>
        <w:t xml:space="preserve"> y deroga el artículo primero de la Resolución SSPD N° </w:t>
      </w:r>
      <w:r w:rsidR="00C74F02" w:rsidRPr="00C74F02">
        <w:rPr>
          <w:rFonts w:ascii="Bookman Old Style" w:hAnsi="Bookman Old Style" w:cs="Arial"/>
        </w:rPr>
        <w:t>20192000034975 de 2019</w:t>
      </w:r>
      <w:r w:rsidR="00C74F02">
        <w:rPr>
          <w:rFonts w:ascii="Bookman Old Style" w:hAnsi="Bookman Old Style" w:cs="Arial"/>
        </w:rPr>
        <w:t xml:space="preserve">, la Resolución SSPD N° </w:t>
      </w:r>
      <w:r w:rsidR="00C74F02" w:rsidRPr="00C74F02">
        <w:rPr>
          <w:rFonts w:ascii="Bookman Old Style" w:hAnsi="Bookman Old Style" w:cs="Arial"/>
        </w:rPr>
        <w:t>20192200020155 de 2019</w:t>
      </w:r>
      <w:r w:rsidR="00C74F02">
        <w:rPr>
          <w:rFonts w:ascii="Bookman Old Style" w:hAnsi="Bookman Old Style" w:cs="Arial"/>
        </w:rPr>
        <w:t xml:space="preserve"> y la Resolución SSPD N° </w:t>
      </w:r>
      <w:r w:rsidR="00C74F02" w:rsidRPr="00C74F02">
        <w:rPr>
          <w:rFonts w:ascii="Bookman Old Style" w:hAnsi="Bookman Old Style" w:cs="Arial"/>
        </w:rPr>
        <w:t>20102400008055 de 2010</w:t>
      </w:r>
      <w:r w:rsidR="00227605">
        <w:rPr>
          <w:rFonts w:ascii="Bookman Old Style" w:hAnsi="Bookman Old Style" w:cs="Arial"/>
        </w:rPr>
        <w:t>.</w:t>
      </w:r>
    </w:p>
    <w:p w14:paraId="473ED1DA" w14:textId="07D4AFC0" w:rsidR="004C4748" w:rsidRDefault="00227605" w:rsidP="001A0907">
      <w:pPr>
        <w:ind w:left="0"/>
        <w:jc w:val="both"/>
        <w:rPr>
          <w:rFonts w:ascii="Bookman Old Style" w:hAnsi="Bookman Old Style" w:cs="Arial"/>
        </w:rPr>
      </w:pPr>
      <w:r>
        <w:rPr>
          <w:rFonts w:ascii="Bookman Old Style" w:hAnsi="Bookman Old Style" w:cs="Arial"/>
        </w:rPr>
        <w:lastRenderedPageBreak/>
        <w:t>L</w:t>
      </w:r>
      <w:r w:rsidRPr="00227605">
        <w:rPr>
          <w:rFonts w:ascii="Bookman Old Style" w:hAnsi="Bookman Old Style" w:cs="Arial"/>
        </w:rPr>
        <w:t>a Resolución SSPD N° 20102400008055 de 2010</w:t>
      </w:r>
      <w:r w:rsidR="00C74F02" w:rsidRPr="00C74F02">
        <w:rPr>
          <w:rFonts w:ascii="Bookman Old Style" w:hAnsi="Bookman Old Style" w:cs="Arial"/>
        </w:rPr>
        <w:t xml:space="preserve"> continuará vigente hasta tanto el último Operador de Red cuente con aprobación de ingresos por parte de la CREG bajo la Resolución CREG 015 de 2018 y sus modificaciones, en cumplimiento de las reglas estipuladas en el artículo 10 de la presente resolución. Una vez se cumpla esta condición para el último OR</w:t>
      </w:r>
      <w:r w:rsidR="00B046D1">
        <w:rPr>
          <w:rFonts w:ascii="Bookman Old Style" w:hAnsi="Bookman Old Style" w:cs="Arial"/>
        </w:rPr>
        <w:t>,</w:t>
      </w:r>
      <w:r w:rsidR="00C74F02" w:rsidRPr="00C74F02">
        <w:rPr>
          <w:rFonts w:ascii="Bookman Old Style" w:hAnsi="Bookman Old Style" w:cs="Arial"/>
        </w:rPr>
        <w:t xml:space="preserve"> dicha resolución quedará derogada para todos los efectos legales.</w:t>
      </w:r>
    </w:p>
    <w:p w14:paraId="59C53647" w14:textId="7DC02FC9" w:rsidR="00C74F02" w:rsidRDefault="00C74F02" w:rsidP="001A0907">
      <w:pPr>
        <w:ind w:left="0"/>
        <w:jc w:val="both"/>
        <w:rPr>
          <w:rFonts w:ascii="Bookman Old Style" w:hAnsi="Bookman Old Style" w:cs="Arial"/>
        </w:rPr>
      </w:pPr>
    </w:p>
    <w:p w14:paraId="7CACAA47" w14:textId="16FD32AF" w:rsidR="00685D35" w:rsidRDefault="00C74F02" w:rsidP="000A0E2C">
      <w:pPr>
        <w:ind w:left="0"/>
        <w:jc w:val="both"/>
        <w:rPr>
          <w:rFonts w:ascii="Bookman Old Style" w:hAnsi="Bookman Old Style" w:cs="Arial"/>
        </w:rPr>
      </w:pPr>
      <w:r w:rsidRPr="00585C3D">
        <w:rPr>
          <w:rFonts w:ascii="Bookman Old Style" w:hAnsi="Bookman Old Style" w:cs="Arial"/>
        </w:rPr>
        <w:t>La SSPD</w:t>
      </w:r>
      <w:r w:rsidR="00FD3E0D">
        <w:rPr>
          <w:rFonts w:ascii="Bookman Old Style" w:hAnsi="Bookman Old Style" w:cs="Arial"/>
        </w:rPr>
        <w:t>,</w:t>
      </w:r>
      <w:r w:rsidRPr="00585C3D">
        <w:rPr>
          <w:rFonts w:ascii="Bookman Old Style" w:hAnsi="Bookman Old Style" w:cs="Arial"/>
        </w:rPr>
        <w:t xml:space="preserve"> a través de la Resolución N° 20211000016645 de</w:t>
      </w:r>
      <w:r>
        <w:rPr>
          <w:rFonts w:ascii="Bookman Old Style" w:hAnsi="Bookman Old Style" w:cs="Arial"/>
        </w:rPr>
        <w:t>l 9 de abril de</w:t>
      </w:r>
      <w:r w:rsidRPr="00585C3D">
        <w:rPr>
          <w:rFonts w:ascii="Bookman Old Style" w:hAnsi="Bookman Old Style" w:cs="Arial"/>
        </w:rPr>
        <w:t xml:space="preserve"> 202</w:t>
      </w:r>
      <w:r>
        <w:rPr>
          <w:rFonts w:ascii="Bookman Old Style" w:hAnsi="Bookman Old Style" w:cs="Arial"/>
        </w:rPr>
        <w:t>1</w:t>
      </w:r>
      <w:r w:rsidR="00FD3E0D">
        <w:rPr>
          <w:rFonts w:ascii="Bookman Old Style" w:hAnsi="Bookman Old Style" w:cs="Arial"/>
        </w:rPr>
        <w:t>,</w:t>
      </w:r>
      <w:r w:rsidRPr="00585C3D">
        <w:rPr>
          <w:rFonts w:ascii="Bookman Old Style" w:hAnsi="Bookman Old Style" w:cs="Arial"/>
        </w:rPr>
        <w:t xml:space="preserve"> estableció los plazos para el cargue de la información financiera con corte a 31 de diciembre de 20</w:t>
      </w:r>
      <w:r>
        <w:rPr>
          <w:rFonts w:ascii="Bookman Old Style" w:hAnsi="Bookman Old Style" w:cs="Arial"/>
        </w:rPr>
        <w:t>20</w:t>
      </w:r>
      <w:r w:rsidRPr="00585C3D">
        <w:rPr>
          <w:rFonts w:ascii="Bookman Old Style" w:hAnsi="Bookman Old Style" w:cs="Arial"/>
        </w:rPr>
        <w:t>, la cual es la base para liquidar la contribución especial 202</w:t>
      </w:r>
      <w:r>
        <w:rPr>
          <w:rFonts w:ascii="Bookman Old Style" w:hAnsi="Bookman Old Style" w:cs="Arial"/>
        </w:rPr>
        <w:t>1</w:t>
      </w:r>
      <w:r w:rsidRPr="00585C3D">
        <w:rPr>
          <w:rFonts w:ascii="Bookman Old Style" w:hAnsi="Bookman Old Style" w:cs="Arial"/>
        </w:rPr>
        <w:t>, determinada en el artículo 85 de la Ley 142 de 1994</w:t>
      </w:r>
      <w:r>
        <w:rPr>
          <w:rFonts w:ascii="Bookman Old Style" w:hAnsi="Bookman Old Style" w:cs="Arial"/>
        </w:rPr>
        <w:t>.</w:t>
      </w:r>
      <w:r w:rsidR="00B33435">
        <w:rPr>
          <w:rFonts w:ascii="Bookman Old Style" w:hAnsi="Bookman Old Style" w:cs="Arial"/>
        </w:rPr>
        <w:t xml:space="preserve"> </w:t>
      </w:r>
    </w:p>
    <w:p w14:paraId="25F251B3" w14:textId="77777777" w:rsidR="00685D35" w:rsidRDefault="00685D35" w:rsidP="000A0E2C">
      <w:pPr>
        <w:ind w:left="0"/>
        <w:jc w:val="both"/>
        <w:rPr>
          <w:rFonts w:ascii="Bookman Old Style" w:hAnsi="Bookman Old Style" w:cs="Arial"/>
        </w:rPr>
      </w:pPr>
    </w:p>
    <w:p w14:paraId="1223559B" w14:textId="6018973B"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ada reporte basado en una taxonomía por grupo y tipo de reporte, permite reflejar los requerimientos de reconocimiento, medición (inicial y posterior), presentación y revelación de cada uno de los marcos normativos</w:t>
      </w:r>
      <w:r w:rsidR="00050EF7">
        <w:rPr>
          <w:rFonts w:ascii="Bookman Old Style" w:hAnsi="Bookman Old Style" w:cs="Arial"/>
        </w:rPr>
        <w:t>. E</w:t>
      </w:r>
      <w:r w:rsidRPr="00E42BC0">
        <w:rPr>
          <w:rFonts w:ascii="Bookman Old Style" w:hAnsi="Bookman Old Style" w:cs="Arial"/>
        </w:rPr>
        <w:t>s así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14:paraId="22EE020E" w14:textId="1FD19001" w:rsidR="00585C3D" w:rsidRDefault="00585C3D" w:rsidP="000A0E2C">
      <w:pPr>
        <w:ind w:left="0"/>
        <w:jc w:val="both"/>
        <w:rPr>
          <w:rFonts w:ascii="Bookman Old Style" w:hAnsi="Bookman Old Style" w:cs="Arial"/>
        </w:rPr>
      </w:pPr>
    </w:p>
    <w:p w14:paraId="458E43B0" w14:textId="6BD319C7" w:rsidR="00585C3D" w:rsidRDefault="00B33435" w:rsidP="00585C3D">
      <w:pPr>
        <w:ind w:left="0"/>
        <w:jc w:val="both"/>
        <w:rPr>
          <w:rFonts w:ascii="Bookman Old Style" w:hAnsi="Bookman Old Style" w:cs="Arial"/>
        </w:rPr>
      </w:pPr>
      <w:r>
        <w:rPr>
          <w:rFonts w:ascii="Bookman Old Style" w:hAnsi="Bookman Old Style" w:cs="Arial"/>
        </w:rPr>
        <w:t>E</w:t>
      </w:r>
      <w:r w:rsidR="00585C3D" w:rsidRPr="00585C3D">
        <w:rPr>
          <w:rFonts w:ascii="Bookman Old Style" w:hAnsi="Bookman Old Style" w:cs="Arial"/>
        </w:rPr>
        <w:t xml:space="preserve">l artículo 18 de la Ley 142 de 1994 señala que </w:t>
      </w:r>
      <w:r w:rsidR="00585C3D" w:rsidRPr="00280F45">
        <w:rPr>
          <w:rFonts w:ascii="Bookman Old Style" w:hAnsi="Bookman Old Style" w:cs="Arial"/>
          <w:i/>
          <w:iCs/>
        </w:rPr>
        <w:t>“[e]n todo caso, las empresas de servicios públicos que tengan objeto social múltiple deberán llevar contabilidad separada para cada uno de los servicios que presten; y el costo y la modalidad de las operaciones entre cada servicio deben registrarse de manera explícita (...)”</w:t>
      </w:r>
      <w:r w:rsidR="00C74F02" w:rsidRPr="00280F45">
        <w:rPr>
          <w:rFonts w:ascii="Bookman Old Style" w:hAnsi="Bookman Old Style" w:cs="Arial"/>
          <w:i/>
          <w:iCs/>
        </w:rPr>
        <w:t>.</w:t>
      </w:r>
    </w:p>
    <w:p w14:paraId="4A2AD2BB" w14:textId="67E33695" w:rsidR="00C74F02" w:rsidRDefault="00C74F02" w:rsidP="00585C3D">
      <w:pPr>
        <w:ind w:left="0"/>
        <w:jc w:val="both"/>
        <w:rPr>
          <w:rFonts w:ascii="Bookman Old Style" w:hAnsi="Bookman Old Style" w:cs="Arial"/>
        </w:rPr>
      </w:pPr>
    </w:p>
    <w:p w14:paraId="12B1EC7D" w14:textId="5C350183" w:rsidR="00C74F02" w:rsidRDefault="00C74F02" w:rsidP="00585C3D">
      <w:pPr>
        <w:ind w:left="0"/>
        <w:jc w:val="both"/>
        <w:rPr>
          <w:rFonts w:ascii="Bookman Old Style" w:hAnsi="Bookman Old Style" w:cs="Arial"/>
        </w:rPr>
      </w:pPr>
      <w:r w:rsidRPr="00C74F02">
        <w:rPr>
          <w:rFonts w:ascii="Bookman Old Style" w:hAnsi="Bookman Old Style" w:cs="Arial"/>
        </w:rPr>
        <w:t>El artículo 85 de la Ley 142 de 1994, aplicable a la liquidación de la contribución especial para la vigencia 202</w:t>
      </w:r>
      <w:r w:rsidR="003628A6">
        <w:rPr>
          <w:rFonts w:ascii="Bookman Old Style" w:hAnsi="Bookman Old Style" w:cs="Arial"/>
        </w:rPr>
        <w:t>1</w:t>
      </w:r>
      <w:r w:rsidRPr="00C74F02">
        <w:rPr>
          <w:rFonts w:ascii="Bookman Old Style" w:hAnsi="Bookman Old Style" w:cs="Arial"/>
        </w:rPr>
        <w:t xml:space="preserve">, </w:t>
      </w:r>
      <w:r w:rsidR="003628A6">
        <w:rPr>
          <w:rFonts w:ascii="Bookman Old Style" w:hAnsi="Bookman Old Style" w:cs="Arial"/>
        </w:rPr>
        <w:t>determina</w:t>
      </w:r>
      <w:r w:rsidRPr="00C74F02">
        <w:rPr>
          <w:rFonts w:ascii="Bookman Old Style" w:hAnsi="Bookman Old Style" w:cs="Arial"/>
        </w:rPr>
        <w:t>:</w:t>
      </w:r>
    </w:p>
    <w:p w14:paraId="77D26900" w14:textId="5FD0221E" w:rsidR="003628A6" w:rsidRDefault="003628A6" w:rsidP="00B33435">
      <w:pPr>
        <w:ind w:left="0"/>
        <w:jc w:val="both"/>
        <w:rPr>
          <w:rFonts w:ascii="Bookman Old Style" w:hAnsi="Bookman Old Style" w:cs="Arial"/>
        </w:rPr>
      </w:pPr>
    </w:p>
    <w:p w14:paraId="5E130B0D"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ARTICULO 85.-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 </w:t>
      </w:r>
    </w:p>
    <w:p w14:paraId="1B9BDAD9" w14:textId="77777777" w:rsidR="003628A6" w:rsidRPr="00685D35" w:rsidRDefault="003628A6" w:rsidP="00050EF7">
      <w:pPr>
        <w:ind w:left="284"/>
        <w:jc w:val="both"/>
        <w:rPr>
          <w:rFonts w:ascii="Bookman Old Style" w:hAnsi="Bookman Old Style" w:cs="Arial"/>
          <w:i/>
        </w:rPr>
      </w:pPr>
    </w:p>
    <w:p w14:paraId="45278A9A"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85.1.- Para definir los costos de los servicios que presten las comisiones y la Superintendencia, se tendrán en cuenta todos los gastos de funcionamiento, y la depreciación, amortización u obsolescencia de sus activos, en el período anual respectivo.</w:t>
      </w:r>
    </w:p>
    <w:p w14:paraId="18FD12A2" w14:textId="77777777" w:rsidR="003628A6" w:rsidRPr="00685D35" w:rsidRDefault="003628A6" w:rsidP="00050EF7">
      <w:pPr>
        <w:ind w:left="284"/>
        <w:jc w:val="both"/>
        <w:rPr>
          <w:rFonts w:ascii="Bookman Old Style" w:hAnsi="Bookman Old Style" w:cs="Arial"/>
          <w:i/>
        </w:rPr>
      </w:pPr>
    </w:p>
    <w:p w14:paraId="3FC09EC7"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85.2.- La superintendencia y las comisiones presupuestarán sus gastos cada año y cobrarán dentro de los límites que enseguida se señalan, solamente la tarifa que arroje el valor necesario para cubrir su presupuesto anual. </w:t>
      </w:r>
    </w:p>
    <w:p w14:paraId="65E02479" w14:textId="55A55404" w:rsidR="00227605" w:rsidRDefault="003628A6" w:rsidP="00050EF7">
      <w:pPr>
        <w:ind w:left="284"/>
        <w:jc w:val="both"/>
        <w:rPr>
          <w:rFonts w:ascii="Bookman Old Style" w:hAnsi="Bookman Old Style" w:cs="Arial"/>
          <w:i/>
          <w:sz w:val="16"/>
          <w:szCs w:val="16"/>
        </w:rPr>
      </w:pPr>
      <w:r w:rsidRPr="00B33435">
        <w:rPr>
          <w:rFonts w:ascii="Bookman Old Style" w:hAnsi="Bookman Old Style" w:cs="Arial"/>
          <w:i/>
          <w:sz w:val="16"/>
          <w:szCs w:val="16"/>
        </w:rPr>
        <w:tab/>
      </w:r>
    </w:p>
    <w:p w14:paraId="26672FB8" w14:textId="5F9E61A3" w:rsidR="00685D35" w:rsidRDefault="00685D35" w:rsidP="00050EF7">
      <w:pPr>
        <w:ind w:left="284"/>
        <w:jc w:val="both"/>
        <w:rPr>
          <w:rFonts w:ascii="Bookman Old Style" w:hAnsi="Bookman Old Style" w:cs="Arial"/>
          <w:i/>
          <w:sz w:val="16"/>
          <w:szCs w:val="16"/>
        </w:rPr>
      </w:pPr>
    </w:p>
    <w:p w14:paraId="73727A3A" w14:textId="4875B266"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w:t>
      </w:r>
      <w:r w:rsidRPr="00685D35">
        <w:rPr>
          <w:rFonts w:ascii="Bookman Old Style" w:hAnsi="Bookman Old Style" w:cs="Arial"/>
          <w:i/>
        </w:rPr>
        <w:lastRenderedPageBreak/>
        <w:t>la Superintendencia y de las comisiones, cada una de las cuales e independientemente y con base en su estudio fijarán la tarifa correspondiente.</w:t>
      </w:r>
    </w:p>
    <w:p w14:paraId="6649C998" w14:textId="77777777" w:rsidR="00685D35" w:rsidRPr="00685D35" w:rsidRDefault="00685D35" w:rsidP="00050EF7">
      <w:pPr>
        <w:ind w:left="284"/>
        <w:jc w:val="both"/>
        <w:rPr>
          <w:rFonts w:ascii="Bookman Old Style" w:hAnsi="Bookman Old Style" w:cs="Arial"/>
          <w:i/>
          <w:sz w:val="28"/>
          <w:szCs w:val="28"/>
        </w:rPr>
      </w:pPr>
    </w:p>
    <w:p w14:paraId="5A071C9B"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85.3.- Si en algún momento las comisiones o la Superintendencia tuvieren excedentes, deberán reembolsarlos a los contribuyentes, o abonarlos a las contribuciones del siguiente período, o transferirlos a la Nación, si las otras medidas no fueran posibles.</w:t>
      </w:r>
    </w:p>
    <w:p w14:paraId="5DE1489D" w14:textId="77777777" w:rsidR="003628A6" w:rsidRPr="00685D35" w:rsidRDefault="003628A6" w:rsidP="00050EF7">
      <w:pPr>
        <w:ind w:left="284"/>
        <w:jc w:val="both"/>
        <w:rPr>
          <w:rFonts w:ascii="Bookman Old Style" w:hAnsi="Bookman Old Style" w:cs="Arial"/>
          <w:i/>
          <w:sz w:val="28"/>
          <w:szCs w:val="28"/>
        </w:rPr>
      </w:pPr>
    </w:p>
    <w:p w14:paraId="26AB94DD"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85.4.- El cálculo de la suma a cargo de cada contribuyente, en cuanto a los costos de regulación, se hará teniendo en cuenta los costos de la comisión que regula el sector en el cual se desempeña; y el de los costos de vigilancia, atendiendo a los de la Superintendencia.</w:t>
      </w:r>
    </w:p>
    <w:p w14:paraId="1F7AB65B" w14:textId="77777777" w:rsidR="003628A6" w:rsidRPr="00685D35" w:rsidRDefault="003628A6" w:rsidP="00050EF7">
      <w:pPr>
        <w:ind w:left="284"/>
        <w:jc w:val="both"/>
        <w:rPr>
          <w:rFonts w:ascii="Bookman Old Style" w:hAnsi="Bookman Old Style" w:cs="Arial"/>
          <w:i/>
          <w:sz w:val="28"/>
          <w:szCs w:val="28"/>
        </w:rPr>
      </w:pPr>
    </w:p>
    <w:p w14:paraId="41B29341"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85.5.- La liquidación y recaudo de las contribuciones correspondientes al servicio de regulación se efectuará por las comisiones respectivas y las correspondientes al servicio de inspección, control y vigilancia estarán a cargo de la Superintendencia. </w:t>
      </w:r>
    </w:p>
    <w:p w14:paraId="7AC8086A" w14:textId="77777777" w:rsidR="003628A6" w:rsidRPr="00685D35" w:rsidRDefault="003628A6" w:rsidP="00050EF7">
      <w:pPr>
        <w:ind w:left="284"/>
        <w:jc w:val="both"/>
        <w:rPr>
          <w:rFonts w:ascii="Bookman Old Style" w:hAnsi="Bookman Old Style" w:cs="Arial"/>
          <w:i/>
          <w:sz w:val="28"/>
          <w:szCs w:val="28"/>
        </w:rPr>
      </w:pPr>
    </w:p>
    <w:p w14:paraId="66F7C89C"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85.6.- Una vez en firme las liquidaciones deberán ser canceladas dentro del mes siguiente. Se aplicará el mismo régimen de sanción por mora aplicable al impuesto sobre la renta y complementarios, sin perjuicio de las demás sanciones de que trata esta ley.</w:t>
      </w:r>
    </w:p>
    <w:p w14:paraId="4AD7FD7C" w14:textId="77777777" w:rsidR="003628A6" w:rsidRPr="00685D35" w:rsidRDefault="003628A6" w:rsidP="00050EF7">
      <w:pPr>
        <w:ind w:left="284"/>
        <w:jc w:val="both"/>
        <w:rPr>
          <w:rFonts w:ascii="Bookman Old Style" w:hAnsi="Bookman Old Style" w:cs="Arial"/>
          <w:i/>
          <w:sz w:val="28"/>
          <w:szCs w:val="28"/>
        </w:rPr>
      </w:pPr>
    </w:p>
    <w:p w14:paraId="5B245EB4"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PARAGRAFO 1.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14:paraId="1D52055F" w14:textId="77777777" w:rsidR="003628A6" w:rsidRPr="00685D35" w:rsidRDefault="003628A6" w:rsidP="00050EF7">
      <w:pPr>
        <w:ind w:left="284"/>
        <w:jc w:val="both"/>
        <w:rPr>
          <w:rFonts w:ascii="Bookman Old Style" w:hAnsi="Bookman Old Style" w:cs="Arial"/>
          <w:i/>
          <w:sz w:val="28"/>
          <w:szCs w:val="28"/>
        </w:rPr>
      </w:pPr>
    </w:p>
    <w:p w14:paraId="6EA4C927"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PARAGRAFO 2.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14:paraId="7BAA530F" w14:textId="6C71BBAA" w:rsidR="003628A6" w:rsidRDefault="003628A6" w:rsidP="00B33435">
      <w:pPr>
        <w:ind w:left="0" w:right="454"/>
        <w:jc w:val="both"/>
        <w:rPr>
          <w:rFonts w:ascii="Bookman Old Style" w:hAnsi="Bookman Old Style" w:cs="Arial"/>
          <w:sz w:val="16"/>
          <w:szCs w:val="16"/>
        </w:rPr>
      </w:pPr>
    </w:p>
    <w:p w14:paraId="6239582D" w14:textId="4CF89415" w:rsidR="00685D35" w:rsidRDefault="00685D35" w:rsidP="00B33435">
      <w:pPr>
        <w:ind w:left="0" w:right="454"/>
        <w:jc w:val="both"/>
        <w:rPr>
          <w:rFonts w:ascii="Bookman Old Style" w:hAnsi="Bookman Old Style" w:cs="Arial"/>
          <w:sz w:val="16"/>
          <w:szCs w:val="16"/>
        </w:rPr>
      </w:pPr>
    </w:p>
    <w:p w14:paraId="4D9C7932" w14:textId="3824D966" w:rsidR="003628A6" w:rsidRPr="00E42BC0" w:rsidRDefault="00B33435" w:rsidP="003628A6">
      <w:pPr>
        <w:ind w:left="0"/>
        <w:jc w:val="both"/>
        <w:rPr>
          <w:rFonts w:ascii="Bookman Old Style" w:hAnsi="Bookman Old Style" w:cs="Arial"/>
        </w:rPr>
      </w:pPr>
      <w:r>
        <w:rPr>
          <w:rFonts w:ascii="Bookman Old Style" w:hAnsi="Bookman Old Style" w:cs="Arial"/>
        </w:rPr>
        <w:t>P</w:t>
      </w:r>
      <w:r w:rsidR="003628A6">
        <w:rPr>
          <w:rFonts w:ascii="Bookman Old Style" w:hAnsi="Bookman Old Style" w:cs="Arial"/>
        </w:rPr>
        <w:t xml:space="preserve">ara efectos de la presente resolución se ha aceptado </w:t>
      </w:r>
      <w:r w:rsidR="003628A6" w:rsidRPr="00E42BC0">
        <w:rPr>
          <w:rFonts w:ascii="Bookman Old Style" w:hAnsi="Bookman Old Style" w:cs="Arial"/>
        </w:rPr>
        <w:t xml:space="preserve">la definición jurisprudencial </w:t>
      </w:r>
      <w:r w:rsidR="003628A6">
        <w:rPr>
          <w:rFonts w:ascii="Bookman Old Style" w:hAnsi="Bookman Old Style" w:cs="Arial"/>
        </w:rPr>
        <w:t>d</w:t>
      </w:r>
      <w:r w:rsidR="003628A6" w:rsidRPr="00E42BC0">
        <w:rPr>
          <w:rFonts w:ascii="Bookman Old Style" w:hAnsi="Bookman Old Style" w:cs="Arial"/>
        </w:rPr>
        <w:t>el término “</w:t>
      </w:r>
      <w:r w:rsidR="003628A6" w:rsidRPr="00280F45">
        <w:rPr>
          <w:rFonts w:ascii="Bookman Old Style" w:hAnsi="Bookman Old Style" w:cs="Arial"/>
          <w:i/>
          <w:iCs/>
        </w:rPr>
        <w:t>gastos de funcionamiento</w:t>
      </w:r>
      <w:r w:rsidR="003628A6" w:rsidRPr="00E42BC0">
        <w:rPr>
          <w:rFonts w:ascii="Bookman Old Style" w:hAnsi="Bookman Old Style" w:cs="Arial"/>
        </w:rPr>
        <w:t>”, adoptada por el Consejo de Estado Sección Cuarta. C.P.: Martha Teresa Briceño de Valencia, Rad. 11001-03-27-000-2007-00049-00 (16874) del 23 de septiembre de 2010 y Rad.  25000-23-27-000-2012-00362-01 (20253) del 17 de septiembre de 2014, tuvo lugar a partir del análisis al catálogo de cuentas del Plan Contable (estructura instr</w:t>
      </w:r>
      <w:r w:rsidR="003628A6">
        <w:rPr>
          <w:rFonts w:ascii="Bookman Old Style" w:hAnsi="Bookman Old Style" w:cs="Arial"/>
        </w:rPr>
        <w:t>umental para registro contable), s</w:t>
      </w:r>
      <w:r w:rsidR="003628A6" w:rsidRPr="00E42BC0">
        <w:rPr>
          <w:rFonts w:ascii="Bookman Old Style" w:hAnsi="Bookman Old Style" w:cs="Arial"/>
        </w:rPr>
        <w:t>e puede concluir que los Gastos de Funcionamiento son los que están relacionados con la prestación del servicio sujeto a inspección, vigilancia y control y</w:t>
      </w:r>
      <w:r w:rsidR="00050EF7">
        <w:rPr>
          <w:rFonts w:ascii="Bookman Old Style" w:hAnsi="Bookman Old Style" w:cs="Arial"/>
        </w:rPr>
        <w:t>,</w:t>
      </w:r>
      <w:r w:rsidR="003628A6" w:rsidRPr="00E42BC0">
        <w:rPr>
          <w:rFonts w:ascii="Bookman Old Style" w:hAnsi="Bookman Old Style" w:cs="Arial"/>
        </w:rPr>
        <w:t xml:space="preserve"> en consecuencia</w:t>
      </w:r>
      <w:r w:rsidR="00050EF7">
        <w:rPr>
          <w:rFonts w:ascii="Bookman Old Style" w:hAnsi="Bookman Old Style" w:cs="Arial"/>
        </w:rPr>
        <w:t>,</w:t>
      </w:r>
      <w:r w:rsidR="003628A6" w:rsidRPr="00E42BC0">
        <w:rPr>
          <w:rFonts w:ascii="Bookman Old Style" w:hAnsi="Bookman Old Style" w:cs="Arial"/>
        </w:rPr>
        <w:t xml:space="preserve"> sirvan como variable para el cálculo de la contribución especial.</w:t>
      </w:r>
    </w:p>
    <w:p w14:paraId="336BC8A1" w14:textId="78B4DF29" w:rsidR="003628A6" w:rsidRPr="00DE4534" w:rsidRDefault="00B33435" w:rsidP="003628A6">
      <w:pPr>
        <w:ind w:left="0"/>
        <w:jc w:val="both"/>
        <w:rPr>
          <w:rFonts w:ascii="Bookman Old Style" w:hAnsi="Bookman Old Style" w:cs="Arial"/>
        </w:rPr>
      </w:pPr>
      <w:r>
        <w:rPr>
          <w:rFonts w:ascii="Bookman Old Style" w:hAnsi="Bookman Old Style" w:cs="Arial"/>
        </w:rPr>
        <w:lastRenderedPageBreak/>
        <w:t>Conforme</w:t>
      </w:r>
      <w:r w:rsidR="003628A6" w:rsidRPr="00E42BC0">
        <w:rPr>
          <w:rFonts w:ascii="Bookman Old Style" w:hAnsi="Bookman Old Style" w:cs="Arial"/>
        </w:rPr>
        <w:t xml:space="preserve"> con el numeral 85.1 del artículo 85 de la Ley 142 de 1994, para definir los costos de los servicios que presta la </w:t>
      </w:r>
      <w:r w:rsidR="003628A6">
        <w:rPr>
          <w:rFonts w:ascii="Bookman Old Style" w:hAnsi="Bookman Old Style" w:cs="Arial"/>
        </w:rPr>
        <w:t>CREG</w:t>
      </w:r>
      <w:r w:rsidR="003628A6" w:rsidRPr="00E42BC0">
        <w:rPr>
          <w:rFonts w:ascii="Bookman Old Style" w:hAnsi="Bookman Old Style" w:cs="Arial"/>
        </w:rPr>
        <w:t xml:space="preserve">, se tomó el presupuesto anual de gastos aprobado a la entidad para </w:t>
      </w:r>
      <w:r>
        <w:rPr>
          <w:rFonts w:ascii="Bookman Old Style" w:hAnsi="Bookman Old Style" w:cs="Arial"/>
        </w:rPr>
        <w:t>la vigencia</w:t>
      </w:r>
      <w:r w:rsidR="003628A6" w:rsidRPr="00E42BC0">
        <w:rPr>
          <w:rFonts w:ascii="Bookman Old Style" w:hAnsi="Bookman Old Style" w:cs="Arial"/>
        </w:rPr>
        <w:t xml:space="preserve"> </w:t>
      </w:r>
      <w:r w:rsidR="003628A6">
        <w:rPr>
          <w:rFonts w:ascii="Bookman Old Style" w:hAnsi="Bookman Old Style" w:cs="Arial"/>
        </w:rPr>
        <w:t>2021,</w:t>
      </w:r>
      <w:r w:rsidR="003628A6" w:rsidRPr="00FE55BD">
        <w:rPr>
          <w:rFonts w:ascii="Bookman Old Style" w:hAnsi="Bookman Old Style" w:cs="Arial"/>
        </w:rPr>
        <w:t xml:space="preserve"> el cual está integrado por los gastos de funcionamiento y los gastos de inversión, a la luz de lo dispuesto en el artículo 36 del Estatuto </w:t>
      </w:r>
      <w:r w:rsidR="003628A6" w:rsidRPr="00DE4534">
        <w:rPr>
          <w:rFonts w:ascii="Bookman Old Style" w:hAnsi="Bookman Old Style" w:cs="Arial"/>
        </w:rPr>
        <w:t>Orgánico del Presupuesto</w:t>
      </w:r>
      <w:r w:rsidR="008667FC">
        <w:rPr>
          <w:rStyle w:val="Refdenotaalpie"/>
          <w:rFonts w:ascii="Bookman Old Style" w:hAnsi="Bookman Old Style" w:cs="Arial"/>
        </w:rPr>
        <w:footnoteReference w:id="9"/>
      </w:r>
      <w:r w:rsidR="008667FC">
        <w:rPr>
          <w:rFonts w:ascii="Bookman Old Style" w:hAnsi="Bookman Old Style" w:cs="Arial"/>
        </w:rPr>
        <w:t xml:space="preserve"> y el artículo </w:t>
      </w:r>
      <w:r w:rsidR="008667FC" w:rsidRPr="008667FC">
        <w:rPr>
          <w:rFonts w:ascii="Bookman Old Style" w:hAnsi="Bookman Old Style" w:cs="Arial"/>
        </w:rPr>
        <w:t>2.8.3.1.2</w:t>
      </w:r>
      <w:r w:rsidR="008667FC">
        <w:rPr>
          <w:rFonts w:ascii="Bookman Old Style" w:hAnsi="Bookman Old Style" w:cs="Arial"/>
        </w:rPr>
        <w:t xml:space="preserve"> del Decreto </w:t>
      </w:r>
      <w:r>
        <w:rPr>
          <w:rFonts w:ascii="Bookman Old Style" w:hAnsi="Bookman Old Style" w:cs="Arial"/>
        </w:rPr>
        <w:t>1068 de 2015</w:t>
      </w:r>
      <w:r w:rsidR="008667FC">
        <w:rPr>
          <w:rStyle w:val="Refdenotaalpie"/>
          <w:rFonts w:ascii="Bookman Old Style" w:hAnsi="Bookman Old Style" w:cs="Arial"/>
        </w:rPr>
        <w:footnoteReference w:id="10"/>
      </w:r>
    </w:p>
    <w:p w14:paraId="48FCA28D" w14:textId="77777777" w:rsidR="003628A6" w:rsidRDefault="003628A6" w:rsidP="003628A6">
      <w:pPr>
        <w:ind w:left="0"/>
        <w:jc w:val="both"/>
        <w:rPr>
          <w:rFonts w:ascii="Bookman Old Style" w:hAnsi="Bookman Old Style" w:cs="Arial"/>
        </w:rPr>
      </w:pPr>
    </w:p>
    <w:p w14:paraId="1EF4E1CD" w14:textId="7620D04F" w:rsidR="003628A6" w:rsidRPr="00DE4534" w:rsidRDefault="00685D35" w:rsidP="003628A6">
      <w:pPr>
        <w:ind w:left="0"/>
        <w:jc w:val="both"/>
        <w:rPr>
          <w:rFonts w:ascii="Bookman Old Style" w:hAnsi="Bookman Old Style" w:cs="Arial"/>
        </w:rPr>
      </w:pPr>
      <w:r>
        <w:rPr>
          <w:rFonts w:ascii="Bookman Old Style" w:hAnsi="Bookman Old Style" w:cs="Arial"/>
        </w:rPr>
        <w:t>D</w:t>
      </w:r>
      <w:r w:rsidR="003628A6" w:rsidRPr="00DE4534">
        <w:rPr>
          <w:rFonts w:ascii="Bookman Old Style" w:hAnsi="Bookman Old Style" w:cs="Arial"/>
        </w:rPr>
        <w:t>e acuerdo con lo anterior</w:t>
      </w:r>
      <w:r w:rsidR="00050EF7">
        <w:rPr>
          <w:rFonts w:ascii="Bookman Old Style" w:hAnsi="Bookman Old Style" w:cs="Arial"/>
        </w:rPr>
        <w:t>,</w:t>
      </w:r>
      <w:r w:rsidR="003628A6" w:rsidRPr="00DE4534">
        <w:rPr>
          <w:rFonts w:ascii="Bookman Old Style" w:hAnsi="Bookman Old Style" w:cs="Arial"/>
        </w:rPr>
        <w:t xml:space="preserve"> y con el fin de proyectar la tarifa para la liquidación de la contribución especial del año 20</w:t>
      </w:r>
      <w:r w:rsidR="003628A6">
        <w:rPr>
          <w:rFonts w:ascii="Bookman Old Style" w:hAnsi="Bookman Old Style" w:cs="Arial"/>
        </w:rPr>
        <w:t>21</w:t>
      </w:r>
      <w:r w:rsidR="003628A6" w:rsidRPr="00DE4534">
        <w:rPr>
          <w:rFonts w:ascii="Bookman Old Style" w:hAnsi="Bookman Old Style" w:cs="Arial"/>
        </w:rPr>
        <w:t>, se tomó la información financiera reportada y certificada con corte a 31 de diciembre de 20</w:t>
      </w:r>
      <w:r w:rsidR="003628A6">
        <w:rPr>
          <w:rFonts w:ascii="Bookman Old Style" w:hAnsi="Bookman Old Style" w:cs="Arial"/>
        </w:rPr>
        <w:t>20</w:t>
      </w:r>
      <w:r w:rsidR="003628A6" w:rsidRPr="00DE4534">
        <w:rPr>
          <w:rFonts w:ascii="Bookman Old Style" w:hAnsi="Bookman Old Style" w:cs="Arial"/>
        </w:rPr>
        <w:t xml:space="preserve"> por las entidades sometidas </w:t>
      </w:r>
      <w:r w:rsidR="003628A6">
        <w:rPr>
          <w:rFonts w:ascii="Bookman Old Style" w:hAnsi="Bookman Old Style" w:cs="Arial"/>
        </w:rPr>
        <w:t>al ámbito de regulación</w:t>
      </w:r>
      <w:r w:rsidR="00050EF7">
        <w:rPr>
          <w:rFonts w:ascii="Bookman Old Style" w:hAnsi="Bookman Old Style" w:cs="Arial"/>
        </w:rPr>
        <w:t>,</w:t>
      </w:r>
      <w:r w:rsidR="003628A6" w:rsidRPr="00DE4534">
        <w:rPr>
          <w:rFonts w:ascii="Bookman Old Style" w:hAnsi="Bookman Old Style" w:cs="Arial"/>
        </w:rPr>
        <w:t xml:space="preserve"> y el valor del presupuesto por concepto de ingresos corrientes "tasas, multas y contribuciones” para el año 20</w:t>
      </w:r>
      <w:r w:rsidR="003628A6">
        <w:rPr>
          <w:rFonts w:ascii="Bookman Old Style" w:hAnsi="Bookman Old Style" w:cs="Arial"/>
        </w:rPr>
        <w:t>20</w:t>
      </w:r>
      <w:r w:rsidR="003628A6" w:rsidRPr="00DE4534">
        <w:rPr>
          <w:rFonts w:ascii="Bookman Old Style" w:hAnsi="Bookman Old Style" w:cs="Arial"/>
        </w:rPr>
        <w:t xml:space="preserve"> antes indicado.</w:t>
      </w:r>
    </w:p>
    <w:p w14:paraId="33874280" w14:textId="77777777" w:rsidR="003628A6" w:rsidRPr="00DE4534" w:rsidRDefault="003628A6" w:rsidP="003628A6">
      <w:pPr>
        <w:ind w:left="0"/>
        <w:jc w:val="both"/>
        <w:rPr>
          <w:rFonts w:ascii="Bookman Old Style" w:hAnsi="Bookman Old Style" w:cs="Arial"/>
        </w:rPr>
      </w:pPr>
    </w:p>
    <w:p w14:paraId="670EF7D9" w14:textId="63E45F08" w:rsidR="003628A6" w:rsidRDefault="00685D35" w:rsidP="003628A6">
      <w:pPr>
        <w:ind w:left="0"/>
        <w:jc w:val="both"/>
        <w:rPr>
          <w:rFonts w:ascii="Bookman Old Style" w:hAnsi="Bookman Old Style" w:cs="Arial"/>
          <w:i/>
          <w:iCs/>
          <w:lang w:val="es-CO"/>
        </w:rPr>
      </w:pPr>
      <w:r>
        <w:rPr>
          <w:rFonts w:ascii="Bookman Old Style" w:hAnsi="Bookman Old Style" w:cs="Arial"/>
          <w:lang w:val="es-CO"/>
        </w:rPr>
        <w:t>L</w:t>
      </w:r>
      <w:r w:rsidR="003628A6" w:rsidRPr="00DE4534">
        <w:rPr>
          <w:rFonts w:ascii="Bookman Old Style" w:hAnsi="Bookman Old Style" w:cs="Arial"/>
          <w:lang w:val="es-CO"/>
        </w:rPr>
        <w:t>a Ley 142 de 1994 Artículo N° 85. PARÁGRAFO 2°</w:t>
      </w:r>
      <w:r w:rsidR="003628A6">
        <w:rPr>
          <w:rFonts w:ascii="Bookman Old Style" w:hAnsi="Bookman Old Style" w:cs="Arial"/>
          <w:lang w:val="es-CO"/>
        </w:rPr>
        <w:t xml:space="preserve"> determina que: </w:t>
      </w:r>
      <w:r w:rsidR="00CD3D76">
        <w:rPr>
          <w:rFonts w:ascii="Bookman Old Style" w:hAnsi="Bookman Old Style" w:cs="Arial"/>
          <w:lang w:val="es-CO"/>
        </w:rPr>
        <w:t>“</w:t>
      </w:r>
      <w:r w:rsidR="003628A6" w:rsidRPr="00280F45">
        <w:rPr>
          <w:rFonts w:ascii="Bookman Old Style" w:hAnsi="Bookman Old Style" w:cs="Arial"/>
          <w:i/>
          <w:iCs/>
          <w:lang w:val="es-CO"/>
        </w:rPr>
        <w:t xml:space="preserve">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w:t>
      </w:r>
    </w:p>
    <w:p w14:paraId="4B1EAB52" w14:textId="77777777" w:rsidR="00050EF7" w:rsidRPr="00280F45" w:rsidRDefault="00050EF7" w:rsidP="003628A6">
      <w:pPr>
        <w:ind w:left="0"/>
        <w:jc w:val="both"/>
        <w:rPr>
          <w:rFonts w:ascii="Bookman Old Style" w:hAnsi="Bookman Old Style" w:cs="Arial"/>
          <w:i/>
          <w:iCs/>
          <w:lang w:val="es-CO"/>
        </w:rPr>
      </w:pPr>
    </w:p>
    <w:p w14:paraId="78BEB57D" w14:textId="08297D4E" w:rsidR="003628A6" w:rsidRPr="00DE4534" w:rsidRDefault="003628A6" w:rsidP="003628A6">
      <w:pPr>
        <w:ind w:left="0"/>
        <w:jc w:val="both"/>
        <w:rPr>
          <w:rFonts w:ascii="Bookman Old Style" w:hAnsi="Bookman Old Style" w:cs="Arial"/>
          <w:lang w:val="es-CO"/>
        </w:rPr>
      </w:pPr>
      <w:r w:rsidRPr="00280F45">
        <w:rPr>
          <w:rFonts w:ascii="Bookman Old Style" w:hAnsi="Bookman Old Style" w:cs="Arial"/>
          <w:i/>
          <w:iCs/>
          <w:lang w:val="es-CO"/>
        </w:rPr>
        <w:t>Estos rubros podrán ser adicionados en la misma proporción en que sean indispensables para cubrir faltantes presupuestales de las comisiones y la superintendencia</w:t>
      </w:r>
      <w:r w:rsidR="00CD3D76">
        <w:rPr>
          <w:rFonts w:ascii="Bookman Old Style" w:hAnsi="Bookman Old Style" w:cs="Arial"/>
          <w:i/>
          <w:iCs/>
          <w:lang w:val="es-CO"/>
        </w:rPr>
        <w:t>”</w:t>
      </w:r>
      <w:r w:rsidRPr="00DE4534">
        <w:rPr>
          <w:rFonts w:ascii="Bookman Old Style" w:hAnsi="Bookman Old Style" w:cs="Arial"/>
          <w:lang w:val="es-CO"/>
        </w:rPr>
        <w:t>.</w:t>
      </w:r>
    </w:p>
    <w:p w14:paraId="474562E9" w14:textId="77777777" w:rsidR="003628A6" w:rsidRPr="00482643" w:rsidRDefault="003628A6" w:rsidP="003628A6">
      <w:pPr>
        <w:ind w:left="0"/>
        <w:jc w:val="both"/>
        <w:rPr>
          <w:rFonts w:ascii="Bookman Old Style" w:hAnsi="Bookman Old Style" w:cs="Arial"/>
          <w:lang w:val="es-CO"/>
        </w:rPr>
      </w:pPr>
    </w:p>
    <w:p w14:paraId="4BF07111" w14:textId="60ACA49A" w:rsidR="003628A6" w:rsidRDefault="00685D35" w:rsidP="003628A6">
      <w:pPr>
        <w:ind w:left="0"/>
        <w:jc w:val="both"/>
        <w:rPr>
          <w:rFonts w:ascii="Bookman Old Style" w:hAnsi="Bookman Old Style" w:cs="Arial"/>
          <w:lang w:val="es-ES_tradnl"/>
        </w:rPr>
      </w:pPr>
      <w:r>
        <w:rPr>
          <w:rFonts w:ascii="Bookman Old Style" w:hAnsi="Bookman Old Style" w:cs="Arial"/>
          <w:lang w:val="es-CO"/>
        </w:rPr>
        <w:t>A</w:t>
      </w:r>
      <w:r w:rsidR="003628A6">
        <w:rPr>
          <w:rFonts w:ascii="Bookman Old Style" w:hAnsi="Bookman Old Style" w:cs="Arial"/>
          <w:lang w:val="es-CO"/>
        </w:rPr>
        <w:t>l respecto e</w:t>
      </w:r>
      <w:r w:rsidR="003628A6" w:rsidRPr="00482643">
        <w:rPr>
          <w:rFonts w:ascii="Bookman Old Style" w:hAnsi="Bookman Old Style" w:cs="Arial"/>
          <w:lang w:val="es-CO"/>
        </w:rPr>
        <w:t xml:space="preserve">l Consejo </w:t>
      </w:r>
      <w:r w:rsidR="00050EF7">
        <w:rPr>
          <w:rFonts w:ascii="Bookman Old Style" w:hAnsi="Bookman Old Style" w:cs="Arial"/>
          <w:lang w:val="es-CO"/>
        </w:rPr>
        <w:t>d</w:t>
      </w:r>
      <w:r w:rsidR="003628A6" w:rsidRPr="00482643">
        <w:rPr>
          <w:rFonts w:ascii="Bookman Old Style" w:hAnsi="Bookman Old Style" w:cs="Arial"/>
          <w:lang w:val="es-CO"/>
        </w:rPr>
        <w:t xml:space="preserve">e Estado, </w:t>
      </w:r>
      <w:r w:rsidR="003628A6" w:rsidRPr="008667FC">
        <w:rPr>
          <w:rFonts w:ascii="Bookman Old Style" w:hAnsi="Bookman Old Style" w:cs="Arial"/>
          <w:lang w:val="es-CO"/>
        </w:rPr>
        <w:t xml:space="preserve">Sala </w:t>
      </w:r>
      <w:r w:rsidR="008667FC">
        <w:rPr>
          <w:rFonts w:ascii="Bookman Old Style" w:hAnsi="Bookman Old Style" w:cs="Arial"/>
          <w:lang w:val="es-CO"/>
        </w:rPr>
        <w:t>d</w:t>
      </w:r>
      <w:r w:rsidR="003628A6" w:rsidRPr="008667FC">
        <w:rPr>
          <w:rFonts w:ascii="Bookman Old Style" w:hAnsi="Bookman Old Style" w:cs="Arial"/>
          <w:lang w:val="es-CO"/>
        </w:rPr>
        <w:t xml:space="preserve">e </w:t>
      </w:r>
      <w:r w:rsidR="008667FC">
        <w:rPr>
          <w:rFonts w:ascii="Bookman Old Style" w:hAnsi="Bookman Old Style" w:cs="Arial"/>
          <w:lang w:val="es-CO"/>
        </w:rPr>
        <w:t>l</w:t>
      </w:r>
      <w:r w:rsidR="003628A6" w:rsidRPr="008667FC">
        <w:rPr>
          <w:rFonts w:ascii="Bookman Old Style" w:hAnsi="Bookman Old Style" w:cs="Arial"/>
          <w:lang w:val="es-CO"/>
        </w:rPr>
        <w:t>o Contencioso Administrativo Sección Cuarta</w:t>
      </w:r>
      <w:r w:rsidR="008667FC">
        <w:rPr>
          <w:rFonts w:ascii="Bookman Old Style" w:hAnsi="Bookman Old Style" w:cs="Arial"/>
          <w:lang w:val="es-CO"/>
        </w:rPr>
        <w:t>,</w:t>
      </w:r>
      <w:r w:rsidR="003628A6" w:rsidRPr="00482643">
        <w:rPr>
          <w:rFonts w:ascii="Bookman Old Style" w:hAnsi="Bookman Old Style" w:cs="Arial"/>
          <w:b/>
          <w:bCs/>
          <w:lang w:val="es-CO"/>
        </w:rPr>
        <w:t xml:space="preserve"> </w:t>
      </w:r>
      <w:r w:rsidR="003628A6" w:rsidRPr="00482643">
        <w:rPr>
          <w:rFonts w:ascii="Bookman Old Style" w:hAnsi="Bookman Old Style" w:cs="Arial"/>
          <w:lang w:val="es-CO"/>
        </w:rPr>
        <w:t xml:space="preserve">en sentencia dentro del proceso de </w:t>
      </w:r>
      <w:r w:rsidR="003628A6" w:rsidRPr="00482643">
        <w:rPr>
          <w:rFonts w:ascii="Bookman Old Style" w:hAnsi="Bookman Old Style" w:cs="Arial"/>
          <w:lang w:val="es-ES_tradnl"/>
        </w:rPr>
        <w:t xml:space="preserve">NULIDAD y NULIDAD Y RESTABLECIMIENTO DEL DERECHO 11001-03-27-000-2017-00012-00 (22972) GESTIÓN ENERGÉTICA 5.A. E.S.P. "GENSA S.A. E.S.P. contra SUPERINTENDENCIA DE SERVICIOS PÚBLICOS DOMICILIARIOS por la CONTRIBUCIÓN ESPECIAL SSPD 2016 manifestó: </w:t>
      </w:r>
    </w:p>
    <w:p w14:paraId="622E6CA5" w14:textId="77777777" w:rsidR="003628A6" w:rsidRPr="00685D35" w:rsidRDefault="003628A6" w:rsidP="003628A6">
      <w:pPr>
        <w:ind w:left="0"/>
        <w:jc w:val="both"/>
        <w:rPr>
          <w:rFonts w:ascii="Bookman Old Style" w:hAnsi="Bookman Old Style" w:cs="Arial"/>
          <w:sz w:val="16"/>
          <w:szCs w:val="16"/>
          <w:lang w:val="es-CO"/>
        </w:rPr>
      </w:pPr>
    </w:p>
    <w:p w14:paraId="2A0ADD1F" w14:textId="77777777" w:rsidR="003628A6" w:rsidRDefault="003628A6" w:rsidP="00050EF7">
      <w:pPr>
        <w:jc w:val="both"/>
        <w:rPr>
          <w:rFonts w:ascii="Bookman Old Style" w:hAnsi="Bookman Old Style" w:cs="Arial"/>
          <w:i/>
          <w:iCs/>
          <w:lang w:val="es-CO"/>
        </w:rPr>
      </w:pPr>
      <w:r w:rsidRPr="00482643">
        <w:rPr>
          <w:rFonts w:ascii="Bookman Old Style" w:hAnsi="Bookman Old Style" w:cs="Arial"/>
          <w:i/>
          <w:iCs/>
          <w:lang w:val="es-CO"/>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14:paraId="7DD1A64E" w14:textId="77777777" w:rsidR="003628A6" w:rsidRPr="00685D35" w:rsidRDefault="003628A6" w:rsidP="00050EF7">
      <w:pPr>
        <w:jc w:val="both"/>
        <w:rPr>
          <w:rFonts w:ascii="Bookman Old Style" w:hAnsi="Bookman Old Style" w:cs="Arial"/>
          <w:i/>
          <w:iCs/>
          <w:sz w:val="16"/>
          <w:szCs w:val="16"/>
          <w:lang w:val="es-CO"/>
        </w:rPr>
      </w:pPr>
    </w:p>
    <w:p w14:paraId="6EE5F971" w14:textId="37C7C48E" w:rsidR="003628A6" w:rsidRDefault="003628A6" w:rsidP="00050EF7">
      <w:pPr>
        <w:jc w:val="both"/>
        <w:rPr>
          <w:rFonts w:ascii="Bookman Old Style" w:hAnsi="Bookman Old Style" w:cs="Arial"/>
          <w:i/>
          <w:iCs/>
          <w:u w:val="single"/>
          <w:lang w:val="es-CO"/>
        </w:rPr>
      </w:pPr>
      <w:r w:rsidRPr="00482643">
        <w:rPr>
          <w:rFonts w:ascii="Bookman Old Style" w:hAnsi="Bookman Old Style" w:cs="Arial"/>
          <w:i/>
          <w:iCs/>
          <w:lang w:val="es-CO"/>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 (ii) conforme a la regla exceptiva, configurado el supuesto de hecho -el faltante presupuestal- </w:t>
      </w:r>
      <w:r w:rsidRPr="00482643">
        <w:rPr>
          <w:rFonts w:ascii="Bookman Old Style" w:hAnsi="Bookman Old Style" w:cs="Arial"/>
          <w:i/>
          <w:iCs/>
          <w:u w:val="single"/>
          <w:lang w:val="es-CO"/>
        </w:rPr>
        <w:t xml:space="preserve">la ley permite </w:t>
      </w:r>
      <w:r w:rsidRPr="00482643">
        <w:rPr>
          <w:rFonts w:ascii="Bookman Old Style" w:hAnsi="Bookman Old Style" w:cs="Arial"/>
          <w:i/>
          <w:iCs/>
          <w:u w:val="single"/>
          <w:lang w:val="es-CO"/>
        </w:rPr>
        <w:lastRenderedPageBreak/>
        <w:t>adicionar a esos rubros los gastos operativos en la misma proporción en que sean indispensables para cubrir el faltante presupuestal de la superintendencia.</w:t>
      </w:r>
      <w:r>
        <w:rPr>
          <w:rFonts w:ascii="Bookman Old Style" w:hAnsi="Bookman Old Style" w:cs="Arial"/>
          <w:i/>
          <w:iCs/>
          <w:u w:val="single"/>
          <w:lang w:val="es-CO"/>
        </w:rPr>
        <w:t xml:space="preserve"> (Subrayado fuera del texto original).</w:t>
      </w:r>
    </w:p>
    <w:p w14:paraId="05CC4A7D" w14:textId="77777777" w:rsidR="00685D35" w:rsidRDefault="00685D35" w:rsidP="00050EF7">
      <w:pPr>
        <w:jc w:val="both"/>
        <w:rPr>
          <w:rFonts w:ascii="Bookman Old Style" w:hAnsi="Bookman Old Style" w:cs="Arial"/>
          <w:i/>
          <w:iCs/>
          <w:u w:val="single"/>
          <w:lang w:val="es-CO"/>
        </w:rPr>
      </w:pPr>
    </w:p>
    <w:p w14:paraId="059A089C" w14:textId="77777777" w:rsidR="003628A6" w:rsidRDefault="003628A6" w:rsidP="00050EF7">
      <w:pPr>
        <w:jc w:val="both"/>
        <w:rPr>
          <w:rFonts w:ascii="Bookman Old Style" w:hAnsi="Bookman Old Style" w:cs="Arial"/>
          <w:lang w:val="es-CO"/>
        </w:rPr>
      </w:pPr>
      <w:r w:rsidRPr="00482643">
        <w:rPr>
          <w:rFonts w:ascii="Bookman Old Style" w:hAnsi="Bookman Old Style" w:cs="Arial"/>
          <w:i/>
          <w:iCs/>
          <w:lang w:val="es-CO"/>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 …-</w:t>
      </w:r>
    </w:p>
    <w:p w14:paraId="13688584" w14:textId="324F1EF6" w:rsidR="00C74F02" w:rsidRDefault="00C74F02" w:rsidP="00050EF7">
      <w:pPr>
        <w:ind w:left="0"/>
        <w:jc w:val="both"/>
        <w:rPr>
          <w:rFonts w:ascii="Bookman Old Style" w:hAnsi="Bookman Old Style" w:cs="Arial"/>
        </w:rPr>
      </w:pPr>
    </w:p>
    <w:p w14:paraId="24FAF550" w14:textId="5F946A89" w:rsidR="003628A6" w:rsidRPr="00482643" w:rsidRDefault="003628A6" w:rsidP="00050EF7">
      <w:pPr>
        <w:jc w:val="both"/>
        <w:rPr>
          <w:rFonts w:ascii="Bookman Old Style" w:hAnsi="Bookman Old Style" w:cs="Arial"/>
          <w:lang w:val="es-CO"/>
        </w:rPr>
      </w:pPr>
      <w:r>
        <w:rPr>
          <w:rFonts w:ascii="Bookman Old Style" w:hAnsi="Bookman Old Style" w:cs="Arial"/>
          <w:lang w:val="es-CO"/>
        </w:rPr>
        <w:t>Que, aunado a lo anterior, el p</w:t>
      </w:r>
      <w:r w:rsidRPr="00E5224D">
        <w:rPr>
          <w:rFonts w:ascii="Bookman Old Style" w:hAnsi="Bookman Old Style" w:cs="Arial"/>
          <w:lang w:val="es-CO"/>
        </w:rPr>
        <w:t>arágrafo 2</w:t>
      </w:r>
      <w:r>
        <w:rPr>
          <w:rFonts w:ascii="Bookman Old Style" w:hAnsi="Bookman Old Style" w:cs="Arial"/>
          <w:lang w:val="es-CO"/>
        </w:rPr>
        <w:t>°</w:t>
      </w:r>
      <w:r w:rsidRPr="00E5224D">
        <w:rPr>
          <w:rFonts w:ascii="Bookman Old Style" w:hAnsi="Bookman Old Style" w:cs="Arial"/>
          <w:lang w:val="es-CO"/>
        </w:rPr>
        <w:t xml:space="preserve"> </w:t>
      </w:r>
      <w:r>
        <w:rPr>
          <w:rFonts w:ascii="Bookman Old Style" w:hAnsi="Bookman Old Style" w:cs="Arial"/>
          <w:lang w:val="es-CO"/>
        </w:rPr>
        <w:t>del artículo 85 de la Ley 142 de 1994 estableció que “</w:t>
      </w:r>
      <w:r w:rsidRPr="00E5224D">
        <w:rPr>
          <w:rFonts w:ascii="Bookman Old Style" w:hAnsi="Bookman Old Style" w:cs="Arial"/>
          <w:i/>
          <w:lang w:val="es-CO"/>
        </w:rPr>
        <w:t xml:space="preserve">Al fijar las contribuciones especiales se eliminarán, de los gastos de funcionamiento, </w:t>
      </w:r>
      <w:r w:rsidRPr="003628A6">
        <w:rPr>
          <w:rFonts w:ascii="Bookman Old Style" w:hAnsi="Bookman Old Style" w:cs="Arial"/>
          <w:i/>
          <w:u w:val="single"/>
          <w:lang w:val="es-CO"/>
        </w:rPr>
        <w:t>los gastos operativos</w:t>
      </w:r>
      <w:r w:rsidRPr="00E5224D">
        <w:rPr>
          <w:rFonts w:ascii="Bookman Old Style" w:hAnsi="Bookman Old Style" w:cs="Arial"/>
          <w:i/>
          <w:lang w:val="es-CO"/>
        </w:rPr>
        <w:t xml:space="preserve">; en las empresas del sector eléctrico, </w:t>
      </w:r>
      <w:r w:rsidRPr="003628A6">
        <w:rPr>
          <w:rFonts w:ascii="Bookman Old Style" w:hAnsi="Bookman Old Style" w:cs="Arial"/>
          <w:i/>
          <w:u w:val="single"/>
          <w:lang w:val="es-CO"/>
        </w:rPr>
        <w:t>las compras de electricidad, las compras de combustibles y los peajes</w:t>
      </w:r>
      <w:r w:rsidRPr="00E5224D">
        <w:rPr>
          <w:rFonts w:ascii="Bookman Old Style" w:hAnsi="Bookman Old Style" w:cs="Arial"/>
          <w:i/>
          <w:lang w:val="es-CO"/>
        </w:rPr>
        <w:t xml:space="preserve">, cuando hubiere lugar a ello; y en las empresas de otros sectores los </w:t>
      </w:r>
      <w:r w:rsidRPr="003628A6">
        <w:rPr>
          <w:rFonts w:ascii="Bookman Old Style" w:hAnsi="Bookman Old Style" w:cs="Arial"/>
          <w:i/>
          <w:u w:val="single"/>
          <w:lang w:val="es-CO"/>
        </w:rPr>
        <w:t>gastos de naturaleza similar</w:t>
      </w:r>
      <w:r w:rsidRPr="00E5224D">
        <w:rPr>
          <w:rFonts w:ascii="Bookman Old Style" w:hAnsi="Bookman Old Style" w:cs="Arial"/>
          <w:i/>
          <w:lang w:val="es-CO"/>
        </w:rPr>
        <w:t xml:space="preserve"> a éstos. </w:t>
      </w:r>
      <w:r w:rsidRPr="00E5224D">
        <w:rPr>
          <w:rFonts w:ascii="Bookman Old Style" w:hAnsi="Bookman Old Style" w:cs="Arial"/>
          <w:i/>
          <w:u w:val="single"/>
          <w:lang w:val="es-CO"/>
        </w:rPr>
        <w:t>Estos rubros podrán ser adicionados en la misma proporción en que sean indispensables para cubrir faltantes presupuestales de las comisiones y la superintendencia</w:t>
      </w:r>
      <w:r>
        <w:rPr>
          <w:rFonts w:ascii="Bookman Old Style" w:hAnsi="Bookman Old Style" w:cs="Arial"/>
          <w:i/>
          <w:lang w:val="es-CO"/>
        </w:rPr>
        <w:t>”</w:t>
      </w:r>
      <w:r w:rsidRPr="00E5224D">
        <w:rPr>
          <w:rFonts w:ascii="Bookman Old Style" w:hAnsi="Bookman Old Style" w:cs="Arial"/>
          <w:lang w:val="es-CO"/>
        </w:rPr>
        <w:t xml:space="preserve"> (subrayado fuera del texto original)</w:t>
      </w:r>
      <w:r>
        <w:rPr>
          <w:rFonts w:ascii="Bookman Old Style" w:hAnsi="Bookman Old Style" w:cs="Arial"/>
          <w:lang w:val="es-CO"/>
        </w:rPr>
        <w:t>.</w:t>
      </w:r>
    </w:p>
    <w:p w14:paraId="2063853B" w14:textId="0387465D" w:rsidR="003628A6" w:rsidRDefault="003628A6" w:rsidP="00585C3D">
      <w:pPr>
        <w:ind w:left="0"/>
        <w:jc w:val="both"/>
        <w:rPr>
          <w:rFonts w:ascii="Bookman Old Style" w:hAnsi="Bookman Old Style" w:cs="Arial"/>
          <w:lang w:val="es-CO"/>
        </w:rPr>
      </w:pPr>
    </w:p>
    <w:p w14:paraId="4760F76C" w14:textId="22A343C4" w:rsidR="003628A6" w:rsidRDefault="003628A6" w:rsidP="00585C3D">
      <w:pPr>
        <w:ind w:left="0"/>
        <w:jc w:val="both"/>
        <w:rPr>
          <w:rFonts w:ascii="Bookman Old Style" w:hAnsi="Bookman Old Style" w:cs="Arial"/>
          <w:lang w:val="es-CO"/>
        </w:rPr>
      </w:pPr>
      <w:r>
        <w:rPr>
          <w:rFonts w:ascii="Bookman Old Style" w:hAnsi="Bookman Old Style" w:cs="Arial"/>
          <w:lang w:val="es-CO"/>
        </w:rPr>
        <w:t>Al darse la necesidad de cubrir faltantes presupuestales, el</w:t>
      </w:r>
      <w:r w:rsidR="00692D39">
        <w:rPr>
          <w:rFonts w:ascii="Bookman Old Style" w:hAnsi="Bookman Old Style" w:cs="Arial"/>
          <w:lang w:val="es-CO"/>
        </w:rPr>
        <w:t xml:space="preserve"> Parágrafo 2° del</w:t>
      </w:r>
      <w:r>
        <w:rPr>
          <w:rFonts w:ascii="Bookman Old Style" w:hAnsi="Bookman Old Style" w:cs="Arial"/>
          <w:lang w:val="es-CO"/>
        </w:rPr>
        <w:t xml:space="preserve"> artículo 85 de la Ley 142 de 1994 define como conceptos enumerativos e incluyentes los siguientes: (i) gastos operativos, (ii) las compras de electricidad, combustibles y peajes y (iii) gastos de naturaleza similar, es decir, no se puede negar el primer inciso de los gastos operativos, porque: (i) </w:t>
      </w:r>
      <w:r w:rsidR="008667FC">
        <w:rPr>
          <w:rFonts w:ascii="Bookman Old Style" w:hAnsi="Bookman Old Style" w:cs="Arial"/>
          <w:lang w:val="es-CO"/>
        </w:rPr>
        <w:t>este inciso</w:t>
      </w:r>
      <w:r w:rsidR="00C409E5">
        <w:rPr>
          <w:rFonts w:ascii="Bookman Old Style" w:hAnsi="Bookman Old Style" w:cs="Arial"/>
          <w:lang w:val="es-CO"/>
        </w:rPr>
        <w:t xml:space="preserve"> de gastos operativos</w:t>
      </w:r>
      <w:r w:rsidR="008667FC">
        <w:rPr>
          <w:rFonts w:ascii="Bookman Old Style" w:hAnsi="Bookman Old Style" w:cs="Arial"/>
          <w:lang w:val="es-CO"/>
        </w:rPr>
        <w:t xml:space="preserve"> </w:t>
      </w:r>
      <w:r>
        <w:rPr>
          <w:rFonts w:ascii="Bookman Old Style" w:hAnsi="Bookman Old Style" w:cs="Arial"/>
          <w:lang w:val="es-CO"/>
        </w:rPr>
        <w:t xml:space="preserve">es parte integral del parágrafo en mención y (ii) </w:t>
      </w:r>
      <w:r w:rsidR="008667FC">
        <w:rPr>
          <w:rFonts w:ascii="Bookman Old Style" w:hAnsi="Bookman Old Style" w:cs="Arial"/>
          <w:lang w:val="es-CO"/>
        </w:rPr>
        <w:t xml:space="preserve">de llegar a haber faltantes presupuestales, en el último inciso el legislador </w:t>
      </w:r>
      <w:r w:rsidR="00C409E5">
        <w:rPr>
          <w:rFonts w:ascii="Bookman Old Style" w:hAnsi="Bookman Old Style" w:cs="Arial"/>
          <w:lang w:val="es-CO"/>
        </w:rPr>
        <w:t xml:space="preserve">así lo </w:t>
      </w:r>
      <w:r w:rsidR="008667FC">
        <w:rPr>
          <w:rFonts w:ascii="Bookman Old Style" w:hAnsi="Bookman Old Style" w:cs="Arial"/>
          <w:lang w:val="es-CO"/>
        </w:rPr>
        <w:t>permite: “…</w:t>
      </w:r>
      <w:r w:rsidR="008667FC" w:rsidRPr="008667FC">
        <w:rPr>
          <w:rFonts w:ascii="Bookman Old Style" w:hAnsi="Bookman Old Style" w:cs="Arial"/>
          <w:lang w:val="es-CO"/>
        </w:rPr>
        <w:t>Estos rubros podrán ser adicionados en la misma proporción en que sean indispensables para cubrir faltantes presupuestales de las comisiones y la superintendencia</w:t>
      </w:r>
      <w:r w:rsidR="008667FC">
        <w:rPr>
          <w:rFonts w:ascii="Bookman Old Style" w:hAnsi="Bookman Old Style" w:cs="Arial"/>
          <w:lang w:val="es-CO"/>
        </w:rPr>
        <w:t xml:space="preserve">…”, es decir, </w:t>
      </w:r>
      <w:r w:rsidR="00C409E5">
        <w:rPr>
          <w:rFonts w:ascii="Bookman Old Style" w:hAnsi="Bookman Old Style" w:cs="Arial"/>
          <w:lang w:val="es-CO"/>
        </w:rPr>
        <w:t xml:space="preserve">de no tener en cuenta los gastos operativos </w:t>
      </w:r>
      <w:r w:rsidR="008667FC">
        <w:rPr>
          <w:rFonts w:ascii="Bookman Old Style" w:hAnsi="Bookman Old Style" w:cs="Arial"/>
          <w:lang w:val="es-CO"/>
        </w:rPr>
        <w:t xml:space="preserve">el legislador </w:t>
      </w:r>
      <w:r w:rsidR="00C409E5">
        <w:rPr>
          <w:rFonts w:ascii="Bookman Old Style" w:hAnsi="Bookman Old Style" w:cs="Arial"/>
          <w:lang w:val="es-CO"/>
        </w:rPr>
        <w:t>hubiera hecho</w:t>
      </w:r>
      <w:r w:rsidR="008667FC">
        <w:rPr>
          <w:rFonts w:ascii="Bookman Old Style" w:hAnsi="Bookman Old Style" w:cs="Arial"/>
          <w:lang w:val="es-CO"/>
        </w:rPr>
        <w:t xml:space="preserve"> uso de alguna expresión tácita y literal de excepci</w:t>
      </w:r>
      <w:r w:rsidR="00C409E5">
        <w:rPr>
          <w:rFonts w:ascii="Bookman Old Style" w:hAnsi="Bookman Old Style" w:cs="Arial"/>
          <w:lang w:val="es-CO"/>
        </w:rPr>
        <w:t xml:space="preserve">ón </w:t>
      </w:r>
      <w:r w:rsidR="008667FC">
        <w:rPr>
          <w:rFonts w:ascii="Bookman Old Style" w:hAnsi="Bookman Old Style" w:cs="Arial"/>
          <w:lang w:val="es-CO"/>
        </w:rPr>
        <w:t>como: “…</w:t>
      </w:r>
      <w:r w:rsidR="008667FC" w:rsidRPr="008667FC">
        <w:rPr>
          <w:rFonts w:ascii="Bookman Old Style" w:hAnsi="Bookman Old Style" w:cs="Arial"/>
          <w:lang w:val="es-CO"/>
        </w:rPr>
        <w:t xml:space="preserve">Estos rubros podrán ser adicionados </w:t>
      </w:r>
      <w:r w:rsidR="008667FC" w:rsidRPr="008667FC">
        <w:rPr>
          <w:rFonts w:ascii="Bookman Old Style" w:hAnsi="Bookman Old Style" w:cs="Arial"/>
          <w:i/>
          <w:iCs/>
          <w:lang w:val="es-CO"/>
        </w:rPr>
        <w:t>-excepto los gastos operativos-</w:t>
      </w:r>
      <w:r w:rsidR="008667FC">
        <w:rPr>
          <w:rFonts w:ascii="Bookman Old Style" w:hAnsi="Bookman Old Style" w:cs="Arial"/>
          <w:lang w:val="es-CO"/>
        </w:rPr>
        <w:t xml:space="preserve"> </w:t>
      </w:r>
      <w:r w:rsidR="008667FC" w:rsidRPr="008667FC">
        <w:rPr>
          <w:rFonts w:ascii="Bookman Old Style" w:hAnsi="Bookman Old Style" w:cs="Arial"/>
          <w:lang w:val="es-CO"/>
        </w:rPr>
        <w:t>en la misma proporción</w:t>
      </w:r>
      <w:r w:rsidR="00692D39">
        <w:rPr>
          <w:rFonts w:ascii="Bookman Old Style" w:hAnsi="Bookman Old Style" w:cs="Arial"/>
          <w:lang w:val="es-CO"/>
        </w:rPr>
        <w:t xml:space="preserve"> en que</w:t>
      </w:r>
      <w:r w:rsidR="00C409E5">
        <w:rPr>
          <w:rFonts w:ascii="Bookman Old Style" w:hAnsi="Bookman Old Style" w:cs="Arial"/>
          <w:lang w:val="es-CO"/>
        </w:rPr>
        <w:t xml:space="preserve"> sean indispensables</w:t>
      </w:r>
      <w:r w:rsidR="008667FC">
        <w:rPr>
          <w:rFonts w:ascii="Bookman Old Style" w:hAnsi="Bookman Old Style" w:cs="Arial"/>
          <w:lang w:val="es-CO"/>
        </w:rPr>
        <w:t>… ”</w:t>
      </w:r>
      <w:r w:rsidR="00C409E5">
        <w:rPr>
          <w:rFonts w:ascii="Bookman Old Style" w:hAnsi="Bookman Old Style" w:cs="Arial"/>
          <w:lang w:val="es-CO"/>
        </w:rPr>
        <w:t xml:space="preserve"> o “…</w:t>
      </w:r>
      <w:r w:rsidR="00C409E5" w:rsidRPr="00C409E5">
        <w:rPr>
          <w:rFonts w:ascii="Bookman Old Style" w:hAnsi="Bookman Old Style" w:cs="Arial"/>
          <w:i/>
          <w:iCs/>
          <w:lang w:val="es-CO"/>
        </w:rPr>
        <w:t>-a excepción de los gastos operativos-</w:t>
      </w:r>
      <w:r w:rsidR="00C409E5">
        <w:rPr>
          <w:rFonts w:ascii="Bookman Old Style" w:hAnsi="Bookman Old Style" w:cs="Arial"/>
          <w:lang w:val="es-CO"/>
        </w:rPr>
        <w:t>, e</w:t>
      </w:r>
      <w:r w:rsidR="00C409E5" w:rsidRPr="008667FC">
        <w:rPr>
          <w:rFonts w:ascii="Bookman Old Style" w:hAnsi="Bookman Old Style" w:cs="Arial"/>
          <w:lang w:val="es-CO"/>
        </w:rPr>
        <w:t>stos rubros podrán ser adicionados en la misma proporción</w:t>
      </w:r>
      <w:r w:rsidR="00C409E5">
        <w:rPr>
          <w:rFonts w:ascii="Bookman Old Style" w:hAnsi="Bookman Old Style" w:cs="Arial"/>
          <w:lang w:val="es-CO"/>
        </w:rPr>
        <w:t xml:space="preserve"> en que sean indispensables… ”</w:t>
      </w:r>
    </w:p>
    <w:p w14:paraId="6C6B6C13" w14:textId="77777777" w:rsidR="00050EF7" w:rsidRDefault="00050EF7" w:rsidP="00585C3D">
      <w:pPr>
        <w:ind w:left="0"/>
        <w:jc w:val="both"/>
        <w:rPr>
          <w:rFonts w:ascii="Bookman Old Style" w:hAnsi="Bookman Old Style" w:cs="Arial"/>
          <w:lang w:val="es-CO"/>
        </w:rPr>
      </w:pPr>
    </w:p>
    <w:p w14:paraId="640FE948" w14:textId="2EBB9E0B" w:rsidR="00692D39" w:rsidRDefault="00692D39" w:rsidP="00692D39">
      <w:pPr>
        <w:ind w:left="0"/>
        <w:jc w:val="both"/>
        <w:rPr>
          <w:rFonts w:ascii="Bookman Old Style" w:hAnsi="Bookman Old Style" w:cs="Arial"/>
        </w:rPr>
      </w:pPr>
      <w:r>
        <w:rPr>
          <w:rFonts w:ascii="Bookman Old Style" w:hAnsi="Bookman Old Style" w:cs="Arial"/>
        </w:rPr>
        <w:t>L</w:t>
      </w:r>
      <w:r w:rsidRPr="00733B4E">
        <w:rPr>
          <w:rFonts w:ascii="Bookman Old Style" w:hAnsi="Bookman Old Style" w:cs="Arial"/>
        </w:rPr>
        <w:t>as apropiaciones presupuestales de la CREG para la vigencia fiscal 20</w:t>
      </w:r>
      <w:r w:rsidR="007800E5">
        <w:rPr>
          <w:rFonts w:ascii="Bookman Old Style" w:hAnsi="Bookman Old Style" w:cs="Arial"/>
        </w:rPr>
        <w:t>21</w:t>
      </w:r>
      <w:r w:rsidRPr="00733B4E">
        <w:rPr>
          <w:rFonts w:ascii="Bookman Old Style" w:hAnsi="Bookman Old Style" w:cs="Arial"/>
        </w:rPr>
        <w:t xml:space="preserve">, fueron establecidas </w:t>
      </w:r>
      <w:r w:rsidR="00A00E64">
        <w:rPr>
          <w:rFonts w:ascii="Bookman Old Style" w:hAnsi="Bookman Old Style" w:cs="Arial"/>
        </w:rPr>
        <w:t xml:space="preserve">en la suma de </w:t>
      </w:r>
      <w:r w:rsidR="00685D35">
        <w:rPr>
          <w:rFonts w:ascii="Bookman Old Style" w:hAnsi="Bookman Old Style" w:cs="Arial"/>
        </w:rPr>
        <w:t xml:space="preserve">TREINTA Y SIETE MIL SETECIENTOS MILLONES TRESCIENTOS NOVENTA Y OCHO MIL PESOS M/CTE </w:t>
      </w:r>
      <w:r w:rsidR="00A00E64">
        <w:rPr>
          <w:rFonts w:ascii="Bookman Old Style" w:hAnsi="Bookman Old Style" w:cs="Arial"/>
        </w:rPr>
        <w:t xml:space="preserve">$37,700,938,000 </w:t>
      </w:r>
      <w:r w:rsidRPr="00733B4E">
        <w:rPr>
          <w:rFonts w:ascii="Bookman Old Style" w:hAnsi="Bookman Old Style" w:cs="Arial"/>
        </w:rPr>
        <w:t xml:space="preserve">en el </w:t>
      </w:r>
      <w:r w:rsidR="00A00E64">
        <w:rPr>
          <w:rFonts w:ascii="Bookman Old Style" w:hAnsi="Bookman Old Style" w:cs="Arial"/>
        </w:rPr>
        <w:t xml:space="preserve">anexo del </w:t>
      </w:r>
      <w:r w:rsidRPr="00733B4E">
        <w:rPr>
          <w:rFonts w:ascii="Bookman Old Style" w:hAnsi="Bookman Old Style" w:cs="Arial"/>
        </w:rPr>
        <w:t xml:space="preserve">Decreto de liquidación del Presupuesto General de la Nación N° </w:t>
      </w:r>
      <w:r w:rsidR="00215B0C" w:rsidRPr="00215B0C">
        <w:rPr>
          <w:rFonts w:ascii="Bookman Old Style" w:hAnsi="Bookman Old Style" w:cs="Arial"/>
        </w:rPr>
        <w:t>1805 de diciembre 31 de 2020</w:t>
      </w:r>
      <w:r w:rsidR="00A00E64">
        <w:rPr>
          <w:rFonts w:ascii="Bookman Old Style" w:hAnsi="Bookman Old Style" w:cs="Arial"/>
        </w:rPr>
        <w:t xml:space="preserve">, valor que </w:t>
      </w:r>
      <w:r w:rsidR="00A00E64" w:rsidRPr="00A00E64">
        <w:rPr>
          <w:rFonts w:ascii="Bookman Old Style" w:hAnsi="Bookman Old Style" w:cs="Arial"/>
        </w:rPr>
        <w:t xml:space="preserve">debe ser cubierto </w:t>
      </w:r>
      <w:r w:rsidR="00A00E64" w:rsidRPr="00733B4E">
        <w:rPr>
          <w:rFonts w:ascii="Bookman Old Style" w:hAnsi="Bookman Old Style" w:cs="Arial"/>
        </w:rPr>
        <w:t>con el recaudo de la contribución especial de que trata el artículo 85 de la Ley 142 de 1994</w:t>
      </w:r>
      <w:r w:rsidR="00A00E64">
        <w:rPr>
          <w:rFonts w:ascii="Bookman Old Style" w:hAnsi="Bookman Old Style" w:cs="Arial"/>
        </w:rPr>
        <w:t xml:space="preserve">, en un </w:t>
      </w:r>
      <w:r w:rsidRPr="00733B4E">
        <w:rPr>
          <w:rFonts w:ascii="Bookman Old Style" w:hAnsi="Bookman Old Style" w:cs="Arial"/>
        </w:rPr>
        <w:t xml:space="preserve">valor neto </w:t>
      </w:r>
      <w:r w:rsidR="00A00E64">
        <w:rPr>
          <w:rFonts w:ascii="Bookman Old Style" w:hAnsi="Bookman Old Style" w:cs="Arial"/>
        </w:rPr>
        <w:t xml:space="preserve">depurado </w:t>
      </w:r>
      <w:r w:rsidR="00172DB8">
        <w:rPr>
          <w:rFonts w:ascii="Bookman Old Style" w:hAnsi="Bookman Old Style" w:cs="Arial"/>
        </w:rPr>
        <w:t>como presupuesto base de contribución especial</w:t>
      </w:r>
      <w:r w:rsidR="00D42570">
        <w:rPr>
          <w:rFonts w:ascii="Bookman Old Style" w:hAnsi="Bookman Old Style" w:cs="Arial"/>
        </w:rPr>
        <w:t xml:space="preserve"> 2021</w:t>
      </w:r>
      <w:r w:rsidR="00172DB8">
        <w:rPr>
          <w:rFonts w:ascii="Bookman Old Style" w:hAnsi="Bookman Old Style" w:cs="Arial"/>
        </w:rPr>
        <w:t xml:space="preserve"> por valor </w:t>
      </w:r>
      <w:r w:rsidRPr="00733B4E">
        <w:rPr>
          <w:rFonts w:ascii="Bookman Old Style" w:hAnsi="Bookman Old Style" w:cs="Arial"/>
        </w:rPr>
        <w:t>de</w:t>
      </w:r>
      <w:r w:rsidR="00172DB8">
        <w:rPr>
          <w:rFonts w:ascii="Bookman Old Style" w:hAnsi="Bookman Old Style" w:cs="Arial"/>
        </w:rPr>
        <w:t>:</w:t>
      </w:r>
      <w:r w:rsidRPr="00733B4E">
        <w:rPr>
          <w:rFonts w:ascii="Bookman Old Style" w:hAnsi="Bookman Old Style" w:cs="Arial"/>
        </w:rPr>
        <w:t xml:space="preserve"> </w:t>
      </w:r>
      <w:r w:rsidR="00A00E64">
        <w:rPr>
          <w:rFonts w:ascii="Bookman Old Style" w:hAnsi="Bookman Old Style" w:cs="Arial"/>
        </w:rPr>
        <w:t>TREINTA Y DOS</w:t>
      </w:r>
      <w:r w:rsidRPr="00733B4E">
        <w:rPr>
          <w:rFonts w:ascii="Bookman Old Style" w:hAnsi="Bookman Old Style" w:cs="Arial"/>
        </w:rPr>
        <w:t xml:space="preserve"> MIL </w:t>
      </w:r>
      <w:r w:rsidR="00A00E64">
        <w:rPr>
          <w:rFonts w:ascii="Bookman Old Style" w:hAnsi="Bookman Old Style" w:cs="Arial"/>
        </w:rPr>
        <w:t>QUINIENTOS CINCO</w:t>
      </w:r>
      <w:r w:rsidRPr="00733B4E">
        <w:rPr>
          <w:rFonts w:ascii="Bookman Old Style" w:hAnsi="Bookman Old Style" w:cs="Arial"/>
        </w:rPr>
        <w:t xml:space="preserve"> MILLONES </w:t>
      </w:r>
      <w:r w:rsidR="00A00E64">
        <w:rPr>
          <w:rFonts w:ascii="Bookman Old Style" w:hAnsi="Bookman Old Style" w:cs="Arial"/>
        </w:rPr>
        <w:t xml:space="preserve">SETECIENTOS CUARENTA Y DOS </w:t>
      </w:r>
      <w:r w:rsidRPr="00733B4E">
        <w:rPr>
          <w:rFonts w:ascii="Bookman Old Style" w:hAnsi="Bookman Old Style" w:cs="Arial"/>
        </w:rPr>
        <w:t xml:space="preserve">MIL </w:t>
      </w:r>
      <w:r w:rsidR="00A00E64">
        <w:rPr>
          <w:rFonts w:ascii="Bookman Old Style" w:hAnsi="Bookman Old Style" w:cs="Arial"/>
        </w:rPr>
        <w:t>NOVECIENTOS TREINTA Y DOS</w:t>
      </w:r>
      <w:r w:rsidRPr="00733B4E">
        <w:rPr>
          <w:rFonts w:ascii="Bookman Old Style" w:hAnsi="Bookman Old Style" w:cs="Arial"/>
        </w:rPr>
        <w:t xml:space="preserve"> PESOS M/CTE</w:t>
      </w:r>
      <w:r w:rsidR="00A00E64">
        <w:rPr>
          <w:rFonts w:ascii="Bookman Old Style" w:hAnsi="Bookman Old Style" w:cs="Arial"/>
        </w:rPr>
        <w:t xml:space="preserve">. </w:t>
      </w:r>
      <w:r w:rsidRPr="00733B4E">
        <w:rPr>
          <w:rFonts w:ascii="Bookman Old Style" w:hAnsi="Bookman Old Style" w:cs="Arial"/>
        </w:rPr>
        <w:t>($</w:t>
      </w:r>
      <w:r w:rsidR="00A00E64">
        <w:rPr>
          <w:rFonts w:ascii="Bookman Old Style" w:hAnsi="Bookman Old Style" w:cs="Arial"/>
        </w:rPr>
        <w:t>32</w:t>
      </w:r>
      <w:r w:rsidRPr="00733B4E">
        <w:rPr>
          <w:rFonts w:ascii="Bookman Old Style" w:hAnsi="Bookman Old Style" w:cs="Arial"/>
        </w:rPr>
        <w:t>,</w:t>
      </w:r>
      <w:r w:rsidR="00A00E64">
        <w:rPr>
          <w:rFonts w:ascii="Bookman Old Style" w:hAnsi="Bookman Old Style" w:cs="Arial"/>
        </w:rPr>
        <w:t>505</w:t>
      </w:r>
      <w:r w:rsidRPr="00733B4E">
        <w:rPr>
          <w:rFonts w:ascii="Bookman Old Style" w:hAnsi="Bookman Old Style" w:cs="Arial"/>
        </w:rPr>
        <w:t>,</w:t>
      </w:r>
      <w:r w:rsidR="00A00E64">
        <w:rPr>
          <w:rFonts w:ascii="Bookman Old Style" w:hAnsi="Bookman Old Style" w:cs="Arial"/>
        </w:rPr>
        <w:t>742</w:t>
      </w:r>
      <w:r w:rsidRPr="00733B4E">
        <w:rPr>
          <w:rFonts w:ascii="Bookman Old Style" w:hAnsi="Bookman Old Style" w:cs="Arial"/>
        </w:rPr>
        <w:t>,</w:t>
      </w:r>
      <w:r w:rsidR="00A00E64">
        <w:rPr>
          <w:rFonts w:ascii="Bookman Old Style" w:hAnsi="Bookman Old Style" w:cs="Arial"/>
        </w:rPr>
        <w:t>932</w:t>
      </w:r>
      <w:r w:rsidRPr="00733B4E">
        <w:rPr>
          <w:rFonts w:ascii="Bookman Old Style" w:hAnsi="Bookman Old Style" w:cs="Arial"/>
        </w:rPr>
        <w:t xml:space="preserve">), </w:t>
      </w:r>
      <w:r w:rsidR="00A00E64">
        <w:rPr>
          <w:rFonts w:ascii="Bookman Old Style" w:hAnsi="Bookman Old Style" w:cs="Arial"/>
        </w:rPr>
        <w:t>detallado a continuación:</w:t>
      </w:r>
    </w:p>
    <w:p w14:paraId="3E227BC2" w14:textId="4BF29B77" w:rsidR="00A00E64" w:rsidRDefault="00A00E64" w:rsidP="00692D39">
      <w:pPr>
        <w:ind w:left="0"/>
        <w:jc w:val="both"/>
        <w:rPr>
          <w:rFonts w:ascii="Bookman Old Style" w:hAnsi="Bookman Old Style" w:cs="Arial"/>
        </w:rPr>
      </w:pPr>
    </w:p>
    <w:p w14:paraId="3543123A" w14:textId="64752D52" w:rsidR="00A00E64" w:rsidRDefault="00A00E64" w:rsidP="00692D39">
      <w:pPr>
        <w:ind w:left="0"/>
        <w:jc w:val="both"/>
        <w:rPr>
          <w:rFonts w:ascii="Bookman Old Style" w:hAnsi="Bookman Old Style" w:cs="Arial"/>
        </w:rPr>
      </w:pPr>
      <w:r w:rsidRPr="00A00E64">
        <w:rPr>
          <w:noProof/>
        </w:rPr>
        <w:lastRenderedPageBreak/>
        <w:drawing>
          <wp:inline distT="0" distB="0" distL="0" distR="0" wp14:anchorId="5D5BEBC8" wp14:editId="0EF0D7BA">
            <wp:extent cx="5914467" cy="3069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502" cy="3078484"/>
                    </a:xfrm>
                    <a:prstGeom prst="rect">
                      <a:avLst/>
                    </a:prstGeom>
                    <a:noFill/>
                    <a:ln>
                      <a:noFill/>
                    </a:ln>
                  </pic:spPr>
                </pic:pic>
              </a:graphicData>
            </a:graphic>
          </wp:inline>
        </w:drawing>
      </w:r>
    </w:p>
    <w:p w14:paraId="517569AA" w14:textId="649247FD" w:rsidR="00692D39" w:rsidRDefault="00692D39" w:rsidP="00692D39">
      <w:pPr>
        <w:ind w:left="0"/>
        <w:jc w:val="both"/>
        <w:rPr>
          <w:rFonts w:ascii="Bookman Old Style" w:hAnsi="Bookman Old Style" w:cs="Arial"/>
        </w:rPr>
      </w:pPr>
    </w:p>
    <w:p w14:paraId="206377ED" w14:textId="7D2A7498" w:rsidR="00692D39" w:rsidRDefault="00692D39" w:rsidP="00692D39">
      <w:pPr>
        <w:ind w:left="0"/>
        <w:jc w:val="both"/>
        <w:rPr>
          <w:rFonts w:ascii="Bookman Old Style" w:hAnsi="Bookman Old Style" w:cs="Arial"/>
        </w:rPr>
      </w:pPr>
      <w:r>
        <w:rPr>
          <w:rFonts w:ascii="Bookman Old Style" w:hAnsi="Bookman Old Style" w:cs="Arial"/>
        </w:rPr>
        <w:t>L</w:t>
      </w:r>
      <w:r w:rsidRPr="00733B4E">
        <w:rPr>
          <w:rFonts w:ascii="Bookman Old Style" w:hAnsi="Bookman Old Style" w:cs="Arial"/>
        </w:rPr>
        <w:t xml:space="preserve">a CREG realizó </w:t>
      </w:r>
      <w:r w:rsidR="008560BA">
        <w:rPr>
          <w:rFonts w:ascii="Bookman Old Style" w:hAnsi="Bookman Old Style" w:cs="Arial"/>
        </w:rPr>
        <w:t xml:space="preserve">el análisis de la información financiera reportada </w:t>
      </w:r>
      <w:r w:rsidRPr="00733B4E">
        <w:rPr>
          <w:rFonts w:ascii="Bookman Old Style" w:hAnsi="Bookman Old Style" w:cs="Arial"/>
        </w:rPr>
        <w:t>a</w:t>
      </w:r>
      <w:r w:rsidR="00D27F7B">
        <w:rPr>
          <w:rFonts w:ascii="Bookman Old Style" w:hAnsi="Bookman Old Style" w:cs="Arial"/>
        </w:rPr>
        <w:t>l SUI, a</w:t>
      </w:r>
      <w:r w:rsidRPr="00733B4E">
        <w:rPr>
          <w:rFonts w:ascii="Bookman Old Style" w:hAnsi="Bookman Old Style" w:cs="Arial"/>
        </w:rPr>
        <w:t xml:space="preserve"> efectos de </w:t>
      </w:r>
      <w:r w:rsidR="008560BA">
        <w:rPr>
          <w:rFonts w:ascii="Bookman Old Style" w:hAnsi="Bookman Old Style" w:cs="Arial"/>
        </w:rPr>
        <w:t xml:space="preserve">depurar y </w:t>
      </w:r>
      <w:r w:rsidRPr="00733B4E">
        <w:rPr>
          <w:rFonts w:ascii="Bookman Old Style" w:hAnsi="Bookman Old Style" w:cs="Arial"/>
        </w:rPr>
        <w:t xml:space="preserve">establecer </w:t>
      </w:r>
      <w:r w:rsidR="008560BA">
        <w:rPr>
          <w:rFonts w:ascii="Bookman Old Style" w:hAnsi="Bookman Old Style" w:cs="Arial"/>
        </w:rPr>
        <w:t xml:space="preserve">la base gravable y </w:t>
      </w:r>
      <w:r w:rsidRPr="00733B4E">
        <w:rPr>
          <w:rFonts w:ascii="Bookman Old Style" w:hAnsi="Bookman Old Style" w:cs="Arial"/>
        </w:rPr>
        <w:t xml:space="preserve">el monto de la tarifa de la </w:t>
      </w:r>
      <w:r w:rsidR="005A585C">
        <w:rPr>
          <w:rFonts w:ascii="Bookman Old Style" w:hAnsi="Bookman Old Style" w:cs="Arial"/>
        </w:rPr>
        <w:t>c</w:t>
      </w:r>
      <w:r w:rsidRPr="00733B4E">
        <w:rPr>
          <w:rFonts w:ascii="Bookman Old Style" w:hAnsi="Bookman Old Style" w:cs="Arial"/>
        </w:rPr>
        <w:t xml:space="preserve">ontribución </w:t>
      </w:r>
      <w:r w:rsidR="005A585C">
        <w:rPr>
          <w:rFonts w:ascii="Bookman Old Style" w:hAnsi="Bookman Old Style" w:cs="Arial"/>
        </w:rPr>
        <w:t>e</w:t>
      </w:r>
      <w:r w:rsidRPr="00733B4E">
        <w:rPr>
          <w:rFonts w:ascii="Bookman Old Style" w:hAnsi="Bookman Old Style" w:cs="Arial"/>
        </w:rPr>
        <w:t xml:space="preserve">special </w:t>
      </w:r>
      <w:r w:rsidR="00A5323B">
        <w:rPr>
          <w:rFonts w:ascii="Bookman Old Style" w:hAnsi="Bookman Old Style" w:cs="Arial"/>
        </w:rPr>
        <w:t xml:space="preserve">para la </w:t>
      </w:r>
      <w:r w:rsidRPr="00733B4E">
        <w:rPr>
          <w:rFonts w:ascii="Bookman Old Style" w:hAnsi="Bookman Old Style" w:cs="Arial"/>
        </w:rPr>
        <w:t>vigencia 20</w:t>
      </w:r>
      <w:r w:rsidR="00020EB0">
        <w:rPr>
          <w:rFonts w:ascii="Bookman Old Style" w:hAnsi="Bookman Old Style" w:cs="Arial"/>
        </w:rPr>
        <w:t>21</w:t>
      </w:r>
      <w:r w:rsidRPr="00733B4E">
        <w:rPr>
          <w:rFonts w:ascii="Bookman Old Style" w:hAnsi="Bookman Old Style" w:cs="Arial"/>
        </w:rPr>
        <w:t xml:space="preserve">, </w:t>
      </w:r>
      <w:r w:rsidR="00A5323B">
        <w:rPr>
          <w:rFonts w:ascii="Bookman Old Style" w:hAnsi="Bookman Old Style" w:cs="Arial"/>
        </w:rPr>
        <w:t xml:space="preserve">a partir del presupuesto base neto de la CREG a recuperar como costo de prestación del servicio de regulación </w:t>
      </w:r>
      <w:r w:rsidR="00C409E5">
        <w:rPr>
          <w:rFonts w:ascii="Bookman Old Style" w:hAnsi="Bookman Old Style" w:cs="Arial"/>
        </w:rPr>
        <w:t xml:space="preserve">por </w:t>
      </w:r>
      <w:r w:rsidR="00C409E5" w:rsidRPr="00733B4E">
        <w:rPr>
          <w:rFonts w:ascii="Bookman Old Style" w:hAnsi="Bookman Old Style" w:cs="Arial"/>
        </w:rPr>
        <w:t>$</w:t>
      </w:r>
      <w:r w:rsidR="00C409E5">
        <w:rPr>
          <w:rFonts w:ascii="Bookman Old Style" w:hAnsi="Bookman Old Style" w:cs="Arial"/>
        </w:rPr>
        <w:t>32</w:t>
      </w:r>
      <w:r w:rsidR="00C409E5" w:rsidRPr="00733B4E">
        <w:rPr>
          <w:rFonts w:ascii="Bookman Old Style" w:hAnsi="Bookman Old Style" w:cs="Arial"/>
        </w:rPr>
        <w:t>,</w:t>
      </w:r>
      <w:r w:rsidR="00C409E5">
        <w:rPr>
          <w:rFonts w:ascii="Bookman Old Style" w:hAnsi="Bookman Old Style" w:cs="Arial"/>
        </w:rPr>
        <w:t>505</w:t>
      </w:r>
      <w:r w:rsidR="00C409E5" w:rsidRPr="00733B4E">
        <w:rPr>
          <w:rFonts w:ascii="Bookman Old Style" w:hAnsi="Bookman Old Style" w:cs="Arial"/>
        </w:rPr>
        <w:t>,</w:t>
      </w:r>
      <w:r w:rsidR="00C409E5">
        <w:rPr>
          <w:rFonts w:ascii="Bookman Old Style" w:hAnsi="Bookman Old Style" w:cs="Arial"/>
        </w:rPr>
        <w:t>742</w:t>
      </w:r>
      <w:r w:rsidR="00C409E5" w:rsidRPr="00733B4E">
        <w:rPr>
          <w:rFonts w:ascii="Bookman Old Style" w:hAnsi="Bookman Old Style" w:cs="Arial"/>
        </w:rPr>
        <w:t>,</w:t>
      </w:r>
      <w:r w:rsidR="00C409E5">
        <w:rPr>
          <w:rFonts w:ascii="Bookman Old Style" w:hAnsi="Bookman Old Style" w:cs="Arial"/>
        </w:rPr>
        <w:t xml:space="preserve">932.00 </w:t>
      </w:r>
      <w:r w:rsidR="00A5323B">
        <w:rPr>
          <w:rFonts w:ascii="Bookman Old Style" w:hAnsi="Bookman Old Style" w:cs="Arial"/>
        </w:rPr>
        <w:t xml:space="preserve">y la cobertura de éste por parte de los gastos de funcionamiento </w:t>
      </w:r>
      <w:r w:rsidR="0050424C">
        <w:rPr>
          <w:rFonts w:ascii="Bookman Old Style" w:hAnsi="Bookman Old Style" w:cs="Arial"/>
        </w:rPr>
        <w:t>de</w:t>
      </w:r>
      <w:r w:rsidR="00A5323B">
        <w:rPr>
          <w:rFonts w:ascii="Bookman Old Style" w:hAnsi="Bookman Old Style" w:cs="Arial"/>
        </w:rPr>
        <w:t xml:space="preserve"> las empresas reguladas</w:t>
      </w:r>
      <w:r w:rsidR="0050424C">
        <w:rPr>
          <w:rFonts w:ascii="Bookman Old Style" w:hAnsi="Bookman Old Style" w:cs="Arial"/>
        </w:rPr>
        <w:t>;</w:t>
      </w:r>
      <w:r w:rsidR="00A5323B">
        <w:rPr>
          <w:rFonts w:ascii="Bookman Old Style" w:hAnsi="Bookman Old Style" w:cs="Arial"/>
        </w:rPr>
        <w:t xml:space="preserve"> </w:t>
      </w:r>
      <w:r w:rsidR="0050424C">
        <w:rPr>
          <w:rFonts w:ascii="Bookman Old Style" w:hAnsi="Bookman Old Style" w:cs="Arial"/>
        </w:rPr>
        <w:t>con el fin de</w:t>
      </w:r>
      <w:r w:rsidRPr="00733B4E">
        <w:rPr>
          <w:rFonts w:ascii="Bookman Old Style" w:hAnsi="Bookman Old Style" w:cs="Arial"/>
        </w:rPr>
        <w:t xml:space="preserve"> determinar </w:t>
      </w:r>
      <w:r w:rsidR="0093456B">
        <w:rPr>
          <w:rFonts w:ascii="Bookman Old Style" w:hAnsi="Bookman Old Style" w:cs="Arial"/>
        </w:rPr>
        <w:t>si es</w:t>
      </w:r>
      <w:r w:rsidR="005A585C">
        <w:rPr>
          <w:rFonts w:ascii="Bookman Old Style" w:hAnsi="Bookman Old Style" w:cs="Arial"/>
        </w:rPr>
        <w:t xml:space="preserve"> necesario el </w:t>
      </w:r>
      <w:r w:rsidR="005A585C" w:rsidRPr="00733B4E">
        <w:rPr>
          <w:rFonts w:ascii="Bookman Old Style" w:hAnsi="Bookman Old Style" w:cs="Arial"/>
        </w:rPr>
        <w:t>uso del parágrafo 2</w:t>
      </w:r>
      <w:r w:rsidR="005A585C">
        <w:rPr>
          <w:rFonts w:ascii="Bookman Old Style" w:hAnsi="Bookman Old Style" w:cs="Arial"/>
        </w:rPr>
        <w:t>°</w:t>
      </w:r>
      <w:r w:rsidR="005A585C" w:rsidRPr="00733B4E">
        <w:rPr>
          <w:rFonts w:ascii="Bookman Old Style" w:hAnsi="Bookman Old Style" w:cs="Arial"/>
        </w:rPr>
        <w:t xml:space="preserve"> del artículo 85 de la Ley 142 de 1994</w:t>
      </w:r>
      <w:r w:rsidR="0050424C">
        <w:rPr>
          <w:rFonts w:ascii="Bookman Old Style" w:hAnsi="Bookman Old Style" w:cs="Arial"/>
        </w:rPr>
        <w:t>,</w:t>
      </w:r>
      <w:r w:rsidR="00D27F7B">
        <w:rPr>
          <w:rFonts w:ascii="Bookman Old Style" w:hAnsi="Bookman Old Style" w:cs="Arial"/>
        </w:rPr>
        <w:t xml:space="preserve"> y</w:t>
      </w:r>
      <w:r w:rsidR="005A585C">
        <w:rPr>
          <w:rFonts w:ascii="Bookman Old Style" w:hAnsi="Bookman Old Style" w:cs="Arial"/>
        </w:rPr>
        <w:t xml:space="preserve"> </w:t>
      </w:r>
      <w:r w:rsidR="00D27F7B">
        <w:rPr>
          <w:rFonts w:ascii="Bookman Old Style" w:hAnsi="Bookman Old Style" w:cs="Arial"/>
        </w:rPr>
        <w:t>el monto</w:t>
      </w:r>
      <w:r w:rsidRPr="00733B4E">
        <w:rPr>
          <w:rFonts w:ascii="Bookman Old Style" w:hAnsi="Bookman Old Style" w:cs="Arial"/>
        </w:rPr>
        <w:t xml:space="preserve"> </w:t>
      </w:r>
      <w:r w:rsidR="00D27F7B">
        <w:rPr>
          <w:rFonts w:ascii="Bookman Old Style" w:hAnsi="Bookman Old Style" w:cs="Arial"/>
        </w:rPr>
        <w:t xml:space="preserve">de </w:t>
      </w:r>
      <w:r w:rsidRPr="00733B4E">
        <w:rPr>
          <w:rFonts w:ascii="Bookman Old Style" w:hAnsi="Bookman Old Style" w:cs="Arial"/>
        </w:rPr>
        <w:t xml:space="preserve">los gastos operativos </w:t>
      </w:r>
      <w:r w:rsidR="00A5323B">
        <w:rPr>
          <w:rFonts w:ascii="Bookman Old Style" w:hAnsi="Bookman Old Style" w:cs="Arial"/>
        </w:rPr>
        <w:t>indispensables</w:t>
      </w:r>
      <w:r w:rsidR="00D27F7B">
        <w:rPr>
          <w:rFonts w:ascii="Bookman Old Style" w:hAnsi="Bookman Old Style" w:cs="Arial"/>
        </w:rPr>
        <w:t xml:space="preserve"> para cubrir el faltante presupuestal, </w:t>
      </w:r>
      <w:r w:rsidRPr="00733B4E">
        <w:rPr>
          <w:rFonts w:ascii="Bookman Old Style" w:hAnsi="Bookman Old Style" w:cs="Arial"/>
        </w:rPr>
        <w:t xml:space="preserve">señalados en dicho parágrafo </w:t>
      </w:r>
      <w:r w:rsidR="00D27F7B">
        <w:rPr>
          <w:rFonts w:ascii="Bookman Old Style" w:hAnsi="Bookman Old Style" w:cs="Arial"/>
        </w:rPr>
        <w:t xml:space="preserve">y </w:t>
      </w:r>
      <w:r w:rsidR="00A5323B">
        <w:rPr>
          <w:rFonts w:ascii="Bookman Old Style" w:hAnsi="Bookman Old Style" w:cs="Arial"/>
        </w:rPr>
        <w:t>asignar</w:t>
      </w:r>
      <w:r w:rsidR="00D27F7B">
        <w:rPr>
          <w:rFonts w:ascii="Bookman Old Style" w:hAnsi="Bookman Old Style" w:cs="Arial"/>
        </w:rPr>
        <w:t xml:space="preserve"> la </w:t>
      </w:r>
      <w:r w:rsidRPr="00733B4E">
        <w:rPr>
          <w:rFonts w:ascii="Bookman Old Style" w:hAnsi="Bookman Old Style" w:cs="Arial"/>
        </w:rPr>
        <w:t xml:space="preserve">contribución </w:t>
      </w:r>
      <w:r w:rsidR="00D27F7B">
        <w:rPr>
          <w:rFonts w:ascii="Bookman Old Style" w:hAnsi="Bookman Old Style" w:cs="Arial"/>
        </w:rPr>
        <w:t xml:space="preserve">especial a favor de la CREG </w:t>
      </w:r>
      <w:r w:rsidRPr="00733B4E">
        <w:rPr>
          <w:rFonts w:ascii="Bookman Old Style" w:hAnsi="Bookman Old Style" w:cs="Arial"/>
        </w:rPr>
        <w:t xml:space="preserve">que deben pagar las </w:t>
      </w:r>
      <w:r w:rsidR="00A5323B">
        <w:rPr>
          <w:rFonts w:ascii="Bookman Old Style" w:hAnsi="Bookman Old Style" w:cs="Arial"/>
        </w:rPr>
        <w:t>empresas</w:t>
      </w:r>
      <w:r w:rsidRPr="00733B4E">
        <w:rPr>
          <w:rFonts w:ascii="Bookman Old Style" w:hAnsi="Bookman Old Style" w:cs="Arial"/>
        </w:rPr>
        <w:t xml:space="preserve"> sometidas a la regulación para el año 20</w:t>
      </w:r>
      <w:r w:rsidR="00020EB0">
        <w:rPr>
          <w:rFonts w:ascii="Bookman Old Style" w:hAnsi="Bookman Old Style" w:cs="Arial"/>
        </w:rPr>
        <w:t>21</w:t>
      </w:r>
      <w:r w:rsidRPr="00733B4E">
        <w:rPr>
          <w:rFonts w:ascii="Bookman Old Style" w:hAnsi="Bookman Old Style" w:cs="Arial"/>
        </w:rPr>
        <w:t>.</w:t>
      </w:r>
    </w:p>
    <w:p w14:paraId="6A018F27" w14:textId="58DDC048" w:rsidR="00534D05" w:rsidRDefault="00534D05" w:rsidP="00692D39">
      <w:pPr>
        <w:ind w:left="0"/>
        <w:jc w:val="both"/>
        <w:rPr>
          <w:rFonts w:ascii="Bookman Old Style" w:hAnsi="Bookman Old Style" w:cs="Arial"/>
        </w:rPr>
      </w:pPr>
    </w:p>
    <w:p w14:paraId="7D5B7666" w14:textId="77777777" w:rsidR="0004318E" w:rsidRDefault="00534D05" w:rsidP="00280F45">
      <w:pPr>
        <w:ind w:left="0"/>
        <w:jc w:val="both"/>
        <w:rPr>
          <w:rFonts w:ascii="Bookman Old Style" w:hAnsi="Bookman Old Style" w:cs="Arial"/>
        </w:rPr>
      </w:pPr>
      <w:r>
        <w:rPr>
          <w:rFonts w:ascii="Bookman Old Style" w:hAnsi="Bookman Old Style" w:cs="Arial"/>
        </w:rPr>
        <w:t>Para hallar el valor neto de los gastos de funcionamiento</w:t>
      </w:r>
      <w:r w:rsidR="00280F45">
        <w:rPr>
          <w:rFonts w:ascii="Bookman Old Style" w:hAnsi="Bookman Old Style" w:cs="Arial"/>
        </w:rPr>
        <w:t xml:space="preserve"> con base en </w:t>
      </w:r>
      <w:r>
        <w:rPr>
          <w:rFonts w:ascii="Bookman Old Style" w:hAnsi="Bookman Old Style" w:cs="Arial"/>
        </w:rPr>
        <w:t xml:space="preserve">la información financiera </w:t>
      </w:r>
      <w:r w:rsidR="00280F45">
        <w:rPr>
          <w:rFonts w:ascii="Bookman Old Style" w:hAnsi="Bookman Old Style" w:cs="Arial"/>
        </w:rPr>
        <w:t xml:space="preserve">del año 2020; cargada y </w:t>
      </w:r>
      <w:r>
        <w:rPr>
          <w:rFonts w:ascii="Bookman Old Style" w:hAnsi="Bookman Old Style" w:cs="Arial"/>
        </w:rPr>
        <w:t>certificada en el SUI</w:t>
      </w:r>
      <w:r w:rsidR="00280F45">
        <w:rPr>
          <w:rFonts w:ascii="Bookman Old Style" w:hAnsi="Bookman Old Style" w:cs="Arial"/>
        </w:rPr>
        <w:t xml:space="preserve"> por las empresas reguladas, y consultada </w:t>
      </w:r>
      <w:r w:rsidR="0004318E">
        <w:rPr>
          <w:rFonts w:ascii="Bookman Old Style" w:hAnsi="Bookman Old Style" w:cs="Arial"/>
        </w:rPr>
        <w:t xml:space="preserve">por la CREG </w:t>
      </w:r>
      <w:r w:rsidR="00280F45">
        <w:rPr>
          <w:rFonts w:ascii="Bookman Old Style" w:hAnsi="Bookman Old Style" w:cs="Arial"/>
        </w:rPr>
        <w:t xml:space="preserve">con </w:t>
      </w:r>
      <w:r w:rsidR="0004318E">
        <w:rPr>
          <w:rFonts w:ascii="Bookman Old Style" w:hAnsi="Bookman Old Style" w:cs="Arial"/>
        </w:rPr>
        <w:t xml:space="preserve">la información suministrada por la SSPD con </w:t>
      </w:r>
      <w:r w:rsidR="00280F45">
        <w:rPr>
          <w:rFonts w:ascii="Bookman Old Style" w:hAnsi="Bookman Old Style" w:cs="Arial"/>
        </w:rPr>
        <w:t xml:space="preserve">corte a 20 de septiembre de 2021. </w:t>
      </w:r>
    </w:p>
    <w:p w14:paraId="263D4869" w14:textId="77777777" w:rsidR="0004318E" w:rsidRDefault="0004318E" w:rsidP="00280F45">
      <w:pPr>
        <w:ind w:left="0"/>
        <w:jc w:val="both"/>
        <w:rPr>
          <w:rFonts w:ascii="Bookman Old Style" w:hAnsi="Bookman Old Style" w:cs="Arial"/>
        </w:rPr>
      </w:pPr>
    </w:p>
    <w:p w14:paraId="444F6D63" w14:textId="342E94BA" w:rsidR="00534D05" w:rsidRDefault="0004318E" w:rsidP="00280F45">
      <w:pPr>
        <w:ind w:left="0"/>
        <w:jc w:val="both"/>
        <w:rPr>
          <w:rFonts w:ascii="Bookman Old Style" w:hAnsi="Bookman Old Style" w:cs="Arial"/>
        </w:rPr>
      </w:pPr>
      <w:r>
        <w:rPr>
          <w:rFonts w:ascii="Bookman Old Style" w:hAnsi="Bookman Old Style" w:cs="Arial"/>
        </w:rPr>
        <w:t>Para la liquidación de la contribución especial de la vigencia 2021, se realizó la depuración a</w:t>
      </w:r>
      <w:r w:rsidR="007B0DC1">
        <w:rPr>
          <w:rFonts w:ascii="Bookman Old Style" w:hAnsi="Bookman Old Style" w:cs="Arial"/>
        </w:rPr>
        <w:t xml:space="preserve"> partir </w:t>
      </w:r>
      <w:r w:rsidR="00534D05">
        <w:rPr>
          <w:rFonts w:ascii="Bookman Old Style" w:hAnsi="Bookman Old Style" w:cs="Arial"/>
        </w:rPr>
        <w:t xml:space="preserve">de </w:t>
      </w:r>
      <w:r w:rsidR="00685D35">
        <w:rPr>
          <w:rFonts w:ascii="Bookman Old Style" w:hAnsi="Bookman Old Style" w:cs="Arial"/>
        </w:rPr>
        <w:t>los gastos de funcionamiento</w:t>
      </w:r>
      <w:r w:rsidR="00280F45">
        <w:rPr>
          <w:rFonts w:ascii="Bookman Old Style" w:hAnsi="Bookman Old Style" w:cs="Arial"/>
        </w:rPr>
        <w:t xml:space="preserve"> (</w:t>
      </w:r>
      <w:r w:rsidR="00534D05">
        <w:rPr>
          <w:rFonts w:ascii="Bookman Old Style" w:hAnsi="Bookman Old Style" w:cs="Arial"/>
        </w:rPr>
        <w:t>gastos administrativo</w:t>
      </w:r>
      <w:r w:rsidR="00685D35">
        <w:rPr>
          <w:rFonts w:ascii="Bookman Old Style" w:hAnsi="Bookman Old Style" w:cs="Arial"/>
        </w:rPr>
        <w:t>s</w:t>
      </w:r>
      <w:r w:rsidR="00280F45">
        <w:rPr>
          <w:rFonts w:ascii="Bookman Old Style" w:hAnsi="Bookman Old Style" w:cs="Arial"/>
        </w:rPr>
        <w:t xml:space="preserve"> menos</w:t>
      </w:r>
      <w:r w:rsidR="00534D05">
        <w:rPr>
          <w:rFonts w:ascii="Bookman Old Style" w:hAnsi="Bookman Old Style" w:cs="Arial"/>
        </w:rPr>
        <w:t xml:space="preserve"> las exclusiones</w:t>
      </w:r>
      <w:r w:rsidR="00280F45">
        <w:rPr>
          <w:rFonts w:ascii="Bookman Old Style" w:hAnsi="Bookman Old Style" w:cs="Arial"/>
        </w:rPr>
        <w:t xml:space="preserve"> de ley)</w:t>
      </w:r>
      <w:r w:rsidR="000207D6">
        <w:rPr>
          <w:rFonts w:ascii="Bookman Old Style" w:hAnsi="Bookman Old Style" w:cs="Arial"/>
        </w:rPr>
        <w:t>,</w:t>
      </w:r>
      <w:r w:rsidR="00280F45">
        <w:rPr>
          <w:rFonts w:ascii="Bookman Old Style" w:hAnsi="Bookman Old Style" w:cs="Arial"/>
        </w:rPr>
        <w:t xml:space="preserve"> </w:t>
      </w:r>
      <w:r>
        <w:rPr>
          <w:rFonts w:ascii="Bookman Old Style" w:hAnsi="Bookman Old Style" w:cs="Arial"/>
        </w:rPr>
        <w:t>para</w:t>
      </w:r>
      <w:r w:rsidR="00280F45">
        <w:rPr>
          <w:rFonts w:ascii="Bookman Old Style" w:hAnsi="Bookman Old Style" w:cs="Arial"/>
        </w:rPr>
        <w:t xml:space="preserve"> </w:t>
      </w:r>
      <w:r w:rsidR="000207D6">
        <w:rPr>
          <w:rFonts w:ascii="Bookman Old Style" w:hAnsi="Bookman Old Style" w:cs="Arial"/>
        </w:rPr>
        <w:t xml:space="preserve">de esta manera </w:t>
      </w:r>
      <w:r>
        <w:rPr>
          <w:rFonts w:ascii="Bookman Old Style" w:hAnsi="Bookman Old Style" w:cs="Arial"/>
        </w:rPr>
        <w:t>hallar</w:t>
      </w:r>
      <w:r w:rsidR="00280F45">
        <w:rPr>
          <w:rFonts w:ascii="Bookman Old Style" w:hAnsi="Bookman Old Style" w:cs="Arial"/>
        </w:rPr>
        <w:t xml:space="preserve"> </w:t>
      </w:r>
      <w:r w:rsidR="00685D35">
        <w:rPr>
          <w:rFonts w:ascii="Bookman Old Style" w:hAnsi="Bookman Old Style" w:cs="Arial"/>
        </w:rPr>
        <w:t>la base gravable de la</w:t>
      </w:r>
      <w:r>
        <w:rPr>
          <w:rFonts w:ascii="Bookman Old Style" w:hAnsi="Bookman Old Style" w:cs="Arial"/>
        </w:rPr>
        <w:t xml:space="preserve">s empresas reguladas y determinar </w:t>
      </w:r>
      <w:r w:rsidR="000207D6">
        <w:rPr>
          <w:rFonts w:ascii="Bookman Old Style" w:hAnsi="Bookman Old Style" w:cs="Arial"/>
        </w:rPr>
        <w:t xml:space="preserve">con ella </w:t>
      </w:r>
      <w:r>
        <w:rPr>
          <w:rFonts w:ascii="Bookman Old Style" w:hAnsi="Bookman Old Style" w:cs="Arial"/>
        </w:rPr>
        <w:t xml:space="preserve">el cubrimiento del presupuesto </w:t>
      </w:r>
      <w:r w:rsidR="000207D6">
        <w:rPr>
          <w:rFonts w:ascii="Bookman Old Style" w:hAnsi="Bookman Old Style" w:cs="Arial"/>
        </w:rPr>
        <w:t>aprop</w:t>
      </w:r>
      <w:r w:rsidR="00353057">
        <w:rPr>
          <w:rFonts w:ascii="Bookman Old Style" w:hAnsi="Bookman Old Style" w:cs="Arial"/>
        </w:rPr>
        <w:t>i</w:t>
      </w:r>
      <w:r w:rsidR="000207D6">
        <w:rPr>
          <w:rFonts w:ascii="Bookman Old Style" w:hAnsi="Bookman Old Style" w:cs="Arial"/>
        </w:rPr>
        <w:t>ado</w:t>
      </w:r>
      <w:r>
        <w:rPr>
          <w:rFonts w:ascii="Bookman Old Style" w:hAnsi="Bookman Old Style" w:cs="Arial"/>
        </w:rPr>
        <w:t xml:space="preserve"> a la CREG para la vigencia 2021.</w:t>
      </w:r>
    </w:p>
    <w:p w14:paraId="4EF5B691" w14:textId="4369CACB" w:rsidR="0004318E" w:rsidRDefault="0004318E" w:rsidP="00280F45">
      <w:pPr>
        <w:ind w:left="0"/>
        <w:jc w:val="both"/>
        <w:rPr>
          <w:rFonts w:ascii="Bookman Old Style" w:hAnsi="Bookman Old Style" w:cs="Arial"/>
        </w:rPr>
      </w:pPr>
    </w:p>
    <w:p w14:paraId="1307C04A" w14:textId="5871DB8A" w:rsidR="00692D39" w:rsidRDefault="00692D39" w:rsidP="00692D39">
      <w:pPr>
        <w:ind w:left="0"/>
        <w:jc w:val="both"/>
        <w:rPr>
          <w:rFonts w:ascii="Bookman Old Style" w:hAnsi="Bookman Old Style" w:cs="Arial"/>
        </w:rPr>
      </w:pPr>
      <w:r>
        <w:rPr>
          <w:rFonts w:ascii="Bookman Old Style" w:hAnsi="Bookman Old Style" w:cs="Arial"/>
        </w:rPr>
        <w:t>A</w:t>
      </w:r>
      <w:r w:rsidRPr="00733B4E">
        <w:rPr>
          <w:rFonts w:ascii="Bookman Old Style" w:hAnsi="Bookman Old Style" w:cs="Arial"/>
        </w:rPr>
        <w:t xml:space="preserve">l conformar la base gravable para liquidar la contribución especial </w:t>
      </w:r>
      <w:r w:rsidR="00172DB8">
        <w:rPr>
          <w:rFonts w:ascii="Bookman Old Style" w:hAnsi="Bookman Old Style" w:cs="Arial"/>
        </w:rPr>
        <w:t xml:space="preserve">2021 </w:t>
      </w:r>
      <w:r w:rsidRPr="00733B4E">
        <w:rPr>
          <w:rFonts w:ascii="Bookman Old Style" w:hAnsi="Bookman Old Style" w:cs="Arial"/>
        </w:rPr>
        <w:t xml:space="preserve">y al aplicar la tarifa del 1% como máxima permitida a los </w:t>
      </w:r>
      <w:r w:rsidR="00695BB0">
        <w:rPr>
          <w:rFonts w:ascii="Bookman Old Style" w:hAnsi="Bookman Old Style" w:cs="Arial"/>
        </w:rPr>
        <w:t>g</w:t>
      </w:r>
      <w:r w:rsidRPr="00733B4E">
        <w:rPr>
          <w:rFonts w:ascii="Bookman Old Style" w:hAnsi="Bookman Old Style" w:cs="Arial"/>
        </w:rPr>
        <w:t xml:space="preserve">astos </w:t>
      </w:r>
      <w:r w:rsidR="00695BB0">
        <w:rPr>
          <w:rFonts w:ascii="Bookman Old Style" w:hAnsi="Bookman Old Style" w:cs="Arial"/>
        </w:rPr>
        <w:t>de funcionamiento</w:t>
      </w:r>
      <w:r w:rsidRPr="00733B4E">
        <w:rPr>
          <w:rFonts w:ascii="Bookman Old Style" w:hAnsi="Bookman Old Style" w:cs="Arial"/>
        </w:rPr>
        <w:t xml:space="preserve"> (menos </w:t>
      </w:r>
      <w:r w:rsidR="00A5323B">
        <w:rPr>
          <w:rFonts w:ascii="Bookman Old Style" w:hAnsi="Bookman Old Style" w:cs="Arial"/>
        </w:rPr>
        <w:t xml:space="preserve">las anteriores </w:t>
      </w:r>
      <w:r w:rsidRPr="00733B4E">
        <w:rPr>
          <w:rFonts w:ascii="Bookman Old Style" w:hAnsi="Bookman Old Style" w:cs="Arial"/>
        </w:rPr>
        <w:t>exclusiones</w:t>
      </w:r>
      <w:r w:rsidR="00A5323B">
        <w:rPr>
          <w:rFonts w:ascii="Bookman Old Style" w:hAnsi="Bookman Old Style" w:cs="Arial"/>
        </w:rPr>
        <w:t xml:space="preserve"> listadas</w:t>
      </w:r>
      <w:r w:rsidRPr="00733B4E">
        <w:rPr>
          <w:rFonts w:ascii="Bookman Old Style" w:hAnsi="Bookman Old Style" w:cs="Arial"/>
        </w:rPr>
        <w:t xml:space="preserve">), se recaudaría el valor de </w:t>
      </w:r>
      <w:r w:rsidR="004925A5">
        <w:rPr>
          <w:rFonts w:ascii="Bookman Old Style" w:hAnsi="Bookman Old Style" w:cs="Arial"/>
        </w:rPr>
        <w:t>TREINTA Y DOS MIL VEINTI</w:t>
      </w:r>
      <w:r w:rsidRPr="009F6FC8">
        <w:rPr>
          <w:rFonts w:ascii="Bookman Old Style" w:hAnsi="Bookman Old Style" w:cs="Arial"/>
        </w:rPr>
        <w:t xml:space="preserve">NUEVE MILLONES </w:t>
      </w:r>
      <w:r w:rsidR="004925A5">
        <w:rPr>
          <w:rFonts w:ascii="Bookman Old Style" w:hAnsi="Bookman Old Style" w:cs="Arial"/>
        </w:rPr>
        <w:t>CUATROCIENTOS OCHENTA Y OCHO</w:t>
      </w:r>
      <w:r>
        <w:rPr>
          <w:rFonts w:ascii="Bookman Old Style" w:hAnsi="Bookman Old Style" w:cs="Arial"/>
        </w:rPr>
        <w:t xml:space="preserve"> MIL </w:t>
      </w:r>
      <w:r w:rsidR="004925A5">
        <w:rPr>
          <w:rFonts w:ascii="Bookman Old Style" w:hAnsi="Bookman Old Style" w:cs="Arial"/>
        </w:rPr>
        <w:t>QUINIENTOS OCHENTA Y TRES</w:t>
      </w:r>
      <w:r w:rsidRPr="009F6FC8">
        <w:rPr>
          <w:rFonts w:ascii="Bookman Old Style" w:hAnsi="Bookman Old Style" w:cs="Arial"/>
        </w:rPr>
        <w:t xml:space="preserve"> PESOS M/CT</w:t>
      </w:r>
      <w:r>
        <w:rPr>
          <w:rFonts w:ascii="Bookman Old Style" w:hAnsi="Bookman Old Style" w:cs="Arial"/>
        </w:rPr>
        <w:t>E ($</w:t>
      </w:r>
      <w:r w:rsidR="004925A5">
        <w:rPr>
          <w:rFonts w:ascii="Bookman Old Style" w:hAnsi="Bookman Old Style" w:cs="Arial"/>
        </w:rPr>
        <w:t>32</w:t>
      </w:r>
      <w:r>
        <w:rPr>
          <w:rFonts w:ascii="Bookman Old Style" w:hAnsi="Bookman Old Style" w:cs="Arial"/>
        </w:rPr>
        <w:t>,</w:t>
      </w:r>
      <w:r w:rsidR="004925A5">
        <w:rPr>
          <w:rFonts w:ascii="Bookman Old Style" w:hAnsi="Bookman Old Style" w:cs="Arial"/>
        </w:rPr>
        <w:t>02</w:t>
      </w:r>
      <w:r>
        <w:rPr>
          <w:rFonts w:ascii="Bookman Old Style" w:hAnsi="Bookman Old Style" w:cs="Arial"/>
        </w:rPr>
        <w:t>9,</w:t>
      </w:r>
      <w:r w:rsidR="004925A5">
        <w:rPr>
          <w:rFonts w:ascii="Bookman Old Style" w:hAnsi="Bookman Old Style" w:cs="Arial"/>
        </w:rPr>
        <w:t>488</w:t>
      </w:r>
      <w:r>
        <w:rPr>
          <w:rFonts w:ascii="Bookman Old Style" w:hAnsi="Bookman Old Style" w:cs="Arial"/>
        </w:rPr>
        <w:t>,</w:t>
      </w:r>
      <w:r w:rsidR="004925A5">
        <w:rPr>
          <w:rFonts w:ascii="Bookman Old Style" w:hAnsi="Bookman Old Style" w:cs="Arial"/>
        </w:rPr>
        <w:t>583</w:t>
      </w:r>
      <w:r w:rsidRPr="00733B4E">
        <w:rPr>
          <w:rFonts w:ascii="Bookman Old Style" w:hAnsi="Bookman Old Style" w:cs="Arial"/>
        </w:rPr>
        <w:t>)</w:t>
      </w:r>
      <w:r w:rsidR="00D9300F">
        <w:rPr>
          <w:rFonts w:ascii="Bookman Old Style" w:hAnsi="Bookman Old Style" w:cs="Arial"/>
        </w:rPr>
        <w:t xml:space="preserve">, </w:t>
      </w:r>
      <w:r w:rsidRPr="00733B4E">
        <w:rPr>
          <w:rFonts w:ascii="Bookman Old Style" w:hAnsi="Bookman Old Style" w:cs="Arial"/>
        </w:rPr>
        <w:t xml:space="preserve">monto </w:t>
      </w:r>
      <w:r w:rsidR="00D9300F">
        <w:rPr>
          <w:rFonts w:ascii="Bookman Old Style" w:hAnsi="Bookman Old Style" w:cs="Arial"/>
        </w:rPr>
        <w:t xml:space="preserve">que </w:t>
      </w:r>
      <w:r w:rsidR="005A1CCE">
        <w:rPr>
          <w:rFonts w:ascii="Bookman Old Style" w:hAnsi="Bookman Old Style" w:cs="Arial"/>
        </w:rPr>
        <w:t xml:space="preserve">es </w:t>
      </w:r>
      <w:r w:rsidRPr="00733B4E">
        <w:rPr>
          <w:rFonts w:ascii="Bookman Old Style" w:hAnsi="Bookman Old Style" w:cs="Arial"/>
        </w:rPr>
        <w:t xml:space="preserve">inferior al </w:t>
      </w:r>
      <w:r w:rsidR="00172DB8">
        <w:rPr>
          <w:rFonts w:ascii="Bookman Old Style" w:hAnsi="Bookman Old Style" w:cs="Arial"/>
        </w:rPr>
        <w:t xml:space="preserve">valor neto </w:t>
      </w:r>
      <w:r w:rsidRPr="00733B4E">
        <w:rPr>
          <w:rFonts w:ascii="Bookman Old Style" w:hAnsi="Bookman Old Style" w:cs="Arial"/>
        </w:rPr>
        <w:t xml:space="preserve">del presupuesto </w:t>
      </w:r>
      <w:r w:rsidR="00172DB8">
        <w:rPr>
          <w:rFonts w:ascii="Bookman Old Style" w:hAnsi="Bookman Old Style" w:cs="Arial"/>
        </w:rPr>
        <w:t xml:space="preserve">base de la contribución especial 2021 </w:t>
      </w:r>
      <w:r w:rsidRPr="00733B4E">
        <w:rPr>
          <w:rFonts w:ascii="Bookman Old Style" w:hAnsi="Bookman Old Style" w:cs="Arial"/>
        </w:rPr>
        <w:t xml:space="preserve">por </w:t>
      </w:r>
      <w:r w:rsidR="00172DB8">
        <w:rPr>
          <w:rFonts w:ascii="Bookman Old Style" w:hAnsi="Bookman Old Style" w:cs="Arial"/>
        </w:rPr>
        <w:t>valor de</w:t>
      </w:r>
      <w:r w:rsidRPr="00733B4E">
        <w:rPr>
          <w:rFonts w:ascii="Bookman Old Style" w:hAnsi="Bookman Old Style" w:cs="Arial"/>
        </w:rPr>
        <w:t xml:space="preserve"> </w:t>
      </w:r>
      <w:r w:rsidR="00172DB8">
        <w:rPr>
          <w:rFonts w:ascii="Bookman Old Style" w:hAnsi="Bookman Old Style" w:cs="Arial"/>
        </w:rPr>
        <w:t>TREINTA Y DOS</w:t>
      </w:r>
      <w:r w:rsidR="00172DB8" w:rsidRPr="00733B4E">
        <w:rPr>
          <w:rFonts w:ascii="Bookman Old Style" w:hAnsi="Bookman Old Style" w:cs="Arial"/>
        </w:rPr>
        <w:t xml:space="preserve"> MIL </w:t>
      </w:r>
      <w:r w:rsidR="00172DB8">
        <w:rPr>
          <w:rFonts w:ascii="Bookman Old Style" w:hAnsi="Bookman Old Style" w:cs="Arial"/>
        </w:rPr>
        <w:t>QUINIENTOS CINCO</w:t>
      </w:r>
      <w:r w:rsidR="00172DB8" w:rsidRPr="00733B4E">
        <w:rPr>
          <w:rFonts w:ascii="Bookman Old Style" w:hAnsi="Bookman Old Style" w:cs="Arial"/>
        </w:rPr>
        <w:t xml:space="preserve"> MILLONES </w:t>
      </w:r>
      <w:r w:rsidR="00172DB8">
        <w:rPr>
          <w:rFonts w:ascii="Bookman Old Style" w:hAnsi="Bookman Old Style" w:cs="Arial"/>
        </w:rPr>
        <w:t xml:space="preserve">SETECIENTOS CUARENTA Y DOS </w:t>
      </w:r>
      <w:r w:rsidR="00172DB8" w:rsidRPr="00733B4E">
        <w:rPr>
          <w:rFonts w:ascii="Bookman Old Style" w:hAnsi="Bookman Old Style" w:cs="Arial"/>
        </w:rPr>
        <w:t xml:space="preserve">MIL </w:t>
      </w:r>
      <w:r w:rsidR="00172DB8">
        <w:rPr>
          <w:rFonts w:ascii="Bookman Old Style" w:hAnsi="Bookman Old Style" w:cs="Arial"/>
        </w:rPr>
        <w:t>NOVECIENTOS TREINTA Y DOS</w:t>
      </w:r>
      <w:r w:rsidR="00172DB8" w:rsidRPr="00733B4E">
        <w:rPr>
          <w:rFonts w:ascii="Bookman Old Style" w:hAnsi="Bookman Old Style" w:cs="Arial"/>
        </w:rPr>
        <w:t xml:space="preserve"> PESOS </w:t>
      </w:r>
      <w:r w:rsidR="00172DB8" w:rsidRPr="00733B4E">
        <w:rPr>
          <w:rFonts w:ascii="Bookman Old Style" w:hAnsi="Bookman Old Style" w:cs="Arial"/>
        </w:rPr>
        <w:lastRenderedPageBreak/>
        <w:t xml:space="preserve">M/CTE </w:t>
      </w:r>
      <w:r w:rsidR="00172DB8">
        <w:rPr>
          <w:rFonts w:ascii="Bookman Old Style" w:hAnsi="Bookman Old Style" w:cs="Arial"/>
        </w:rPr>
        <w:t xml:space="preserve">CON 00/100 CTVOS. </w:t>
      </w:r>
      <w:r w:rsidR="00172DB8" w:rsidRPr="00733B4E">
        <w:rPr>
          <w:rFonts w:ascii="Bookman Old Style" w:hAnsi="Bookman Old Style" w:cs="Arial"/>
        </w:rPr>
        <w:t>($</w:t>
      </w:r>
      <w:r w:rsidR="00172DB8">
        <w:rPr>
          <w:rFonts w:ascii="Bookman Old Style" w:hAnsi="Bookman Old Style" w:cs="Arial"/>
        </w:rPr>
        <w:t>32</w:t>
      </w:r>
      <w:r w:rsidR="00172DB8" w:rsidRPr="00733B4E">
        <w:rPr>
          <w:rFonts w:ascii="Bookman Old Style" w:hAnsi="Bookman Old Style" w:cs="Arial"/>
        </w:rPr>
        <w:t>,</w:t>
      </w:r>
      <w:r w:rsidR="00172DB8">
        <w:rPr>
          <w:rFonts w:ascii="Bookman Old Style" w:hAnsi="Bookman Old Style" w:cs="Arial"/>
        </w:rPr>
        <w:t>505</w:t>
      </w:r>
      <w:r w:rsidR="00172DB8" w:rsidRPr="00733B4E">
        <w:rPr>
          <w:rFonts w:ascii="Bookman Old Style" w:hAnsi="Bookman Old Style" w:cs="Arial"/>
        </w:rPr>
        <w:t>,</w:t>
      </w:r>
      <w:r w:rsidR="00172DB8">
        <w:rPr>
          <w:rFonts w:ascii="Bookman Old Style" w:hAnsi="Bookman Old Style" w:cs="Arial"/>
        </w:rPr>
        <w:t>742</w:t>
      </w:r>
      <w:r w:rsidR="00172DB8" w:rsidRPr="00733B4E">
        <w:rPr>
          <w:rFonts w:ascii="Bookman Old Style" w:hAnsi="Bookman Old Style" w:cs="Arial"/>
        </w:rPr>
        <w:t>,</w:t>
      </w:r>
      <w:r w:rsidR="00172DB8">
        <w:rPr>
          <w:rFonts w:ascii="Bookman Old Style" w:hAnsi="Bookman Old Style" w:cs="Arial"/>
        </w:rPr>
        <w:t>932.00</w:t>
      </w:r>
      <w:r w:rsidR="00172DB8" w:rsidRPr="00733B4E">
        <w:rPr>
          <w:rFonts w:ascii="Bookman Old Style" w:hAnsi="Bookman Old Style" w:cs="Arial"/>
        </w:rPr>
        <w:t>)</w:t>
      </w:r>
      <w:r w:rsidRPr="00733B4E">
        <w:rPr>
          <w:rFonts w:ascii="Bookman Old Style" w:hAnsi="Bookman Old Style" w:cs="Arial"/>
        </w:rPr>
        <w:t xml:space="preserve">, constituyéndose así un faltante presupuestal de </w:t>
      </w:r>
      <w:r w:rsidR="00172DB8">
        <w:rPr>
          <w:rFonts w:ascii="Bookman Old Style" w:hAnsi="Bookman Old Style" w:cs="Arial"/>
        </w:rPr>
        <w:t>CUATROCIENTOS SETENTA Y SEIS</w:t>
      </w:r>
      <w:r w:rsidRPr="009F6FC8">
        <w:rPr>
          <w:rFonts w:ascii="Bookman Old Style" w:hAnsi="Bookman Old Style" w:cs="Arial"/>
        </w:rPr>
        <w:t xml:space="preserve"> MILLONES </w:t>
      </w:r>
      <w:r w:rsidR="00172DB8">
        <w:rPr>
          <w:rFonts w:ascii="Bookman Old Style" w:hAnsi="Bookman Old Style" w:cs="Arial"/>
        </w:rPr>
        <w:t>DOSCIENTOS CINCUENTA Y CUATRO</w:t>
      </w:r>
      <w:r w:rsidRPr="009F6FC8">
        <w:rPr>
          <w:rFonts w:ascii="Bookman Old Style" w:hAnsi="Bookman Old Style" w:cs="Arial"/>
        </w:rPr>
        <w:t xml:space="preserve"> MIL </w:t>
      </w:r>
      <w:r w:rsidR="00172DB8">
        <w:rPr>
          <w:rFonts w:ascii="Bookman Old Style" w:hAnsi="Bookman Old Style" w:cs="Arial"/>
        </w:rPr>
        <w:t>TRESCIENTOS CUARENTA Y NUEVE</w:t>
      </w:r>
      <w:r w:rsidRPr="009F6FC8">
        <w:rPr>
          <w:rFonts w:ascii="Bookman Old Style" w:hAnsi="Bookman Old Style" w:cs="Arial"/>
        </w:rPr>
        <w:t xml:space="preserve"> PESOS M/CTE </w:t>
      </w:r>
      <w:r w:rsidRPr="000207D6">
        <w:rPr>
          <w:rFonts w:ascii="Bookman Old Style" w:hAnsi="Bookman Old Style" w:cs="Arial"/>
        </w:rPr>
        <w:t>($</w:t>
      </w:r>
      <w:r w:rsidR="00172DB8" w:rsidRPr="000207D6">
        <w:rPr>
          <w:rFonts w:ascii="Bookman Old Style" w:hAnsi="Bookman Old Style" w:cs="Arial"/>
        </w:rPr>
        <w:t>476</w:t>
      </w:r>
      <w:r w:rsidRPr="000207D6">
        <w:rPr>
          <w:rFonts w:ascii="Bookman Old Style" w:hAnsi="Bookman Old Style" w:cs="Arial"/>
        </w:rPr>
        <w:t>,</w:t>
      </w:r>
      <w:r w:rsidR="00172DB8" w:rsidRPr="000207D6">
        <w:rPr>
          <w:rFonts w:ascii="Bookman Old Style" w:hAnsi="Bookman Old Style" w:cs="Arial"/>
        </w:rPr>
        <w:t>254</w:t>
      </w:r>
      <w:r w:rsidRPr="000207D6">
        <w:rPr>
          <w:rFonts w:ascii="Bookman Old Style" w:hAnsi="Bookman Old Style" w:cs="Arial"/>
        </w:rPr>
        <w:t>,</w:t>
      </w:r>
      <w:r w:rsidR="00172DB8" w:rsidRPr="000207D6">
        <w:rPr>
          <w:rFonts w:ascii="Bookman Old Style" w:hAnsi="Bookman Old Style" w:cs="Arial"/>
        </w:rPr>
        <w:t>349</w:t>
      </w:r>
      <w:r w:rsidRPr="009F6FC8">
        <w:rPr>
          <w:rFonts w:ascii="Bookman Old Style" w:hAnsi="Bookman Old Style" w:cs="Arial"/>
        </w:rPr>
        <w:t>)</w:t>
      </w:r>
      <w:r w:rsidRPr="00733B4E">
        <w:rPr>
          <w:rFonts w:ascii="Bookman Old Style" w:hAnsi="Bookman Old Style" w:cs="Arial"/>
        </w:rPr>
        <w:t xml:space="preserve">, el cual es </w:t>
      </w:r>
      <w:r w:rsidR="00145932">
        <w:rPr>
          <w:rFonts w:ascii="Bookman Old Style" w:hAnsi="Bookman Old Style" w:cs="Arial"/>
        </w:rPr>
        <w:t>indispensable</w:t>
      </w:r>
      <w:r w:rsidRPr="00733B4E">
        <w:rPr>
          <w:rFonts w:ascii="Bookman Old Style" w:hAnsi="Bookman Old Style" w:cs="Arial"/>
        </w:rPr>
        <w:t xml:space="preserve"> cubrir con los conceptos establecidos en el parágrafo 2</w:t>
      </w:r>
      <w:r w:rsidR="00172DB8">
        <w:rPr>
          <w:rFonts w:ascii="Bookman Old Style" w:hAnsi="Bookman Old Style" w:cs="Arial"/>
        </w:rPr>
        <w:t>°</w:t>
      </w:r>
      <w:r w:rsidRPr="00733B4E">
        <w:rPr>
          <w:rFonts w:ascii="Bookman Old Style" w:hAnsi="Bookman Old Style" w:cs="Arial"/>
        </w:rPr>
        <w:t xml:space="preserve"> del artículo 85 de la Ley 142 de 1994, con las previsiones allí establecidas y serán adicionadas en la proporción en que sean indispensables para cubrir el faltante presupuestal de la Entidad.</w:t>
      </w:r>
    </w:p>
    <w:p w14:paraId="712157A6" w14:textId="77777777" w:rsidR="00C409E5" w:rsidRPr="00733B4E" w:rsidRDefault="00C409E5" w:rsidP="00692D39">
      <w:pPr>
        <w:ind w:left="0"/>
        <w:jc w:val="both"/>
        <w:rPr>
          <w:rFonts w:ascii="Bookman Old Style" w:hAnsi="Bookman Old Style" w:cs="Arial"/>
        </w:rPr>
      </w:pPr>
    </w:p>
    <w:p w14:paraId="67485DCB" w14:textId="67DD1403" w:rsidR="00692D39" w:rsidRDefault="00423DFB" w:rsidP="00692D39">
      <w:pPr>
        <w:ind w:left="0"/>
        <w:jc w:val="both"/>
        <w:rPr>
          <w:rFonts w:ascii="Bookman Old Style" w:hAnsi="Bookman Old Style" w:cs="Arial"/>
        </w:rPr>
      </w:pPr>
      <w:r>
        <w:rPr>
          <w:rFonts w:ascii="Bookman Old Style" w:hAnsi="Bookman Old Style" w:cs="Arial"/>
        </w:rPr>
        <w:t xml:space="preserve">Del total de </w:t>
      </w:r>
      <w:r w:rsidR="00692D39" w:rsidRPr="00733B4E">
        <w:rPr>
          <w:rFonts w:ascii="Bookman Old Style" w:hAnsi="Bookman Old Style" w:cs="Arial"/>
        </w:rPr>
        <w:t xml:space="preserve">gastos operativos </w:t>
      </w:r>
      <w:r>
        <w:rPr>
          <w:rFonts w:ascii="Bookman Old Style" w:hAnsi="Bookman Old Style" w:cs="Arial"/>
        </w:rPr>
        <w:t xml:space="preserve">por </w:t>
      </w:r>
      <w:r w:rsidRPr="00733B4E">
        <w:rPr>
          <w:rFonts w:ascii="Bookman Old Style" w:hAnsi="Bookman Old Style" w:cs="Arial"/>
        </w:rPr>
        <w:t>$</w:t>
      </w:r>
      <w:r>
        <w:rPr>
          <w:rFonts w:ascii="Bookman Old Style" w:hAnsi="Bookman Old Style" w:cs="Arial"/>
        </w:rPr>
        <w:t>8</w:t>
      </w:r>
      <w:r w:rsidRPr="00733B4E">
        <w:rPr>
          <w:rFonts w:ascii="Bookman Old Style" w:hAnsi="Bookman Old Style" w:cs="Arial"/>
        </w:rPr>
        <w:t>,</w:t>
      </w:r>
      <w:r>
        <w:rPr>
          <w:rFonts w:ascii="Bookman Old Style" w:hAnsi="Bookman Old Style" w:cs="Arial"/>
        </w:rPr>
        <w:t>734</w:t>
      </w:r>
      <w:r w:rsidRPr="00733B4E">
        <w:rPr>
          <w:rFonts w:ascii="Bookman Old Style" w:hAnsi="Bookman Old Style" w:cs="Arial"/>
        </w:rPr>
        <w:t>,</w:t>
      </w:r>
      <w:r>
        <w:rPr>
          <w:rFonts w:ascii="Bookman Old Style" w:hAnsi="Bookman Old Style" w:cs="Arial"/>
        </w:rPr>
        <w:t>712</w:t>
      </w:r>
      <w:r w:rsidRPr="00733B4E">
        <w:rPr>
          <w:rFonts w:ascii="Bookman Old Style" w:hAnsi="Bookman Old Style" w:cs="Arial"/>
        </w:rPr>
        <w:t>,</w:t>
      </w:r>
      <w:r>
        <w:rPr>
          <w:rFonts w:ascii="Bookman Old Style" w:hAnsi="Bookman Old Style" w:cs="Arial"/>
        </w:rPr>
        <w:t>243</w:t>
      </w:r>
      <w:r w:rsidRPr="00733B4E">
        <w:rPr>
          <w:rFonts w:ascii="Bookman Old Style" w:hAnsi="Bookman Old Style" w:cs="Arial"/>
        </w:rPr>
        <w:t>,</w:t>
      </w:r>
      <w:r>
        <w:rPr>
          <w:rFonts w:ascii="Bookman Old Style" w:hAnsi="Bookman Old Style" w:cs="Arial"/>
        </w:rPr>
        <w:t xml:space="preserve">135 se tomaron únicamente $476,254,349, </w:t>
      </w:r>
      <w:r w:rsidR="00242185">
        <w:rPr>
          <w:rFonts w:ascii="Bookman Old Style" w:hAnsi="Bookman Old Style" w:cs="Arial"/>
        </w:rPr>
        <w:t xml:space="preserve">en una </w:t>
      </w:r>
      <w:r w:rsidR="00242185" w:rsidRPr="00733B4E">
        <w:rPr>
          <w:rFonts w:ascii="Bookman Old Style" w:hAnsi="Bookman Old Style" w:cs="Arial"/>
        </w:rPr>
        <w:t xml:space="preserve">proporción </w:t>
      </w:r>
      <w:r w:rsidR="00242185">
        <w:rPr>
          <w:rFonts w:ascii="Bookman Old Style" w:hAnsi="Bookman Old Style" w:cs="Arial"/>
        </w:rPr>
        <w:t xml:space="preserve">de </w:t>
      </w:r>
      <w:r w:rsidR="00242185" w:rsidRPr="009F6FC8">
        <w:rPr>
          <w:rFonts w:ascii="Bookman Old Style" w:hAnsi="Bookman Old Style" w:cs="Arial"/>
        </w:rPr>
        <w:t>0,0</w:t>
      </w:r>
      <w:r w:rsidR="00242185">
        <w:rPr>
          <w:rFonts w:ascii="Bookman Old Style" w:hAnsi="Bookman Old Style" w:cs="Arial"/>
        </w:rPr>
        <w:t>05452</w:t>
      </w:r>
      <w:r w:rsidR="00242185" w:rsidRPr="009F6FC8">
        <w:rPr>
          <w:rFonts w:ascii="Bookman Old Style" w:hAnsi="Bookman Old Style" w:cs="Arial"/>
        </w:rPr>
        <w:t>%</w:t>
      </w:r>
      <w:r w:rsidR="00242185">
        <w:rPr>
          <w:rFonts w:ascii="Bookman Old Style" w:hAnsi="Bookman Old Style" w:cs="Arial"/>
        </w:rPr>
        <w:t xml:space="preserve">, </w:t>
      </w:r>
      <w:r>
        <w:rPr>
          <w:rFonts w:ascii="Bookman Old Style" w:hAnsi="Bookman Old Style" w:cs="Arial"/>
        </w:rPr>
        <w:t xml:space="preserve">que son los </w:t>
      </w:r>
      <w:r w:rsidR="00145932">
        <w:rPr>
          <w:rFonts w:ascii="Bookman Old Style" w:hAnsi="Bookman Old Style" w:cs="Arial"/>
        </w:rPr>
        <w:t>indispensables</w:t>
      </w:r>
      <w:r>
        <w:rPr>
          <w:rFonts w:ascii="Bookman Old Style" w:hAnsi="Bookman Old Style" w:cs="Arial"/>
        </w:rPr>
        <w:t xml:space="preserve"> </w:t>
      </w:r>
      <w:r w:rsidR="00692D39" w:rsidRPr="00733B4E">
        <w:rPr>
          <w:rFonts w:ascii="Bookman Old Style" w:hAnsi="Bookman Old Style" w:cs="Arial"/>
        </w:rPr>
        <w:t xml:space="preserve">para cubrir el faltante </w:t>
      </w:r>
      <w:r>
        <w:rPr>
          <w:rFonts w:ascii="Bookman Old Style" w:hAnsi="Bookman Old Style" w:cs="Arial"/>
        </w:rPr>
        <w:t xml:space="preserve">presupuestal </w:t>
      </w:r>
      <w:r w:rsidR="00242185">
        <w:rPr>
          <w:rFonts w:ascii="Bookman Old Style" w:hAnsi="Bookman Old Style" w:cs="Arial"/>
        </w:rPr>
        <w:t xml:space="preserve">para ser </w:t>
      </w:r>
      <w:r w:rsidR="00692D39" w:rsidRPr="00733B4E">
        <w:rPr>
          <w:rFonts w:ascii="Bookman Old Style" w:hAnsi="Bookman Old Style" w:cs="Arial"/>
        </w:rPr>
        <w:t>incluid</w:t>
      </w:r>
      <w:r w:rsidR="00242185">
        <w:rPr>
          <w:rFonts w:ascii="Bookman Old Style" w:hAnsi="Bookman Old Style" w:cs="Arial"/>
        </w:rPr>
        <w:t>os</w:t>
      </w:r>
      <w:r w:rsidR="00692D39" w:rsidRPr="00733B4E">
        <w:rPr>
          <w:rFonts w:ascii="Bookman Old Style" w:hAnsi="Bookman Old Style" w:cs="Arial"/>
        </w:rPr>
        <w:t xml:space="preserve"> en la base gravable de la contribución especial de la vigencia 20</w:t>
      </w:r>
      <w:r w:rsidR="00172DB8">
        <w:rPr>
          <w:rFonts w:ascii="Bookman Old Style" w:hAnsi="Bookman Old Style" w:cs="Arial"/>
        </w:rPr>
        <w:t>21</w:t>
      </w:r>
      <w:r w:rsidR="00692D39" w:rsidRPr="00733B4E">
        <w:rPr>
          <w:rFonts w:ascii="Bookman Old Style" w:hAnsi="Bookman Old Style" w:cs="Arial"/>
        </w:rPr>
        <w:t xml:space="preserve">, </w:t>
      </w:r>
      <w:r w:rsidR="00172DB8">
        <w:rPr>
          <w:rFonts w:ascii="Bookman Old Style" w:hAnsi="Bookman Old Style" w:cs="Arial"/>
        </w:rPr>
        <w:t>detallado a continuación:</w:t>
      </w:r>
    </w:p>
    <w:p w14:paraId="5D653F67" w14:textId="77777777" w:rsidR="00685D35" w:rsidRDefault="00685D35" w:rsidP="00692D39">
      <w:pPr>
        <w:ind w:left="0"/>
        <w:jc w:val="both"/>
        <w:rPr>
          <w:rFonts w:ascii="Bookman Old Style" w:hAnsi="Bookman Old Style" w:cs="Arial"/>
        </w:rPr>
      </w:pPr>
    </w:p>
    <w:tbl>
      <w:tblPr>
        <w:tblW w:w="9209" w:type="dxa"/>
        <w:tblCellMar>
          <w:left w:w="70" w:type="dxa"/>
          <w:right w:w="70" w:type="dxa"/>
        </w:tblCellMar>
        <w:tblLook w:val="04A0" w:firstRow="1" w:lastRow="0" w:firstColumn="1" w:lastColumn="0" w:noHBand="0" w:noVBand="1"/>
      </w:tblPr>
      <w:tblGrid>
        <w:gridCol w:w="3020"/>
        <w:gridCol w:w="1880"/>
        <w:gridCol w:w="2183"/>
        <w:gridCol w:w="2126"/>
      </w:tblGrid>
      <w:tr w:rsidR="004925A5" w:rsidRPr="004925A5" w14:paraId="5B4CC482" w14:textId="77777777" w:rsidTr="004925A5">
        <w:trPr>
          <w:trHeight w:val="580"/>
        </w:trPr>
        <w:tc>
          <w:tcPr>
            <w:tcW w:w="30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A57452" w14:textId="77777777" w:rsidR="004925A5" w:rsidRPr="004925A5" w:rsidRDefault="004925A5" w:rsidP="004925A5">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CONCEPTOS </w:t>
            </w:r>
          </w:p>
        </w:tc>
        <w:tc>
          <w:tcPr>
            <w:tcW w:w="1880" w:type="dxa"/>
            <w:tcBorders>
              <w:top w:val="single" w:sz="4" w:space="0" w:color="auto"/>
              <w:left w:val="nil"/>
              <w:bottom w:val="single" w:sz="4" w:space="0" w:color="auto"/>
              <w:right w:val="single" w:sz="4" w:space="0" w:color="auto"/>
            </w:tcBorders>
            <w:shd w:val="clear" w:color="000000" w:fill="BDD7EE"/>
            <w:vAlign w:val="center"/>
            <w:hideMark/>
          </w:tcPr>
          <w:p w14:paraId="3A6C5185" w14:textId="77777777" w:rsidR="004925A5" w:rsidRPr="004925A5" w:rsidRDefault="004925A5" w:rsidP="004925A5">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BASE GASTOS DE ADMINISTRACIÓN </w:t>
            </w:r>
          </w:p>
        </w:tc>
        <w:tc>
          <w:tcPr>
            <w:tcW w:w="2183" w:type="dxa"/>
            <w:tcBorders>
              <w:top w:val="single" w:sz="4" w:space="0" w:color="auto"/>
              <w:left w:val="nil"/>
              <w:bottom w:val="single" w:sz="4" w:space="0" w:color="auto"/>
              <w:right w:val="single" w:sz="4" w:space="0" w:color="auto"/>
            </w:tcBorders>
            <w:shd w:val="clear" w:color="000000" w:fill="BDD7EE"/>
            <w:vAlign w:val="center"/>
            <w:hideMark/>
          </w:tcPr>
          <w:p w14:paraId="68802C16" w14:textId="77777777" w:rsidR="004925A5" w:rsidRPr="004925A5" w:rsidRDefault="004925A5" w:rsidP="004925A5">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BASE GASTOS DE OPERACIÓN </w:t>
            </w:r>
          </w:p>
        </w:tc>
        <w:tc>
          <w:tcPr>
            <w:tcW w:w="2126" w:type="dxa"/>
            <w:tcBorders>
              <w:top w:val="single" w:sz="4" w:space="0" w:color="auto"/>
              <w:left w:val="nil"/>
              <w:bottom w:val="single" w:sz="4" w:space="0" w:color="auto"/>
              <w:right w:val="single" w:sz="4" w:space="0" w:color="auto"/>
            </w:tcBorders>
            <w:shd w:val="clear" w:color="000000" w:fill="BDD7EE"/>
            <w:noWrap/>
            <w:vAlign w:val="center"/>
            <w:hideMark/>
          </w:tcPr>
          <w:p w14:paraId="182840DB" w14:textId="77777777" w:rsidR="004925A5" w:rsidRPr="004925A5" w:rsidRDefault="004925A5" w:rsidP="004925A5">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TOTALES </w:t>
            </w:r>
          </w:p>
        </w:tc>
      </w:tr>
      <w:tr w:rsidR="004925A5" w:rsidRPr="004925A5" w14:paraId="7E7325FD" w14:textId="77777777" w:rsidTr="004925A5">
        <w:trPr>
          <w:trHeight w:val="290"/>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2B1B9CD9" w14:textId="77777777" w:rsidR="004925A5" w:rsidRPr="004925A5" w:rsidRDefault="004925A5" w:rsidP="004925A5">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TOTAL BASE GRAVABLE</w:t>
            </w:r>
          </w:p>
        </w:tc>
        <w:tc>
          <w:tcPr>
            <w:tcW w:w="1880" w:type="dxa"/>
            <w:tcBorders>
              <w:top w:val="nil"/>
              <w:left w:val="nil"/>
              <w:bottom w:val="single" w:sz="4" w:space="0" w:color="auto"/>
              <w:right w:val="single" w:sz="4" w:space="0" w:color="auto"/>
            </w:tcBorders>
            <w:shd w:val="clear" w:color="auto" w:fill="auto"/>
            <w:noWrap/>
            <w:vAlign w:val="center"/>
            <w:hideMark/>
          </w:tcPr>
          <w:p w14:paraId="5D5D00B4" w14:textId="07EEACF1"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3,202,948,858,317 </w:t>
            </w:r>
          </w:p>
        </w:tc>
        <w:tc>
          <w:tcPr>
            <w:tcW w:w="2183" w:type="dxa"/>
            <w:tcBorders>
              <w:top w:val="nil"/>
              <w:left w:val="nil"/>
              <w:bottom w:val="single" w:sz="4" w:space="0" w:color="auto"/>
              <w:right w:val="single" w:sz="4" w:space="0" w:color="auto"/>
            </w:tcBorders>
            <w:shd w:val="clear" w:color="auto" w:fill="auto"/>
            <w:noWrap/>
            <w:vAlign w:val="center"/>
            <w:hideMark/>
          </w:tcPr>
          <w:p w14:paraId="53F0EB5B" w14:textId="77777777"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47,625,434,883 </w:t>
            </w:r>
          </w:p>
        </w:tc>
        <w:tc>
          <w:tcPr>
            <w:tcW w:w="2126" w:type="dxa"/>
            <w:tcBorders>
              <w:top w:val="nil"/>
              <w:left w:val="nil"/>
              <w:bottom w:val="single" w:sz="4" w:space="0" w:color="auto"/>
              <w:right w:val="single" w:sz="4" w:space="0" w:color="auto"/>
            </w:tcBorders>
            <w:shd w:val="clear" w:color="auto" w:fill="auto"/>
            <w:noWrap/>
            <w:vAlign w:val="center"/>
            <w:hideMark/>
          </w:tcPr>
          <w:p w14:paraId="5C81E676" w14:textId="77777777"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3,250,574,293,200 </w:t>
            </w:r>
          </w:p>
        </w:tc>
      </w:tr>
      <w:tr w:rsidR="004925A5" w:rsidRPr="004925A5" w14:paraId="0EB697A3" w14:textId="77777777" w:rsidTr="004925A5">
        <w:trPr>
          <w:trHeight w:val="290"/>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2285550C" w14:textId="77777777" w:rsidR="004925A5" w:rsidRPr="004925A5" w:rsidRDefault="004925A5" w:rsidP="004925A5">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1%</w:t>
            </w:r>
          </w:p>
        </w:tc>
        <w:tc>
          <w:tcPr>
            <w:tcW w:w="1880" w:type="dxa"/>
            <w:tcBorders>
              <w:top w:val="nil"/>
              <w:left w:val="nil"/>
              <w:bottom w:val="single" w:sz="4" w:space="0" w:color="auto"/>
              <w:right w:val="single" w:sz="4" w:space="0" w:color="auto"/>
            </w:tcBorders>
            <w:shd w:val="clear" w:color="auto" w:fill="auto"/>
            <w:noWrap/>
            <w:vAlign w:val="center"/>
            <w:hideMark/>
          </w:tcPr>
          <w:p w14:paraId="701C63D4" w14:textId="6A6D4A40"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32,029,488,583 </w:t>
            </w:r>
          </w:p>
        </w:tc>
        <w:tc>
          <w:tcPr>
            <w:tcW w:w="2183" w:type="dxa"/>
            <w:tcBorders>
              <w:top w:val="nil"/>
              <w:left w:val="nil"/>
              <w:bottom w:val="single" w:sz="4" w:space="0" w:color="auto"/>
              <w:right w:val="single" w:sz="4" w:space="0" w:color="auto"/>
            </w:tcBorders>
            <w:shd w:val="clear" w:color="auto" w:fill="auto"/>
            <w:noWrap/>
            <w:vAlign w:val="center"/>
            <w:hideMark/>
          </w:tcPr>
          <w:p w14:paraId="0C2EBE3F" w14:textId="77777777"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476,254,349 </w:t>
            </w:r>
          </w:p>
        </w:tc>
        <w:tc>
          <w:tcPr>
            <w:tcW w:w="2126" w:type="dxa"/>
            <w:tcBorders>
              <w:top w:val="nil"/>
              <w:left w:val="nil"/>
              <w:bottom w:val="single" w:sz="4" w:space="0" w:color="auto"/>
              <w:right w:val="single" w:sz="4" w:space="0" w:color="auto"/>
            </w:tcBorders>
            <w:shd w:val="clear" w:color="auto" w:fill="auto"/>
            <w:noWrap/>
            <w:vAlign w:val="center"/>
            <w:hideMark/>
          </w:tcPr>
          <w:p w14:paraId="78451EAC" w14:textId="77777777"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32,505,742,932 </w:t>
            </w:r>
          </w:p>
        </w:tc>
      </w:tr>
      <w:tr w:rsidR="004925A5" w:rsidRPr="004925A5" w14:paraId="47F031D7" w14:textId="77777777" w:rsidTr="004925A5">
        <w:trPr>
          <w:trHeight w:val="58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DE3F21A" w14:textId="77777777" w:rsidR="004925A5" w:rsidRPr="004925A5" w:rsidRDefault="004925A5" w:rsidP="004925A5">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PORCENTAJE DEL PRESUPUESTO POR BASE</w:t>
            </w:r>
          </w:p>
        </w:tc>
        <w:tc>
          <w:tcPr>
            <w:tcW w:w="1880" w:type="dxa"/>
            <w:tcBorders>
              <w:top w:val="nil"/>
              <w:left w:val="nil"/>
              <w:bottom w:val="single" w:sz="4" w:space="0" w:color="auto"/>
              <w:right w:val="single" w:sz="4" w:space="0" w:color="auto"/>
            </w:tcBorders>
            <w:shd w:val="clear" w:color="auto" w:fill="auto"/>
            <w:noWrap/>
            <w:vAlign w:val="center"/>
            <w:hideMark/>
          </w:tcPr>
          <w:p w14:paraId="7CCB9786" w14:textId="77777777" w:rsidR="004925A5" w:rsidRPr="004925A5" w:rsidRDefault="004925A5" w:rsidP="004925A5">
            <w:pPr>
              <w:ind w:left="0"/>
              <w:jc w:val="right"/>
              <w:rPr>
                <w:rFonts w:ascii="Calibri" w:hAnsi="Calibri" w:cs="Calibri"/>
                <w:sz w:val="22"/>
                <w:szCs w:val="22"/>
                <w:lang w:val="es-CO" w:eastAsia="es-CO"/>
              </w:rPr>
            </w:pPr>
            <w:r w:rsidRPr="004925A5">
              <w:rPr>
                <w:rFonts w:ascii="Calibri" w:hAnsi="Calibri" w:cs="Calibri"/>
                <w:sz w:val="22"/>
                <w:szCs w:val="22"/>
                <w:lang w:val="es-CO" w:eastAsia="es-CO"/>
              </w:rPr>
              <w:t>98.534861%</w:t>
            </w:r>
          </w:p>
        </w:tc>
        <w:tc>
          <w:tcPr>
            <w:tcW w:w="2183" w:type="dxa"/>
            <w:tcBorders>
              <w:top w:val="nil"/>
              <w:left w:val="nil"/>
              <w:bottom w:val="single" w:sz="4" w:space="0" w:color="auto"/>
              <w:right w:val="single" w:sz="4" w:space="0" w:color="auto"/>
            </w:tcBorders>
            <w:shd w:val="clear" w:color="auto" w:fill="auto"/>
            <w:noWrap/>
            <w:vAlign w:val="center"/>
            <w:hideMark/>
          </w:tcPr>
          <w:p w14:paraId="2980E5D8" w14:textId="77777777" w:rsidR="004925A5" w:rsidRPr="004925A5" w:rsidRDefault="004925A5" w:rsidP="004925A5">
            <w:pPr>
              <w:ind w:left="0"/>
              <w:jc w:val="right"/>
              <w:rPr>
                <w:rFonts w:ascii="Calibri" w:hAnsi="Calibri" w:cs="Calibri"/>
                <w:sz w:val="22"/>
                <w:szCs w:val="22"/>
                <w:lang w:val="es-CO" w:eastAsia="es-CO"/>
              </w:rPr>
            </w:pPr>
            <w:r w:rsidRPr="004925A5">
              <w:rPr>
                <w:rFonts w:ascii="Calibri" w:hAnsi="Calibri" w:cs="Calibri"/>
                <w:sz w:val="22"/>
                <w:szCs w:val="22"/>
                <w:lang w:val="es-CO" w:eastAsia="es-CO"/>
              </w:rPr>
              <w:t>1.465139%</w:t>
            </w:r>
          </w:p>
        </w:tc>
        <w:tc>
          <w:tcPr>
            <w:tcW w:w="2126" w:type="dxa"/>
            <w:tcBorders>
              <w:top w:val="nil"/>
              <w:left w:val="nil"/>
              <w:bottom w:val="single" w:sz="4" w:space="0" w:color="auto"/>
              <w:right w:val="single" w:sz="4" w:space="0" w:color="auto"/>
            </w:tcBorders>
            <w:shd w:val="clear" w:color="auto" w:fill="auto"/>
            <w:noWrap/>
            <w:vAlign w:val="center"/>
            <w:hideMark/>
          </w:tcPr>
          <w:p w14:paraId="50FE542D" w14:textId="77777777" w:rsidR="004925A5" w:rsidRPr="004925A5" w:rsidRDefault="004925A5" w:rsidP="004925A5">
            <w:pPr>
              <w:ind w:left="0"/>
              <w:jc w:val="right"/>
              <w:rPr>
                <w:rFonts w:ascii="Calibri" w:hAnsi="Calibri" w:cs="Calibri"/>
                <w:sz w:val="22"/>
                <w:szCs w:val="22"/>
                <w:lang w:val="es-CO" w:eastAsia="es-CO"/>
              </w:rPr>
            </w:pPr>
            <w:r w:rsidRPr="004925A5">
              <w:rPr>
                <w:rFonts w:ascii="Calibri" w:hAnsi="Calibri" w:cs="Calibri"/>
                <w:sz w:val="22"/>
                <w:szCs w:val="22"/>
                <w:lang w:val="es-CO" w:eastAsia="es-CO"/>
              </w:rPr>
              <w:t>100.000000%</w:t>
            </w:r>
          </w:p>
        </w:tc>
      </w:tr>
      <w:tr w:rsidR="004925A5" w:rsidRPr="004925A5" w14:paraId="5F6AD567" w14:textId="77777777" w:rsidTr="004925A5">
        <w:trPr>
          <w:trHeight w:val="290"/>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64B4E9BB" w14:textId="77777777" w:rsidR="004925A5" w:rsidRPr="004925A5" w:rsidRDefault="004925A5" w:rsidP="004925A5">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TOTAL PRESUPUESTO 2021</w:t>
            </w:r>
          </w:p>
        </w:tc>
        <w:tc>
          <w:tcPr>
            <w:tcW w:w="1880" w:type="dxa"/>
            <w:tcBorders>
              <w:top w:val="nil"/>
              <w:left w:val="nil"/>
              <w:bottom w:val="single" w:sz="4" w:space="0" w:color="auto"/>
              <w:right w:val="single" w:sz="4" w:space="0" w:color="auto"/>
            </w:tcBorders>
            <w:shd w:val="clear" w:color="000000" w:fill="E7E6E6"/>
            <w:noWrap/>
            <w:vAlign w:val="center"/>
            <w:hideMark/>
          </w:tcPr>
          <w:p w14:paraId="0B77A8F7" w14:textId="0E56664A" w:rsidR="004925A5" w:rsidRPr="004925A5" w:rsidRDefault="004925A5" w:rsidP="004925A5">
            <w:pPr>
              <w:ind w:left="0"/>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32,505,742,932 </w:t>
            </w:r>
          </w:p>
        </w:tc>
        <w:tc>
          <w:tcPr>
            <w:tcW w:w="2183" w:type="dxa"/>
            <w:tcBorders>
              <w:top w:val="nil"/>
              <w:left w:val="nil"/>
              <w:bottom w:val="single" w:sz="4" w:space="0" w:color="auto"/>
              <w:right w:val="single" w:sz="4" w:space="0" w:color="auto"/>
            </w:tcBorders>
            <w:shd w:val="clear" w:color="auto" w:fill="auto"/>
            <w:noWrap/>
            <w:vAlign w:val="center"/>
            <w:hideMark/>
          </w:tcPr>
          <w:p w14:paraId="0899D324"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c>
          <w:tcPr>
            <w:tcW w:w="2126" w:type="dxa"/>
            <w:tcBorders>
              <w:top w:val="nil"/>
              <w:left w:val="nil"/>
              <w:bottom w:val="single" w:sz="4" w:space="0" w:color="auto"/>
              <w:right w:val="single" w:sz="4" w:space="0" w:color="auto"/>
            </w:tcBorders>
            <w:shd w:val="clear" w:color="auto" w:fill="auto"/>
            <w:noWrap/>
            <w:vAlign w:val="center"/>
            <w:hideMark/>
          </w:tcPr>
          <w:p w14:paraId="1045C387"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r w:rsidR="004925A5" w:rsidRPr="004925A5" w14:paraId="1657E54D" w14:textId="77777777" w:rsidTr="004925A5">
        <w:trPr>
          <w:trHeight w:val="100"/>
        </w:trPr>
        <w:tc>
          <w:tcPr>
            <w:tcW w:w="3020" w:type="dxa"/>
            <w:tcBorders>
              <w:top w:val="nil"/>
              <w:left w:val="nil"/>
              <w:bottom w:val="nil"/>
              <w:right w:val="nil"/>
            </w:tcBorders>
            <w:shd w:val="clear" w:color="auto" w:fill="auto"/>
            <w:noWrap/>
            <w:vAlign w:val="center"/>
            <w:hideMark/>
          </w:tcPr>
          <w:p w14:paraId="2089B593" w14:textId="77777777" w:rsidR="004925A5" w:rsidRPr="004925A5" w:rsidRDefault="004925A5" w:rsidP="004925A5">
            <w:pPr>
              <w:ind w:left="0"/>
              <w:rPr>
                <w:rFonts w:ascii="Calibri" w:hAnsi="Calibri" w:cs="Calibri"/>
                <w:color w:val="000000"/>
                <w:sz w:val="22"/>
                <w:szCs w:val="22"/>
                <w:lang w:val="es-CO" w:eastAsia="es-CO"/>
              </w:rPr>
            </w:pPr>
          </w:p>
        </w:tc>
        <w:tc>
          <w:tcPr>
            <w:tcW w:w="1880" w:type="dxa"/>
            <w:tcBorders>
              <w:top w:val="nil"/>
              <w:left w:val="nil"/>
              <w:bottom w:val="nil"/>
              <w:right w:val="nil"/>
            </w:tcBorders>
            <w:shd w:val="clear" w:color="auto" w:fill="auto"/>
            <w:noWrap/>
            <w:vAlign w:val="center"/>
            <w:hideMark/>
          </w:tcPr>
          <w:p w14:paraId="5E07841E" w14:textId="77777777" w:rsidR="004925A5" w:rsidRPr="004925A5" w:rsidRDefault="004925A5" w:rsidP="004925A5">
            <w:pPr>
              <w:ind w:left="0"/>
              <w:jc w:val="center"/>
              <w:rPr>
                <w:sz w:val="20"/>
                <w:szCs w:val="20"/>
                <w:lang w:val="es-CO" w:eastAsia="es-CO"/>
              </w:rPr>
            </w:pPr>
          </w:p>
        </w:tc>
        <w:tc>
          <w:tcPr>
            <w:tcW w:w="2183" w:type="dxa"/>
            <w:tcBorders>
              <w:top w:val="nil"/>
              <w:left w:val="nil"/>
              <w:bottom w:val="nil"/>
              <w:right w:val="nil"/>
            </w:tcBorders>
            <w:shd w:val="clear" w:color="auto" w:fill="auto"/>
            <w:noWrap/>
            <w:vAlign w:val="center"/>
            <w:hideMark/>
          </w:tcPr>
          <w:p w14:paraId="61646A2F" w14:textId="77777777" w:rsidR="004925A5" w:rsidRPr="004925A5" w:rsidRDefault="004925A5" w:rsidP="004925A5">
            <w:pPr>
              <w:ind w:left="0"/>
              <w:rPr>
                <w:sz w:val="20"/>
                <w:szCs w:val="20"/>
                <w:lang w:val="es-CO" w:eastAsia="es-CO"/>
              </w:rPr>
            </w:pPr>
          </w:p>
        </w:tc>
        <w:tc>
          <w:tcPr>
            <w:tcW w:w="2126" w:type="dxa"/>
            <w:tcBorders>
              <w:top w:val="nil"/>
              <w:left w:val="nil"/>
              <w:bottom w:val="nil"/>
              <w:right w:val="nil"/>
            </w:tcBorders>
            <w:shd w:val="clear" w:color="auto" w:fill="auto"/>
            <w:noWrap/>
            <w:vAlign w:val="center"/>
            <w:hideMark/>
          </w:tcPr>
          <w:p w14:paraId="644A6D81" w14:textId="77777777" w:rsidR="004925A5" w:rsidRPr="004925A5" w:rsidRDefault="004925A5" w:rsidP="004925A5">
            <w:pPr>
              <w:ind w:left="0"/>
              <w:rPr>
                <w:sz w:val="20"/>
                <w:szCs w:val="20"/>
                <w:lang w:val="es-CO" w:eastAsia="es-CO"/>
              </w:rPr>
            </w:pPr>
          </w:p>
        </w:tc>
      </w:tr>
      <w:tr w:rsidR="004925A5" w:rsidRPr="004925A5" w14:paraId="296942D7" w14:textId="77777777" w:rsidTr="004925A5">
        <w:trPr>
          <w:trHeight w:val="290"/>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82FB" w14:textId="77777777" w:rsidR="004925A5" w:rsidRPr="004925A5" w:rsidRDefault="004925A5" w:rsidP="004925A5">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BASE GASTOS OPERATIVOS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5921A003"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c>
          <w:tcPr>
            <w:tcW w:w="2183" w:type="dxa"/>
            <w:tcBorders>
              <w:top w:val="single" w:sz="4" w:space="0" w:color="auto"/>
              <w:left w:val="nil"/>
              <w:bottom w:val="single" w:sz="4" w:space="0" w:color="auto"/>
              <w:right w:val="single" w:sz="4" w:space="0" w:color="auto"/>
            </w:tcBorders>
            <w:shd w:val="clear" w:color="auto" w:fill="auto"/>
            <w:noWrap/>
            <w:vAlign w:val="center"/>
            <w:hideMark/>
          </w:tcPr>
          <w:p w14:paraId="7A048235" w14:textId="77777777" w:rsidR="004925A5" w:rsidRPr="004925A5" w:rsidRDefault="004925A5" w:rsidP="004925A5">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8,734,712,243,135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A041368"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r w:rsidR="004925A5" w:rsidRPr="004925A5" w14:paraId="251AEAE8" w14:textId="77777777" w:rsidTr="004925A5">
        <w:trPr>
          <w:trHeight w:val="58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6360593" w14:textId="77777777" w:rsidR="004925A5" w:rsidRPr="004925A5" w:rsidRDefault="004925A5" w:rsidP="004925A5">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PORCENTAJE ADICIONAL GASTOS OPERATIVOS</w:t>
            </w:r>
          </w:p>
        </w:tc>
        <w:tc>
          <w:tcPr>
            <w:tcW w:w="1880" w:type="dxa"/>
            <w:tcBorders>
              <w:top w:val="nil"/>
              <w:left w:val="nil"/>
              <w:bottom w:val="single" w:sz="4" w:space="0" w:color="auto"/>
              <w:right w:val="single" w:sz="4" w:space="0" w:color="auto"/>
            </w:tcBorders>
            <w:shd w:val="clear" w:color="auto" w:fill="auto"/>
            <w:noWrap/>
            <w:vAlign w:val="center"/>
            <w:hideMark/>
          </w:tcPr>
          <w:p w14:paraId="2180BF95"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c>
          <w:tcPr>
            <w:tcW w:w="2183" w:type="dxa"/>
            <w:tcBorders>
              <w:top w:val="nil"/>
              <w:left w:val="nil"/>
              <w:bottom w:val="single" w:sz="4" w:space="0" w:color="auto"/>
              <w:right w:val="single" w:sz="4" w:space="0" w:color="auto"/>
            </w:tcBorders>
            <w:shd w:val="clear" w:color="auto" w:fill="auto"/>
            <w:noWrap/>
            <w:vAlign w:val="center"/>
            <w:hideMark/>
          </w:tcPr>
          <w:p w14:paraId="63426F2C" w14:textId="77777777" w:rsidR="004925A5" w:rsidRPr="004925A5" w:rsidRDefault="004925A5" w:rsidP="004925A5">
            <w:pPr>
              <w:ind w:left="0"/>
              <w:jc w:val="right"/>
              <w:rPr>
                <w:rFonts w:ascii="Calibri" w:hAnsi="Calibri" w:cs="Calibri"/>
                <w:sz w:val="22"/>
                <w:szCs w:val="22"/>
                <w:lang w:val="es-CO" w:eastAsia="es-CO"/>
              </w:rPr>
            </w:pPr>
            <w:r w:rsidRPr="004925A5">
              <w:rPr>
                <w:rFonts w:ascii="Calibri" w:hAnsi="Calibri" w:cs="Calibri"/>
                <w:sz w:val="22"/>
                <w:szCs w:val="22"/>
                <w:lang w:val="es-CO" w:eastAsia="es-CO"/>
              </w:rPr>
              <w:t>0.005452%</w:t>
            </w:r>
          </w:p>
        </w:tc>
        <w:tc>
          <w:tcPr>
            <w:tcW w:w="2126" w:type="dxa"/>
            <w:tcBorders>
              <w:top w:val="nil"/>
              <w:left w:val="nil"/>
              <w:bottom w:val="single" w:sz="4" w:space="0" w:color="auto"/>
              <w:right w:val="single" w:sz="4" w:space="0" w:color="auto"/>
            </w:tcBorders>
            <w:shd w:val="clear" w:color="auto" w:fill="auto"/>
            <w:noWrap/>
            <w:vAlign w:val="center"/>
            <w:hideMark/>
          </w:tcPr>
          <w:p w14:paraId="06AFE618"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r w:rsidR="004925A5" w:rsidRPr="004925A5" w14:paraId="0084F56F" w14:textId="77777777" w:rsidTr="004925A5">
        <w:trPr>
          <w:trHeight w:val="290"/>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14B28500" w14:textId="77777777" w:rsidR="004925A5" w:rsidRPr="004925A5" w:rsidRDefault="004925A5" w:rsidP="004925A5">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FALTANTE PRESUPUESTAL</w:t>
            </w:r>
          </w:p>
        </w:tc>
        <w:tc>
          <w:tcPr>
            <w:tcW w:w="1880" w:type="dxa"/>
            <w:tcBorders>
              <w:top w:val="nil"/>
              <w:left w:val="nil"/>
              <w:bottom w:val="single" w:sz="4" w:space="0" w:color="auto"/>
              <w:right w:val="single" w:sz="4" w:space="0" w:color="auto"/>
            </w:tcBorders>
            <w:shd w:val="clear" w:color="000000" w:fill="E7E6E6"/>
            <w:noWrap/>
            <w:vAlign w:val="center"/>
            <w:hideMark/>
          </w:tcPr>
          <w:p w14:paraId="1FA505C0" w14:textId="77777777" w:rsidR="004925A5" w:rsidRPr="004925A5" w:rsidRDefault="004925A5" w:rsidP="004925A5">
            <w:pPr>
              <w:ind w:left="0"/>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w:t>
            </w:r>
          </w:p>
        </w:tc>
        <w:tc>
          <w:tcPr>
            <w:tcW w:w="2183" w:type="dxa"/>
            <w:tcBorders>
              <w:top w:val="nil"/>
              <w:left w:val="nil"/>
              <w:bottom w:val="single" w:sz="4" w:space="0" w:color="auto"/>
              <w:right w:val="single" w:sz="4" w:space="0" w:color="auto"/>
            </w:tcBorders>
            <w:shd w:val="clear" w:color="000000" w:fill="E7E6E6"/>
            <w:noWrap/>
            <w:vAlign w:val="center"/>
            <w:hideMark/>
          </w:tcPr>
          <w:p w14:paraId="18DA6BCC" w14:textId="226745EF" w:rsidR="004925A5" w:rsidRPr="004925A5" w:rsidRDefault="004925A5" w:rsidP="004925A5">
            <w:pPr>
              <w:ind w:left="0"/>
              <w:jc w:val="right"/>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w:t>
            </w:r>
            <w:r>
              <w:rPr>
                <w:rFonts w:ascii="Calibri" w:hAnsi="Calibri" w:cs="Calibri"/>
                <w:b/>
                <w:bCs/>
                <w:color w:val="000000"/>
                <w:sz w:val="22"/>
                <w:szCs w:val="22"/>
                <w:lang w:val="es-CO" w:eastAsia="es-CO"/>
              </w:rPr>
              <w:t>4</w:t>
            </w:r>
            <w:r w:rsidRPr="004925A5">
              <w:rPr>
                <w:rFonts w:ascii="Calibri" w:hAnsi="Calibri" w:cs="Calibri"/>
                <w:b/>
                <w:bCs/>
                <w:color w:val="000000"/>
                <w:sz w:val="22"/>
                <w:szCs w:val="22"/>
                <w:lang w:val="es-CO" w:eastAsia="es-CO"/>
              </w:rPr>
              <w:t xml:space="preserve">76,254,349 </w:t>
            </w:r>
          </w:p>
        </w:tc>
        <w:tc>
          <w:tcPr>
            <w:tcW w:w="2126" w:type="dxa"/>
            <w:tcBorders>
              <w:top w:val="nil"/>
              <w:left w:val="nil"/>
              <w:bottom w:val="single" w:sz="4" w:space="0" w:color="auto"/>
              <w:right w:val="single" w:sz="4" w:space="0" w:color="auto"/>
            </w:tcBorders>
            <w:shd w:val="clear" w:color="auto" w:fill="auto"/>
            <w:noWrap/>
            <w:vAlign w:val="center"/>
            <w:hideMark/>
          </w:tcPr>
          <w:p w14:paraId="0E662ACF" w14:textId="77777777" w:rsidR="004925A5" w:rsidRPr="004925A5" w:rsidRDefault="004925A5" w:rsidP="004925A5">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bl>
    <w:p w14:paraId="1922AD9D" w14:textId="18B8E164" w:rsidR="00695BB0" w:rsidRDefault="00695BB0" w:rsidP="00692D39">
      <w:pPr>
        <w:ind w:left="0"/>
        <w:jc w:val="both"/>
        <w:rPr>
          <w:rFonts w:ascii="Bookman Old Style" w:hAnsi="Bookman Old Style" w:cs="Arial"/>
        </w:rPr>
      </w:pPr>
    </w:p>
    <w:p w14:paraId="038F9981" w14:textId="701E05BE" w:rsidR="00202031" w:rsidRDefault="00202031" w:rsidP="00692D39">
      <w:pPr>
        <w:ind w:left="0"/>
        <w:jc w:val="both"/>
        <w:rPr>
          <w:rFonts w:ascii="Bookman Old Style" w:hAnsi="Bookman Old Style" w:cs="Arial"/>
        </w:rPr>
      </w:pPr>
      <w:r w:rsidRPr="00202031">
        <w:rPr>
          <w:rFonts w:ascii="Bookman Old Style" w:hAnsi="Bookman Old Style" w:cs="Arial"/>
        </w:rPr>
        <w:t xml:space="preserve">La contribución especial será calculada </w:t>
      </w:r>
      <w:r>
        <w:rPr>
          <w:rFonts w:ascii="Bookman Old Style" w:hAnsi="Bookman Old Style" w:cs="Arial"/>
        </w:rPr>
        <w:t xml:space="preserve">por </w:t>
      </w:r>
      <w:r w:rsidRPr="001E4A38">
        <w:rPr>
          <w:rFonts w:ascii="Bookman Old Style" w:hAnsi="Bookman Old Style" w:cs="Arial"/>
        </w:rPr>
        <w:t>la Subdirección Administrativa y Financiera a través de una liquidación oficial para</w:t>
      </w:r>
      <w:r w:rsidRPr="00202031">
        <w:rPr>
          <w:rFonts w:ascii="Bookman Old Style" w:hAnsi="Bookman Old Style" w:cs="Arial"/>
        </w:rPr>
        <w:t xml:space="preserve"> cada uno de los regulados</w:t>
      </w:r>
      <w:r>
        <w:rPr>
          <w:rFonts w:ascii="Bookman Old Style" w:hAnsi="Bookman Old Style" w:cs="Arial"/>
        </w:rPr>
        <w:t>,</w:t>
      </w:r>
      <w:r w:rsidRPr="00202031">
        <w:rPr>
          <w:rFonts w:ascii="Bookman Old Style" w:hAnsi="Bookman Old Style" w:cs="Arial"/>
        </w:rPr>
        <w:t xml:space="preserve"> la cual será notificada a la empresa regulada conforme a lo previsto en las disposiciones legales vigentes</w:t>
      </w:r>
      <w:r w:rsidR="00050EF7">
        <w:rPr>
          <w:rFonts w:ascii="Bookman Old Style" w:hAnsi="Bookman Old Style" w:cs="Arial"/>
        </w:rPr>
        <w:t>,</w:t>
      </w:r>
      <w:r w:rsidRPr="00202031">
        <w:rPr>
          <w:rFonts w:ascii="Bookman Old Style" w:hAnsi="Bookman Old Style" w:cs="Arial"/>
        </w:rPr>
        <w:t xml:space="preserve"> y contra ella procede el recurso de reposición, el cual podrá interponerse dentro de los </w:t>
      </w:r>
      <w:r>
        <w:rPr>
          <w:rFonts w:ascii="Bookman Old Style" w:hAnsi="Bookman Old Style" w:cs="Arial"/>
        </w:rPr>
        <w:t>diez</w:t>
      </w:r>
      <w:r w:rsidRPr="00202031">
        <w:rPr>
          <w:rFonts w:ascii="Bookman Old Style" w:hAnsi="Bookman Old Style" w:cs="Arial"/>
        </w:rPr>
        <w:t xml:space="preserve"> (</w:t>
      </w:r>
      <w:r>
        <w:rPr>
          <w:rFonts w:ascii="Bookman Old Style" w:hAnsi="Bookman Old Style" w:cs="Arial"/>
        </w:rPr>
        <w:t>10</w:t>
      </w:r>
      <w:r w:rsidRPr="00202031">
        <w:rPr>
          <w:rFonts w:ascii="Bookman Old Style" w:hAnsi="Bookman Old Style" w:cs="Arial"/>
        </w:rPr>
        <w:t>) días hábiles siguientes a la diligencia de notificación por la CREG</w:t>
      </w:r>
      <w:r>
        <w:rPr>
          <w:rFonts w:ascii="Bookman Old Style" w:hAnsi="Bookman Old Style" w:cs="Arial"/>
        </w:rPr>
        <w:t>.</w:t>
      </w:r>
    </w:p>
    <w:p w14:paraId="2ACF64BD" w14:textId="77777777" w:rsidR="00202031" w:rsidRDefault="00202031" w:rsidP="00692D39">
      <w:pPr>
        <w:ind w:left="0"/>
        <w:jc w:val="both"/>
        <w:rPr>
          <w:rFonts w:ascii="Bookman Old Style" w:hAnsi="Bookman Old Style" w:cs="Arial"/>
        </w:rPr>
      </w:pPr>
    </w:p>
    <w:p w14:paraId="5A16B142" w14:textId="2699214B" w:rsidR="00423DFB" w:rsidRDefault="0050424C" w:rsidP="00692D39">
      <w:pPr>
        <w:ind w:left="0"/>
        <w:jc w:val="both"/>
        <w:rPr>
          <w:rFonts w:ascii="Bookman Old Style" w:hAnsi="Bookman Old Style" w:cs="Arial"/>
        </w:rPr>
      </w:pPr>
      <w:r w:rsidRPr="0050424C">
        <w:rPr>
          <w:rFonts w:ascii="Bookman Old Style" w:hAnsi="Bookman Old Style" w:cs="Arial"/>
        </w:rPr>
        <w:t>A efectos de recuperar los costos representados en recursos humanos, tecnológicos</w:t>
      </w:r>
      <w:r w:rsidR="005A1CCE">
        <w:rPr>
          <w:rFonts w:ascii="Bookman Old Style" w:hAnsi="Bookman Old Style" w:cs="Arial"/>
        </w:rPr>
        <w:t>,</w:t>
      </w:r>
      <w:r w:rsidRPr="0050424C">
        <w:rPr>
          <w:rFonts w:ascii="Bookman Old Style" w:hAnsi="Bookman Old Style" w:cs="Arial"/>
        </w:rPr>
        <w:t xml:space="preserve"> financieros </w:t>
      </w:r>
      <w:r w:rsidR="005A1CCE">
        <w:rPr>
          <w:rFonts w:ascii="Bookman Old Style" w:hAnsi="Bookman Old Style" w:cs="Arial"/>
        </w:rPr>
        <w:t xml:space="preserve">y logísticos </w:t>
      </w:r>
      <w:r w:rsidRPr="0050424C">
        <w:rPr>
          <w:rFonts w:ascii="Bookman Old Style" w:hAnsi="Bookman Old Style" w:cs="Arial"/>
        </w:rPr>
        <w:t xml:space="preserve">incurridos por la CREG en el procedimiento de cálculo, liquidación, </w:t>
      </w:r>
      <w:r w:rsidR="005A1CCE">
        <w:rPr>
          <w:rFonts w:ascii="Bookman Old Style" w:hAnsi="Bookman Old Style" w:cs="Arial"/>
        </w:rPr>
        <w:t xml:space="preserve">cobro, </w:t>
      </w:r>
      <w:r w:rsidRPr="0050424C">
        <w:rPr>
          <w:rFonts w:ascii="Bookman Old Style" w:hAnsi="Bookman Old Style" w:cs="Arial"/>
        </w:rPr>
        <w:t>recaudo y gestión de cartera de la contribución especial 202</w:t>
      </w:r>
      <w:r>
        <w:rPr>
          <w:rFonts w:ascii="Bookman Old Style" w:hAnsi="Bookman Old Style" w:cs="Arial"/>
        </w:rPr>
        <w:t>1</w:t>
      </w:r>
      <w:r w:rsidRPr="0050424C">
        <w:rPr>
          <w:rFonts w:ascii="Bookman Old Style" w:hAnsi="Bookman Old Style" w:cs="Arial"/>
        </w:rPr>
        <w:t>, la Comisión determinó una cuantía mínima óptima de $2</w:t>
      </w:r>
      <w:r w:rsidR="005A1CCE">
        <w:rPr>
          <w:rFonts w:ascii="Bookman Old Style" w:hAnsi="Bookman Old Style" w:cs="Arial"/>
        </w:rPr>
        <w:t>97</w:t>
      </w:r>
      <w:r w:rsidRPr="0050424C">
        <w:rPr>
          <w:rFonts w:ascii="Bookman Old Style" w:hAnsi="Bookman Old Style" w:cs="Arial"/>
        </w:rPr>
        <w:t>,</w:t>
      </w:r>
      <w:r w:rsidR="005A1CCE">
        <w:rPr>
          <w:rFonts w:ascii="Bookman Old Style" w:hAnsi="Bookman Old Style" w:cs="Arial"/>
        </w:rPr>
        <w:t>548</w:t>
      </w:r>
      <w:r w:rsidRPr="0050424C">
        <w:rPr>
          <w:rFonts w:ascii="Bookman Old Style" w:hAnsi="Bookman Old Style" w:cs="Arial"/>
        </w:rPr>
        <w:t xml:space="preserve"> por debajo de la cual </w:t>
      </w:r>
      <w:r w:rsidR="005A1CCE">
        <w:rPr>
          <w:rFonts w:ascii="Bookman Old Style" w:hAnsi="Bookman Old Style" w:cs="Arial"/>
        </w:rPr>
        <w:t xml:space="preserve">no </w:t>
      </w:r>
      <w:r w:rsidRPr="0050424C">
        <w:rPr>
          <w:rFonts w:ascii="Bookman Old Style" w:hAnsi="Bookman Old Style" w:cs="Arial"/>
        </w:rPr>
        <w:t>resulta eficiente</w:t>
      </w:r>
      <w:r w:rsidR="005A1CCE">
        <w:rPr>
          <w:rFonts w:ascii="Bookman Old Style" w:hAnsi="Bookman Old Style" w:cs="Arial"/>
        </w:rPr>
        <w:t xml:space="preserve"> ni rentable</w:t>
      </w:r>
      <w:r w:rsidRPr="0050424C">
        <w:rPr>
          <w:rFonts w:ascii="Bookman Old Style" w:hAnsi="Bookman Old Style" w:cs="Arial"/>
        </w:rPr>
        <w:t xml:space="preserve"> liquidar la contribución especial a los sujetos pasivos.</w:t>
      </w:r>
    </w:p>
    <w:p w14:paraId="5B9EF537" w14:textId="77777777" w:rsidR="00C63A07" w:rsidRDefault="00C63A07" w:rsidP="00692D39">
      <w:pPr>
        <w:ind w:left="0"/>
        <w:jc w:val="both"/>
        <w:rPr>
          <w:rFonts w:ascii="Bookman Old Style" w:hAnsi="Bookman Old Style" w:cs="Arial"/>
        </w:rPr>
      </w:pPr>
    </w:p>
    <w:p w14:paraId="4A2D7636" w14:textId="4ACF3924" w:rsidR="00D9300F" w:rsidRDefault="00D9300F" w:rsidP="00692D39">
      <w:pPr>
        <w:ind w:left="0"/>
        <w:jc w:val="both"/>
        <w:rPr>
          <w:rFonts w:ascii="Bookman Old Style" w:hAnsi="Bookman Old Style" w:cs="Arial"/>
        </w:rPr>
      </w:pPr>
      <w:r>
        <w:rPr>
          <w:rFonts w:ascii="Bookman Old Style" w:hAnsi="Bookman Old Style" w:cs="Arial"/>
        </w:rPr>
        <w:t>Para a</w:t>
      </w:r>
      <w:r w:rsidRPr="00733B4E">
        <w:rPr>
          <w:rFonts w:ascii="Bookman Old Style" w:hAnsi="Bookman Old Style" w:cs="Arial"/>
        </w:rPr>
        <w:t>quellos regulados que no repor</w:t>
      </w:r>
      <w:r>
        <w:rPr>
          <w:rFonts w:ascii="Bookman Old Style" w:hAnsi="Bookman Old Style" w:cs="Arial"/>
        </w:rPr>
        <w:t xml:space="preserve">taron la información financiera </w:t>
      </w:r>
      <w:r w:rsidRPr="00733B4E">
        <w:rPr>
          <w:rFonts w:ascii="Bookman Old Style" w:hAnsi="Bookman Old Style" w:cs="Arial"/>
        </w:rPr>
        <w:t>de la vigencia 20</w:t>
      </w:r>
      <w:r>
        <w:rPr>
          <w:rFonts w:ascii="Bookman Old Style" w:hAnsi="Bookman Old Style" w:cs="Arial"/>
        </w:rPr>
        <w:t>20</w:t>
      </w:r>
      <w:r w:rsidRPr="00733B4E">
        <w:rPr>
          <w:rFonts w:ascii="Bookman Old Style" w:hAnsi="Bookman Old Style" w:cs="Arial"/>
        </w:rPr>
        <w:t xml:space="preserve">, </w:t>
      </w:r>
      <w:r>
        <w:rPr>
          <w:rFonts w:ascii="Bookman Old Style" w:hAnsi="Bookman Old Style" w:cs="Arial"/>
        </w:rPr>
        <w:t>base para la contribución 2021, serán tratados como omisos</w:t>
      </w:r>
      <w:r w:rsidR="00050EF7">
        <w:rPr>
          <w:rFonts w:ascii="Bookman Old Style" w:hAnsi="Bookman Old Style" w:cs="Arial"/>
        </w:rPr>
        <w:t>,</w:t>
      </w:r>
      <w:r>
        <w:rPr>
          <w:rFonts w:ascii="Bookman Old Style" w:hAnsi="Bookman Old Style" w:cs="Arial"/>
        </w:rPr>
        <w:t xml:space="preserve"> y </w:t>
      </w:r>
      <w:r w:rsidRPr="00733B4E">
        <w:rPr>
          <w:rFonts w:ascii="Bookman Old Style" w:hAnsi="Bookman Old Style" w:cs="Arial"/>
        </w:rPr>
        <w:t xml:space="preserve">se </w:t>
      </w:r>
      <w:r>
        <w:rPr>
          <w:rFonts w:ascii="Bookman Old Style" w:hAnsi="Bookman Old Style" w:cs="Arial"/>
        </w:rPr>
        <w:t xml:space="preserve">les </w:t>
      </w:r>
      <w:r w:rsidRPr="00733B4E">
        <w:rPr>
          <w:rFonts w:ascii="Bookman Old Style" w:hAnsi="Bookman Old Style" w:cs="Arial"/>
        </w:rPr>
        <w:t>tomará como base la última información financiera reportada y certificada al SUI, la cual será indexada al 31 de diciembre de 20</w:t>
      </w:r>
      <w:r>
        <w:rPr>
          <w:rFonts w:ascii="Bookman Old Style" w:hAnsi="Bookman Old Style" w:cs="Arial"/>
        </w:rPr>
        <w:t>20, teniendo en cuenta</w:t>
      </w:r>
      <w:r w:rsidRPr="00733B4E">
        <w:rPr>
          <w:rFonts w:ascii="Bookman Old Style" w:hAnsi="Bookman Old Style" w:cs="Arial"/>
        </w:rPr>
        <w:t xml:space="preserve"> </w:t>
      </w:r>
      <w:r>
        <w:rPr>
          <w:rFonts w:ascii="Bookman Old Style" w:hAnsi="Bookman Old Style" w:cs="Arial"/>
        </w:rPr>
        <w:t>la variación porcentual</w:t>
      </w:r>
      <w:r w:rsidRPr="00733B4E">
        <w:rPr>
          <w:rFonts w:ascii="Bookman Old Style" w:hAnsi="Bookman Old Style" w:cs="Arial"/>
        </w:rPr>
        <w:t xml:space="preserve"> del IPC</w:t>
      </w:r>
      <w:r>
        <w:rPr>
          <w:rFonts w:ascii="Bookman Old Style" w:hAnsi="Bookman Old Style" w:cs="Arial"/>
        </w:rPr>
        <w:t xml:space="preserve"> certificado por el DANE</w:t>
      </w:r>
      <w:r w:rsidRPr="00733B4E">
        <w:rPr>
          <w:rFonts w:ascii="Bookman Old Style" w:hAnsi="Bookman Old Style" w:cs="Arial"/>
        </w:rPr>
        <w:t xml:space="preserve"> </w:t>
      </w:r>
      <w:r>
        <w:rPr>
          <w:rFonts w:ascii="Bookman Old Style" w:hAnsi="Bookman Old Style" w:cs="Arial"/>
        </w:rPr>
        <w:t>para los años objeto de indexación; estos regulados serán requeridos en fiscalización y se ajustará la contribución especial al valor de liquidación sus estados financieros auditados.</w:t>
      </w:r>
    </w:p>
    <w:p w14:paraId="7DE3DF1A" w14:textId="32458148" w:rsidR="00692D39" w:rsidRDefault="00692D39" w:rsidP="00692D39">
      <w:pPr>
        <w:ind w:left="0"/>
        <w:jc w:val="both"/>
        <w:rPr>
          <w:rFonts w:ascii="Bookman Old Style" w:hAnsi="Bookman Old Style" w:cs="Arial"/>
        </w:rPr>
      </w:pPr>
    </w:p>
    <w:p w14:paraId="67BE96E7" w14:textId="0416244C" w:rsidR="00692D39" w:rsidRDefault="00202031" w:rsidP="00692D39">
      <w:pPr>
        <w:ind w:left="0"/>
        <w:jc w:val="both"/>
        <w:rPr>
          <w:rFonts w:ascii="Bookman Old Style" w:hAnsi="Bookman Old Style" w:cs="Arial"/>
        </w:rPr>
      </w:pPr>
      <w:r>
        <w:rPr>
          <w:rFonts w:ascii="Bookman Old Style" w:hAnsi="Bookman Old Style" w:cs="Arial"/>
        </w:rPr>
        <w:lastRenderedPageBreak/>
        <w:t>La CREG reportará a</w:t>
      </w:r>
      <w:r w:rsidR="00692D39" w:rsidRPr="00C4627C">
        <w:rPr>
          <w:rFonts w:ascii="Bookman Old Style" w:hAnsi="Bookman Old Style" w:cs="Arial"/>
        </w:rPr>
        <w:t xml:space="preserve">l Boletín de Deudores Morosos del Estado </w:t>
      </w:r>
      <w:r w:rsidR="00692D39">
        <w:rPr>
          <w:rFonts w:ascii="Bookman Old Style" w:hAnsi="Bookman Old Style" w:cs="Arial"/>
        </w:rPr>
        <w:t>(</w:t>
      </w:r>
      <w:r w:rsidR="00692D39" w:rsidRPr="00C4627C">
        <w:rPr>
          <w:rFonts w:ascii="Bookman Old Style" w:hAnsi="Bookman Old Style" w:cs="Arial"/>
        </w:rPr>
        <w:t>BDME</w:t>
      </w:r>
      <w:r w:rsidR="00692D39">
        <w:rPr>
          <w:rFonts w:ascii="Bookman Old Style" w:hAnsi="Bookman Old Style" w:cs="Arial"/>
        </w:rPr>
        <w:t>)</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sidR="00D9300F">
        <w:rPr>
          <w:rFonts w:ascii="Bookman Old Style" w:hAnsi="Bookman Old Style" w:cs="Arial"/>
        </w:rPr>
        <w:t xml:space="preserve"> </w:t>
      </w:r>
      <w:r w:rsidR="00692D39" w:rsidRPr="00C4627C">
        <w:rPr>
          <w:rFonts w:ascii="Bookman Old Style" w:hAnsi="Bookman Old Style" w:cs="Arial"/>
        </w:rPr>
        <w:t>las personas naturales y jurídicas que</w:t>
      </w:r>
      <w:r w:rsidR="00692D39">
        <w:rPr>
          <w:rFonts w:ascii="Bookman Old Style" w:hAnsi="Bookman Old Style" w:cs="Arial"/>
        </w:rPr>
        <w:t>,</w:t>
      </w:r>
      <w:r w:rsidR="00692D39" w:rsidRPr="00C4627C">
        <w:rPr>
          <w:rFonts w:ascii="Bookman Old Style" w:hAnsi="Bookman Old Style" w:cs="Arial"/>
        </w:rPr>
        <w:t xml:space="preserve"> a cualquier título, a una fecha de corte, tienen contraída una obligación </w:t>
      </w:r>
      <w:r w:rsidR="00692D39">
        <w:rPr>
          <w:rFonts w:ascii="Bookman Old Style" w:hAnsi="Bookman Old Style" w:cs="Arial"/>
        </w:rPr>
        <w:t xml:space="preserve">en mora </w:t>
      </w:r>
      <w:r>
        <w:rPr>
          <w:rFonts w:ascii="Bookman Old Style" w:hAnsi="Bookman Old Style" w:cs="Arial"/>
        </w:rPr>
        <w:t xml:space="preserve">a favor de la CREG, según lo dispuesto en </w:t>
      </w:r>
      <w:r w:rsidR="00692D39" w:rsidRPr="00C4627C">
        <w:rPr>
          <w:rFonts w:ascii="Bookman Old Style" w:hAnsi="Bookman Old Style" w:cs="Arial"/>
        </w:rPr>
        <w:t>el parágrafo 3º del artículo 2º de la Ley 901 de 2004, y del numeral 5º del Art</w:t>
      </w:r>
      <w:r w:rsidR="00692D39">
        <w:rPr>
          <w:rFonts w:ascii="Bookman Old Style" w:hAnsi="Bookman Old Style" w:cs="Arial"/>
        </w:rPr>
        <w:t>ículo</w:t>
      </w:r>
      <w:r w:rsidR="00692D39" w:rsidRPr="00C4627C">
        <w:rPr>
          <w:rFonts w:ascii="Bookman Old Style" w:hAnsi="Bookman Old Style" w:cs="Arial"/>
        </w:rPr>
        <w:t xml:space="preserve"> 2º de la Ley 1066 de 2006</w:t>
      </w:r>
      <w:r>
        <w:rPr>
          <w:rFonts w:ascii="Bookman Old Style" w:hAnsi="Bookman Old Style" w:cs="Arial"/>
        </w:rPr>
        <w:t>;</w:t>
      </w:r>
      <w:r w:rsidR="00692D39" w:rsidRPr="00C4627C">
        <w:rPr>
          <w:rFonts w:ascii="Bookman Old Style" w:hAnsi="Bookman Old Style" w:cs="Arial"/>
        </w:rPr>
        <w:t xml:space="preserve"> </w:t>
      </w:r>
      <w:r>
        <w:rPr>
          <w:rFonts w:ascii="Bookman Old Style" w:hAnsi="Bookman Old Style" w:cs="Arial"/>
        </w:rPr>
        <w:t>a través del</w:t>
      </w:r>
      <w:r w:rsidR="00692D39" w:rsidRPr="00C4627C">
        <w:rPr>
          <w:rFonts w:ascii="Bookman Old Style" w:hAnsi="Bookman Old Style" w:cs="Arial"/>
        </w:rPr>
        <w:t xml:space="preserve"> sistema CHIP</w:t>
      </w:r>
      <w:r w:rsidR="00692D39">
        <w:rPr>
          <w:rFonts w:ascii="Bookman Old Style" w:hAnsi="Bookman Old Style" w:cs="Arial"/>
        </w:rPr>
        <w:t xml:space="preserve"> de la CGN</w:t>
      </w:r>
      <w:r w:rsidR="00692D39" w:rsidRPr="00C4627C">
        <w:rPr>
          <w:rFonts w:ascii="Bookman Old Style" w:hAnsi="Bookman Old Style" w:cs="Arial"/>
        </w:rPr>
        <w:t xml:space="preserve">, en los </w:t>
      </w:r>
      <w:r w:rsidR="00692D39">
        <w:rPr>
          <w:rFonts w:ascii="Bookman Old Style" w:hAnsi="Bookman Old Style" w:cs="Arial"/>
        </w:rPr>
        <w:t>diez (</w:t>
      </w:r>
      <w:r w:rsidR="00692D39" w:rsidRPr="00C4627C">
        <w:rPr>
          <w:rFonts w:ascii="Bookman Old Style" w:hAnsi="Bookman Old Style" w:cs="Arial"/>
        </w:rPr>
        <w:t>10</w:t>
      </w:r>
      <w:r w:rsidR="00692D39">
        <w:rPr>
          <w:rFonts w:ascii="Bookman Old Style" w:hAnsi="Bookman Old Style" w:cs="Arial"/>
        </w:rPr>
        <w:t>)</w:t>
      </w:r>
      <w:r w:rsidR="00692D39" w:rsidRPr="00C4627C">
        <w:rPr>
          <w:rFonts w:ascii="Bookman Old Style" w:hAnsi="Bookman Old Style" w:cs="Arial"/>
        </w:rPr>
        <w:t xml:space="preserve"> primeros días de los meses de junio y de diciembre</w:t>
      </w:r>
      <w:r>
        <w:rPr>
          <w:rFonts w:ascii="Bookman Old Style" w:hAnsi="Bookman Old Style" w:cs="Arial"/>
        </w:rPr>
        <w:t>,</w:t>
      </w:r>
      <w:r w:rsidR="00692D39" w:rsidRPr="00C4627C">
        <w:rPr>
          <w:rFonts w:ascii="Bookman Old Style" w:hAnsi="Bookman Old Style" w:cs="Arial"/>
        </w:rPr>
        <w:t xml:space="preserve"> con fecha de corte </w:t>
      </w:r>
      <w:r>
        <w:rPr>
          <w:rFonts w:ascii="Bookman Old Style" w:hAnsi="Bookman Old Style" w:cs="Arial"/>
        </w:rPr>
        <w:t xml:space="preserve">de obligación adeudada a </w:t>
      </w:r>
      <w:r w:rsidR="00692D39" w:rsidRPr="00C4627C">
        <w:rPr>
          <w:rFonts w:ascii="Bookman Old Style" w:hAnsi="Bookman Old Style" w:cs="Arial"/>
        </w:rPr>
        <w:t xml:space="preserve">31 de mayo y </w:t>
      </w:r>
      <w:r w:rsidR="00692D39">
        <w:rPr>
          <w:rFonts w:ascii="Bookman Old Style" w:hAnsi="Bookman Old Style" w:cs="Arial"/>
        </w:rPr>
        <w:t>30 de noviembre respectivamente.</w:t>
      </w:r>
    </w:p>
    <w:p w14:paraId="607B37BF" w14:textId="77777777" w:rsidR="00C409E5" w:rsidRDefault="00C409E5" w:rsidP="00692D39">
      <w:pPr>
        <w:ind w:left="0"/>
        <w:jc w:val="both"/>
        <w:rPr>
          <w:rFonts w:ascii="Bookman Old Style" w:hAnsi="Bookman Old Style" w:cs="Arial"/>
        </w:rPr>
      </w:pPr>
    </w:p>
    <w:p w14:paraId="78887BF2" w14:textId="0AD0024F" w:rsidR="00692D39" w:rsidRPr="00FB083C" w:rsidRDefault="00692D39" w:rsidP="00692D39">
      <w:pPr>
        <w:ind w:left="0"/>
        <w:jc w:val="both"/>
        <w:rPr>
          <w:rFonts w:ascii="Bookman Old Style" w:hAnsi="Bookman Old Style" w:cs="Arial"/>
        </w:rPr>
      </w:pPr>
      <w:r w:rsidRPr="00FE55BD">
        <w:rPr>
          <w:rFonts w:ascii="Bookman Old Style" w:hAnsi="Bookman Old Style" w:cs="Arial"/>
        </w:rPr>
        <w:t>La CREG</w:t>
      </w:r>
      <w:r w:rsidR="00050EF7">
        <w:rPr>
          <w:rFonts w:ascii="Bookman Old Style" w:hAnsi="Bookman Old Style" w:cs="Arial"/>
        </w:rPr>
        <w:t>,</w:t>
      </w:r>
      <w:r w:rsidRPr="00FE55BD">
        <w:rPr>
          <w:rFonts w:ascii="Bookman Old Style" w:hAnsi="Bookman Old Style" w:cs="Arial"/>
        </w:rPr>
        <w:t xml:space="preserve"> en la </w:t>
      </w:r>
      <w:r w:rsidRPr="00594E59">
        <w:rPr>
          <w:rFonts w:ascii="Bookman Old Style" w:hAnsi="Bookman Old Style" w:cs="Arial"/>
        </w:rPr>
        <w:t>sesión</w:t>
      </w:r>
      <w:r w:rsidRPr="0081376C">
        <w:rPr>
          <w:rFonts w:ascii="Bookman Old Style" w:hAnsi="Bookman Old Style" w:cs="Arial"/>
        </w:rPr>
        <w:t xml:space="preserve"> </w:t>
      </w:r>
      <w:r w:rsidR="00DA7611">
        <w:rPr>
          <w:rFonts w:ascii="Bookman Old Style" w:hAnsi="Bookman Old Style" w:cs="Arial"/>
        </w:rPr>
        <w:t>1127</w:t>
      </w:r>
      <w:r>
        <w:rPr>
          <w:rFonts w:ascii="Bookman Old Style" w:hAnsi="Bookman Old Style" w:cs="Arial"/>
        </w:rPr>
        <w:t xml:space="preserve"> del </w:t>
      </w:r>
      <w:r w:rsidR="00DA7611">
        <w:rPr>
          <w:rFonts w:ascii="Bookman Old Style" w:hAnsi="Bookman Old Style" w:cs="Arial"/>
        </w:rPr>
        <w:t>07</w:t>
      </w:r>
      <w:r w:rsidRPr="0081376C">
        <w:rPr>
          <w:rFonts w:ascii="Bookman Old Style" w:hAnsi="Bookman Old Style" w:cs="Arial"/>
        </w:rPr>
        <w:t xml:space="preserve"> </w:t>
      </w:r>
      <w:r w:rsidRPr="00594E59">
        <w:rPr>
          <w:rFonts w:ascii="Bookman Old Style" w:hAnsi="Bookman Old Style" w:cs="Arial"/>
        </w:rPr>
        <w:t xml:space="preserve">de </w:t>
      </w:r>
      <w:r>
        <w:rPr>
          <w:rFonts w:ascii="Bookman Old Style" w:hAnsi="Bookman Old Style" w:cs="Arial"/>
        </w:rPr>
        <w:t>octubre</w:t>
      </w:r>
      <w:r w:rsidRPr="00594E59">
        <w:rPr>
          <w:rFonts w:ascii="Bookman Old Style" w:hAnsi="Bookman Old Style" w:cs="Arial"/>
        </w:rPr>
        <w:t xml:space="preserve"> de 20</w:t>
      </w:r>
      <w:r>
        <w:rPr>
          <w:rFonts w:ascii="Bookman Old Style" w:hAnsi="Bookman Old Style" w:cs="Arial"/>
        </w:rPr>
        <w:t>21</w:t>
      </w:r>
      <w:r w:rsidRPr="00594E59">
        <w:rPr>
          <w:rFonts w:ascii="Bookman Old Style" w:hAnsi="Bookman Old Style" w:cs="Arial"/>
        </w:rPr>
        <w:t xml:space="preserve">, </w:t>
      </w:r>
      <w:r w:rsidRPr="00FE55BD">
        <w:rPr>
          <w:rFonts w:ascii="Bookman Old Style" w:hAnsi="Bookman Old Style" w:cs="Arial"/>
        </w:rPr>
        <w:t>aprobó expedir la presente</w:t>
      </w:r>
      <w:r>
        <w:rPr>
          <w:rFonts w:ascii="Bookman Old Style" w:hAnsi="Bookman Old Style" w:cs="Arial"/>
        </w:rPr>
        <w:t xml:space="preserve"> resolución.</w:t>
      </w:r>
    </w:p>
    <w:p w14:paraId="48462888" w14:textId="77777777" w:rsidR="0086405F" w:rsidRDefault="0086405F" w:rsidP="000A0E2C">
      <w:pPr>
        <w:jc w:val="center"/>
        <w:rPr>
          <w:rFonts w:ascii="Bookman Old Style" w:hAnsi="Bookman Old Style"/>
          <w:b/>
        </w:rPr>
      </w:pPr>
    </w:p>
    <w:p w14:paraId="6638F42B" w14:textId="691791ED" w:rsidR="00C5402D" w:rsidRDefault="00C5402D" w:rsidP="000A0E2C">
      <w:pPr>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C7AB7A5" w14:textId="1E3EF3B9" w:rsidR="00C409E5" w:rsidRDefault="00C409E5" w:rsidP="000A0E2C">
      <w:pPr>
        <w:jc w:val="center"/>
        <w:rPr>
          <w:rFonts w:ascii="Bookman Old Style" w:hAnsi="Bookman Old Style"/>
          <w:b/>
          <w:spacing w:val="40"/>
        </w:rPr>
      </w:pPr>
    </w:p>
    <w:p w14:paraId="1B1F2094" w14:textId="68F53736" w:rsidR="0093456B" w:rsidRDefault="0093456B" w:rsidP="00DA7611">
      <w:pPr>
        <w:ind w:left="0"/>
        <w:jc w:val="both"/>
        <w:rPr>
          <w:rFonts w:ascii="Bookman Old Style" w:hAnsi="Bookman Old Style" w:cs="Arial"/>
          <w:bCs/>
        </w:rPr>
      </w:pPr>
      <w:r w:rsidRPr="0093456B">
        <w:rPr>
          <w:rFonts w:ascii="Bookman Old Style" w:hAnsi="Bookman Old Style" w:cs="Arial"/>
          <w:b/>
        </w:rPr>
        <w:t>ARTÍCULO 1.</w:t>
      </w:r>
      <w:r w:rsidR="00297A12">
        <w:rPr>
          <w:rFonts w:ascii="Bookman Old Style" w:hAnsi="Bookman Old Style" w:cs="Arial"/>
          <w:b/>
        </w:rPr>
        <w:t xml:space="preserve"> TARIFA DE CONTRIBUCIÓN ESPECIAL 2021.</w:t>
      </w:r>
      <w:r w:rsidRPr="0093456B">
        <w:rPr>
          <w:rFonts w:ascii="Bookman Old Style" w:hAnsi="Bookman Old Style" w:cs="Arial"/>
          <w:bCs/>
        </w:rPr>
        <w:t xml:space="preserve"> Señalar el porcentaje de la contribución especial que deben pagar las entidades sometidas a la regulación de la Comisión de Regulación de Energía y Gas en el año 20</w:t>
      </w:r>
      <w:r>
        <w:rPr>
          <w:rFonts w:ascii="Bookman Old Style" w:hAnsi="Bookman Old Style" w:cs="Arial"/>
          <w:bCs/>
        </w:rPr>
        <w:t>21</w:t>
      </w:r>
      <w:r w:rsidR="00050EF7">
        <w:rPr>
          <w:rFonts w:ascii="Bookman Old Style" w:hAnsi="Bookman Old Style" w:cs="Arial"/>
          <w:bCs/>
        </w:rPr>
        <w:t>,</w:t>
      </w:r>
      <w:r w:rsidRPr="0093456B">
        <w:rPr>
          <w:rFonts w:ascii="Bookman Old Style" w:hAnsi="Bookman Old Style" w:cs="Arial"/>
          <w:bCs/>
        </w:rPr>
        <w:t xml:space="preserve"> de conformidad con las reglas establecidas en la Ley 142 de 1994, el cual es del 1% del valor de los gastos de </w:t>
      </w:r>
      <w:r>
        <w:rPr>
          <w:rFonts w:ascii="Bookman Old Style" w:hAnsi="Bookman Old Style" w:cs="Arial"/>
          <w:bCs/>
        </w:rPr>
        <w:t>funcionamiento</w:t>
      </w:r>
      <w:r w:rsidRPr="0093456B">
        <w:rPr>
          <w:rFonts w:ascii="Bookman Old Style" w:hAnsi="Bookman Old Style" w:cs="Arial"/>
          <w:bCs/>
        </w:rPr>
        <w:t xml:space="preserve"> de la entidad sujeta a regulación, con exclusión de los factores establecidos en la ley y en la jurisprudencia del Consejo de Estado</w:t>
      </w:r>
      <w:r w:rsidR="00D9300F">
        <w:rPr>
          <w:rFonts w:ascii="Bookman Old Style" w:hAnsi="Bookman Old Style" w:cs="Arial"/>
          <w:bCs/>
        </w:rPr>
        <w:t>;</w:t>
      </w:r>
      <w:r w:rsidRPr="0093456B">
        <w:rPr>
          <w:rFonts w:ascii="Bookman Old Style" w:hAnsi="Bookman Old Style" w:cs="Arial"/>
          <w:bCs/>
        </w:rPr>
        <w:t xml:space="preserve"> así como </w:t>
      </w:r>
      <w:r w:rsidR="00D9300F">
        <w:rPr>
          <w:rFonts w:ascii="Bookman Old Style" w:hAnsi="Bookman Old Style" w:cs="Arial"/>
          <w:bCs/>
        </w:rPr>
        <w:t>la adición de</w:t>
      </w:r>
      <w:r w:rsidRPr="0093456B">
        <w:rPr>
          <w:rFonts w:ascii="Bookman Old Style" w:hAnsi="Bookman Old Style" w:cs="Arial"/>
          <w:bCs/>
        </w:rPr>
        <w:t xml:space="preserve"> los gastos operativos que sean </w:t>
      </w:r>
      <w:r w:rsidR="00145932">
        <w:rPr>
          <w:rFonts w:ascii="Bookman Old Style" w:hAnsi="Bookman Old Style" w:cs="Arial"/>
          <w:bCs/>
        </w:rPr>
        <w:t>indispensables</w:t>
      </w:r>
      <w:r w:rsidRPr="0093456B">
        <w:rPr>
          <w:rFonts w:ascii="Bookman Old Style" w:hAnsi="Bookman Old Style" w:cs="Arial"/>
          <w:bCs/>
        </w:rPr>
        <w:t xml:space="preserve"> para cubrir los faltantes presupuestales de la CREG, permitidos en el Parágrafo 2 del artículo 85 de la Ley 142 de 1994.</w:t>
      </w:r>
    </w:p>
    <w:p w14:paraId="456F223E" w14:textId="53817538" w:rsidR="00D9300F" w:rsidRDefault="00D9300F" w:rsidP="0093456B">
      <w:pPr>
        <w:ind w:left="0"/>
        <w:rPr>
          <w:rFonts w:ascii="Bookman Old Style" w:hAnsi="Bookman Old Style" w:cs="Arial"/>
          <w:bCs/>
        </w:rPr>
      </w:pPr>
    </w:p>
    <w:p w14:paraId="287AD73D" w14:textId="11AE51B4" w:rsidR="00D9300F" w:rsidRDefault="00D54821" w:rsidP="00DA7611">
      <w:pPr>
        <w:ind w:left="0"/>
        <w:jc w:val="both"/>
        <w:rPr>
          <w:rFonts w:ascii="Bookman Old Style" w:hAnsi="Bookman Old Style" w:cs="Arial"/>
          <w:bCs/>
        </w:rPr>
      </w:pPr>
      <w:r>
        <w:rPr>
          <w:rFonts w:ascii="Bookman Old Style" w:hAnsi="Bookman Old Style" w:cs="Arial"/>
          <w:b/>
        </w:rPr>
        <w:t xml:space="preserve">PARÁGRAFO. </w:t>
      </w:r>
      <w:r w:rsidR="00D9300F" w:rsidRPr="00D9300F">
        <w:rPr>
          <w:rFonts w:ascii="Bookman Old Style" w:hAnsi="Bookman Old Style" w:cs="Arial"/>
          <w:bCs/>
        </w:rPr>
        <w:t>Para las empresas reguladas que se encuentren en proceso de liquidación, cancelación, fusión, escisión, toma de posesión para administrar con fines liquidatarios, y que hubieren operado al menos un día durante la vigencia 20</w:t>
      </w:r>
      <w:r w:rsidR="00716079">
        <w:rPr>
          <w:rFonts w:ascii="Bookman Old Style" w:hAnsi="Bookman Old Style" w:cs="Arial"/>
          <w:bCs/>
        </w:rPr>
        <w:t>21</w:t>
      </w:r>
      <w:r w:rsidR="00D9300F" w:rsidRPr="00D9300F">
        <w:rPr>
          <w:rFonts w:ascii="Bookman Old Style" w:hAnsi="Bookman Old Style" w:cs="Arial"/>
          <w:bCs/>
        </w:rPr>
        <w:t>, se liquidará la contribución especial de regulación con base en la información financiera de 20</w:t>
      </w:r>
      <w:r w:rsidR="00716079">
        <w:rPr>
          <w:rFonts w:ascii="Bookman Old Style" w:hAnsi="Bookman Old Style" w:cs="Arial"/>
          <w:bCs/>
        </w:rPr>
        <w:t>20</w:t>
      </w:r>
      <w:r w:rsidR="00D9300F" w:rsidRPr="00D9300F">
        <w:rPr>
          <w:rFonts w:ascii="Bookman Old Style" w:hAnsi="Bookman Old Style" w:cs="Arial"/>
          <w:bCs/>
        </w:rPr>
        <w:t xml:space="preserve"> reportada en el SUI de la SSPD</w:t>
      </w:r>
      <w:r w:rsidR="00050EF7">
        <w:rPr>
          <w:rFonts w:ascii="Bookman Old Style" w:hAnsi="Bookman Old Style" w:cs="Arial"/>
          <w:bCs/>
        </w:rPr>
        <w:t>. P</w:t>
      </w:r>
      <w:r w:rsidR="00D9300F" w:rsidRPr="00D9300F">
        <w:rPr>
          <w:rFonts w:ascii="Bookman Old Style" w:hAnsi="Bookman Old Style" w:cs="Arial"/>
          <w:bCs/>
        </w:rPr>
        <w:t xml:space="preserve">or </w:t>
      </w:r>
      <w:r w:rsidR="00716079">
        <w:rPr>
          <w:rFonts w:ascii="Bookman Old Style" w:hAnsi="Bookman Old Style" w:cs="Arial"/>
          <w:bCs/>
        </w:rPr>
        <w:t xml:space="preserve">tanto, </w:t>
      </w:r>
      <w:r w:rsidR="00D9300F" w:rsidRPr="00D9300F">
        <w:rPr>
          <w:rFonts w:ascii="Bookman Old Style" w:hAnsi="Bookman Old Style" w:cs="Arial"/>
          <w:bCs/>
        </w:rPr>
        <w:t xml:space="preserve">las empresas reguladas deben provisionar y pagar proporcionalmente a la fracción de año </w:t>
      </w:r>
      <w:r w:rsidR="00716079">
        <w:rPr>
          <w:rFonts w:ascii="Bookman Old Style" w:hAnsi="Bookman Old Style" w:cs="Arial"/>
          <w:bCs/>
        </w:rPr>
        <w:t xml:space="preserve">2021 </w:t>
      </w:r>
      <w:r w:rsidR="00D9300F" w:rsidRPr="00D9300F">
        <w:rPr>
          <w:rFonts w:ascii="Bookman Old Style" w:hAnsi="Bookman Old Style" w:cs="Arial"/>
          <w:bCs/>
        </w:rPr>
        <w:t>que hubiere prestado el servicio público</w:t>
      </w:r>
      <w:r w:rsidR="00716079">
        <w:rPr>
          <w:rFonts w:ascii="Bookman Old Style" w:hAnsi="Bookman Old Style" w:cs="Arial"/>
          <w:bCs/>
        </w:rPr>
        <w:t>.</w:t>
      </w:r>
    </w:p>
    <w:p w14:paraId="78341F41" w14:textId="02A00098" w:rsidR="00D54821" w:rsidRDefault="00D54821" w:rsidP="0093456B">
      <w:pPr>
        <w:ind w:left="0"/>
        <w:rPr>
          <w:rFonts w:ascii="Bookman Old Style" w:hAnsi="Bookman Old Style" w:cs="Arial"/>
          <w:bCs/>
        </w:rPr>
      </w:pPr>
    </w:p>
    <w:p w14:paraId="390BB0AF" w14:textId="5675D397" w:rsidR="0086405F" w:rsidRDefault="00D54821" w:rsidP="00D54821">
      <w:pPr>
        <w:ind w:left="0"/>
        <w:jc w:val="both"/>
        <w:rPr>
          <w:rFonts w:ascii="Bookman Old Style" w:hAnsi="Bookman Old Style" w:cs="Arial"/>
        </w:rPr>
      </w:pPr>
      <w:r>
        <w:rPr>
          <w:rFonts w:ascii="Bookman Old Style" w:hAnsi="Bookman Old Style" w:cs="Arial"/>
          <w:b/>
        </w:rPr>
        <w:t xml:space="preserve">ARTÍCULO 2. USO DEL PARÁGRAFO 2° DEL ARTÍCULO 85 DE LA LEY 142 DE 1994. </w:t>
      </w:r>
      <w:r>
        <w:rPr>
          <w:rFonts w:ascii="Bookman Old Style" w:hAnsi="Bookman Old Style" w:cs="Arial"/>
        </w:rPr>
        <w:t>A</w:t>
      </w:r>
      <w:r w:rsidRPr="00733B4E">
        <w:rPr>
          <w:rFonts w:ascii="Bookman Old Style" w:hAnsi="Bookman Old Style" w:cs="Arial"/>
        </w:rPr>
        <w:t xml:space="preserve">l conformar la base gravable para liquidar la contribución especial </w:t>
      </w:r>
      <w:r>
        <w:rPr>
          <w:rFonts w:ascii="Bookman Old Style" w:hAnsi="Bookman Old Style" w:cs="Arial"/>
        </w:rPr>
        <w:t xml:space="preserve">2021 </w:t>
      </w:r>
      <w:r w:rsidRPr="00733B4E">
        <w:rPr>
          <w:rFonts w:ascii="Bookman Old Style" w:hAnsi="Bookman Old Style" w:cs="Arial"/>
        </w:rPr>
        <w:t xml:space="preserve">y al aplicar la tarifa del 1% como máxima permitida a los </w:t>
      </w:r>
      <w:r>
        <w:rPr>
          <w:rFonts w:ascii="Bookman Old Style" w:hAnsi="Bookman Old Style" w:cs="Arial"/>
        </w:rPr>
        <w:t>g</w:t>
      </w:r>
      <w:r w:rsidRPr="00733B4E">
        <w:rPr>
          <w:rFonts w:ascii="Bookman Old Style" w:hAnsi="Bookman Old Style" w:cs="Arial"/>
        </w:rPr>
        <w:t xml:space="preserve">astos </w:t>
      </w:r>
      <w:r>
        <w:rPr>
          <w:rFonts w:ascii="Bookman Old Style" w:hAnsi="Bookman Old Style" w:cs="Arial"/>
        </w:rPr>
        <w:t>de funcionamiento</w:t>
      </w:r>
      <w:r w:rsidRPr="00733B4E">
        <w:rPr>
          <w:rFonts w:ascii="Bookman Old Style" w:hAnsi="Bookman Old Style" w:cs="Arial"/>
        </w:rPr>
        <w:t xml:space="preserve"> (menos </w:t>
      </w:r>
      <w:r>
        <w:rPr>
          <w:rFonts w:ascii="Bookman Old Style" w:hAnsi="Bookman Old Style" w:cs="Arial"/>
        </w:rPr>
        <w:t xml:space="preserve">las anteriores </w:t>
      </w:r>
      <w:r w:rsidRPr="00733B4E">
        <w:rPr>
          <w:rFonts w:ascii="Bookman Old Style" w:hAnsi="Bookman Old Style" w:cs="Arial"/>
        </w:rPr>
        <w:t>exclusiones</w:t>
      </w:r>
      <w:r>
        <w:rPr>
          <w:rFonts w:ascii="Bookman Old Style" w:hAnsi="Bookman Old Style" w:cs="Arial"/>
        </w:rPr>
        <w:t xml:space="preserve"> listadas</w:t>
      </w:r>
      <w:r w:rsidR="00C409E5">
        <w:rPr>
          <w:rFonts w:ascii="Bookman Old Style" w:hAnsi="Bookman Old Style" w:cs="Arial"/>
        </w:rPr>
        <w:t xml:space="preserve"> en la parte considerativa</w:t>
      </w:r>
      <w:r w:rsidRPr="00733B4E">
        <w:rPr>
          <w:rFonts w:ascii="Bookman Old Style" w:hAnsi="Bookman Old Style" w:cs="Arial"/>
        </w:rPr>
        <w:t xml:space="preserve">), se recaudaría el valor de </w:t>
      </w:r>
      <w:r>
        <w:rPr>
          <w:rFonts w:ascii="Bookman Old Style" w:hAnsi="Bookman Old Style" w:cs="Arial"/>
        </w:rPr>
        <w:t xml:space="preserve">$32,029,488,583, </w:t>
      </w:r>
      <w:r w:rsidRPr="00733B4E">
        <w:rPr>
          <w:rFonts w:ascii="Bookman Old Style" w:hAnsi="Bookman Old Style" w:cs="Arial"/>
        </w:rPr>
        <w:t xml:space="preserve">monto </w:t>
      </w:r>
      <w:r>
        <w:rPr>
          <w:rFonts w:ascii="Bookman Old Style" w:hAnsi="Bookman Old Style" w:cs="Arial"/>
        </w:rPr>
        <w:t xml:space="preserve">que es </w:t>
      </w:r>
      <w:r w:rsidRPr="00733B4E">
        <w:rPr>
          <w:rFonts w:ascii="Bookman Old Style" w:hAnsi="Bookman Old Style" w:cs="Arial"/>
        </w:rPr>
        <w:t xml:space="preserve">inferior al </w:t>
      </w:r>
      <w:r>
        <w:rPr>
          <w:rFonts w:ascii="Bookman Old Style" w:hAnsi="Bookman Old Style" w:cs="Arial"/>
        </w:rPr>
        <w:t xml:space="preserve">valor neto </w:t>
      </w:r>
      <w:r w:rsidRPr="00733B4E">
        <w:rPr>
          <w:rFonts w:ascii="Bookman Old Style" w:hAnsi="Bookman Old Style" w:cs="Arial"/>
        </w:rPr>
        <w:t xml:space="preserve">del presupuesto </w:t>
      </w:r>
      <w:r>
        <w:rPr>
          <w:rFonts w:ascii="Bookman Old Style" w:hAnsi="Bookman Old Style" w:cs="Arial"/>
        </w:rPr>
        <w:t xml:space="preserve">base de la contribución especial 2021 </w:t>
      </w:r>
      <w:r w:rsidRPr="00733B4E">
        <w:rPr>
          <w:rFonts w:ascii="Bookman Old Style" w:hAnsi="Bookman Old Style" w:cs="Arial"/>
        </w:rPr>
        <w:t xml:space="preserve">por </w:t>
      </w:r>
      <w:r>
        <w:rPr>
          <w:rFonts w:ascii="Bookman Old Style" w:hAnsi="Bookman Old Style" w:cs="Arial"/>
        </w:rPr>
        <w:t>valor de</w:t>
      </w:r>
      <w:r w:rsidRPr="00733B4E">
        <w:rPr>
          <w:rFonts w:ascii="Bookman Old Style" w:hAnsi="Bookman Old Style" w:cs="Arial"/>
        </w:rPr>
        <w:t xml:space="preserve"> $</w:t>
      </w:r>
      <w:r>
        <w:rPr>
          <w:rFonts w:ascii="Bookman Old Style" w:hAnsi="Bookman Old Style" w:cs="Arial"/>
        </w:rPr>
        <w:t>32</w:t>
      </w:r>
      <w:r w:rsidRPr="00733B4E">
        <w:rPr>
          <w:rFonts w:ascii="Bookman Old Style" w:hAnsi="Bookman Old Style" w:cs="Arial"/>
        </w:rPr>
        <w:t>,</w:t>
      </w:r>
      <w:r>
        <w:rPr>
          <w:rFonts w:ascii="Bookman Old Style" w:hAnsi="Bookman Old Style" w:cs="Arial"/>
        </w:rPr>
        <w:t>505</w:t>
      </w:r>
      <w:r w:rsidRPr="00733B4E">
        <w:rPr>
          <w:rFonts w:ascii="Bookman Old Style" w:hAnsi="Bookman Old Style" w:cs="Arial"/>
        </w:rPr>
        <w:t>,</w:t>
      </w:r>
      <w:r>
        <w:rPr>
          <w:rFonts w:ascii="Bookman Old Style" w:hAnsi="Bookman Old Style" w:cs="Arial"/>
        </w:rPr>
        <w:t>742</w:t>
      </w:r>
      <w:r w:rsidRPr="00733B4E">
        <w:rPr>
          <w:rFonts w:ascii="Bookman Old Style" w:hAnsi="Bookman Old Style" w:cs="Arial"/>
        </w:rPr>
        <w:t>,</w:t>
      </w:r>
      <w:r>
        <w:rPr>
          <w:rFonts w:ascii="Bookman Old Style" w:hAnsi="Bookman Old Style" w:cs="Arial"/>
        </w:rPr>
        <w:t>932.00</w:t>
      </w:r>
      <w:r w:rsidR="000207D6">
        <w:rPr>
          <w:rFonts w:ascii="Bookman Old Style" w:hAnsi="Bookman Old Style" w:cs="Arial"/>
        </w:rPr>
        <w:t>.</w:t>
      </w:r>
    </w:p>
    <w:p w14:paraId="014334F5" w14:textId="77777777" w:rsidR="00DA7611" w:rsidRDefault="00DA7611" w:rsidP="00D54821">
      <w:pPr>
        <w:ind w:left="0"/>
        <w:jc w:val="both"/>
        <w:rPr>
          <w:rFonts w:ascii="Bookman Old Style" w:hAnsi="Bookman Old Style" w:cs="Arial"/>
        </w:rPr>
      </w:pPr>
    </w:p>
    <w:p w14:paraId="2F790285" w14:textId="6DBA695D" w:rsidR="00D54821" w:rsidRDefault="0086405F" w:rsidP="0086405F">
      <w:pPr>
        <w:ind w:left="0"/>
        <w:jc w:val="both"/>
        <w:rPr>
          <w:rFonts w:ascii="Bookman Old Style" w:hAnsi="Bookman Old Style" w:cs="Arial"/>
        </w:rPr>
      </w:pPr>
      <w:r w:rsidRPr="0086405F">
        <w:rPr>
          <w:rFonts w:ascii="Bookman Old Style" w:hAnsi="Bookman Old Style" w:cs="Arial"/>
        </w:rPr>
        <w:t>Al ser mayor el valor del presupuesto</w:t>
      </w:r>
      <w:r>
        <w:rPr>
          <w:rFonts w:ascii="Bookman Old Style" w:hAnsi="Bookman Old Style" w:cs="Arial"/>
        </w:rPr>
        <w:t xml:space="preserve"> neto base de la contribución especial 2021</w:t>
      </w:r>
      <w:r w:rsidRPr="0086405F">
        <w:rPr>
          <w:rFonts w:ascii="Bookman Old Style" w:hAnsi="Bookman Old Style" w:cs="Arial"/>
        </w:rPr>
        <w:t xml:space="preserve"> que el valor obtenido al aplicar la tarifa máxima </w:t>
      </w:r>
      <w:r>
        <w:rPr>
          <w:rFonts w:ascii="Bookman Old Style" w:hAnsi="Bookman Old Style" w:cs="Arial"/>
        </w:rPr>
        <w:t xml:space="preserve">del 1% </w:t>
      </w:r>
      <w:r w:rsidRPr="0086405F">
        <w:rPr>
          <w:rFonts w:ascii="Bookman Old Style" w:hAnsi="Bookman Old Style" w:cs="Arial"/>
        </w:rPr>
        <w:t xml:space="preserve">a la base gravable </w:t>
      </w:r>
      <w:r>
        <w:rPr>
          <w:rFonts w:ascii="Bookman Old Style" w:hAnsi="Bookman Old Style" w:cs="Arial"/>
        </w:rPr>
        <w:t>g</w:t>
      </w:r>
      <w:r w:rsidRPr="0086405F">
        <w:rPr>
          <w:rFonts w:ascii="Bookman Old Style" w:hAnsi="Bookman Old Style" w:cs="Arial"/>
        </w:rPr>
        <w:t>astos de</w:t>
      </w:r>
      <w:r>
        <w:rPr>
          <w:rFonts w:ascii="Bookman Old Style" w:hAnsi="Bookman Old Style" w:cs="Arial"/>
        </w:rPr>
        <w:t xml:space="preserve"> f</w:t>
      </w:r>
      <w:r w:rsidRPr="0086405F">
        <w:rPr>
          <w:rFonts w:ascii="Bookman Old Style" w:hAnsi="Bookman Old Style" w:cs="Arial"/>
        </w:rPr>
        <w:t>uncionamiento: Gastos Administrativos (menos exclusiones), se concluye que existe un</w:t>
      </w:r>
      <w:r>
        <w:rPr>
          <w:rFonts w:ascii="Bookman Old Style" w:hAnsi="Bookman Old Style" w:cs="Arial"/>
        </w:rPr>
        <w:t xml:space="preserve"> </w:t>
      </w:r>
      <w:r w:rsidRPr="0086405F">
        <w:rPr>
          <w:rFonts w:ascii="Bookman Old Style" w:hAnsi="Bookman Old Style" w:cs="Arial"/>
        </w:rPr>
        <w:t>faltante presupuestal.</w:t>
      </w:r>
      <w:r w:rsidR="000207D6">
        <w:rPr>
          <w:rFonts w:ascii="Bookman Old Style" w:hAnsi="Bookman Old Style" w:cs="Arial"/>
        </w:rPr>
        <w:t xml:space="preserve"> </w:t>
      </w:r>
      <w:r>
        <w:rPr>
          <w:rFonts w:ascii="Bookman Old Style" w:hAnsi="Bookman Old Style" w:cs="Arial"/>
        </w:rPr>
        <w:t xml:space="preserve">Este </w:t>
      </w:r>
      <w:r w:rsidR="00D54821" w:rsidRPr="00733B4E">
        <w:rPr>
          <w:rFonts w:ascii="Bookman Old Style" w:hAnsi="Bookman Old Style" w:cs="Arial"/>
        </w:rPr>
        <w:t xml:space="preserve">faltante presupuestal </w:t>
      </w:r>
      <w:r>
        <w:rPr>
          <w:rFonts w:ascii="Bookman Old Style" w:hAnsi="Bookman Old Style" w:cs="Arial"/>
        </w:rPr>
        <w:t xml:space="preserve">asciende a </w:t>
      </w:r>
      <w:r w:rsidR="00C409E5">
        <w:rPr>
          <w:rFonts w:ascii="Bookman Old Style" w:hAnsi="Bookman Old Style" w:cs="Arial"/>
        </w:rPr>
        <w:t>$</w:t>
      </w:r>
      <w:r w:rsidR="00D54821">
        <w:rPr>
          <w:rFonts w:ascii="Bookman Old Style" w:hAnsi="Bookman Old Style" w:cs="Arial"/>
        </w:rPr>
        <w:t>476,254,349</w:t>
      </w:r>
      <w:r w:rsidR="00D54821" w:rsidRPr="00733B4E">
        <w:rPr>
          <w:rFonts w:ascii="Bookman Old Style" w:hAnsi="Bookman Old Style" w:cs="Arial"/>
        </w:rPr>
        <w:t xml:space="preserve">, el cual es </w:t>
      </w:r>
      <w:r w:rsidR="00D54821">
        <w:rPr>
          <w:rFonts w:ascii="Bookman Old Style" w:hAnsi="Bookman Old Style" w:cs="Arial"/>
        </w:rPr>
        <w:t>indispensable</w:t>
      </w:r>
      <w:r w:rsidR="00D54821" w:rsidRPr="00733B4E">
        <w:rPr>
          <w:rFonts w:ascii="Bookman Old Style" w:hAnsi="Bookman Old Style" w:cs="Arial"/>
        </w:rPr>
        <w:t xml:space="preserve"> cubrir con los conceptos establecidos en el parágrafo 2</w:t>
      </w:r>
      <w:r w:rsidR="00D54821">
        <w:rPr>
          <w:rFonts w:ascii="Bookman Old Style" w:hAnsi="Bookman Old Style" w:cs="Arial"/>
        </w:rPr>
        <w:t>°</w:t>
      </w:r>
      <w:r w:rsidR="00D54821" w:rsidRPr="00733B4E">
        <w:rPr>
          <w:rFonts w:ascii="Bookman Old Style" w:hAnsi="Bookman Old Style" w:cs="Arial"/>
        </w:rPr>
        <w:t xml:space="preserve"> del artículo 85 de la Ley 142 de 1994, con las previsiones establecidas </w:t>
      </w:r>
      <w:r w:rsidR="00BC4A8E">
        <w:rPr>
          <w:rFonts w:ascii="Bookman Old Style" w:hAnsi="Bookman Old Style" w:cs="Arial"/>
        </w:rPr>
        <w:t xml:space="preserve">en la ley y la parte considerativa, </w:t>
      </w:r>
      <w:r w:rsidR="00D54821" w:rsidRPr="00733B4E">
        <w:rPr>
          <w:rFonts w:ascii="Bookman Old Style" w:hAnsi="Bookman Old Style" w:cs="Arial"/>
        </w:rPr>
        <w:t xml:space="preserve">y serán adicionadas en la proporción en que sean indispensables para cubrir el faltante presupuestal de la </w:t>
      </w:r>
      <w:r w:rsidR="002F31C8">
        <w:rPr>
          <w:rFonts w:ascii="Bookman Old Style" w:hAnsi="Bookman Old Style" w:cs="Arial"/>
        </w:rPr>
        <w:t>CREG</w:t>
      </w:r>
      <w:r w:rsidR="00D54821" w:rsidRPr="00733B4E">
        <w:rPr>
          <w:rFonts w:ascii="Bookman Old Style" w:hAnsi="Bookman Old Style" w:cs="Arial"/>
        </w:rPr>
        <w:t>.</w:t>
      </w:r>
      <w:r w:rsidR="007B0DC1">
        <w:rPr>
          <w:rFonts w:ascii="Bookman Old Style" w:hAnsi="Bookman Old Style" w:cs="Arial"/>
        </w:rPr>
        <w:t xml:space="preserve"> </w:t>
      </w:r>
      <w:r w:rsidR="00D54821">
        <w:rPr>
          <w:rFonts w:ascii="Bookman Old Style" w:hAnsi="Bookman Old Style" w:cs="Arial"/>
        </w:rPr>
        <w:t xml:space="preserve">Del total de </w:t>
      </w:r>
      <w:r w:rsidR="00D54821" w:rsidRPr="00733B4E">
        <w:rPr>
          <w:rFonts w:ascii="Bookman Old Style" w:hAnsi="Bookman Old Style" w:cs="Arial"/>
        </w:rPr>
        <w:t xml:space="preserve">gastos operativos </w:t>
      </w:r>
      <w:r w:rsidR="00D54821">
        <w:rPr>
          <w:rFonts w:ascii="Bookman Old Style" w:hAnsi="Bookman Old Style" w:cs="Arial"/>
        </w:rPr>
        <w:t xml:space="preserve">por </w:t>
      </w:r>
      <w:r w:rsidR="00D54821" w:rsidRPr="00733B4E">
        <w:rPr>
          <w:rFonts w:ascii="Bookman Old Style" w:hAnsi="Bookman Old Style" w:cs="Arial"/>
        </w:rPr>
        <w:t>$</w:t>
      </w:r>
      <w:r w:rsidR="00D54821">
        <w:rPr>
          <w:rFonts w:ascii="Bookman Old Style" w:hAnsi="Bookman Old Style" w:cs="Arial"/>
        </w:rPr>
        <w:t>8</w:t>
      </w:r>
      <w:r w:rsidR="00D54821" w:rsidRPr="00733B4E">
        <w:rPr>
          <w:rFonts w:ascii="Bookman Old Style" w:hAnsi="Bookman Old Style" w:cs="Arial"/>
        </w:rPr>
        <w:t>,</w:t>
      </w:r>
      <w:r w:rsidR="00D54821">
        <w:rPr>
          <w:rFonts w:ascii="Bookman Old Style" w:hAnsi="Bookman Old Style" w:cs="Arial"/>
        </w:rPr>
        <w:t>734</w:t>
      </w:r>
      <w:r w:rsidR="00D54821" w:rsidRPr="00733B4E">
        <w:rPr>
          <w:rFonts w:ascii="Bookman Old Style" w:hAnsi="Bookman Old Style" w:cs="Arial"/>
        </w:rPr>
        <w:t>,</w:t>
      </w:r>
      <w:r w:rsidR="00D54821">
        <w:rPr>
          <w:rFonts w:ascii="Bookman Old Style" w:hAnsi="Bookman Old Style" w:cs="Arial"/>
        </w:rPr>
        <w:t>712</w:t>
      </w:r>
      <w:r w:rsidR="00D54821" w:rsidRPr="00733B4E">
        <w:rPr>
          <w:rFonts w:ascii="Bookman Old Style" w:hAnsi="Bookman Old Style" w:cs="Arial"/>
        </w:rPr>
        <w:t>,</w:t>
      </w:r>
      <w:r w:rsidR="00D54821">
        <w:rPr>
          <w:rFonts w:ascii="Bookman Old Style" w:hAnsi="Bookman Old Style" w:cs="Arial"/>
        </w:rPr>
        <w:t>243</w:t>
      </w:r>
      <w:r w:rsidR="00D54821" w:rsidRPr="00733B4E">
        <w:rPr>
          <w:rFonts w:ascii="Bookman Old Style" w:hAnsi="Bookman Old Style" w:cs="Arial"/>
        </w:rPr>
        <w:t>,</w:t>
      </w:r>
      <w:r w:rsidR="00D54821">
        <w:rPr>
          <w:rFonts w:ascii="Bookman Old Style" w:hAnsi="Bookman Old Style" w:cs="Arial"/>
        </w:rPr>
        <w:t xml:space="preserve">135 se </w:t>
      </w:r>
      <w:r>
        <w:rPr>
          <w:rFonts w:ascii="Bookman Old Style" w:hAnsi="Bookman Old Style" w:cs="Arial"/>
        </w:rPr>
        <w:t>tomó</w:t>
      </w:r>
      <w:r w:rsidR="00D54821">
        <w:rPr>
          <w:rFonts w:ascii="Bookman Old Style" w:hAnsi="Bookman Old Style" w:cs="Arial"/>
        </w:rPr>
        <w:t xml:space="preserve"> </w:t>
      </w:r>
      <w:r w:rsidR="00D54821">
        <w:rPr>
          <w:rFonts w:ascii="Bookman Old Style" w:hAnsi="Bookman Old Style" w:cs="Arial"/>
        </w:rPr>
        <w:lastRenderedPageBreak/>
        <w:t>únicamente $476,254,349, e</w:t>
      </w:r>
      <w:r>
        <w:rPr>
          <w:rFonts w:ascii="Bookman Old Style" w:hAnsi="Bookman Old Style" w:cs="Arial"/>
        </w:rPr>
        <w:t xml:space="preserve">s decir, </w:t>
      </w:r>
      <w:r w:rsidR="00D54821">
        <w:rPr>
          <w:rFonts w:ascii="Bookman Old Style" w:hAnsi="Bookman Old Style" w:cs="Arial"/>
        </w:rPr>
        <w:t xml:space="preserve">una </w:t>
      </w:r>
      <w:r w:rsidR="00D54821" w:rsidRPr="00733B4E">
        <w:rPr>
          <w:rFonts w:ascii="Bookman Old Style" w:hAnsi="Bookman Old Style" w:cs="Arial"/>
        </w:rPr>
        <w:t xml:space="preserve">proporción </w:t>
      </w:r>
      <w:r w:rsidR="00D54821">
        <w:rPr>
          <w:rFonts w:ascii="Bookman Old Style" w:hAnsi="Bookman Old Style" w:cs="Arial"/>
        </w:rPr>
        <w:t xml:space="preserve">de </w:t>
      </w:r>
      <w:r w:rsidR="00D54821" w:rsidRPr="009F6FC8">
        <w:rPr>
          <w:rFonts w:ascii="Bookman Old Style" w:hAnsi="Bookman Old Style" w:cs="Arial"/>
        </w:rPr>
        <w:t>0,0</w:t>
      </w:r>
      <w:r w:rsidR="00D54821">
        <w:rPr>
          <w:rFonts w:ascii="Bookman Old Style" w:hAnsi="Bookman Old Style" w:cs="Arial"/>
        </w:rPr>
        <w:t>05452</w:t>
      </w:r>
      <w:r w:rsidR="00D54821" w:rsidRPr="009F6FC8">
        <w:rPr>
          <w:rFonts w:ascii="Bookman Old Style" w:hAnsi="Bookman Old Style" w:cs="Arial"/>
        </w:rPr>
        <w:t>%</w:t>
      </w:r>
      <w:r w:rsidR="00D54821">
        <w:rPr>
          <w:rFonts w:ascii="Bookman Old Style" w:hAnsi="Bookman Old Style" w:cs="Arial"/>
        </w:rPr>
        <w:t xml:space="preserve">, que </w:t>
      </w:r>
      <w:r>
        <w:rPr>
          <w:rFonts w:ascii="Bookman Old Style" w:hAnsi="Bookman Old Style" w:cs="Arial"/>
        </w:rPr>
        <w:t>es</w:t>
      </w:r>
      <w:r w:rsidR="00D54821">
        <w:rPr>
          <w:rFonts w:ascii="Bookman Old Style" w:hAnsi="Bookman Old Style" w:cs="Arial"/>
        </w:rPr>
        <w:t xml:space="preserve"> lo indispensables </w:t>
      </w:r>
      <w:r w:rsidR="00D54821" w:rsidRPr="00733B4E">
        <w:rPr>
          <w:rFonts w:ascii="Bookman Old Style" w:hAnsi="Bookman Old Style" w:cs="Arial"/>
        </w:rPr>
        <w:t xml:space="preserve">para cubrir el faltante </w:t>
      </w:r>
      <w:r w:rsidR="00D54821">
        <w:rPr>
          <w:rFonts w:ascii="Bookman Old Style" w:hAnsi="Bookman Old Style" w:cs="Arial"/>
        </w:rPr>
        <w:t>presupuestal</w:t>
      </w:r>
      <w:r>
        <w:rPr>
          <w:rFonts w:ascii="Bookman Old Style" w:hAnsi="Bookman Old Style" w:cs="Arial"/>
        </w:rPr>
        <w:t>, con el fin de se</w:t>
      </w:r>
      <w:r w:rsidR="00D54821">
        <w:rPr>
          <w:rFonts w:ascii="Bookman Old Style" w:hAnsi="Bookman Old Style" w:cs="Arial"/>
        </w:rPr>
        <w:t xml:space="preserve">r </w:t>
      </w:r>
      <w:r w:rsidR="00D54821" w:rsidRPr="00733B4E">
        <w:rPr>
          <w:rFonts w:ascii="Bookman Old Style" w:hAnsi="Bookman Old Style" w:cs="Arial"/>
        </w:rPr>
        <w:t>incluid</w:t>
      </w:r>
      <w:r w:rsidR="00D54821">
        <w:rPr>
          <w:rFonts w:ascii="Bookman Old Style" w:hAnsi="Bookman Old Style" w:cs="Arial"/>
        </w:rPr>
        <w:t>os</w:t>
      </w:r>
      <w:r w:rsidR="00D54821" w:rsidRPr="00733B4E">
        <w:rPr>
          <w:rFonts w:ascii="Bookman Old Style" w:hAnsi="Bookman Old Style" w:cs="Arial"/>
        </w:rPr>
        <w:t xml:space="preserve"> en la base gravable de la contribución especial de la vigencia 20</w:t>
      </w:r>
      <w:r w:rsidR="00D54821">
        <w:rPr>
          <w:rFonts w:ascii="Bookman Old Style" w:hAnsi="Bookman Old Style" w:cs="Arial"/>
        </w:rPr>
        <w:t>21</w:t>
      </w:r>
      <w:r w:rsidR="00D54821" w:rsidRPr="00733B4E">
        <w:rPr>
          <w:rFonts w:ascii="Bookman Old Style" w:hAnsi="Bookman Old Style" w:cs="Arial"/>
        </w:rPr>
        <w:t xml:space="preserve">, </w:t>
      </w:r>
      <w:r w:rsidR="00D54821">
        <w:rPr>
          <w:rFonts w:ascii="Bookman Old Style" w:hAnsi="Bookman Old Style" w:cs="Arial"/>
        </w:rPr>
        <w:t>detallado a continuación:</w:t>
      </w:r>
    </w:p>
    <w:p w14:paraId="02A2A06B" w14:textId="77777777" w:rsidR="0086405F" w:rsidRDefault="0086405F" w:rsidP="0086405F">
      <w:pPr>
        <w:ind w:left="0"/>
        <w:jc w:val="both"/>
        <w:rPr>
          <w:rFonts w:ascii="Bookman Old Style" w:hAnsi="Bookman Old Style" w:cs="Arial"/>
        </w:rPr>
      </w:pPr>
    </w:p>
    <w:tbl>
      <w:tblPr>
        <w:tblW w:w="9209" w:type="dxa"/>
        <w:tblCellMar>
          <w:left w:w="70" w:type="dxa"/>
          <w:right w:w="70" w:type="dxa"/>
        </w:tblCellMar>
        <w:tblLook w:val="04A0" w:firstRow="1" w:lastRow="0" w:firstColumn="1" w:lastColumn="0" w:noHBand="0" w:noVBand="1"/>
      </w:tblPr>
      <w:tblGrid>
        <w:gridCol w:w="3020"/>
        <w:gridCol w:w="1880"/>
        <w:gridCol w:w="2183"/>
        <w:gridCol w:w="2126"/>
      </w:tblGrid>
      <w:tr w:rsidR="00D54821" w:rsidRPr="004925A5" w14:paraId="425457EF" w14:textId="77777777" w:rsidTr="007B0DC1">
        <w:trPr>
          <w:trHeight w:val="384"/>
        </w:trPr>
        <w:tc>
          <w:tcPr>
            <w:tcW w:w="30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F7DA70" w14:textId="77777777" w:rsidR="00D54821" w:rsidRPr="004925A5" w:rsidRDefault="00D54821" w:rsidP="00C44FCD">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CONCEPTOS </w:t>
            </w:r>
          </w:p>
        </w:tc>
        <w:tc>
          <w:tcPr>
            <w:tcW w:w="1880" w:type="dxa"/>
            <w:tcBorders>
              <w:top w:val="single" w:sz="4" w:space="0" w:color="auto"/>
              <w:left w:val="nil"/>
              <w:bottom w:val="single" w:sz="4" w:space="0" w:color="auto"/>
              <w:right w:val="single" w:sz="4" w:space="0" w:color="auto"/>
            </w:tcBorders>
            <w:shd w:val="clear" w:color="000000" w:fill="BDD7EE"/>
            <w:vAlign w:val="center"/>
            <w:hideMark/>
          </w:tcPr>
          <w:p w14:paraId="6483FD10" w14:textId="77777777" w:rsidR="00D54821" w:rsidRPr="004925A5" w:rsidRDefault="00D54821" w:rsidP="00C44FCD">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BASE GASTOS DE ADMINISTRACIÓN </w:t>
            </w:r>
          </w:p>
        </w:tc>
        <w:tc>
          <w:tcPr>
            <w:tcW w:w="2183" w:type="dxa"/>
            <w:tcBorders>
              <w:top w:val="single" w:sz="4" w:space="0" w:color="auto"/>
              <w:left w:val="nil"/>
              <w:bottom w:val="single" w:sz="4" w:space="0" w:color="auto"/>
              <w:right w:val="single" w:sz="4" w:space="0" w:color="auto"/>
            </w:tcBorders>
            <w:shd w:val="clear" w:color="000000" w:fill="BDD7EE"/>
            <w:vAlign w:val="center"/>
            <w:hideMark/>
          </w:tcPr>
          <w:p w14:paraId="36902AC0" w14:textId="77777777" w:rsidR="00D54821" w:rsidRPr="004925A5" w:rsidRDefault="00D54821" w:rsidP="00C44FCD">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BASE GASTOS DE OPERACIÓN </w:t>
            </w:r>
          </w:p>
        </w:tc>
        <w:tc>
          <w:tcPr>
            <w:tcW w:w="2126" w:type="dxa"/>
            <w:tcBorders>
              <w:top w:val="single" w:sz="4" w:space="0" w:color="auto"/>
              <w:left w:val="nil"/>
              <w:bottom w:val="single" w:sz="4" w:space="0" w:color="auto"/>
              <w:right w:val="single" w:sz="4" w:space="0" w:color="auto"/>
            </w:tcBorders>
            <w:shd w:val="clear" w:color="000000" w:fill="BDD7EE"/>
            <w:noWrap/>
            <w:vAlign w:val="center"/>
            <w:hideMark/>
          </w:tcPr>
          <w:p w14:paraId="53C4DCB8" w14:textId="77777777" w:rsidR="00D54821" w:rsidRPr="004925A5" w:rsidRDefault="00D54821" w:rsidP="00C44FCD">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TOTALES </w:t>
            </w:r>
          </w:p>
        </w:tc>
      </w:tr>
      <w:tr w:rsidR="00D54821" w:rsidRPr="004925A5" w14:paraId="188BB5B2" w14:textId="77777777" w:rsidTr="00C44FCD">
        <w:trPr>
          <w:trHeight w:val="290"/>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38BE448A" w14:textId="77777777" w:rsidR="00D54821" w:rsidRPr="004925A5" w:rsidRDefault="00D54821" w:rsidP="00C44FCD">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TOTAL BASE GRAVABLE</w:t>
            </w:r>
          </w:p>
        </w:tc>
        <w:tc>
          <w:tcPr>
            <w:tcW w:w="1880" w:type="dxa"/>
            <w:tcBorders>
              <w:top w:val="nil"/>
              <w:left w:val="nil"/>
              <w:bottom w:val="single" w:sz="4" w:space="0" w:color="auto"/>
              <w:right w:val="single" w:sz="4" w:space="0" w:color="auto"/>
            </w:tcBorders>
            <w:shd w:val="clear" w:color="auto" w:fill="auto"/>
            <w:noWrap/>
            <w:vAlign w:val="center"/>
            <w:hideMark/>
          </w:tcPr>
          <w:p w14:paraId="76583E5E"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3,202,948,858,317 </w:t>
            </w:r>
          </w:p>
        </w:tc>
        <w:tc>
          <w:tcPr>
            <w:tcW w:w="2183" w:type="dxa"/>
            <w:tcBorders>
              <w:top w:val="nil"/>
              <w:left w:val="nil"/>
              <w:bottom w:val="single" w:sz="4" w:space="0" w:color="auto"/>
              <w:right w:val="single" w:sz="4" w:space="0" w:color="auto"/>
            </w:tcBorders>
            <w:shd w:val="clear" w:color="auto" w:fill="auto"/>
            <w:noWrap/>
            <w:vAlign w:val="center"/>
            <w:hideMark/>
          </w:tcPr>
          <w:p w14:paraId="325D8CFE"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47,625,434,883 </w:t>
            </w:r>
          </w:p>
        </w:tc>
        <w:tc>
          <w:tcPr>
            <w:tcW w:w="2126" w:type="dxa"/>
            <w:tcBorders>
              <w:top w:val="nil"/>
              <w:left w:val="nil"/>
              <w:bottom w:val="single" w:sz="4" w:space="0" w:color="auto"/>
              <w:right w:val="single" w:sz="4" w:space="0" w:color="auto"/>
            </w:tcBorders>
            <w:shd w:val="clear" w:color="auto" w:fill="auto"/>
            <w:noWrap/>
            <w:vAlign w:val="center"/>
            <w:hideMark/>
          </w:tcPr>
          <w:p w14:paraId="49F6B507"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3,250,574,293,200 </w:t>
            </w:r>
          </w:p>
        </w:tc>
      </w:tr>
      <w:tr w:rsidR="00D54821" w:rsidRPr="004925A5" w14:paraId="5079CE03" w14:textId="77777777" w:rsidTr="00C44FCD">
        <w:trPr>
          <w:trHeight w:val="290"/>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42C63393" w14:textId="77777777" w:rsidR="00D54821" w:rsidRPr="004925A5" w:rsidRDefault="00D54821" w:rsidP="00C44FCD">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1%</w:t>
            </w:r>
          </w:p>
        </w:tc>
        <w:tc>
          <w:tcPr>
            <w:tcW w:w="1880" w:type="dxa"/>
            <w:tcBorders>
              <w:top w:val="nil"/>
              <w:left w:val="nil"/>
              <w:bottom w:val="single" w:sz="4" w:space="0" w:color="auto"/>
              <w:right w:val="single" w:sz="4" w:space="0" w:color="auto"/>
            </w:tcBorders>
            <w:shd w:val="clear" w:color="auto" w:fill="auto"/>
            <w:noWrap/>
            <w:vAlign w:val="center"/>
            <w:hideMark/>
          </w:tcPr>
          <w:p w14:paraId="48B553F0"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32,029,488,583 </w:t>
            </w:r>
          </w:p>
        </w:tc>
        <w:tc>
          <w:tcPr>
            <w:tcW w:w="2183" w:type="dxa"/>
            <w:tcBorders>
              <w:top w:val="nil"/>
              <w:left w:val="nil"/>
              <w:bottom w:val="single" w:sz="4" w:space="0" w:color="auto"/>
              <w:right w:val="single" w:sz="4" w:space="0" w:color="auto"/>
            </w:tcBorders>
            <w:shd w:val="clear" w:color="auto" w:fill="auto"/>
            <w:noWrap/>
            <w:vAlign w:val="center"/>
            <w:hideMark/>
          </w:tcPr>
          <w:p w14:paraId="6F61E73D"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476,254,349 </w:t>
            </w:r>
          </w:p>
        </w:tc>
        <w:tc>
          <w:tcPr>
            <w:tcW w:w="2126" w:type="dxa"/>
            <w:tcBorders>
              <w:top w:val="nil"/>
              <w:left w:val="nil"/>
              <w:bottom w:val="single" w:sz="4" w:space="0" w:color="auto"/>
              <w:right w:val="single" w:sz="4" w:space="0" w:color="auto"/>
            </w:tcBorders>
            <w:shd w:val="clear" w:color="auto" w:fill="auto"/>
            <w:noWrap/>
            <w:vAlign w:val="center"/>
            <w:hideMark/>
          </w:tcPr>
          <w:p w14:paraId="19F11330"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32,505,742,932 </w:t>
            </w:r>
          </w:p>
        </w:tc>
      </w:tr>
      <w:tr w:rsidR="00D54821" w:rsidRPr="004925A5" w14:paraId="2C5F4FE9" w14:textId="77777777" w:rsidTr="007B0DC1">
        <w:trPr>
          <w:trHeight w:val="328"/>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BE11E0E" w14:textId="77777777" w:rsidR="00D54821" w:rsidRPr="004925A5" w:rsidRDefault="00D54821" w:rsidP="00C44FCD">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PORCENTAJE DEL PRESUPUESTO POR BASE</w:t>
            </w:r>
          </w:p>
        </w:tc>
        <w:tc>
          <w:tcPr>
            <w:tcW w:w="1880" w:type="dxa"/>
            <w:tcBorders>
              <w:top w:val="nil"/>
              <w:left w:val="nil"/>
              <w:bottom w:val="single" w:sz="4" w:space="0" w:color="auto"/>
              <w:right w:val="single" w:sz="4" w:space="0" w:color="auto"/>
            </w:tcBorders>
            <w:shd w:val="clear" w:color="auto" w:fill="auto"/>
            <w:noWrap/>
            <w:vAlign w:val="center"/>
            <w:hideMark/>
          </w:tcPr>
          <w:p w14:paraId="364AFE8A" w14:textId="77777777" w:rsidR="00D54821" w:rsidRPr="004925A5" w:rsidRDefault="00D54821" w:rsidP="00C44FCD">
            <w:pPr>
              <w:ind w:left="0"/>
              <w:jc w:val="right"/>
              <w:rPr>
                <w:rFonts w:ascii="Calibri" w:hAnsi="Calibri" w:cs="Calibri"/>
                <w:sz w:val="22"/>
                <w:szCs w:val="22"/>
                <w:lang w:val="es-CO" w:eastAsia="es-CO"/>
              </w:rPr>
            </w:pPr>
            <w:r w:rsidRPr="004925A5">
              <w:rPr>
                <w:rFonts w:ascii="Calibri" w:hAnsi="Calibri" w:cs="Calibri"/>
                <w:sz w:val="22"/>
                <w:szCs w:val="22"/>
                <w:lang w:val="es-CO" w:eastAsia="es-CO"/>
              </w:rPr>
              <w:t>98.534861%</w:t>
            </w:r>
          </w:p>
        </w:tc>
        <w:tc>
          <w:tcPr>
            <w:tcW w:w="2183" w:type="dxa"/>
            <w:tcBorders>
              <w:top w:val="nil"/>
              <w:left w:val="nil"/>
              <w:bottom w:val="single" w:sz="4" w:space="0" w:color="auto"/>
              <w:right w:val="single" w:sz="4" w:space="0" w:color="auto"/>
            </w:tcBorders>
            <w:shd w:val="clear" w:color="auto" w:fill="auto"/>
            <w:noWrap/>
            <w:vAlign w:val="center"/>
            <w:hideMark/>
          </w:tcPr>
          <w:p w14:paraId="7613CCEB" w14:textId="77777777" w:rsidR="00D54821" w:rsidRPr="004925A5" w:rsidRDefault="00D54821" w:rsidP="00C44FCD">
            <w:pPr>
              <w:ind w:left="0"/>
              <w:jc w:val="right"/>
              <w:rPr>
                <w:rFonts w:ascii="Calibri" w:hAnsi="Calibri" w:cs="Calibri"/>
                <w:sz w:val="22"/>
                <w:szCs w:val="22"/>
                <w:lang w:val="es-CO" w:eastAsia="es-CO"/>
              </w:rPr>
            </w:pPr>
            <w:r w:rsidRPr="004925A5">
              <w:rPr>
                <w:rFonts w:ascii="Calibri" w:hAnsi="Calibri" w:cs="Calibri"/>
                <w:sz w:val="22"/>
                <w:szCs w:val="22"/>
                <w:lang w:val="es-CO" w:eastAsia="es-CO"/>
              </w:rPr>
              <w:t>1.465139%</w:t>
            </w:r>
          </w:p>
        </w:tc>
        <w:tc>
          <w:tcPr>
            <w:tcW w:w="2126" w:type="dxa"/>
            <w:tcBorders>
              <w:top w:val="nil"/>
              <w:left w:val="nil"/>
              <w:bottom w:val="single" w:sz="4" w:space="0" w:color="auto"/>
              <w:right w:val="single" w:sz="4" w:space="0" w:color="auto"/>
            </w:tcBorders>
            <w:shd w:val="clear" w:color="auto" w:fill="auto"/>
            <w:noWrap/>
            <w:vAlign w:val="center"/>
            <w:hideMark/>
          </w:tcPr>
          <w:p w14:paraId="70A95CF0" w14:textId="77777777" w:rsidR="00D54821" w:rsidRPr="004925A5" w:rsidRDefault="00D54821" w:rsidP="00C44FCD">
            <w:pPr>
              <w:ind w:left="0"/>
              <w:jc w:val="right"/>
              <w:rPr>
                <w:rFonts w:ascii="Calibri" w:hAnsi="Calibri" w:cs="Calibri"/>
                <w:sz w:val="22"/>
                <w:szCs w:val="22"/>
                <w:lang w:val="es-CO" w:eastAsia="es-CO"/>
              </w:rPr>
            </w:pPr>
            <w:r w:rsidRPr="004925A5">
              <w:rPr>
                <w:rFonts w:ascii="Calibri" w:hAnsi="Calibri" w:cs="Calibri"/>
                <w:sz w:val="22"/>
                <w:szCs w:val="22"/>
                <w:lang w:val="es-CO" w:eastAsia="es-CO"/>
              </w:rPr>
              <w:t>100.000000%</w:t>
            </w:r>
          </w:p>
        </w:tc>
      </w:tr>
      <w:tr w:rsidR="00D54821" w:rsidRPr="004925A5" w14:paraId="6F654C46" w14:textId="77777777" w:rsidTr="00C44FCD">
        <w:trPr>
          <w:trHeight w:val="290"/>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5F8966B3" w14:textId="77777777" w:rsidR="00D54821" w:rsidRPr="004925A5" w:rsidRDefault="00D54821" w:rsidP="00C44FCD">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TOTAL PRESUPUESTO 2021</w:t>
            </w:r>
          </w:p>
        </w:tc>
        <w:tc>
          <w:tcPr>
            <w:tcW w:w="1880" w:type="dxa"/>
            <w:tcBorders>
              <w:top w:val="nil"/>
              <w:left w:val="nil"/>
              <w:bottom w:val="single" w:sz="4" w:space="0" w:color="auto"/>
              <w:right w:val="single" w:sz="4" w:space="0" w:color="auto"/>
            </w:tcBorders>
            <w:shd w:val="clear" w:color="000000" w:fill="E7E6E6"/>
            <w:noWrap/>
            <w:vAlign w:val="center"/>
            <w:hideMark/>
          </w:tcPr>
          <w:p w14:paraId="3535BEB0" w14:textId="77777777" w:rsidR="00D54821" w:rsidRPr="004925A5" w:rsidRDefault="00D54821" w:rsidP="00C44FCD">
            <w:pPr>
              <w:ind w:left="0"/>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32,505,742,932 </w:t>
            </w:r>
          </w:p>
        </w:tc>
        <w:tc>
          <w:tcPr>
            <w:tcW w:w="2183" w:type="dxa"/>
            <w:tcBorders>
              <w:top w:val="nil"/>
              <w:left w:val="nil"/>
              <w:bottom w:val="single" w:sz="4" w:space="0" w:color="auto"/>
              <w:right w:val="single" w:sz="4" w:space="0" w:color="auto"/>
            </w:tcBorders>
            <w:shd w:val="clear" w:color="auto" w:fill="auto"/>
            <w:noWrap/>
            <w:vAlign w:val="center"/>
            <w:hideMark/>
          </w:tcPr>
          <w:p w14:paraId="69E141B9"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c>
          <w:tcPr>
            <w:tcW w:w="2126" w:type="dxa"/>
            <w:tcBorders>
              <w:top w:val="nil"/>
              <w:left w:val="nil"/>
              <w:bottom w:val="single" w:sz="4" w:space="0" w:color="auto"/>
              <w:right w:val="single" w:sz="4" w:space="0" w:color="auto"/>
            </w:tcBorders>
            <w:shd w:val="clear" w:color="auto" w:fill="auto"/>
            <w:noWrap/>
            <w:vAlign w:val="center"/>
            <w:hideMark/>
          </w:tcPr>
          <w:p w14:paraId="01A3439B"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r w:rsidR="00D54821" w:rsidRPr="004925A5" w14:paraId="6A18A0F4" w14:textId="77777777" w:rsidTr="00C44FCD">
        <w:trPr>
          <w:trHeight w:val="100"/>
        </w:trPr>
        <w:tc>
          <w:tcPr>
            <w:tcW w:w="3020" w:type="dxa"/>
            <w:tcBorders>
              <w:top w:val="nil"/>
              <w:left w:val="nil"/>
              <w:bottom w:val="nil"/>
              <w:right w:val="nil"/>
            </w:tcBorders>
            <w:shd w:val="clear" w:color="auto" w:fill="auto"/>
            <w:noWrap/>
            <w:vAlign w:val="center"/>
            <w:hideMark/>
          </w:tcPr>
          <w:p w14:paraId="1C2C17C3" w14:textId="77777777" w:rsidR="00D54821" w:rsidRPr="004925A5" w:rsidRDefault="00D54821" w:rsidP="00C44FCD">
            <w:pPr>
              <w:ind w:left="0"/>
              <w:rPr>
                <w:rFonts w:ascii="Calibri" w:hAnsi="Calibri" w:cs="Calibri"/>
                <w:color w:val="000000"/>
                <w:sz w:val="22"/>
                <w:szCs w:val="22"/>
                <w:lang w:val="es-CO" w:eastAsia="es-CO"/>
              </w:rPr>
            </w:pPr>
          </w:p>
        </w:tc>
        <w:tc>
          <w:tcPr>
            <w:tcW w:w="1880" w:type="dxa"/>
            <w:tcBorders>
              <w:top w:val="nil"/>
              <w:left w:val="nil"/>
              <w:bottom w:val="nil"/>
              <w:right w:val="nil"/>
            </w:tcBorders>
            <w:shd w:val="clear" w:color="auto" w:fill="auto"/>
            <w:noWrap/>
            <w:vAlign w:val="center"/>
            <w:hideMark/>
          </w:tcPr>
          <w:p w14:paraId="62985C4B" w14:textId="77777777" w:rsidR="00D54821" w:rsidRPr="004925A5" w:rsidRDefault="00D54821" w:rsidP="00C44FCD">
            <w:pPr>
              <w:ind w:left="0"/>
              <w:jc w:val="center"/>
              <w:rPr>
                <w:sz w:val="20"/>
                <w:szCs w:val="20"/>
                <w:lang w:val="es-CO" w:eastAsia="es-CO"/>
              </w:rPr>
            </w:pPr>
          </w:p>
        </w:tc>
        <w:tc>
          <w:tcPr>
            <w:tcW w:w="2183" w:type="dxa"/>
            <w:tcBorders>
              <w:top w:val="nil"/>
              <w:left w:val="nil"/>
              <w:bottom w:val="nil"/>
              <w:right w:val="nil"/>
            </w:tcBorders>
            <w:shd w:val="clear" w:color="auto" w:fill="auto"/>
            <w:noWrap/>
            <w:vAlign w:val="center"/>
            <w:hideMark/>
          </w:tcPr>
          <w:p w14:paraId="0A199BE4" w14:textId="77777777" w:rsidR="00D54821" w:rsidRPr="004925A5" w:rsidRDefault="00D54821" w:rsidP="00C44FCD">
            <w:pPr>
              <w:ind w:left="0"/>
              <w:rPr>
                <w:sz w:val="20"/>
                <w:szCs w:val="20"/>
                <w:lang w:val="es-CO" w:eastAsia="es-CO"/>
              </w:rPr>
            </w:pPr>
          </w:p>
        </w:tc>
        <w:tc>
          <w:tcPr>
            <w:tcW w:w="2126" w:type="dxa"/>
            <w:tcBorders>
              <w:top w:val="nil"/>
              <w:left w:val="nil"/>
              <w:bottom w:val="nil"/>
              <w:right w:val="nil"/>
            </w:tcBorders>
            <w:shd w:val="clear" w:color="auto" w:fill="auto"/>
            <w:noWrap/>
            <w:vAlign w:val="center"/>
            <w:hideMark/>
          </w:tcPr>
          <w:p w14:paraId="137E29DC" w14:textId="77777777" w:rsidR="00D54821" w:rsidRPr="004925A5" w:rsidRDefault="00D54821" w:rsidP="00C44FCD">
            <w:pPr>
              <w:ind w:left="0"/>
              <w:rPr>
                <w:sz w:val="20"/>
                <w:szCs w:val="20"/>
                <w:lang w:val="es-CO" w:eastAsia="es-CO"/>
              </w:rPr>
            </w:pPr>
          </w:p>
        </w:tc>
      </w:tr>
      <w:tr w:rsidR="00D54821" w:rsidRPr="004925A5" w14:paraId="2BC04DC2" w14:textId="77777777" w:rsidTr="00C44FCD">
        <w:trPr>
          <w:trHeight w:val="290"/>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AE25" w14:textId="77777777" w:rsidR="00D54821" w:rsidRPr="004925A5" w:rsidRDefault="00D54821" w:rsidP="00C44FCD">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BASE GASTOS OPERATIVOS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329CA4CC"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c>
          <w:tcPr>
            <w:tcW w:w="2183" w:type="dxa"/>
            <w:tcBorders>
              <w:top w:val="single" w:sz="4" w:space="0" w:color="auto"/>
              <w:left w:val="nil"/>
              <w:bottom w:val="single" w:sz="4" w:space="0" w:color="auto"/>
              <w:right w:val="single" w:sz="4" w:space="0" w:color="auto"/>
            </w:tcBorders>
            <w:shd w:val="clear" w:color="auto" w:fill="auto"/>
            <w:noWrap/>
            <w:vAlign w:val="center"/>
            <w:hideMark/>
          </w:tcPr>
          <w:p w14:paraId="3E6AFA67" w14:textId="77777777" w:rsidR="00D54821" w:rsidRPr="004925A5" w:rsidRDefault="00D54821" w:rsidP="00C44FCD">
            <w:pPr>
              <w:ind w:left="0"/>
              <w:jc w:val="right"/>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xml:space="preserve">  8,734,712,243,135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9152885"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r w:rsidR="00D54821" w:rsidRPr="004925A5" w14:paraId="2FAB2D1B" w14:textId="77777777" w:rsidTr="007B0DC1">
        <w:trPr>
          <w:trHeight w:val="204"/>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B73E458" w14:textId="77777777" w:rsidR="00D54821" w:rsidRPr="004925A5" w:rsidRDefault="00D54821" w:rsidP="00C44FCD">
            <w:pPr>
              <w:ind w:left="0"/>
              <w:jc w:val="center"/>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PORCENTAJE ADICIONAL GASTOS OPERATIVOS</w:t>
            </w:r>
          </w:p>
        </w:tc>
        <w:tc>
          <w:tcPr>
            <w:tcW w:w="1880" w:type="dxa"/>
            <w:tcBorders>
              <w:top w:val="nil"/>
              <w:left w:val="nil"/>
              <w:bottom w:val="single" w:sz="4" w:space="0" w:color="auto"/>
              <w:right w:val="single" w:sz="4" w:space="0" w:color="auto"/>
            </w:tcBorders>
            <w:shd w:val="clear" w:color="auto" w:fill="auto"/>
            <w:noWrap/>
            <w:vAlign w:val="center"/>
            <w:hideMark/>
          </w:tcPr>
          <w:p w14:paraId="780BC7C7"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c>
          <w:tcPr>
            <w:tcW w:w="2183" w:type="dxa"/>
            <w:tcBorders>
              <w:top w:val="nil"/>
              <w:left w:val="nil"/>
              <w:bottom w:val="single" w:sz="4" w:space="0" w:color="auto"/>
              <w:right w:val="single" w:sz="4" w:space="0" w:color="auto"/>
            </w:tcBorders>
            <w:shd w:val="clear" w:color="auto" w:fill="auto"/>
            <w:noWrap/>
            <w:vAlign w:val="center"/>
            <w:hideMark/>
          </w:tcPr>
          <w:p w14:paraId="76FC05E4" w14:textId="77777777" w:rsidR="00D54821" w:rsidRPr="004925A5" w:rsidRDefault="00D54821" w:rsidP="00C44FCD">
            <w:pPr>
              <w:ind w:left="0"/>
              <w:jc w:val="right"/>
              <w:rPr>
                <w:rFonts w:ascii="Calibri" w:hAnsi="Calibri" w:cs="Calibri"/>
                <w:sz w:val="22"/>
                <w:szCs w:val="22"/>
                <w:lang w:val="es-CO" w:eastAsia="es-CO"/>
              </w:rPr>
            </w:pPr>
            <w:r w:rsidRPr="004925A5">
              <w:rPr>
                <w:rFonts w:ascii="Calibri" w:hAnsi="Calibri" w:cs="Calibri"/>
                <w:sz w:val="22"/>
                <w:szCs w:val="22"/>
                <w:lang w:val="es-CO" w:eastAsia="es-CO"/>
              </w:rPr>
              <w:t>0.005452%</w:t>
            </w:r>
          </w:p>
        </w:tc>
        <w:tc>
          <w:tcPr>
            <w:tcW w:w="2126" w:type="dxa"/>
            <w:tcBorders>
              <w:top w:val="nil"/>
              <w:left w:val="nil"/>
              <w:bottom w:val="single" w:sz="4" w:space="0" w:color="auto"/>
              <w:right w:val="single" w:sz="4" w:space="0" w:color="auto"/>
            </w:tcBorders>
            <w:shd w:val="clear" w:color="auto" w:fill="auto"/>
            <w:noWrap/>
            <w:vAlign w:val="center"/>
            <w:hideMark/>
          </w:tcPr>
          <w:p w14:paraId="3D7AEB8C"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r w:rsidR="00D54821" w:rsidRPr="004925A5" w14:paraId="6C5545F3" w14:textId="77777777" w:rsidTr="00C44FCD">
        <w:trPr>
          <w:trHeight w:val="290"/>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54EE3714" w14:textId="77777777" w:rsidR="00D54821" w:rsidRPr="004925A5" w:rsidRDefault="00D54821" w:rsidP="00C44FCD">
            <w:pPr>
              <w:ind w:left="0"/>
              <w:jc w:val="center"/>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FALTANTE PRESUPUESTAL</w:t>
            </w:r>
          </w:p>
        </w:tc>
        <w:tc>
          <w:tcPr>
            <w:tcW w:w="1880" w:type="dxa"/>
            <w:tcBorders>
              <w:top w:val="nil"/>
              <w:left w:val="nil"/>
              <w:bottom w:val="single" w:sz="4" w:space="0" w:color="auto"/>
              <w:right w:val="single" w:sz="4" w:space="0" w:color="auto"/>
            </w:tcBorders>
            <w:shd w:val="clear" w:color="000000" w:fill="E7E6E6"/>
            <w:noWrap/>
            <w:vAlign w:val="center"/>
            <w:hideMark/>
          </w:tcPr>
          <w:p w14:paraId="51C3E50A" w14:textId="77777777" w:rsidR="00D54821" w:rsidRPr="004925A5" w:rsidRDefault="00D54821" w:rsidP="00C44FCD">
            <w:pPr>
              <w:ind w:left="0"/>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w:t>
            </w:r>
          </w:p>
        </w:tc>
        <w:tc>
          <w:tcPr>
            <w:tcW w:w="2183" w:type="dxa"/>
            <w:tcBorders>
              <w:top w:val="nil"/>
              <w:left w:val="nil"/>
              <w:bottom w:val="single" w:sz="4" w:space="0" w:color="auto"/>
              <w:right w:val="single" w:sz="4" w:space="0" w:color="auto"/>
            </w:tcBorders>
            <w:shd w:val="clear" w:color="000000" w:fill="E7E6E6"/>
            <w:noWrap/>
            <w:vAlign w:val="center"/>
            <w:hideMark/>
          </w:tcPr>
          <w:p w14:paraId="63368440" w14:textId="77777777" w:rsidR="00D54821" w:rsidRPr="004925A5" w:rsidRDefault="00D54821" w:rsidP="00C44FCD">
            <w:pPr>
              <w:ind w:left="0"/>
              <w:jc w:val="right"/>
              <w:rPr>
                <w:rFonts w:ascii="Calibri" w:hAnsi="Calibri" w:cs="Calibri"/>
                <w:b/>
                <w:bCs/>
                <w:color w:val="000000"/>
                <w:sz w:val="22"/>
                <w:szCs w:val="22"/>
                <w:lang w:val="es-CO" w:eastAsia="es-CO"/>
              </w:rPr>
            </w:pPr>
            <w:r w:rsidRPr="004925A5">
              <w:rPr>
                <w:rFonts w:ascii="Calibri" w:hAnsi="Calibri" w:cs="Calibri"/>
                <w:b/>
                <w:bCs/>
                <w:color w:val="000000"/>
                <w:sz w:val="22"/>
                <w:szCs w:val="22"/>
                <w:lang w:val="es-CO" w:eastAsia="es-CO"/>
              </w:rPr>
              <w:t xml:space="preserve">             </w:t>
            </w:r>
            <w:r>
              <w:rPr>
                <w:rFonts w:ascii="Calibri" w:hAnsi="Calibri" w:cs="Calibri"/>
                <w:b/>
                <w:bCs/>
                <w:color w:val="000000"/>
                <w:sz w:val="22"/>
                <w:szCs w:val="22"/>
                <w:lang w:val="es-CO" w:eastAsia="es-CO"/>
              </w:rPr>
              <w:t>4</w:t>
            </w:r>
            <w:r w:rsidRPr="004925A5">
              <w:rPr>
                <w:rFonts w:ascii="Calibri" w:hAnsi="Calibri" w:cs="Calibri"/>
                <w:b/>
                <w:bCs/>
                <w:color w:val="000000"/>
                <w:sz w:val="22"/>
                <w:szCs w:val="22"/>
                <w:lang w:val="es-CO" w:eastAsia="es-CO"/>
              </w:rPr>
              <w:t xml:space="preserve">76,254,349 </w:t>
            </w:r>
          </w:p>
        </w:tc>
        <w:tc>
          <w:tcPr>
            <w:tcW w:w="2126" w:type="dxa"/>
            <w:tcBorders>
              <w:top w:val="nil"/>
              <w:left w:val="nil"/>
              <w:bottom w:val="single" w:sz="4" w:space="0" w:color="auto"/>
              <w:right w:val="single" w:sz="4" w:space="0" w:color="auto"/>
            </w:tcBorders>
            <w:shd w:val="clear" w:color="auto" w:fill="auto"/>
            <w:noWrap/>
            <w:vAlign w:val="center"/>
            <w:hideMark/>
          </w:tcPr>
          <w:p w14:paraId="3D7C805D" w14:textId="77777777" w:rsidR="00D54821" w:rsidRPr="004925A5" w:rsidRDefault="00D54821" w:rsidP="00C44FCD">
            <w:pPr>
              <w:ind w:left="0"/>
              <w:rPr>
                <w:rFonts w:ascii="Calibri" w:hAnsi="Calibri" w:cs="Calibri"/>
                <w:color w:val="000000"/>
                <w:sz w:val="22"/>
                <w:szCs w:val="22"/>
                <w:lang w:val="es-CO" w:eastAsia="es-CO"/>
              </w:rPr>
            </w:pPr>
            <w:r w:rsidRPr="004925A5">
              <w:rPr>
                <w:rFonts w:ascii="Calibri" w:hAnsi="Calibri" w:cs="Calibri"/>
                <w:color w:val="000000"/>
                <w:sz w:val="22"/>
                <w:szCs w:val="22"/>
                <w:lang w:val="es-CO" w:eastAsia="es-CO"/>
              </w:rPr>
              <w:t> </w:t>
            </w:r>
          </w:p>
        </w:tc>
      </w:tr>
    </w:tbl>
    <w:p w14:paraId="2ACDDAB8" w14:textId="77777777" w:rsidR="0086405F" w:rsidRDefault="0086405F" w:rsidP="00D54821">
      <w:pPr>
        <w:ind w:left="0"/>
        <w:jc w:val="both"/>
        <w:rPr>
          <w:rFonts w:ascii="Bookman Old Style" w:hAnsi="Bookman Old Style" w:cs="Arial"/>
          <w:b/>
        </w:rPr>
      </w:pPr>
    </w:p>
    <w:p w14:paraId="00F4ED3D" w14:textId="1E4900F8" w:rsidR="00D54821" w:rsidRDefault="00D54821" w:rsidP="00D54821">
      <w:pPr>
        <w:ind w:left="0"/>
        <w:jc w:val="both"/>
        <w:rPr>
          <w:rFonts w:ascii="Bookman Old Style" w:hAnsi="Bookman Old Style" w:cs="Arial"/>
        </w:rPr>
      </w:pPr>
      <w:r>
        <w:rPr>
          <w:rFonts w:ascii="Bookman Old Style" w:hAnsi="Bookman Old Style" w:cs="Arial"/>
          <w:b/>
        </w:rPr>
        <w:t>PARÁGRAFO</w:t>
      </w:r>
      <w:r w:rsidR="00BC4A8E">
        <w:rPr>
          <w:rFonts w:ascii="Bookman Old Style" w:hAnsi="Bookman Old Style" w:cs="Arial"/>
          <w:b/>
        </w:rPr>
        <w:t xml:space="preserve"> 1</w:t>
      </w:r>
      <w:r>
        <w:rPr>
          <w:rFonts w:ascii="Bookman Old Style" w:hAnsi="Bookman Old Style" w:cs="Arial"/>
          <w:b/>
        </w:rPr>
        <w:t xml:space="preserve">. </w:t>
      </w:r>
      <w:r w:rsidRPr="00202031">
        <w:rPr>
          <w:rFonts w:ascii="Bookman Old Style" w:hAnsi="Bookman Old Style" w:cs="Arial"/>
        </w:rPr>
        <w:t xml:space="preserve">La contribución especial será calculada </w:t>
      </w:r>
      <w:r>
        <w:rPr>
          <w:rFonts w:ascii="Bookman Old Style" w:hAnsi="Bookman Old Style" w:cs="Arial"/>
        </w:rPr>
        <w:t xml:space="preserve">por la Subdirección Administrativa y Financiera </w:t>
      </w:r>
      <w:r w:rsidRPr="00202031">
        <w:rPr>
          <w:rFonts w:ascii="Bookman Old Style" w:hAnsi="Bookman Old Style" w:cs="Arial"/>
        </w:rPr>
        <w:t>a través de una liquidación oficial para cada un</w:t>
      </w:r>
      <w:r w:rsidR="00050EF7">
        <w:rPr>
          <w:rFonts w:ascii="Bookman Old Style" w:hAnsi="Bookman Old Style" w:cs="Arial"/>
        </w:rPr>
        <w:t>a</w:t>
      </w:r>
      <w:r w:rsidRPr="00202031">
        <w:rPr>
          <w:rFonts w:ascii="Bookman Old Style" w:hAnsi="Bookman Old Style" w:cs="Arial"/>
        </w:rPr>
        <w:t xml:space="preserve"> de l</w:t>
      </w:r>
      <w:r w:rsidR="00BC4A8E">
        <w:rPr>
          <w:rFonts w:ascii="Bookman Old Style" w:hAnsi="Bookman Old Style" w:cs="Arial"/>
        </w:rPr>
        <w:t>a</w:t>
      </w:r>
      <w:r w:rsidRPr="00202031">
        <w:rPr>
          <w:rFonts w:ascii="Bookman Old Style" w:hAnsi="Bookman Old Style" w:cs="Arial"/>
        </w:rPr>
        <w:t>s</w:t>
      </w:r>
      <w:r w:rsidR="00BC4A8E">
        <w:rPr>
          <w:rFonts w:ascii="Bookman Old Style" w:hAnsi="Bookman Old Style" w:cs="Arial"/>
        </w:rPr>
        <w:t xml:space="preserve"> empresas</w:t>
      </w:r>
      <w:r w:rsidRPr="00202031">
        <w:rPr>
          <w:rFonts w:ascii="Bookman Old Style" w:hAnsi="Bookman Old Style" w:cs="Arial"/>
        </w:rPr>
        <w:t xml:space="preserve"> regulad</w:t>
      </w:r>
      <w:r w:rsidR="00BC4A8E">
        <w:rPr>
          <w:rFonts w:ascii="Bookman Old Style" w:hAnsi="Bookman Old Style" w:cs="Arial"/>
        </w:rPr>
        <w:t>a</w:t>
      </w:r>
      <w:r w:rsidRPr="00202031">
        <w:rPr>
          <w:rFonts w:ascii="Bookman Old Style" w:hAnsi="Bookman Old Style" w:cs="Arial"/>
        </w:rPr>
        <w:t>s</w:t>
      </w:r>
      <w:r>
        <w:rPr>
          <w:rFonts w:ascii="Bookman Old Style" w:hAnsi="Bookman Old Style" w:cs="Arial"/>
        </w:rPr>
        <w:t>,</w:t>
      </w:r>
      <w:r w:rsidRPr="00202031">
        <w:rPr>
          <w:rFonts w:ascii="Bookman Old Style" w:hAnsi="Bookman Old Style" w:cs="Arial"/>
        </w:rPr>
        <w:t xml:space="preserve"> la cual será notificada conforme a lo previsto en las disposiciones legales vigentes</w:t>
      </w:r>
      <w:r w:rsidR="00050EF7">
        <w:rPr>
          <w:rFonts w:ascii="Bookman Old Style" w:hAnsi="Bookman Old Style" w:cs="Arial"/>
        </w:rPr>
        <w:t>,</w:t>
      </w:r>
      <w:r w:rsidRPr="00202031">
        <w:rPr>
          <w:rFonts w:ascii="Bookman Old Style" w:hAnsi="Bookman Old Style" w:cs="Arial"/>
        </w:rPr>
        <w:t xml:space="preserve"> y contra ella procede el recurso de reposición, el cual podrá interponerse dentro de los </w:t>
      </w:r>
      <w:r>
        <w:rPr>
          <w:rFonts w:ascii="Bookman Old Style" w:hAnsi="Bookman Old Style" w:cs="Arial"/>
        </w:rPr>
        <w:t>diez</w:t>
      </w:r>
      <w:r w:rsidRPr="00202031">
        <w:rPr>
          <w:rFonts w:ascii="Bookman Old Style" w:hAnsi="Bookman Old Style" w:cs="Arial"/>
        </w:rPr>
        <w:t xml:space="preserve"> (</w:t>
      </w:r>
      <w:r>
        <w:rPr>
          <w:rFonts w:ascii="Bookman Old Style" w:hAnsi="Bookman Old Style" w:cs="Arial"/>
        </w:rPr>
        <w:t>10</w:t>
      </w:r>
      <w:r w:rsidRPr="00202031">
        <w:rPr>
          <w:rFonts w:ascii="Bookman Old Style" w:hAnsi="Bookman Old Style" w:cs="Arial"/>
        </w:rPr>
        <w:t>) días hábiles siguientes a la diligencia de notificación por la CREG</w:t>
      </w:r>
      <w:r>
        <w:rPr>
          <w:rFonts w:ascii="Bookman Old Style" w:hAnsi="Bookman Old Style" w:cs="Arial"/>
        </w:rPr>
        <w:t>.</w:t>
      </w:r>
    </w:p>
    <w:p w14:paraId="4F3DEFE3" w14:textId="77777777" w:rsidR="00D54821" w:rsidRDefault="00D54821" w:rsidP="00D54821">
      <w:pPr>
        <w:ind w:left="0"/>
        <w:jc w:val="both"/>
        <w:rPr>
          <w:rFonts w:ascii="Bookman Old Style" w:hAnsi="Bookman Old Style" w:cs="Arial"/>
        </w:rPr>
      </w:pPr>
    </w:p>
    <w:p w14:paraId="1628B02F" w14:textId="71B6F445" w:rsidR="00D54821" w:rsidRDefault="00BC4A8E" w:rsidP="00D54821">
      <w:pPr>
        <w:ind w:left="0"/>
        <w:jc w:val="both"/>
        <w:rPr>
          <w:rFonts w:ascii="Bookman Old Style" w:hAnsi="Bookman Old Style" w:cs="Arial"/>
        </w:rPr>
      </w:pPr>
      <w:r>
        <w:rPr>
          <w:rFonts w:ascii="Bookman Old Style" w:hAnsi="Bookman Old Style" w:cs="Arial"/>
          <w:b/>
          <w:bCs/>
        </w:rPr>
        <w:t xml:space="preserve">PARÁGRAFO 2. </w:t>
      </w:r>
      <w:r w:rsidR="00D54821" w:rsidRPr="0050424C">
        <w:rPr>
          <w:rFonts w:ascii="Bookman Old Style" w:hAnsi="Bookman Old Style" w:cs="Arial"/>
        </w:rPr>
        <w:t>A efectos de recuperar los costos representados en recursos humanos, tecnológicos</w:t>
      </w:r>
      <w:r w:rsidR="00D54821">
        <w:rPr>
          <w:rFonts w:ascii="Bookman Old Style" w:hAnsi="Bookman Old Style" w:cs="Arial"/>
        </w:rPr>
        <w:t>,</w:t>
      </w:r>
      <w:r w:rsidR="00D54821" w:rsidRPr="0050424C">
        <w:rPr>
          <w:rFonts w:ascii="Bookman Old Style" w:hAnsi="Bookman Old Style" w:cs="Arial"/>
        </w:rPr>
        <w:t xml:space="preserve"> financieros </w:t>
      </w:r>
      <w:r w:rsidR="00D54821">
        <w:rPr>
          <w:rFonts w:ascii="Bookman Old Style" w:hAnsi="Bookman Old Style" w:cs="Arial"/>
        </w:rPr>
        <w:t xml:space="preserve">y logísticos </w:t>
      </w:r>
      <w:r w:rsidR="00D54821" w:rsidRPr="0050424C">
        <w:rPr>
          <w:rFonts w:ascii="Bookman Old Style" w:hAnsi="Bookman Old Style" w:cs="Arial"/>
        </w:rPr>
        <w:t xml:space="preserve">incurridos por la CREG en el procedimiento de cálculo, liquidación, </w:t>
      </w:r>
      <w:r w:rsidR="00D54821">
        <w:rPr>
          <w:rFonts w:ascii="Bookman Old Style" w:hAnsi="Bookman Old Style" w:cs="Arial"/>
        </w:rPr>
        <w:t xml:space="preserve">cobro, </w:t>
      </w:r>
      <w:r w:rsidR="00D54821" w:rsidRPr="0050424C">
        <w:rPr>
          <w:rFonts w:ascii="Bookman Old Style" w:hAnsi="Bookman Old Style" w:cs="Arial"/>
        </w:rPr>
        <w:t>recaudo y gestión de cartera de la contribución especial 202</w:t>
      </w:r>
      <w:r w:rsidR="00D54821">
        <w:rPr>
          <w:rFonts w:ascii="Bookman Old Style" w:hAnsi="Bookman Old Style" w:cs="Arial"/>
        </w:rPr>
        <w:t>1</w:t>
      </w:r>
      <w:r w:rsidR="00D54821" w:rsidRPr="0050424C">
        <w:rPr>
          <w:rFonts w:ascii="Bookman Old Style" w:hAnsi="Bookman Old Style" w:cs="Arial"/>
        </w:rPr>
        <w:t>, la Comisión determinó una cuantía mínima óptima de $2</w:t>
      </w:r>
      <w:r w:rsidR="00D54821">
        <w:rPr>
          <w:rFonts w:ascii="Bookman Old Style" w:hAnsi="Bookman Old Style" w:cs="Arial"/>
        </w:rPr>
        <w:t>97</w:t>
      </w:r>
      <w:r w:rsidR="00D54821" w:rsidRPr="0050424C">
        <w:rPr>
          <w:rFonts w:ascii="Bookman Old Style" w:hAnsi="Bookman Old Style" w:cs="Arial"/>
        </w:rPr>
        <w:t>,</w:t>
      </w:r>
      <w:r w:rsidR="00D54821">
        <w:rPr>
          <w:rFonts w:ascii="Bookman Old Style" w:hAnsi="Bookman Old Style" w:cs="Arial"/>
        </w:rPr>
        <w:t>548</w:t>
      </w:r>
      <w:r w:rsidR="00050EF7">
        <w:rPr>
          <w:rFonts w:ascii="Bookman Old Style" w:hAnsi="Bookman Old Style" w:cs="Arial"/>
        </w:rPr>
        <w:t>,</w:t>
      </w:r>
      <w:r w:rsidR="00D54821" w:rsidRPr="0050424C">
        <w:rPr>
          <w:rFonts w:ascii="Bookman Old Style" w:hAnsi="Bookman Old Style" w:cs="Arial"/>
        </w:rPr>
        <w:t xml:space="preserve"> por debajo de la cual </w:t>
      </w:r>
      <w:r w:rsidR="00D54821">
        <w:rPr>
          <w:rFonts w:ascii="Bookman Old Style" w:hAnsi="Bookman Old Style" w:cs="Arial"/>
        </w:rPr>
        <w:t xml:space="preserve">no </w:t>
      </w:r>
      <w:r w:rsidR="00D54821" w:rsidRPr="0050424C">
        <w:rPr>
          <w:rFonts w:ascii="Bookman Old Style" w:hAnsi="Bookman Old Style" w:cs="Arial"/>
        </w:rPr>
        <w:t>resulta eficiente</w:t>
      </w:r>
      <w:r w:rsidR="00D54821">
        <w:rPr>
          <w:rFonts w:ascii="Bookman Old Style" w:hAnsi="Bookman Old Style" w:cs="Arial"/>
        </w:rPr>
        <w:t xml:space="preserve"> ni rentable</w:t>
      </w:r>
      <w:r w:rsidR="00D54821" w:rsidRPr="0050424C">
        <w:rPr>
          <w:rFonts w:ascii="Bookman Old Style" w:hAnsi="Bookman Old Style" w:cs="Arial"/>
        </w:rPr>
        <w:t xml:space="preserve"> liquidar la contribución especial a los sujetos pasivos.</w:t>
      </w:r>
    </w:p>
    <w:p w14:paraId="66008468" w14:textId="31FBBC6A" w:rsidR="00D54821" w:rsidRPr="00D54821" w:rsidRDefault="00D54821" w:rsidP="0093456B">
      <w:pPr>
        <w:ind w:left="0"/>
        <w:rPr>
          <w:rFonts w:ascii="Bookman Old Style" w:hAnsi="Bookman Old Style" w:cs="Arial"/>
          <w:bCs/>
        </w:rPr>
      </w:pPr>
    </w:p>
    <w:p w14:paraId="209762E8" w14:textId="406EAA36" w:rsidR="00716079" w:rsidRDefault="00297A12" w:rsidP="00DA7611">
      <w:pPr>
        <w:ind w:left="0"/>
        <w:jc w:val="both"/>
        <w:rPr>
          <w:rFonts w:ascii="Bookman Old Style" w:hAnsi="Bookman Old Style" w:cs="Arial"/>
          <w:bCs/>
        </w:rPr>
      </w:pPr>
      <w:r>
        <w:rPr>
          <w:rFonts w:ascii="Bookman Old Style" w:hAnsi="Bookman Old Style" w:cs="Arial"/>
          <w:b/>
        </w:rPr>
        <w:t xml:space="preserve">ARTÍCULO </w:t>
      </w:r>
      <w:r w:rsidR="00D54821">
        <w:rPr>
          <w:rFonts w:ascii="Bookman Old Style" w:hAnsi="Bookman Old Style" w:cs="Arial"/>
          <w:b/>
        </w:rPr>
        <w:t>3</w:t>
      </w:r>
      <w:r>
        <w:rPr>
          <w:rFonts w:ascii="Bookman Old Style" w:hAnsi="Bookman Old Style" w:cs="Arial"/>
          <w:b/>
        </w:rPr>
        <w:t>. NO REPORTANTES</w:t>
      </w:r>
      <w:r w:rsidR="00D54821">
        <w:rPr>
          <w:rFonts w:ascii="Bookman Old Style" w:hAnsi="Bookman Old Style" w:cs="Arial"/>
          <w:b/>
        </w:rPr>
        <w:t xml:space="preserve">, </w:t>
      </w:r>
      <w:r>
        <w:rPr>
          <w:rFonts w:ascii="Bookman Old Style" w:hAnsi="Bookman Old Style" w:cs="Arial"/>
          <w:b/>
        </w:rPr>
        <w:t>OMISOS</w:t>
      </w:r>
      <w:r w:rsidR="00D54821">
        <w:rPr>
          <w:rFonts w:ascii="Bookman Old Style" w:hAnsi="Bookman Old Style" w:cs="Arial"/>
          <w:b/>
        </w:rPr>
        <w:t xml:space="preserve"> Y MOROSOS</w:t>
      </w:r>
      <w:r>
        <w:rPr>
          <w:rFonts w:ascii="Bookman Old Style" w:hAnsi="Bookman Old Style" w:cs="Arial"/>
          <w:b/>
        </w:rPr>
        <w:t xml:space="preserve">. </w:t>
      </w:r>
      <w:r w:rsidR="00716079" w:rsidRPr="00716079">
        <w:rPr>
          <w:rFonts w:ascii="Bookman Old Style" w:hAnsi="Bookman Old Style" w:cs="Arial"/>
          <w:bCs/>
        </w:rPr>
        <w:t>Para aquellos regulados que no reportaron la información financiera de la vigencia 2020, base para la contribución 2021, serán tratados como omisos</w:t>
      </w:r>
      <w:r w:rsidR="00050EF7">
        <w:rPr>
          <w:rFonts w:ascii="Bookman Old Style" w:hAnsi="Bookman Old Style" w:cs="Arial"/>
          <w:bCs/>
        </w:rPr>
        <w:t>,</w:t>
      </w:r>
      <w:r w:rsidR="00716079" w:rsidRPr="00716079">
        <w:rPr>
          <w:rFonts w:ascii="Bookman Old Style" w:hAnsi="Bookman Old Style" w:cs="Arial"/>
          <w:bCs/>
        </w:rPr>
        <w:t xml:space="preserve"> y se les tomará como base la última información financiera reportada y certificada al SUI, la cual será indexada al 31 de diciembre de 2020, teniendo en cuenta la variación porcentual del IPC certificado por el DANE para los años objeto de indexación</w:t>
      </w:r>
      <w:r w:rsidR="00050EF7">
        <w:rPr>
          <w:rFonts w:ascii="Bookman Old Style" w:hAnsi="Bookman Old Style" w:cs="Arial"/>
          <w:bCs/>
        </w:rPr>
        <w:t>. E</w:t>
      </w:r>
      <w:r w:rsidR="00716079" w:rsidRPr="00716079">
        <w:rPr>
          <w:rFonts w:ascii="Bookman Old Style" w:hAnsi="Bookman Old Style" w:cs="Arial"/>
          <w:bCs/>
        </w:rPr>
        <w:t>stos regulados serán requeridos en fiscalización</w:t>
      </w:r>
      <w:r w:rsidR="00050EF7">
        <w:rPr>
          <w:rFonts w:ascii="Bookman Old Style" w:hAnsi="Bookman Old Style" w:cs="Arial"/>
          <w:bCs/>
        </w:rPr>
        <w:t>,</w:t>
      </w:r>
      <w:r w:rsidR="00716079" w:rsidRPr="00716079">
        <w:rPr>
          <w:rFonts w:ascii="Bookman Old Style" w:hAnsi="Bookman Old Style" w:cs="Arial"/>
          <w:bCs/>
        </w:rPr>
        <w:t xml:space="preserve"> y se ajustará la contribución especial al valor de liquidación </w:t>
      </w:r>
      <w:r w:rsidR="00C256DB">
        <w:rPr>
          <w:rFonts w:ascii="Bookman Old Style" w:hAnsi="Bookman Old Style" w:cs="Arial"/>
          <w:bCs/>
        </w:rPr>
        <w:t xml:space="preserve">de </w:t>
      </w:r>
      <w:r w:rsidR="00716079" w:rsidRPr="00716079">
        <w:rPr>
          <w:rFonts w:ascii="Bookman Old Style" w:hAnsi="Bookman Old Style" w:cs="Arial"/>
          <w:bCs/>
        </w:rPr>
        <w:t>sus estados financieros auditados.</w:t>
      </w:r>
    </w:p>
    <w:p w14:paraId="395B31D5" w14:textId="77777777" w:rsidR="00DA7611" w:rsidRDefault="00DA7611" w:rsidP="00DA7611">
      <w:pPr>
        <w:ind w:left="0"/>
        <w:jc w:val="both"/>
        <w:rPr>
          <w:rFonts w:ascii="Bookman Old Style" w:hAnsi="Bookman Old Style" w:cs="Arial"/>
          <w:bCs/>
        </w:rPr>
      </w:pPr>
    </w:p>
    <w:p w14:paraId="5F0E62E6" w14:textId="72A829C9" w:rsidR="002F31C8" w:rsidRDefault="00202031" w:rsidP="00DA7611">
      <w:pPr>
        <w:ind w:left="0"/>
        <w:jc w:val="both"/>
        <w:rPr>
          <w:rFonts w:ascii="Bookman Old Style" w:hAnsi="Bookman Old Style" w:cs="Arial"/>
          <w:bCs/>
        </w:rPr>
      </w:pPr>
      <w:r>
        <w:rPr>
          <w:rFonts w:ascii="Bookman Old Style" w:hAnsi="Bookman Old Style" w:cs="Arial"/>
          <w:b/>
        </w:rPr>
        <w:t>PARÁGRAFO</w:t>
      </w:r>
      <w:r w:rsidR="00D54821">
        <w:rPr>
          <w:rFonts w:ascii="Bookman Old Style" w:hAnsi="Bookman Old Style" w:cs="Arial"/>
          <w:b/>
        </w:rPr>
        <w:t xml:space="preserve"> 1</w:t>
      </w:r>
      <w:r>
        <w:rPr>
          <w:rFonts w:ascii="Bookman Old Style" w:hAnsi="Bookman Old Style" w:cs="Arial"/>
          <w:b/>
        </w:rPr>
        <w:t xml:space="preserve">. </w:t>
      </w:r>
      <w:r>
        <w:rPr>
          <w:rFonts w:ascii="Bookman Old Style" w:hAnsi="Bookman Old Style" w:cs="Arial"/>
          <w:bCs/>
        </w:rPr>
        <w:t>Son</w:t>
      </w:r>
      <w:r w:rsidR="00716079" w:rsidRPr="00716079">
        <w:rPr>
          <w:rFonts w:ascii="Bookman Old Style" w:hAnsi="Bookman Old Style" w:cs="Arial"/>
          <w:bCs/>
        </w:rPr>
        <w:t xml:space="preserve"> empresas omisas aquellas que, con corte a </w:t>
      </w:r>
      <w:r w:rsidR="00716079">
        <w:rPr>
          <w:rFonts w:ascii="Bookman Old Style" w:hAnsi="Bookman Old Style" w:cs="Arial"/>
          <w:bCs/>
        </w:rPr>
        <w:t>septiembre</w:t>
      </w:r>
      <w:r w:rsidR="00716079" w:rsidRPr="00716079">
        <w:rPr>
          <w:rFonts w:ascii="Bookman Old Style" w:hAnsi="Bookman Old Style" w:cs="Arial"/>
          <w:bCs/>
        </w:rPr>
        <w:t xml:space="preserve"> </w:t>
      </w:r>
      <w:r w:rsidR="00716079">
        <w:rPr>
          <w:rFonts w:ascii="Bookman Old Style" w:hAnsi="Bookman Old Style" w:cs="Arial"/>
          <w:bCs/>
        </w:rPr>
        <w:t>21</w:t>
      </w:r>
      <w:r w:rsidR="00716079" w:rsidRPr="00716079">
        <w:rPr>
          <w:rFonts w:ascii="Bookman Old Style" w:hAnsi="Bookman Old Style" w:cs="Arial"/>
          <w:bCs/>
        </w:rPr>
        <w:t xml:space="preserve"> de 20</w:t>
      </w:r>
      <w:r w:rsidR="00716079">
        <w:rPr>
          <w:rFonts w:ascii="Bookman Old Style" w:hAnsi="Bookman Old Style" w:cs="Arial"/>
          <w:bCs/>
        </w:rPr>
        <w:t>21</w:t>
      </w:r>
      <w:r w:rsidR="00716079" w:rsidRPr="00716079">
        <w:rPr>
          <w:rFonts w:ascii="Bookman Old Style" w:hAnsi="Bookman Old Style" w:cs="Arial"/>
          <w:bCs/>
        </w:rPr>
        <w:t xml:space="preserve">, no se les había generado resolución </w:t>
      </w:r>
      <w:r>
        <w:rPr>
          <w:rFonts w:ascii="Bookman Old Style" w:hAnsi="Bookman Old Style" w:cs="Arial"/>
          <w:bCs/>
        </w:rPr>
        <w:t xml:space="preserve">de determinación de omisas o </w:t>
      </w:r>
      <w:r w:rsidR="00BC4A8E">
        <w:rPr>
          <w:rFonts w:ascii="Bookman Old Style" w:hAnsi="Bookman Old Style" w:cs="Arial"/>
          <w:bCs/>
        </w:rPr>
        <w:t>generad</w:t>
      </w:r>
      <w:r w:rsidR="00C256DB">
        <w:rPr>
          <w:rFonts w:ascii="Bookman Old Style" w:hAnsi="Bookman Old Style" w:cs="Arial"/>
          <w:bCs/>
        </w:rPr>
        <w:t>o</w:t>
      </w:r>
      <w:r w:rsidR="00BC4A8E">
        <w:rPr>
          <w:rFonts w:ascii="Bookman Old Style" w:hAnsi="Bookman Old Style" w:cs="Arial"/>
          <w:bCs/>
        </w:rPr>
        <w:t xml:space="preserve"> liquidación</w:t>
      </w:r>
      <w:r>
        <w:rPr>
          <w:rFonts w:ascii="Bookman Old Style" w:hAnsi="Bookman Old Style" w:cs="Arial"/>
          <w:bCs/>
        </w:rPr>
        <w:t xml:space="preserve"> </w:t>
      </w:r>
      <w:r w:rsidR="00716079" w:rsidRPr="00716079">
        <w:rPr>
          <w:rFonts w:ascii="Bookman Old Style" w:hAnsi="Bookman Old Style" w:cs="Arial"/>
          <w:bCs/>
        </w:rPr>
        <w:t>de cobro de la contribución correspondiente a alguno de los últimos cinco (5) años, contados a partir del 201</w:t>
      </w:r>
      <w:r w:rsidR="00716079">
        <w:rPr>
          <w:rFonts w:ascii="Bookman Old Style" w:hAnsi="Bookman Old Style" w:cs="Arial"/>
          <w:bCs/>
        </w:rPr>
        <w:t>6</w:t>
      </w:r>
      <w:r w:rsidR="00716079" w:rsidRPr="00716079">
        <w:rPr>
          <w:rFonts w:ascii="Bookman Old Style" w:hAnsi="Bookman Old Style" w:cs="Arial"/>
          <w:bCs/>
        </w:rPr>
        <w:t xml:space="preserve"> y hasta el 20</w:t>
      </w:r>
      <w:r w:rsidR="00716079">
        <w:rPr>
          <w:rFonts w:ascii="Bookman Old Style" w:hAnsi="Bookman Old Style" w:cs="Arial"/>
          <w:bCs/>
        </w:rPr>
        <w:t>20</w:t>
      </w:r>
      <w:r w:rsidR="00716079" w:rsidRPr="00716079">
        <w:rPr>
          <w:rFonts w:ascii="Bookman Old Style" w:hAnsi="Bookman Old Style" w:cs="Arial"/>
          <w:bCs/>
        </w:rPr>
        <w:t xml:space="preserve">, debido entre otras causales, </w:t>
      </w:r>
      <w:r w:rsidR="00C256DB">
        <w:rPr>
          <w:rFonts w:ascii="Bookman Old Style" w:hAnsi="Bookman Old Style" w:cs="Arial"/>
          <w:bCs/>
        </w:rPr>
        <w:t>a</w:t>
      </w:r>
      <w:r w:rsidR="00716079" w:rsidRPr="00716079">
        <w:rPr>
          <w:rFonts w:ascii="Bookman Old Style" w:hAnsi="Bookman Old Style" w:cs="Arial"/>
          <w:bCs/>
        </w:rPr>
        <w:t>l no reporte de estados financieros en el SUI de la SSPD o el registro en el RUPS realizado en fecha posterior a la liquidación de la respectiva contribución de la vigencia relacionada.</w:t>
      </w:r>
    </w:p>
    <w:p w14:paraId="53E7B9BB" w14:textId="77777777" w:rsidR="007B0DC1" w:rsidRDefault="007B0DC1" w:rsidP="00716079">
      <w:pPr>
        <w:ind w:left="0"/>
        <w:rPr>
          <w:rFonts w:ascii="Bookman Old Style" w:hAnsi="Bookman Old Style" w:cs="Arial"/>
          <w:bCs/>
        </w:rPr>
      </w:pPr>
    </w:p>
    <w:p w14:paraId="5E75C4EB" w14:textId="2339955F" w:rsidR="00716079" w:rsidRDefault="00716079" w:rsidP="00DA7611">
      <w:pPr>
        <w:ind w:left="0"/>
        <w:jc w:val="both"/>
        <w:rPr>
          <w:rFonts w:ascii="Bookman Old Style" w:hAnsi="Bookman Old Style" w:cs="Arial"/>
          <w:bCs/>
        </w:rPr>
      </w:pPr>
      <w:r w:rsidRPr="00716079">
        <w:rPr>
          <w:rFonts w:ascii="Bookman Old Style" w:hAnsi="Bookman Old Style" w:cs="Arial"/>
          <w:bCs/>
        </w:rPr>
        <w:lastRenderedPageBreak/>
        <w:t>Aquellas empresas reguladas que no han reportado y que reporten posterior a la publicación de la presente resolución de contribución especial, se liquidar</w:t>
      </w:r>
      <w:r w:rsidR="00C256DB">
        <w:rPr>
          <w:rFonts w:ascii="Bookman Old Style" w:hAnsi="Bookman Old Style" w:cs="Arial"/>
          <w:bCs/>
        </w:rPr>
        <w:t>á</w:t>
      </w:r>
      <w:r w:rsidRPr="00716079">
        <w:rPr>
          <w:rFonts w:ascii="Bookman Old Style" w:hAnsi="Bookman Old Style" w:cs="Arial"/>
          <w:bCs/>
        </w:rPr>
        <w:t xml:space="preserve">n en las próximas vigencias </w:t>
      </w:r>
      <w:r>
        <w:rPr>
          <w:rFonts w:ascii="Bookman Old Style" w:hAnsi="Bookman Old Style" w:cs="Arial"/>
          <w:bCs/>
        </w:rPr>
        <w:t xml:space="preserve">con base en la metodología para hallar la base gravable y </w:t>
      </w:r>
      <w:r w:rsidR="00D54821">
        <w:rPr>
          <w:rFonts w:ascii="Bookman Old Style" w:hAnsi="Bookman Old Style" w:cs="Arial"/>
          <w:bCs/>
        </w:rPr>
        <w:t>la tarifa</w:t>
      </w:r>
      <w:r w:rsidRPr="00716079">
        <w:rPr>
          <w:rFonts w:ascii="Bookman Old Style" w:hAnsi="Bookman Old Style" w:cs="Arial"/>
          <w:bCs/>
        </w:rPr>
        <w:t xml:space="preserve"> generad</w:t>
      </w:r>
      <w:r w:rsidR="00D54821">
        <w:rPr>
          <w:rFonts w:ascii="Bookman Old Style" w:hAnsi="Bookman Old Style" w:cs="Arial"/>
          <w:bCs/>
        </w:rPr>
        <w:t>a</w:t>
      </w:r>
      <w:r w:rsidRPr="00716079">
        <w:rPr>
          <w:rFonts w:ascii="Bookman Old Style" w:hAnsi="Bookman Old Style" w:cs="Arial"/>
          <w:bCs/>
        </w:rPr>
        <w:t xml:space="preserve"> en cada año de reporte.</w:t>
      </w:r>
    </w:p>
    <w:p w14:paraId="65F7A665" w14:textId="77777777" w:rsidR="002F31C8" w:rsidRDefault="002F31C8" w:rsidP="00716079">
      <w:pPr>
        <w:ind w:left="0"/>
        <w:rPr>
          <w:rFonts w:ascii="Bookman Old Style" w:hAnsi="Bookman Old Style" w:cs="Arial"/>
          <w:bCs/>
        </w:rPr>
      </w:pPr>
    </w:p>
    <w:p w14:paraId="2F828A05" w14:textId="77777777" w:rsidR="0086405F" w:rsidRDefault="000848C5" w:rsidP="000848C5">
      <w:pPr>
        <w:ind w:left="0"/>
        <w:jc w:val="both"/>
        <w:rPr>
          <w:rFonts w:ascii="Bookman Old Style" w:hAnsi="Bookman Old Style" w:cs="Arial"/>
        </w:rPr>
      </w:pPr>
      <w:r>
        <w:rPr>
          <w:rFonts w:ascii="Bookman Old Style" w:hAnsi="Bookman Old Style" w:cs="Arial"/>
          <w:b/>
          <w:bCs/>
        </w:rPr>
        <w:t xml:space="preserve">PARÁGRAFO </w:t>
      </w:r>
      <w:r w:rsidR="00D54821">
        <w:rPr>
          <w:rFonts w:ascii="Bookman Old Style" w:hAnsi="Bookman Old Style" w:cs="Arial"/>
          <w:b/>
          <w:bCs/>
        </w:rPr>
        <w:t>2</w:t>
      </w:r>
      <w:r>
        <w:rPr>
          <w:rFonts w:ascii="Bookman Old Style" w:hAnsi="Bookman Old Style" w:cs="Arial"/>
          <w:b/>
          <w:bCs/>
        </w:rPr>
        <w:t xml:space="preserve">. </w:t>
      </w:r>
      <w:r w:rsidR="00BC4A8E" w:rsidRPr="00B801E6">
        <w:rPr>
          <w:rFonts w:ascii="Bookman Old Style" w:hAnsi="Bookman Old Style" w:cs="Arial"/>
          <w:bCs/>
          <w:lang w:val="es-CO"/>
        </w:rPr>
        <w:t>Se aplicará el mismo régimen de sanción por mora</w:t>
      </w:r>
      <w:r w:rsidR="00BC4A8E">
        <w:rPr>
          <w:rFonts w:ascii="Bookman Old Style" w:hAnsi="Bookman Old Style" w:cs="Arial"/>
          <w:bCs/>
          <w:lang w:val="es-CO"/>
        </w:rPr>
        <w:t xml:space="preserve"> y liquidación de intereses de mora establecidos</w:t>
      </w:r>
      <w:r w:rsidR="00BC4A8E" w:rsidRPr="00B801E6">
        <w:rPr>
          <w:rFonts w:ascii="Bookman Old Style" w:hAnsi="Bookman Old Style" w:cs="Arial"/>
          <w:bCs/>
          <w:lang w:val="es-CO"/>
        </w:rPr>
        <w:t xml:space="preserve"> </w:t>
      </w:r>
      <w:r w:rsidR="00BC4A8E">
        <w:rPr>
          <w:rFonts w:ascii="Bookman Old Style" w:hAnsi="Bookman Old Style" w:cs="Arial"/>
          <w:bCs/>
          <w:lang w:val="es-CO"/>
        </w:rPr>
        <w:t xml:space="preserve">en el Estatuto Tributario Nacional </w:t>
      </w:r>
      <w:r w:rsidR="00BC4A8E" w:rsidRPr="00B801E6">
        <w:rPr>
          <w:rFonts w:ascii="Bookman Old Style" w:hAnsi="Bookman Old Style" w:cs="Arial"/>
          <w:bCs/>
          <w:lang w:val="es-CO"/>
        </w:rPr>
        <w:t>para el impuesto sobre la renta y complementarios</w:t>
      </w:r>
      <w:r w:rsidR="00BC4A8E">
        <w:rPr>
          <w:rFonts w:ascii="Bookman Old Style" w:hAnsi="Bookman Old Style" w:cs="Arial"/>
          <w:bCs/>
          <w:lang w:val="es-CO"/>
        </w:rPr>
        <w:t>.</w:t>
      </w:r>
      <w:r w:rsidR="00BC4A8E">
        <w:rPr>
          <w:rFonts w:ascii="Bookman Old Style" w:hAnsi="Bookman Old Style" w:cs="Arial"/>
        </w:rPr>
        <w:t xml:space="preserve"> </w:t>
      </w:r>
    </w:p>
    <w:p w14:paraId="18048402" w14:textId="77777777" w:rsidR="0086405F" w:rsidRDefault="0086405F" w:rsidP="000848C5">
      <w:pPr>
        <w:ind w:left="0"/>
        <w:jc w:val="both"/>
        <w:rPr>
          <w:rFonts w:ascii="Bookman Old Style" w:hAnsi="Bookman Old Style" w:cs="Arial"/>
        </w:rPr>
      </w:pPr>
    </w:p>
    <w:p w14:paraId="2056723A" w14:textId="3DF5C147" w:rsidR="000848C5" w:rsidRDefault="000848C5" w:rsidP="000848C5">
      <w:pPr>
        <w:ind w:left="0"/>
        <w:jc w:val="both"/>
        <w:rPr>
          <w:rFonts w:ascii="Bookman Old Style" w:hAnsi="Bookman Old Style" w:cs="Arial"/>
        </w:rPr>
      </w:pPr>
      <w:r>
        <w:rPr>
          <w:rFonts w:ascii="Bookman Old Style" w:hAnsi="Bookman Old Style" w:cs="Arial"/>
        </w:rPr>
        <w:t>Se reportará a</w:t>
      </w:r>
      <w:r w:rsidRPr="00C4627C">
        <w:rPr>
          <w:rFonts w:ascii="Bookman Old Style" w:hAnsi="Bookman Old Style" w:cs="Arial"/>
        </w:rPr>
        <w:t xml:space="preserve">l Boletín de Deudores Morosos del Estado </w:t>
      </w:r>
      <w:r>
        <w:rPr>
          <w:rFonts w:ascii="Bookman Old Style" w:hAnsi="Bookman Old Style" w:cs="Arial"/>
        </w:rPr>
        <w:t>(</w:t>
      </w:r>
      <w:r w:rsidRPr="00C4627C">
        <w:rPr>
          <w:rFonts w:ascii="Bookman Old Style" w:hAnsi="Bookman Old Style" w:cs="Arial"/>
        </w:rPr>
        <w:t>BDME</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Pr>
          <w:rFonts w:ascii="Bookman Old Style" w:hAnsi="Bookman Old Style" w:cs="Arial"/>
        </w:rPr>
        <w:t xml:space="preserve"> </w:t>
      </w:r>
      <w:r w:rsidRPr="00C4627C">
        <w:rPr>
          <w:rFonts w:ascii="Bookman Old Style" w:hAnsi="Bookman Old Style" w:cs="Arial"/>
        </w:rPr>
        <w:t>las personas naturales y jurídicas que</w:t>
      </w:r>
      <w:r>
        <w:rPr>
          <w:rFonts w:ascii="Bookman Old Style" w:hAnsi="Bookman Old Style" w:cs="Arial"/>
        </w:rPr>
        <w:t>,</w:t>
      </w:r>
      <w:r w:rsidRPr="00C4627C">
        <w:rPr>
          <w:rFonts w:ascii="Bookman Old Style" w:hAnsi="Bookman Old Style" w:cs="Arial"/>
        </w:rPr>
        <w:t xml:space="preserve"> a cualquier título, a una fecha de corte, tienen contraída una obligación </w:t>
      </w:r>
      <w:r>
        <w:rPr>
          <w:rFonts w:ascii="Bookman Old Style" w:hAnsi="Bookman Old Style" w:cs="Arial"/>
        </w:rPr>
        <w:t xml:space="preserve">en mora a favor de la CREG, según lo dispuesto y en las condiciones establecidas en </w:t>
      </w:r>
      <w:r w:rsidRPr="00C4627C">
        <w:rPr>
          <w:rFonts w:ascii="Bookman Old Style" w:hAnsi="Bookman Old Style" w:cs="Arial"/>
        </w:rPr>
        <w:t>el parágrafo 3º del artículo 2º de la Ley 901 de 2004, y del numeral 5º del Art</w:t>
      </w:r>
      <w:r>
        <w:rPr>
          <w:rFonts w:ascii="Bookman Old Style" w:hAnsi="Bookman Old Style" w:cs="Arial"/>
        </w:rPr>
        <w:t>ículo</w:t>
      </w:r>
      <w:r w:rsidRPr="00C4627C">
        <w:rPr>
          <w:rFonts w:ascii="Bookman Old Style" w:hAnsi="Bookman Old Style" w:cs="Arial"/>
        </w:rPr>
        <w:t xml:space="preserve"> 2º de la Ley 1066 de 2006</w:t>
      </w:r>
      <w:r>
        <w:rPr>
          <w:rFonts w:ascii="Bookman Old Style" w:hAnsi="Bookman Old Style" w:cs="Arial"/>
        </w:rPr>
        <w:t>;</w:t>
      </w:r>
      <w:r w:rsidRPr="00C4627C">
        <w:rPr>
          <w:rFonts w:ascii="Bookman Old Style" w:hAnsi="Bookman Old Style" w:cs="Arial"/>
        </w:rPr>
        <w:t xml:space="preserve"> </w:t>
      </w:r>
      <w:r>
        <w:rPr>
          <w:rFonts w:ascii="Bookman Old Style" w:hAnsi="Bookman Old Style" w:cs="Arial"/>
        </w:rPr>
        <w:t>a través del</w:t>
      </w:r>
      <w:r w:rsidRPr="00C4627C">
        <w:rPr>
          <w:rFonts w:ascii="Bookman Old Style" w:hAnsi="Bookman Old Style" w:cs="Arial"/>
        </w:rPr>
        <w:t xml:space="preserve"> sistema CHIP</w:t>
      </w:r>
      <w:r>
        <w:rPr>
          <w:rFonts w:ascii="Bookman Old Style" w:hAnsi="Bookman Old Style" w:cs="Arial"/>
        </w:rPr>
        <w:t xml:space="preserve"> de la CGN</w:t>
      </w:r>
      <w:r w:rsidRPr="00C4627C">
        <w:rPr>
          <w:rFonts w:ascii="Bookman Old Style" w:hAnsi="Bookman Old Style" w:cs="Arial"/>
        </w:rPr>
        <w:t xml:space="preserve">, en los </w:t>
      </w:r>
      <w:r>
        <w:rPr>
          <w:rFonts w:ascii="Bookman Old Style" w:hAnsi="Bookman Old Style" w:cs="Arial"/>
        </w:rPr>
        <w:t>diez (</w:t>
      </w:r>
      <w:r w:rsidRPr="00C4627C">
        <w:rPr>
          <w:rFonts w:ascii="Bookman Old Style" w:hAnsi="Bookman Old Style" w:cs="Arial"/>
        </w:rPr>
        <w:t>10</w:t>
      </w:r>
      <w:r>
        <w:rPr>
          <w:rFonts w:ascii="Bookman Old Style" w:hAnsi="Bookman Old Style" w:cs="Arial"/>
        </w:rPr>
        <w:t>)</w:t>
      </w:r>
      <w:r w:rsidRPr="00C4627C">
        <w:rPr>
          <w:rFonts w:ascii="Bookman Old Style" w:hAnsi="Bookman Old Style" w:cs="Arial"/>
        </w:rPr>
        <w:t xml:space="preserve"> primeros días de los meses de junio y de diciembre</w:t>
      </w:r>
      <w:r>
        <w:rPr>
          <w:rFonts w:ascii="Bookman Old Style" w:hAnsi="Bookman Old Style" w:cs="Arial"/>
        </w:rPr>
        <w:t>,</w:t>
      </w:r>
      <w:r w:rsidRPr="00C4627C">
        <w:rPr>
          <w:rFonts w:ascii="Bookman Old Style" w:hAnsi="Bookman Old Style" w:cs="Arial"/>
        </w:rPr>
        <w:t xml:space="preserve"> con fecha de corte </w:t>
      </w:r>
      <w:r>
        <w:rPr>
          <w:rFonts w:ascii="Bookman Old Style" w:hAnsi="Bookman Old Style" w:cs="Arial"/>
        </w:rPr>
        <w:t xml:space="preserve">de obligación adeudada a </w:t>
      </w:r>
      <w:r w:rsidRPr="00C4627C">
        <w:rPr>
          <w:rFonts w:ascii="Bookman Old Style" w:hAnsi="Bookman Old Style" w:cs="Arial"/>
        </w:rPr>
        <w:t xml:space="preserve">31 de mayo y </w:t>
      </w:r>
      <w:r>
        <w:rPr>
          <w:rFonts w:ascii="Bookman Old Style" w:hAnsi="Bookman Old Style" w:cs="Arial"/>
        </w:rPr>
        <w:t>30 de noviembre respectivamente.</w:t>
      </w:r>
    </w:p>
    <w:p w14:paraId="3E26CAA5" w14:textId="42ABA32D" w:rsidR="00BC4A8E" w:rsidRDefault="00BC4A8E" w:rsidP="000848C5">
      <w:pPr>
        <w:ind w:left="0"/>
        <w:jc w:val="both"/>
        <w:rPr>
          <w:rFonts w:ascii="Bookman Old Style" w:hAnsi="Bookman Old Style" w:cs="Arial"/>
        </w:rPr>
      </w:pPr>
    </w:p>
    <w:p w14:paraId="695DF55D" w14:textId="739E9588" w:rsidR="00C5402D" w:rsidRPr="00BC4A8E" w:rsidRDefault="00BC4A8E" w:rsidP="00BC4A8E">
      <w:pPr>
        <w:ind w:left="0"/>
        <w:jc w:val="both"/>
        <w:rPr>
          <w:rFonts w:ascii="Bookman Old Style" w:hAnsi="Bookman Old Style" w:cs="Arial"/>
        </w:rPr>
      </w:pPr>
      <w:r>
        <w:rPr>
          <w:rFonts w:ascii="Bookman Old Style" w:hAnsi="Bookman Old Style" w:cs="Arial"/>
          <w:b/>
          <w:bCs/>
        </w:rPr>
        <w:t xml:space="preserve">ARTÍCULO 4. VIGENCIA. </w:t>
      </w:r>
      <w:r w:rsidR="00C5402D" w:rsidRPr="00BC4A8E">
        <w:rPr>
          <w:rFonts w:ascii="Bookman Old Style" w:hAnsi="Bookman Old Style" w:cs="Arial"/>
        </w:rPr>
        <w:t>La presente resolución entra en vigencia una vez se publique en el Diario Oficial.</w:t>
      </w:r>
    </w:p>
    <w:p w14:paraId="295CBDAA" w14:textId="03580E66" w:rsidR="00BB3C8C" w:rsidRDefault="00BB3C8C" w:rsidP="00202031">
      <w:pPr>
        <w:ind w:left="0"/>
      </w:pPr>
    </w:p>
    <w:p w14:paraId="549AE84B" w14:textId="77777777" w:rsidR="00C5402D" w:rsidRPr="00A61EF1" w:rsidRDefault="00C5402D" w:rsidP="000A0E2C">
      <w:pPr>
        <w:jc w:val="center"/>
        <w:rPr>
          <w:rFonts w:ascii="Bookman Old Style" w:hAnsi="Bookman Old Style"/>
          <w:b/>
        </w:rPr>
      </w:pPr>
      <w:r w:rsidRPr="00A61EF1">
        <w:rPr>
          <w:rFonts w:ascii="Bookman Old Style" w:hAnsi="Bookman Old Style"/>
          <w:b/>
        </w:rPr>
        <w:t>PUBLÍQUESE Y CÚMPLASE</w:t>
      </w:r>
    </w:p>
    <w:p w14:paraId="55CE7A95" w14:textId="30AB3764" w:rsidR="00C5402D" w:rsidRDefault="00C5402D" w:rsidP="00202031">
      <w:pPr>
        <w:ind w:left="0"/>
        <w:rPr>
          <w:rFonts w:ascii="Bookman Old Style" w:hAnsi="Bookman Old Style"/>
        </w:rPr>
      </w:pPr>
    </w:p>
    <w:p w14:paraId="6D419133" w14:textId="6C999081" w:rsidR="00C5402D" w:rsidRPr="00A61EF1" w:rsidRDefault="001E4A38" w:rsidP="000A0E2C">
      <w:pPr>
        <w:spacing w:line="259" w:lineRule="auto"/>
        <w:ind w:left="0"/>
        <w:rPr>
          <w:rFonts w:ascii="Bookman Old Style" w:hAnsi="Bookman Old Style"/>
        </w:rPr>
      </w:pPr>
      <w:r>
        <w:rPr>
          <w:rFonts w:ascii="Bookman Old Style" w:hAnsi="Bookman Old Style"/>
        </w:rPr>
        <w:t>Firma del proyecto,</w:t>
      </w:r>
    </w:p>
    <w:tbl>
      <w:tblPr>
        <w:tblW w:w="8789" w:type="dxa"/>
        <w:jc w:val="center"/>
        <w:tblCellSpacing w:w="0" w:type="dxa"/>
        <w:tblCellMar>
          <w:left w:w="0" w:type="dxa"/>
          <w:right w:w="0" w:type="dxa"/>
        </w:tblCellMar>
        <w:tblLook w:val="04A0" w:firstRow="1" w:lastRow="0" w:firstColumn="1" w:lastColumn="0" w:noHBand="0" w:noVBand="1"/>
      </w:tblPr>
      <w:tblGrid>
        <w:gridCol w:w="4111"/>
        <w:gridCol w:w="4678"/>
      </w:tblGrid>
      <w:tr w:rsidR="001E4A38" w:rsidRPr="00A72BBD" w14:paraId="33B4531B" w14:textId="77777777" w:rsidTr="00B62BD2">
        <w:trPr>
          <w:trHeight w:val="1685"/>
          <w:tblCellSpacing w:w="0" w:type="dxa"/>
          <w:jc w:val="center"/>
        </w:trPr>
        <w:tc>
          <w:tcPr>
            <w:tcW w:w="4111" w:type="dxa"/>
          </w:tcPr>
          <w:p w14:paraId="13469A08" w14:textId="77777777" w:rsidR="001E4A38" w:rsidRDefault="001E4A38" w:rsidP="00B62BD2">
            <w:pPr>
              <w:rPr>
                <w:rFonts w:ascii="Bookman Old Style" w:hAnsi="Bookman Old Style" w:cs="Arial"/>
                <w:b/>
                <w:spacing w:val="-3"/>
              </w:rPr>
            </w:pPr>
          </w:p>
          <w:p w14:paraId="168FD23E" w14:textId="77777777" w:rsidR="001E4A38" w:rsidRPr="00A72BBD" w:rsidRDefault="001E4A38" w:rsidP="00B62BD2">
            <w:pPr>
              <w:rPr>
                <w:rFonts w:ascii="Bookman Old Style" w:hAnsi="Bookman Old Style" w:cs="Arial"/>
                <w:b/>
                <w:spacing w:val="-3"/>
              </w:rPr>
            </w:pPr>
          </w:p>
          <w:p w14:paraId="268143E1" w14:textId="77777777" w:rsidR="001E4A38" w:rsidRDefault="001E4A38" w:rsidP="00B62BD2">
            <w:pPr>
              <w:ind w:left="66"/>
              <w:jc w:val="center"/>
              <w:rPr>
                <w:rFonts w:ascii="Bookman Old Style" w:hAnsi="Bookman Old Style" w:cs="Arial"/>
                <w:b/>
                <w:spacing w:val="-3"/>
              </w:rPr>
            </w:pPr>
          </w:p>
          <w:p w14:paraId="4815E0C9" w14:textId="77777777" w:rsidR="001E4A38" w:rsidRPr="00A72BBD" w:rsidRDefault="001E4A38" w:rsidP="00B62BD2">
            <w:pPr>
              <w:ind w:left="66"/>
              <w:jc w:val="center"/>
              <w:rPr>
                <w:rFonts w:ascii="Bookman Old Style" w:hAnsi="Bookman Old Style" w:cs="Arial"/>
                <w:b/>
                <w:spacing w:val="-3"/>
              </w:rPr>
            </w:pPr>
          </w:p>
          <w:p w14:paraId="0A5D54E4" w14:textId="77777777" w:rsidR="001E4A38" w:rsidRPr="00A72BBD" w:rsidRDefault="001E4A38" w:rsidP="00B62BD2">
            <w:pPr>
              <w:ind w:left="66"/>
              <w:jc w:val="center"/>
              <w:rPr>
                <w:rFonts w:ascii="Bookman Old Style" w:hAnsi="Bookman Old Style" w:cs="Arial"/>
                <w:b/>
                <w:spacing w:val="-3"/>
              </w:rPr>
            </w:pPr>
          </w:p>
          <w:p w14:paraId="398E6873" w14:textId="77777777" w:rsidR="001E4A38" w:rsidRPr="00A72BBD" w:rsidRDefault="001E4A38" w:rsidP="00B62BD2">
            <w:pPr>
              <w:ind w:left="66"/>
              <w:jc w:val="center"/>
              <w:rPr>
                <w:rFonts w:ascii="Bookman Old Style" w:hAnsi="Bookman Old Style" w:cs="Arial"/>
                <w:b/>
                <w:spacing w:val="-3"/>
              </w:rPr>
            </w:pPr>
            <w:r>
              <w:rPr>
                <w:rFonts w:ascii="Bookman Old Style" w:hAnsi="Bookman Old Style" w:cs="Arial"/>
                <w:b/>
              </w:rPr>
              <w:t>MIGUEL LOTERO ROBLEDO</w:t>
            </w:r>
          </w:p>
        </w:tc>
        <w:tc>
          <w:tcPr>
            <w:tcW w:w="4678" w:type="dxa"/>
          </w:tcPr>
          <w:p w14:paraId="2749D168" w14:textId="77777777" w:rsidR="001E4A38" w:rsidRPr="00A72BBD" w:rsidRDefault="001E4A38" w:rsidP="00B62BD2">
            <w:pPr>
              <w:ind w:left="89"/>
              <w:jc w:val="center"/>
              <w:rPr>
                <w:rFonts w:ascii="Bookman Old Style" w:hAnsi="Bookman Old Style" w:cs="Arial"/>
                <w:b/>
                <w:spacing w:val="-3"/>
              </w:rPr>
            </w:pPr>
          </w:p>
          <w:p w14:paraId="55F33D26" w14:textId="77777777" w:rsidR="001E4A38" w:rsidRPr="00A72BBD" w:rsidRDefault="001E4A38" w:rsidP="00B62BD2">
            <w:pPr>
              <w:ind w:left="89"/>
              <w:jc w:val="center"/>
              <w:rPr>
                <w:rFonts w:ascii="Bookman Old Style" w:hAnsi="Bookman Old Style" w:cs="Arial"/>
                <w:b/>
                <w:spacing w:val="-3"/>
              </w:rPr>
            </w:pPr>
          </w:p>
          <w:p w14:paraId="6F7DC7BF" w14:textId="77777777" w:rsidR="001E4A38" w:rsidRPr="00A72BBD" w:rsidRDefault="001E4A38" w:rsidP="00B62BD2">
            <w:pPr>
              <w:ind w:left="89"/>
              <w:jc w:val="center"/>
              <w:rPr>
                <w:rFonts w:ascii="Bookman Old Style" w:hAnsi="Bookman Old Style" w:cs="Arial"/>
                <w:b/>
                <w:spacing w:val="-3"/>
              </w:rPr>
            </w:pPr>
          </w:p>
          <w:p w14:paraId="0623AD9F" w14:textId="77777777" w:rsidR="001E4A38" w:rsidRDefault="001E4A38" w:rsidP="00B62BD2">
            <w:pPr>
              <w:ind w:left="89"/>
              <w:jc w:val="center"/>
              <w:rPr>
                <w:rFonts w:ascii="Bookman Old Style" w:hAnsi="Bookman Old Style" w:cs="Arial"/>
                <w:b/>
                <w:spacing w:val="-3"/>
              </w:rPr>
            </w:pPr>
          </w:p>
          <w:p w14:paraId="21C86E67" w14:textId="77777777" w:rsidR="001E4A38" w:rsidRPr="00A72BBD" w:rsidRDefault="001E4A38" w:rsidP="00B62BD2">
            <w:pPr>
              <w:ind w:left="89"/>
              <w:jc w:val="center"/>
              <w:rPr>
                <w:rFonts w:ascii="Bookman Old Style" w:hAnsi="Bookman Old Style" w:cs="Arial"/>
                <w:b/>
                <w:spacing w:val="-3"/>
              </w:rPr>
            </w:pPr>
          </w:p>
          <w:p w14:paraId="21401D64" w14:textId="77777777" w:rsidR="001E4A38" w:rsidRPr="00A72BBD" w:rsidRDefault="001E4A38" w:rsidP="00B62BD2">
            <w:pPr>
              <w:ind w:left="89"/>
              <w:jc w:val="center"/>
              <w:rPr>
                <w:rFonts w:ascii="Bookman Old Style" w:hAnsi="Bookman Old Style" w:cs="Arial"/>
                <w:b/>
                <w:spacing w:val="-3"/>
              </w:rPr>
            </w:pPr>
            <w:r w:rsidRPr="00A72BBD">
              <w:rPr>
                <w:rFonts w:ascii="Bookman Old Style" w:hAnsi="Bookman Old Style" w:cs="Arial"/>
                <w:b/>
                <w:spacing w:val="-3"/>
              </w:rPr>
              <w:t>JORGE ALBERTO VALENCIA MARIN</w:t>
            </w:r>
          </w:p>
        </w:tc>
      </w:tr>
      <w:tr w:rsidR="001E4A38" w:rsidRPr="00A72BBD" w14:paraId="247F3ECC" w14:textId="77777777" w:rsidTr="00B62BD2">
        <w:trPr>
          <w:trHeight w:val="285"/>
          <w:tblCellSpacing w:w="0" w:type="dxa"/>
          <w:jc w:val="center"/>
        </w:trPr>
        <w:tc>
          <w:tcPr>
            <w:tcW w:w="4111" w:type="dxa"/>
            <w:hideMark/>
          </w:tcPr>
          <w:p w14:paraId="27E4FB1E" w14:textId="77777777" w:rsidR="001E4A38" w:rsidRPr="00A72BBD" w:rsidRDefault="001E4A38" w:rsidP="00B62BD2">
            <w:pPr>
              <w:ind w:left="66"/>
              <w:jc w:val="center"/>
              <w:rPr>
                <w:rFonts w:ascii="Bookman Old Style" w:eastAsia="Arial Unicode MS" w:hAnsi="Bookman Old Style" w:cs="Arial"/>
                <w:color w:val="000000"/>
              </w:rPr>
            </w:pPr>
            <w:r>
              <w:rPr>
                <w:rFonts w:ascii="Bookman Old Style" w:hAnsi="Bookman Old Style" w:cs="Arial"/>
                <w:lang w:val="es-CO" w:eastAsia="es-CO"/>
              </w:rPr>
              <w:t xml:space="preserve">Viceministro de Energía, delegado del </w:t>
            </w:r>
            <w:r w:rsidRPr="00A72BBD">
              <w:rPr>
                <w:rFonts w:ascii="Bookman Old Style" w:hAnsi="Bookman Old Style" w:cs="Arial"/>
                <w:lang w:val="es-CO" w:eastAsia="es-CO"/>
              </w:rPr>
              <w:t>Ministro de Minas y Energía</w:t>
            </w:r>
          </w:p>
        </w:tc>
        <w:tc>
          <w:tcPr>
            <w:tcW w:w="4678" w:type="dxa"/>
            <w:hideMark/>
          </w:tcPr>
          <w:p w14:paraId="16826C3E" w14:textId="77777777" w:rsidR="001E4A38" w:rsidRPr="00A72BBD" w:rsidRDefault="001E4A38" w:rsidP="00B62BD2">
            <w:pPr>
              <w:jc w:val="center"/>
              <w:rPr>
                <w:rFonts w:ascii="Bookman Old Style" w:eastAsia="Arial Unicode MS" w:hAnsi="Bookman Old Style" w:cs="Arial"/>
                <w:color w:val="000000"/>
              </w:rPr>
            </w:pPr>
            <w:r w:rsidRPr="00A72BBD">
              <w:rPr>
                <w:rFonts w:ascii="Bookman Old Style" w:hAnsi="Bookman Old Style" w:cs="Arial"/>
                <w:spacing w:val="-3"/>
              </w:rPr>
              <w:t>Director Ejecutivo</w:t>
            </w:r>
          </w:p>
        </w:tc>
      </w:tr>
      <w:tr w:rsidR="001E4A38" w:rsidRPr="00A72BBD" w14:paraId="130D6A95" w14:textId="77777777" w:rsidTr="00B62BD2">
        <w:trPr>
          <w:trHeight w:val="285"/>
          <w:tblCellSpacing w:w="0" w:type="dxa"/>
          <w:jc w:val="center"/>
        </w:trPr>
        <w:tc>
          <w:tcPr>
            <w:tcW w:w="4111" w:type="dxa"/>
            <w:hideMark/>
          </w:tcPr>
          <w:p w14:paraId="4098DB65" w14:textId="77777777" w:rsidR="001E4A38" w:rsidRPr="00A72BBD" w:rsidRDefault="001E4A38" w:rsidP="00B62BD2">
            <w:pPr>
              <w:ind w:left="66"/>
              <w:jc w:val="center"/>
              <w:rPr>
                <w:rFonts w:ascii="Bookman Old Style" w:eastAsia="Arial Unicode MS" w:hAnsi="Bookman Old Style" w:cs="Arial"/>
                <w:color w:val="000000"/>
              </w:rPr>
            </w:pPr>
            <w:r w:rsidRPr="00A72BBD">
              <w:rPr>
                <w:rFonts w:ascii="Bookman Old Style" w:hAnsi="Bookman Old Style" w:cs="Arial"/>
                <w:spacing w:val="-3"/>
              </w:rPr>
              <w:t>Presidente</w:t>
            </w:r>
          </w:p>
        </w:tc>
        <w:tc>
          <w:tcPr>
            <w:tcW w:w="4678" w:type="dxa"/>
          </w:tcPr>
          <w:p w14:paraId="43258FE0" w14:textId="77777777" w:rsidR="001E4A38" w:rsidRPr="00A72BBD" w:rsidRDefault="001E4A38" w:rsidP="00B62BD2">
            <w:pPr>
              <w:jc w:val="center"/>
              <w:rPr>
                <w:rFonts w:ascii="Bookman Old Style" w:eastAsia="Arial Unicode MS" w:hAnsi="Bookman Old Style" w:cs="Arial"/>
                <w:color w:val="000000"/>
              </w:rPr>
            </w:pPr>
          </w:p>
        </w:tc>
      </w:tr>
    </w:tbl>
    <w:p w14:paraId="5CCC0F09" w14:textId="77777777" w:rsidR="00C5402D" w:rsidRPr="00A61EF1" w:rsidRDefault="00C5402D" w:rsidP="000A0E2C">
      <w:pPr>
        <w:rPr>
          <w:rFonts w:ascii="Bookman Old Style" w:hAnsi="Bookman Old Style"/>
        </w:rPr>
      </w:pPr>
    </w:p>
    <w:p w14:paraId="1B69AA15" w14:textId="38BEA12E" w:rsidR="00C5402D" w:rsidRDefault="00C5402D" w:rsidP="000A0E2C">
      <w:pPr>
        <w:rPr>
          <w:rFonts w:ascii="Bookman Old Style" w:hAnsi="Bookman Old Style"/>
        </w:rPr>
      </w:pPr>
    </w:p>
    <w:tbl>
      <w:tblPr>
        <w:tblW w:w="10267" w:type="dxa"/>
        <w:jc w:val="right"/>
        <w:tblLayout w:type="fixed"/>
        <w:tblCellMar>
          <w:left w:w="70" w:type="dxa"/>
          <w:right w:w="70" w:type="dxa"/>
        </w:tblCellMar>
        <w:tblLook w:val="0000" w:firstRow="0" w:lastRow="0" w:firstColumn="0" w:lastColumn="0" w:noHBand="0" w:noVBand="0"/>
      </w:tblPr>
      <w:tblGrid>
        <w:gridCol w:w="4369"/>
        <w:gridCol w:w="5898"/>
      </w:tblGrid>
      <w:tr w:rsidR="00C5402D" w:rsidRPr="00A61EF1" w14:paraId="2C0A658C" w14:textId="77777777" w:rsidTr="004C63F0">
        <w:trPr>
          <w:jc w:val="right"/>
        </w:trPr>
        <w:tc>
          <w:tcPr>
            <w:tcW w:w="4369" w:type="dxa"/>
          </w:tcPr>
          <w:p w14:paraId="481C3EA1" w14:textId="77777777" w:rsidR="00C5402D" w:rsidRPr="00A61EF1" w:rsidRDefault="00C5402D" w:rsidP="001E4A38">
            <w:pPr>
              <w:ind w:left="0"/>
              <w:rPr>
                <w:rFonts w:ascii="Bookman Old Style" w:hAnsi="Bookman Old Style" w:cs="Arial"/>
                <w:spacing w:val="-3"/>
                <w:lang w:val="es-ES_tradnl"/>
              </w:rPr>
            </w:pPr>
          </w:p>
        </w:tc>
        <w:tc>
          <w:tcPr>
            <w:tcW w:w="5898" w:type="dxa"/>
          </w:tcPr>
          <w:p w14:paraId="7E9B6F51" w14:textId="77777777" w:rsidR="00C5402D" w:rsidRPr="00A61EF1" w:rsidRDefault="00C5402D" w:rsidP="000A0E2C">
            <w:pPr>
              <w:rPr>
                <w:rFonts w:ascii="Bookman Old Style" w:hAnsi="Bookman Old Style" w:cs="Arial"/>
                <w:spacing w:val="-3"/>
                <w:lang w:val="es-ES_tradnl"/>
              </w:rPr>
            </w:pPr>
          </w:p>
        </w:tc>
      </w:tr>
    </w:tbl>
    <w:p w14:paraId="29970DA2" w14:textId="6392EE85" w:rsidR="00E060BE" w:rsidRPr="00E060BE" w:rsidRDefault="00E060BE" w:rsidP="000A0E2C">
      <w:pPr>
        <w:ind w:left="0"/>
        <w:rPr>
          <w:rFonts w:ascii="Bookman Old Style" w:hAnsi="Bookman Old Style" w:cs="Arial"/>
        </w:rPr>
      </w:pPr>
    </w:p>
    <w:sectPr w:rsidR="00E060BE" w:rsidRPr="00E060BE"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CFCC" w14:textId="77777777" w:rsidR="004C4F1A" w:rsidRDefault="004C4F1A">
      <w:r>
        <w:separator/>
      </w:r>
    </w:p>
  </w:endnote>
  <w:endnote w:type="continuationSeparator" w:id="0">
    <w:p w14:paraId="7249AD45" w14:textId="77777777" w:rsidR="004C4F1A" w:rsidRDefault="004C4F1A">
      <w:r>
        <w:continuationSeparator/>
      </w:r>
    </w:p>
  </w:endnote>
  <w:endnote w:type="continuationNotice" w:id="1">
    <w:p w14:paraId="1CE845F6" w14:textId="77777777" w:rsidR="004C4F1A" w:rsidRDefault="004C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394F" w14:textId="77777777" w:rsidR="004C4F1A" w:rsidRDefault="004C4F1A">
      <w:r>
        <w:separator/>
      </w:r>
    </w:p>
  </w:footnote>
  <w:footnote w:type="continuationSeparator" w:id="0">
    <w:p w14:paraId="4B4AA5FF" w14:textId="77777777" w:rsidR="004C4F1A" w:rsidRDefault="004C4F1A">
      <w:r>
        <w:continuationSeparator/>
      </w:r>
    </w:p>
  </w:footnote>
  <w:footnote w:type="continuationNotice" w:id="1">
    <w:p w14:paraId="67F3BA69" w14:textId="77777777" w:rsidR="004C4F1A" w:rsidRDefault="004C4F1A"/>
  </w:footnote>
  <w:footnote w:id="2">
    <w:p w14:paraId="0B0A2504" w14:textId="77777777" w:rsidR="000A0E2C" w:rsidRPr="00667464" w:rsidRDefault="000A0E2C" w:rsidP="000A0E2C">
      <w:pPr>
        <w:pStyle w:val="Textonotapie"/>
        <w:rPr>
          <w:rFonts w:ascii="Bookman Old Style" w:hAnsi="Bookman Old Style"/>
        </w:rPr>
      </w:pPr>
      <w:r w:rsidRPr="00667464">
        <w:rPr>
          <w:rStyle w:val="Refdenotaalpie"/>
          <w:rFonts w:ascii="Bookman Old Style" w:hAnsi="Bookman Old Style"/>
        </w:rPr>
        <w:footnoteRef/>
      </w:r>
      <w:r w:rsidRPr="00667464">
        <w:rPr>
          <w:rFonts w:ascii="Bookman Old Style" w:hAnsi="Bookman Old Style"/>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3">
    <w:p w14:paraId="1F3AAE59" w14:textId="77777777" w:rsidR="000A0E2C" w:rsidRPr="00667464" w:rsidRDefault="000A0E2C" w:rsidP="000A0E2C">
      <w:pPr>
        <w:pStyle w:val="Textonotapie"/>
        <w:rPr>
          <w:rFonts w:ascii="Bookman Old Style" w:hAnsi="Bookman Old Style"/>
        </w:rPr>
      </w:pPr>
      <w:r w:rsidRPr="00667464">
        <w:rPr>
          <w:rStyle w:val="Refdenotaalpie"/>
          <w:rFonts w:ascii="Bookman Old Style" w:hAnsi="Bookman Old Style"/>
        </w:rPr>
        <w:footnoteRef/>
      </w:r>
      <w:r w:rsidRPr="00667464">
        <w:rPr>
          <w:rFonts w:ascii="Bookman Old Style" w:hAnsi="Bookman Old Style"/>
        </w:rPr>
        <w:t xml:space="preserve"> Por medio del cual se expide el Decreto Único Reglamentario</w:t>
      </w:r>
      <w:r>
        <w:rPr>
          <w:rFonts w:ascii="Bookman Old Style" w:hAnsi="Bookman Old Style"/>
        </w:rPr>
        <w:t xml:space="preserve"> – DUR</w:t>
      </w:r>
      <w:r w:rsidRPr="00667464">
        <w:rPr>
          <w:rFonts w:ascii="Bookman Old Style" w:hAnsi="Bookman Old Style"/>
        </w:rPr>
        <w:t xml:space="preserve"> de las Normas de Contabilidad, de Información Financiera y Aseguramiento de la Información y se dictan otras disposiciones.</w:t>
      </w:r>
    </w:p>
  </w:footnote>
  <w:footnote w:id="4">
    <w:p w14:paraId="293F4009" w14:textId="77777777" w:rsidR="000A0E2C" w:rsidRPr="00667464" w:rsidRDefault="000A0E2C" w:rsidP="000A0E2C">
      <w:pPr>
        <w:pStyle w:val="Textonotapie"/>
        <w:rPr>
          <w:rFonts w:ascii="Bookman Old Style" w:hAnsi="Bookman Old Style"/>
        </w:rPr>
      </w:pPr>
      <w:r w:rsidRPr="00667464">
        <w:rPr>
          <w:rStyle w:val="Refdenotaalpie"/>
          <w:rFonts w:ascii="Bookman Old Style" w:hAnsi="Bookman Old Style"/>
        </w:rPr>
        <w:footnoteRef/>
      </w:r>
      <w:r w:rsidRPr="00667464">
        <w:rPr>
          <w:rFonts w:ascii="Bookman Old Style" w:hAnsi="Bookman Old Style"/>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5">
    <w:p w14:paraId="7A88597B" w14:textId="77777777" w:rsidR="000A0E2C" w:rsidRPr="00667464" w:rsidRDefault="000A0E2C" w:rsidP="000A0E2C">
      <w:pPr>
        <w:pStyle w:val="Textonotapie"/>
        <w:rPr>
          <w:rFonts w:ascii="Bookman Old Style" w:hAnsi="Bookman Old Style"/>
        </w:rPr>
      </w:pPr>
      <w:r w:rsidRPr="00667464">
        <w:rPr>
          <w:rStyle w:val="Refdenotaalpie"/>
          <w:rFonts w:ascii="Bookman Old Style" w:hAnsi="Bookman Old Style"/>
        </w:rPr>
        <w:footnoteRef/>
      </w:r>
      <w:r w:rsidRPr="00667464">
        <w:rPr>
          <w:rFonts w:ascii="Bookman Old Style" w:hAnsi="Bookman Old Style"/>
        </w:rPr>
        <w:t xml:space="preserve"> Por la cual se incorpora en el Régimen de Contabilidad Pública, el marco normativo aplicable para algunas empresas sujetas a su ámbito y se dictan otras disposiciones.</w:t>
      </w:r>
    </w:p>
  </w:footnote>
  <w:footnote w:id="6">
    <w:p w14:paraId="5BDDB712" w14:textId="77777777" w:rsidR="000A0E2C" w:rsidRPr="00667464" w:rsidRDefault="000A0E2C" w:rsidP="000A0E2C">
      <w:pPr>
        <w:pStyle w:val="Textonotapie"/>
        <w:rPr>
          <w:rFonts w:ascii="Bookman Old Style" w:hAnsi="Bookman Old Style"/>
        </w:rPr>
      </w:pPr>
      <w:r w:rsidRPr="00667464">
        <w:rPr>
          <w:rStyle w:val="Refdenotaalpie"/>
          <w:rFonts w:ascii="Bookman Old Style" w:hAnsi="Bookman Old Style"/>
        </w:rPr>
        <w:footnoteRef/>
      </w:r>
      <w:r w:rsidRPr="00667464">
        <w:rPr>
          <w:rFonts w:ascii="Bookman Old Style" w:hAnsi="Bookman Old Style"/>
        </w:rPr>
        <w:t xml:space="preserve"> Por la cual se incorpora en el Régimen de Contabilidad Pública, el marco normativo aplicable a entidades de gobierno y se dictan otras disposiciones.</w:t>
      </w:r>
    </w:p>
  </w:footnote>
  <w:footnote w:id="7">
    <w:p w14:paraId="63C52340" w14:textId="77777777" w:rsidR="000A0E2C" w:rsidRPr="00667464" w:rsidRDefault="000A0E2C" w:rsidP="000A0E2C">
      <w:pPr>
        <w:pStyle w:val="Textonotapie"/>
        <w:rPr>
          <w:rFonts w:ascii="Bookman Old Style" w:hAnsi="Bookman Old Style"/>
        </w:rPr>
      </w:pPr>
      <w:r w:rsidRPr="00667464">
        <w:rPr>
          <w:rStyle w:val="Refdenotaalpie"/>
          <w:rFonts w:ascii="Bookman Old Style" w:hAnsi="Bookman Old Style"/>
        </w:rPr>
        <w:footnoteRef/>
      </w:r>
      <w:r w:rsidRPr="00667464">
        <w:rPr>
          <w:rFonts w:ascii="Bookman Old Style" w:hAnsi="Bookman Old Style"/>
        </w:rPr>
        <w:t xml:space="preserve"> por la cual se regula el marco normativo para empresas que coticen en el Mercado de Valores o que capten o administren ahorro del público.</w:t>
      </w:r>
    </w:p>
  </w:footnote>
  <w:footnote w:id="8">
    <w:p w14:paraId="1CE635CE" w14:textId="77777777" w:rsidR="000A0E2C" w:rsidRPr="00825371" w:rsidRDefault="000A0E2C" w:rsidP="000A0E2C">
      <w:pPr>
        <w:pStyle w:val="Textonotapie"/>
      </w:pPr>
      <w:r w:rsidRPr="00667464">
        <w:rPr>
          <w:rStyle w:val="Refdenotaalpie"/>
          <w:rFonts w:ascii="Bookman Old Style" w:hAnsi="Bookman Old Style"/>
        </w:rPr>
        <w:footnoteRef/>
      </w:r>
      <w:r w:rsidRPr="00667464">
        <w:rPr>
          <w:rFonts w:ascii="Bookman Old Style" w:hAnsi="Bookman Old Style"/>
        </w:rPr>
        <w:t xml:space="preserve"> Siglas de la expresión: Extensible Business Reporting Language, desarrollado para simplificar la automatización del intercambio con la estandarización de la información financiera a reportar mediante la definición de taxonomías basadas en XML.</w:t>
      </w:r>
    </w:p>
  </w:footnote>
  <w:footnote w:id="9">
    <w:p w14:paraId="3B5FCA9C" w14:textId="614DF4C3" w:rsidR="008667FC" w:rsidRPr="008667FC" w:rsidRDefault="008667FC">
      <w:pPr>
        <w:pStyle w:val="Textonotapie"/>
      </w:pPr>
      <w:r>
        <w:rPr>
          <w:rStyle w:val="Refdenotaalpie"/>
        </w:rPr>
        <w:footnoteRef/>
      </w:r>
      <w:r>
        <w:t xml:space="preserve"> </w:t>
      </w:r>
      <w:r w:rsidRPr="00FE5667">
        <w:t>Decreto 111 de 1996: “Artículo 36</w:t>
      </w:r>
      <w:r>
        <w:t xml:space="preserve">. </w:t>
      </w:r>
      <w:r w:rsidRPr="00FE5667">
        <w:t>El presupuesto de gastos se compondrá de los gastos de funcionamiento, del servicio de la deuda pública y de los gastos de inversión</w:t>
      </w:r>
      <w:r>
        <w:t>”.</w:t>
      </w:r>
    </w:p>
  </w:footnote>
  <w:footnote w:id="10">
    <w:p w14:paraId="3763C243" w14:textId="4B753007" w:rsidR="008667FC" w:rsidRPr="008667FC" w:rsidRDefault="008667FC">
      <w:pPr>
        <w:pStyle w:val="Textonotapie"/>
      </w:pPr>
      <w:r>
        <w:rPr>
          <w:rStyle w:val="Refdenotaalpie"/>
        </w:rPr>
        <w:footnoteRef/>
      </w:r>
      <w:r>
        <w:t xml:space="preserve"> Decreto 1068 de 2015: “</w:t>
      </w:r>
      <w:r w:rsidRPr="008667FC">
        <w:t>Artículo 2.8.3.1.2.    Presupuesto de Gastos. El presupuesto de gastos comprende las apropiaciones para gastos de funcionamiento, gastos de operación comercial, servicio de la deuda y gastos de inversión que se causen durante la vigencia fiscal respectiva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CC51D4" w:rsidRPr="00C41722" w:rsidRDefault="00CC51D4" w:rsidP="00C41722">
    <w:pPr>
      <w:rPr>
        <w:lang w:val="es-CO"/>
      </w:rPr>
    </w:pPr>
  </w:p>
  <w:p w14:paraId="210E8845" w14:textId="0403BF4B"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sidR="001E4A38">
      <w:rPr>
        <w:rFonts w:ascii="Bookman Old Style" w:hAnsi="Bookman Old Style" w:cs="Arial"/>
        <w:b w:val="0"/>
        <w:sz w:val="22"/>
        <w:szCs w:val="22"/>
      </w:rPr>
      <w:t>o.</w:t>
    </w:r>
    <w:r w:rsidR="001E4A38" w:rsidRPr="001E4A38">
      <w:rPr>
        <w:rFonts w:ascii="Bookman Old Style" w:hAnsi="Bookman Old Style" w:cs="Arial"/>
        <w:bCs/>
        <w:szCs w:val="24"/>
        <w:u w:val="single"/>
      </w:rPr>
      <w:t>172</w:t>
    </w:r>
    <w:r w:rsidR="00951F79" w:rsidRPr="001E4A38">
      <w:rPr>
        <w:rFonts w:ascii="Bookman Old Style" w:hAnsi="Bookman Old Style" w:cs="Arial"/>
        <w:bCs/>
        <w:szCs w:val="24"/>
        <w:u w:val="single"/>
      </w:rPr>
      <w:t xml:space="preserve"> </w:t>
    </w:r>
    <w:r w:rsidR="00871F89" w:rsidRPr="001E4A38">
      <w:rPr>
        <w:rFonts w:ascii="Bookman Old Style" w:hAnsi="Bookman Old Style" w:cs="Arial"/>
        <w:bCs/>
        <w:szCs w:val="24"/>
        <w:u w:val="single"/>
      </w:rPr>
      <w:t xml:space="preserve"> </w:t>
    </w:r>
    <w:r w:rsidR="00871F89">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00772D68">
      <w:rPr>
        <w:rFonts w:ascii="Bookman Old Style" w:hAnsi="Bookman Old Style" w:cs="Arial"/>
        <w:b w:val="0"/>
        <w:sz w:val="22"/>
        <w:szCs w:val="22"/>
      </w:rPr>
      <w:t xml:space="preserve">   </w:t>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871F89">
      <w:rPr>
        <w:rFonts w:ascii="Bookman Old Style" w:hAnsi="Bookman Old Style" w:cs="Arial"/>
        <w:b w:val="0"/>
        <w:sz w:val="22"/>
        <w:szCs w:val="22"/>
      </w:rPr>
      <w:t xml:space="preserve"> </w:t>
    </w:r>
    <w:r w:rsidR="00772D68" w:rsidRPr="00772D68">
      <w:rPr>
        <w:rFonts w:ascii="Bookman Old Style" w:hAnsi="Bookman Old Style" w:cs="Arial"/>
        <w:bCs/>
        <w:szCs w:val="24"/>
        <w:u w:val="single"/>
      </w:rPr>
      <w:t>07</w:t>
    </w:r>
    <w:r w:rsidR="00FF601F" w:rsidRPr="00772D68">
      <w:rPr>
        <w:rFonts w:ascii="Bookman Old Style" w:hAnsi="Bookman Old Style" w:cs="Arial"/>
        <w:bCs/>
        <w:szCs w:val="24"/>
        <w:u w:val="single"/>
      </w:rPr>
      <w:t xml:space="preserve"> </w:t>
    </w:r>
    <w:r w:rsidR="001E4A38">
      <w:rPr>
        <w:rFonts w:ascii="Bookman Old Style" w:hAnsi="Bookman Old Style" w:cs="Arial"/>
        <w:bCs/>
        <w:szCs w:val="24"/>
        <w:u w:val="single"/>
      </w:rPr>
      <w:t>OCT</w:t>
    </w:r>
    <w:r w:rsidR="00871F89" w:rsidRPr="00FF601F">
      <w:rPr>
        <w:rFonts w:ascii="Bookman Old Style" w:hAnsi="Bookman Old Style" w:cs="Arial"/>
        <w:bCs/>
        <w:szCs w:val="24"/>
        <w:u w:val="single"/>
      </w:rPr>
      <w:t>. 2021</w:t>
    </w:r>
    <w:r w:rsidR="003D076C">
      <w:rPr>
        <w:rFonts w:ascii="Bookman Old Style" w:hAnsi="Bookman Old Style" w:cs="Arial"/>
        <w:b w:val="0"/>
        <w:sz w:val="22"/>
        <w:szCs w:val="22"/>
      </w:rPr>
      <w:tab/>
    </w:r>
    <w:r w:rsidR="001E4A38">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01032">
      <w:fldChar w:fldCharType="begin"/>
    </w:r>
    <w:r w:rsidR="00B01032">
      <w:instrText xml:space="preserve"> NUMPAGES  \* MERGEFORMAT </w:instrText>
    </w:r>
    <w:r w:rsidR="00B01032">
      <w:fldChar w:fldCharType="separate"/>
    </w:r>
    <w:r w:rsidR="00F77D2D" w:rsidRPr="00F77D2D">
      <w:rPr>
        <w:rFonts w:ascii="Bookman Old Style" w:hAnsi="Bookman Old Style" w:cs="Arial"/>
        <w:b w:val="0"/>
        <w:noProof/>
        <w:sz w:val="22"/>
        <w:szCs w:val="22"/>
      </w:rPr>
      <w:t>2</w:t>
    </w:r>
    <w:r w:rsidR="00B01032">
      <w:rPr>
        <w:rFonts w:ascii="Bookman Old Style" w:hAnsi="Bookman Old Style" w:cs="Arial"/>
        <w:b w:val="0"/>
        <w:noProof/>
        <w:sz w:val="22"/>
        <w:szCs w:val="22"/>
      </w:rPr>
      <w:fldChar w:fldCharType="end"/>
    </w:r>
  </w:p>
  <w:p w14:paraId="458E83DA" w14:textId="03B3B9B9" w:rsidR="006F6D95" w:rsidRDefault="004656D9"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BDCFD"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2F9F063" w14:textId="504B65A9" w:rsidR="00611B12" w:rsidRDefault="000F69BE" w:rsidP="001E4A38">
    <w:pPr>
      <w:pBdr>
        <w:bottom w:val="single" w:sz="6" w:space="1" w:color="auto"/>
      </w:pBdr>
      <w:ind w:left="0" w:right="148"/>
      <w:jc w:val="both"/>
      <w:rPr>
        <w:rFonts w:ascii="Bookman Old Style" w:hAnsi="Bookman Old Style"/>
        <w:sz w:val="22"/>
        <w:szCs w:val="22"/>
      </w:rPr>
    </w:pPr>
    <w:r w:rsidRPr="000F69BE">
      <w:rPr>
        <w:rFonts w:ascii="Bookman Old Style" w:hAnsi="Bookman Old Style"/>
        <w:sz w:val="22"/>
        <w:szCs w:val="22"/>
      </w:rPr>
      <w:t>Por la cual se ordena hacer público un proyecto de resolución de carácter general “Por la cual se señala el porcentaje de la contribución especial que deben pagar las personas prestadoras del servicio de energía eléctrica, gas natural y gas licuado de petróleo (GLP), sometidas a la regulación de la Comisión de Regulación de Energía y Gas en el año 2021 y se dictan otras disposiciones”.</w:t>
    </w:r>
  </w:p>
  <w:p w14:paraId="2762465F" w14:textId="77777777" w:rsidR="00FF601F" w:rsidRPr="00045D3D" w:rsidRDefault="00FF601F"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581A7313" w14:textId="77777777" w:rsidR="00725FA4" w:rsidRDefault="00725FA4">
    <w:pPr>
      <w:pStyle w:val="Encabezado"/>
      <w:jc w:val="center"/>
      <w:rPr>
        <w:rFonts w:ascii="Arial" w:hAnsi="Arial" w:cs="Arial"/>
        <w:spacing w:val="20"/>
        <w:sz w:val="20"/>
      </w:rPr>
    </w:pPr>
  </w:p>
  <w:p w14:paraId="09BD8B81" w14:textId="59AFA550" w:rsidR="00725FA4" w:rsidRDefault="004656D9"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C857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19"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28"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0"/>
  </w:num>
  <w:num w:numId="4">
    <w:abstractNumId w:val="7"/>
  </w:num>
  <w:num w:numId="5">
    <w:abstractNumId w:val="21"/>
  </w:num>
  <w:num w:numId="6">
    <w:abstractNumId w:val="5"/>
  </w:num>
  <w:num w:numId="7">
    <w:abstractNumId w:val="4"/>
  </w:num>
  <w:num w:numId="8">
    <w:abstractNumId w:val="23"/>
  </w:num>
  <w:num w:numId="9">
    <w:abstractNumId w:val="22"/>
  </w:num>
  <w:num w:numId="10">
    <w:abstractNumId w:val="14"/>
  </w:num>
  <w:num w:numId="11">
    <w:abstractNumId w:val="31"/>
  </w:num>
  <w:num w:numId="12">
    <w:abstractNumId w:val="26"/>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5"/>
  </w:num>
  <w:num w:numId="20">
    <w:abstractNumId w:val="17"/>
  </w:num>
  <w:num w:numId="21">
    <w:abstractNumId w:val="8"/>
  </w:num>
  <w:num w:numId="22">
    <w:abstractNumId w:val="10"/>
  </w:num>
  <w:num w:numId="23">
    <w:abstractNumId w:val="18"/>
  </w:num>
  <w:num w:numId="24">
    <w:abstractNumId w:val="24"/>
  </w:num>
  <w:num w:numId="25">
    <w:abstractNumId w:val="28"/>
  </w:num>
  <w:num w:numId="26">
    <w:abstractNumId w:val="20"/>
  </w:num>
  <w:num w:numId="27">
    <w:abstractNumId w:val="3"/>
  </w:num>
  <w:num w:numId="28">
    <w:abstractNumId w:val="27"/>
  </w:num>
  <w:num w:numId="29">
    <w:abstractNumId w:val="19"/>
  </w:num>
  <w:num w:numId="30">
    <w:abstractNumId w:val="9"/>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2854"/>
    <w:rsid w:val="00002B3B"/>
    <w:rsid w:val="0000673E"/>
    <w:rsid w:val="00006A26"/>
    <w:rsid w:val="00006AE2"/>
    <w:rsid w:val="000076A1"/>
    <w:rsid w:val="00011150"/>
    <w:rsid w:val="000114C6"/>
    <w:rsid w:val="00012259"/>
    <w:rsid w:val="00013ECB"/>
    <w:rsid w:val="00014F18"/>
    <w:rsid w:val="000207D6"/>
    <w:rsid w:val="00020EB0"/>
    <w:rsid w:val="00025383"/>
    <w:rsid w:val="0003525C"/>
    <w:rsid w:val="000355F6"/>
    <w:rsid w:val="0003590F"/>
    <w:rsid w:val="0004318E"/>
    <w:rsid w:val="00045D3D"/>
    <w:rsid w:val="00047296"/>
    <w:rsid w:val="00047CB1"/>
    <w:rsid w:val="00050EF7"/>
    <w:rsid w:val="00054A5C"/>
    <w:rsid w:val="00057AB8"/>
    <w:rsid w:val="00063657"/>
    <w:rsid w:val="00065BD7"/>
    <w:rsid w:val="000760F6"/>
    <w:rsid w:val="00076324"/>
    <w:rsid w:val="000763BB"/>
    <w:rsid w:val="00076680"/>
    <w:rsid w:val="00076A1D"/>
    <w:rsid w:val="0008073E"/>
    <w:rsid w:val="000848C5"/>
    <w:rsid w:val="00086394"/>
    <w:rsid w:val="00086A19"/>
    <w:rsid w:val="00086B63"/>
    <w:rsid w:val="000878FC"/>
    <w:rsid w:val="00091CDB"/>
    <w:rsid w:val="00093AE3"/>
    <w:rsid w:val="00096AC9"/>
    <w:rsid w:val="000A0E2C"/>
    <w:rsid w:val="000A19AC"/>
    <w:rsid w:val="000A36A6"/>
    <w:rsid w:val="000A7931"/>
    <w:rsid w:val="000B0F45"/>
    <w:rsid w:val="000B2EC9"/>
    <w:rsid w:val="000B3035"/>
    <w:rsid w:val="000B34CF"/>
    <w:rsid w:val="000B51A6"/>
    <w:rsid w:val="000C479A"/>
    <w:rsid w:val="000D1A3B"/>
    <w:rsid w:val="000D26F8"/>
    <w:rsid w:val="000E3A03"/>
    <w:rsid w:val="000E72EB"/>
    <w:rsid w:val="000F69BE"/>
    <w:rsid w:val="000F7D1B"/>
    <w:rsid w:val="00102FD6"/>
    <w:rsid w:val="001048EA"/>
    <w:rsid w:val="00106654"/>
    <w:rsid w:val="00113C08"/>
    <w:rsid w:val="0012001A"/>
    <w:rsid w:val="00124454"/>
    <w:rsid w:val="00125A81"/>
    <w:rsid w:val="0012686D"/>
    <w:rsid w:val="00131B7F"/>
    <w:rsid w:val="001335C1"/>
    <w:rsid w:val="0013526C"/>
    <w:rsid w:val="00136B7E"/>
    <w:rsid w:val="001405C6"/>
    <w:rsid w:val="00141013"/>
    <w:rsid w:val="00142B62"/>
    <w:rsid w:val="00145932"/>
    <w:rsid w:val="00153508"/>
    <w:rsid w:val="00160D4E"/>
    <w:rsid w:val="00163C79"/>
    <w:rsid w:val="00165C55"/>
    <w:rsid w:val="001704B6"/>
    <w:rsid w:val="00172CC4"/>
    <w:rsid w:val="00172DB8"/>
    <w:rsid w:val="0017661E"/>
    <w:rsid w:val="001806D4"/>
    <w:rsid w:val="00192CBF"/>
    <w:rsid w:val="00192FF1"/>
    <w:rsid w:val="0019506D"/>
    <w:rsid w:val="00197A6D"/>
    <w:rsid w:val="00197E81"/>
    <w:rsid w:val="001A0907"/>
    <w:rsid w:val="001A0FBD"/>
    <w:rsid w:val="001A2D9F"/>
    <w:rsid w:val="001A2DE1"/>
    <w:rsid w:val="001A5BE5"/>
    <w:rsid w:val="001A5F1B"/>
    <w:rsid w:val="001B1C22"/>
    <w:rsid w:val="001B34C6"/>
    <w:rsid w:val="001B377E"/>
    <w:rsid w:val="001C73A5"/>
    <w:rsid w:val="001D10AD"/>
    <w:rsid w:val="001D7832"/>
    <w:rsid w:val="001E4A38"/>
    <w:rsid w:val="001F7582"/>
    <w:rsid w:val="00202031"/>
    <w:rsid w:val="00207E8C"/>
    <w:rsid w:val="00210DC1"/>
    <w:rsid w:val="00211D34"/>
    <w:rsid w:val="00214F04"/>
    <w:rsid w:val="00215B0C"/>
    <w:rsid w:val="00216829"/>
    <w:rsid w:val="002255BF"/>
    <w:rsid w:val="00227605"/>
    <w:rsid w:val="00232D3E"/>
    <w:rsid w:val="002352B9"/>
    <w:rsid w:val="00235698"/>
    <w:rsid w:val="002369BE"/>
    <w:rsid w:val="00242185"/>
    <w:rsid w:val="002443AA"/>
    <w:rsid w:val="00245F3B"/>
    <w:rsid w:val="00250D36"/>
    <w:rsid w:val="00257DDA"/>
    <w:rsid w:val="00263FC2"/>
    <w:rsid w:val="00266CD6"/>
    <w:rsid w:val="002673AC"/>
    <w:rsid w:val="00275DAB"/>
    <w:rsid w:val="00280F45"/>
    <w:rsid w:val="002836D0"/>
    <w:rsid w:val="00284346"/>
    <w:rsid w:val="002903C0"/>
    <w:rsid w:val="00291CE8"/>
    <w:rsid w:val="002920A0"/>
    <w:rsid w:val="00295864"/>
    <w:rsid w:val="00297A12"/>
    <w:rsid w:val="002A25FA"/>
    <w:rsid w:val="002A5D5A"/>
    <w:rsid w:val="002A5EB2"/>
    <w:rsid w:val="002A782A"/>
    <w:rsid w:val="002B11E2"/>
    <w:rsid w:val="002B24B8"/>
    <w:rsid w:val="002B4948"/>
    <w:rsid w:val="002C5B32"/>
    <w:rsid w:val="002D28A5"/>
    <w:rsid w:val="002D3AE9"/>
    <w:rsid w:val="002D3BC0"/>
    <w:rsid w:val="002D43D5"/>
    <w:rsid w:val="002D4510"/>
    <w:rsid w:val="002D6925"/>
    <w:rsid w:val="002E77E4"/>
    <w:rsid w:val="002E7F2F"/>
    <w:rsid w:val="002F0734"/>
    <w:rsid w:val="002F31C8"/>
    <w:rsid w:val="002F46E7"/>
    <w:rsid w:val="002F479F"/>
    <w:rsid w:val="002F781D"/>
    <w:rsid w:val="00302878"/>
    <w:rsid w:val="00306C46"/>
    <w:rsid w:val="003101DA"/>
    <w:rsid w:val="003111C3"/>
    <w:rsid w:val="00314757"/>
    <w:rsid w:val="003161A2"/>
    <w:rsid w:val="003163BC"/>
    <w:rsid w:val="00316973"/>
    <w:rsid w:val="00320ACD"/>
    <w:rsid w:val="003211CE"/>
    <w:rsid w:val="00323D94"/>
    <w:rsid w:val="003252D8"/>
    <w:rsid w:val="00332E07"/>
    <w:rsid w:val="00337053"/>
    <w:rsid w:val="00337B85"/>
    <w:rsid w:val="003434DF"/>
    <w:rsid w:val="0034505B"/>
    <w:rsid w:val="0034621C"/>
    <w:rsid w:val="00353057"/>
    <w:rsid w:val="0035403A"/>
    <w:rsid w:val="0035472E"/>
    <w:rsid w:val="0036002D"/>
    <w:rsid w:val="003628A6"/>
    <w:rsid w:val="0036394B"/>
    <w:rsid w:val="00366DB6"/>
    <w:rsid w:val="00370889"/>
    <w:rsid w:val="003709B5"/>
    <w:rsid w:val="003759C2"/>
    <w:rsid w:val="00380946"/>
    <w:rsid w:val="00386011"/>
    <w:rsid w:val="003926A5"/>
    <w:rsid w:val="00393EFE"/>
    <w:rsid w:val="003941FE"/>
    <w:rsid w:val="00397365"/>
    <w:rsid w:val="003A31F6"/>
    <w:rsid w:val="003A3606"/>
    <w:rsid w:val="003A595E"/>
    <w:rsid w:val="003A7FB8"/>
    <w:rsid w:val="003B0052"/>
    <w:rsid w:val="003B473B"/>
    <w:rsid w:val="003B7223"/>
    <w:rsid w:val="003B79D1"/>
    <w:rsid w:val="003B7B33"/>
    <w:rsid w:val="003C0416"/>
    <w:rsid w:val="003C3447"/>
    <w:rsid w:val="003C7729"/>
    <w:rsid w:val="003C7807"/>
    <w:rsid w:val="003D076C"/>
    <w:rsid w:val="003D317B"/>
    <w:rsid w:val="003D32FB"/>
    <w:rsid w:val="003D40B7"/>
    <w:rsid w:val="003D67D8"/>
    <w:rsid w:val="003D7435"/>
    <w:rsid w:val="003E07C5"/>
    <w:rsid w:val="003E1A9D"/>
    <w:rsid w:val="003E3C44"/>
    <w:rsid w:val="003E4D72"/>
    <w:rsid w:val="003E534F"/>
    <w:rsid w:val="003E78B5"/>
    <w:rsid w:val="00402134"/>
    <w:rsid w:val="00404F97"/>
    <w:rsid w:val="00411EDA"/>
    <w:rsid w:val="00412AFB"/>
    <w:rsid w:val="00415BAB"/>
    <w:rsid w:val="00415ED2"/>
    <w:rsid w:val="0042068C"/>
    <w:rsid w:val="00423DFB"/>
    <w:rsid w:val="00426A7E"/>
    <w:rsid w:val="0043115E"/>
    <w:rsid w:val="00433687"/>
    <w:rsid w:val="00435178"/>
    <w:rsid w:val="00436B04"/>
    <w:rsid w:val="004372FA"/>
    <w:rsid w:val="004408A1"/>
    <w:rsid w:val="00442999"/>
    <w:rsid w:val="0044318E"/>
    <w:rsid w:val="00443B35"/>
    <w:rsid w:val="00444704"/>
    <w:rsid w:val="00445881"/>
    <w:rsid w:val="004471F3"/>
    <w:rsid w:val="0044795C"/>
    <w:rsid w:val="004531D5"/>
    <w:rsid w:val="00454602"/>
    <w:rsid w:val="004567A4"/>
    <w:rsid w:val="00464BEB"/>
    <w:rsid w:val="004656D9"/>
    <w:rsid w:val="00465A0F"/>
    <w:rsid w:val="00466AE6"/>
    <w:rsid w:val="0047122B"/>
    <w:rsid w:val="004719C4"/>
    <w:rsid w:val="00471A35"/>
    <w:rsid w:val="00473B7A"/>
    <w:rsid w:val="0048573D"/>
    <w:rsid w:val="00486695"/>
    <w:rsid w:val="004925A5"/>
    <w:rsid w:val="004960E9"/>
    <w:rsid w:val="00496F41"/>
    <w:rsid w:val="004977B6"/>
    <w:rsid w:val="004A17CF"/>
    <w:rsid w:val="004A2E88"/>
    <w:rsid w:val="004A31AA"/>
    <w:rsid w:val="004A37ED"/>
    <w:rsid w:val="004A5305"/>
    <w:rsid w:val="004A6E8F"/>
    <w:rsid w:val="004B2CE7"/>
    <w:rsid w:val="004C0FA1"/>
    <w:rsid w:val="004C35B9"/>
    <w:rsid w:val="004C4748"/>
    <w:rsid w:val="004C494E"/>
    <w:rsid w:val="004C4F1A"/>
    <w:rsid w:val="004C63F0"/>
    <w:rsid w:val="004C7D7D"/>
    <w:rsid w:val="004D05F0"/>
    <w:rsid w:val="004D0D1E"/>
    <w:rsid w:val="004D7634"/>
    <w:rsid w:val="004E3059"/>
    <w:rsid w:val="004E5F38"/>
    <w:rsid w:val="004E611A"/>
    <w:rsid w:val="004F3B98"/>
    <w:rsid w:val="004F6460"/>
    <w:rsid w:val="005005DA"/>
    <w:rsid w:val="0050424C"/>
    <w:rsid w:val="00512CF6"/>
    <w:rsid w:val="0051479A"/>
    <w:rsid w:val="00526894"/>
    <w:rsid w:val="005300D3"/>
    <w:rsid w:val="00534230"/>
    <w:rsid w:val="00534D05"/>
    <w:rsid w:val="005366A8"/>
    <w:rsid w:val="00540A60"/>
    <w:rsid w:val="00541031"/>
    <w:rsid w:val="00542A10"/>
    <w:rsid w:val="00543D0A"/>
    <w:rsid w:val="00544F82"/>
    <w:rsid w:val="00545A6F"/>
    <w:rsid w:val="0054696E"/>
    <w:rsid w:val="005509D1"/>
    <w:rsid w:val="005509D2"/>
    <w:rsid w:val="0055261F"/>
    <w:rsid w:val="005526EF"/>
    <w:rsid w:val="0055566F"/>
    <w:rsid w:val="00556AFB"/>
    <w:rsid w:val="0056766F"/>
    <w:rsid w:val="00585C3D"/>
    <w:rsid w:val="00585D2C"/>
    <w:rsid w:val="00587870"/>
    <w:rsid w:val="00590300"/>
    <w:rsid w:val="00593326"/>
    <w:rsid w:val="00593C4F"/>
    <w:rsid w:val="005946A8"/>
    <w:rsid w:val="005A1CCE"/>
    <w:rsid w:val="005A4407"/>
    <w:rsid w:val="005A585C"/>
    <w:rsid w:val="005A59EF"/>
    <w:rsid w:val="005A69DF"/>
    <w:rsid w:val="005B0B26"/>
    <w:rsid w:val="005B1A09"/>
    <w:rsid w:val="005B1C7E"/>
    <w:rsid w:val="005B30E3"/>
    <w:rsid w:val="005B429A"/>
    <w:rsid w:val="005B7B4E"/>
    <w:rsid w:val="005C183D"/>
    <w:rsid w:val="005C4C72"/>
    <w:rsid w:val="005C4D76"/>
    <w:rsid w:val="005C618C"/>
    <w:rsid w:val="005C6976"/>
    <w:rsid w:val="005C6A7A"/>
    <w:rsid w:val="005E3812"/>
    <w:rsid w:val="005E4E17"/>
    <w:rsid w:val="005F0C5B"/>
    <w:rsid w:val="005F25C2"/>
    <w:rsid w:val="005F6110"/>
    <w:rsid w:val="005F6F41"/>
    <w:rsid w:val="006027EF"/>
    <w:rsid w:val="00611B12"/>
    <w:rsid w:val="00622879"/>
    <w:rsid w:val="00623BBF"/>
    <w:rsid w:val="00625DC6"/>
    <w:rsid w:val="00633267"/>
    <w:rsid w:val="0064109F"/>
    <w:rsid w:val="0064391D"/>
    <w:rsid w:val="00644177"/>
    <w:rsid w:val="00644E11"/>
    <w:rsid w:val="00651821"/>
    <w:rsid w:val="00652547"/>
    <w:rsid w:val="00654384"/>
    <w:rsid w:val="006652C6"/>
    <w:rsid w:val="006675CD"/>
    <w:rsid w:val="00667D9F"/>
    <w:rsid w:val="00671DC8"/>
    <w:rsid w:val="00674037"/>
    <w:rsid w:val="00675418"/>
    <w:rsid w:val="00684D9B"/>
    <w:rsid w:val="0068510A"/>
    <w:rsid w:val="00685D35"/>
    <w:rsid w:val="00685F9D"/>
    <w:rsid w:val="00691464"/>
    <w:rsid w:val="00692D39"/>
    <w:rsid w:val="00695BB0"/>
    <w:rsid w:val="00697556"/>
    <w:rsid w:val="006A324F"/>
    <w:rsid w:val="006A3C90"/>
    <w:rsid w:val="006A7312"/>
    <w:rsid w:val="006B24E0"/>
    <w:rsid w:val="006B4647"/>
    <w:rsid w:val="006B4C2B"/>
    <w:rsid w:val="006B6194"/>
    <w:rsid w:val="006B6D47"/>
    <w:rsid w:val="006C0C6F"/>
    <w:rsid w:val="006C2959"/>
    <w:rsid w:val="006C2A84"/>
    <w:rsid w:val="006C5AFE"/>
    <w:rsid w:val="006C6BBF"/>
    <w:rsid w:val="006C79B7"/>
    <w:rsid w:val="006D2F34"/>
    <w:rsid w:val="006E50B7"/>
    <w:rsid w:val="006F1E45"/>
    <w:rsid w:val="006F2EC8"/>
    <w:rsid w:val="006F4ACA"/>
    <w:rsid w:val="006F4D91"/>
    <w:rsid w:val="006F6D95"/>
    <w:rsid w:val="00703A8A"/>
    <w:rsid w:val="00705966"/>
    <w:rsid w:val="00706F13"/>
    <w:rsid w:val="007072E8"/>
    <w:rsid w:val="00712C76"/>
    <w:rsid w:val="00716079"/>
    <w:rsid w:val="0071618D"/>
    <w:rsid w:val="007200D9"/>
    <w:rsid w:val="00720C54"/>
    <w:rsid w:val="00725992"/>
    <w:rsid w:val="00725FA4"/>
    <w:rsid w:val="007278CF"/>
    <w:rsid w:val="007338C2"/>
    <w:rsid w:val="007361F5"/>
    <w:rsid w:val="00736C7B"/>
    <w:rsid w:val="00737576"/>
    <w:rsid w:val="00737B1E"/>
    <w:rsid w:val="00740446"/>
    <w:rsid w:val="007438A9"/>
    <w:rsid w:val="0074491E"/>
    <w:rsid w:val="0074554A"/>
    <w:rsid w:val="00746E36"/>
    <w:rsid w:val="00747F55"/>
    <w:rsid w:val="00753823"/>
    <w:rsid w:val="0075733F"/>
    <w:rsid w:val="0076100F"/>
    <w:rsid w:val="007623A8"/>
    <w:rsid w:val="0076247A"/>
    <w:rsid w:val="00765378"/>
    <w:rsid w:val="007724C8"/>
    <w:rsid w:val="00772D68"/>
    <w:rsid w:val="00775964"/>
    <w:rsid w:val="007765FE"/>
    <w:rsid w:val="007766F2"/>
    <w:rsid w:val="007800E5"/>
    <w:rsid w:val="00784F1C"/>
    <w:rsid w:val="00787EB9"/>
    <w:rsid w:val="00787FA4"/>
    <w:rsid w:val="00794E2E"/>
    <w:rsid w:val="00795BFB"/>
    <w:rsid w:val="007A13CF"/>
    <w:rsid w:val="007A6A69"/>
    <w:rsid w:val="007A789F"/>
    <w:rsid w:val="007A7D0F"/>
    <w:rsid w:val="007B0DC1"/>
    <w:rsid w:val="007B2760"/>
    <w:rsid w:val="007B4F30"/>
    <w:rsid w:val="007B59E8"/>
    <w:rsid w:val="007B5A3D"/>
    <w:rsid w:val="007B6F4D"/>
    <w:rsid w:val="007C42D4"/>
    <w:rsid w:val="007C4F03"/>
    <w:rsid w:val="007D7074"/>
    <w:rsid w:val="007E5EF0"/>
    <w:rsid w:val="007F4298"/>
    <w:rsid w:val="007F4D1E"/>
    <w:rsid w:val="007F663E"/>
    <w:rsid w:val="007F6E7C"/>
    <w:rsid w:val="00800859"/>
    <w:rsid w:val="00806C01"/>
    <w:rsid w:val="00807385"/>
    <w:rsid w:val="00811581"/>
    <w:rsid w:val="00812B34"/>
    <w:rsid w:val="008148CC"/>
    <w:rsid w:val="008211A4"/>
    <w:rsid w:val="00835319"/>
    <w:rsid w:val="00837561"/>
    <w:rsid w:val="00841A90"/>
    <w:rsid w:val="00842843"/>
    <w:rsid w:val="008434A5"/>
    <w:rsid w:val="0084693A"/>
    <w:rsid w:val="00850FAC"/>
    <w:rsid w:val="00851B02"/>
    <w:rsid w:val="00851E21"/>
    <w:rsid w:val="008560BA"/>
    <w:rsid w:val="008609D7"/>
    <w:rsid w:val="008639DC"/>
    <w:rsid w:val="0086405F"/>
    <w:rsid w:val="00865E9B"/>
    <w:rsid w:val="008667FC"/>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6EE1"/>
    <w:rsid w:val="0088727D"/>
    <w:rsid w:val="008932BC"/>
    <w:rsid w:val="00897C75"/>
    <w:rsid w:val="008B334E"/>
    <w:rsid w:val="008B484C"/>
    <w:rsid w:val="008B7CFE"/>
    <w:rsid w:val="008C0BC8"/>
    <w:rsid w:val="008C1130"/>
    <w:rsid w:val="008C7D5C"/>
    <w:rsid w:val="008D0642"/>
    <w:rsid w:val="008D0995"/>
    <w:rsid w:val="008D0F4E"/>
    <w:rsid w:val="008D18E6"/>
    <w:rsid w:val="008D7A9B"/>
    <w:rsid w:val="008E0060"/>
    <w:rsid w:val="008E1A86"/>
    <w:rsid w:val="008E63C1"/>
    <w:rsid w:val="008E7091"/>
    <w:rsid w:val="008E7160"/>
    <w:rsid w:val="008E76AC"/>
    <w:rsid w:val="008F1B4C"/>
    <w:rsid w:val="008F21F6"/>
    <w:rsid w:val="00904C21"/>
    <w:rsid w:val="00906EA4"/>
    <w:rsid w:val="00914C84"/>
    <w:rsid w:val="0091699D"/>
    <w:rsid w:val="0092108D"/>
    <w:rsid w:val="00922020"/>
    <w:rsid w:val="00923DE9"/>
    <w:rsid w:val="0093456B"/>
    <w:rsid w:val="00937FA4"/>
    <w:rsid w:val="00947AA8"/>
    <w:rsid w:val="00951F79"/>
    <w:rsid w:val="009536ED"/>
    <w:rsid w:val="00957BEE"/>
    <w:rsid w:val="0096565B"/>
    <w:rsid w:val="00966B4B"/>
    <w:rsid w:val="00974AB5"/>
    <w:rsid w:val="00975A33"/>
    <w:rsid w:val="009851BC"/>
    <w:rsid w:val="00986037"/>
    <w:rsid w:val="0098706D"/>
    <w:rsid w:val="009935FB"/>
    <w:rsid w:val="009A2DD1"/>
    <w:rsid w:val="009A4A75"/>
    <w:rsid w:val="009B2502"/>
    <w:rsid w:val="009B3CF9"/>
    <w:rsid w:val="009B5FA3"/>
    <w:rsid w:val="009B747F"/>
    <w:rsid w:val="009C0156"/>
    <w:rsid w:val="009C178B"/>
    <w:rsid w:val="009C451F"/>
    <w:rsid w:val="009D0C89"/>
    <w:rsid w:val="009E6C05"/>
    <w:rsid w:val="009F1C95"/>
    <w:rsid w:val="009F4A54"/>
    <w:rsid w:val="009F4BEC"/>
    <w:rsid w:val="009F5874"/>
    <w:rsid w:val="00A00BEB"/>
    <w:rsid w:val="00A00E64"/>
    <w:rsid w:val="00A02A87"/>
    <w:rsid w:val="00A02BE1"/>
    <w:rsid w:val="00A0566B"/>
    <w:rsid w:val="00A0769F"/>
    <w:rsid w:val="00A1156C"/>
    <w:rsid w:val="00A13B00"/>
    <w:rsid w:val="00A23E62"/>
    <w:rsid w:val="00A25FD7"/>
    <w:rsid w:val="00A263C7"/>
    <w:rsid w:val="00A32474"/>
    <w:rsid w:val="00A32799"/>
    <w:rsid w:val="00A3441C"/>
    <w:rsid w:val="00A350AB"/>
    <w:rsid w:val="00A369A8"/>
    <w:rsid w:val="00A43AFF"/>
    <w:rsid w:val="00A515D6"/>
    <w:rsid w:val="00A5323B"/>
    <w:rsid w:val="00A5620B"/>
    <w:rsid w:val="00A61EF1"/>
    <w:rsid w:val="00A61F20"/>
    <w:rsid w:val="00A64E43"/>
    <w:rsid w:val="00A71A2F"/>
    <w:rsid w:val="00A72BBD"/>
    <w:rsid w:val="00A75A1C"/>
    <w:rsid w:val="00A7793A"/>
    <w:rsid w:val="00A82DD7"/>
    <w:rsid w:val="00A8348D"/>
    <w:rsid w:val="00A84D66"/>
    <w:rsid w:val="00A917D1"/>
    <w:rsid w:val="00A93375"/>
    <w:rsid w:val="00AA05D7"/>
    <w:rsid w:val="00AA4307"/>
    <w:rsid w:val="00AA46BD"/>
    <w:rsid w:val="00AA4CC7"/>
    <w:rsid w:val="00AA5E8E"/>
    <w:rsid w:val="00AB0F28"/>
    <w:rsid w:val="00AB2BAD"/>
    <w:rsid w:val="00AB6CA7"/>
    <w:rsid w:val="00AC3E3C"/>
    <w:rsid w:val="00AC712D"/>
    <w:rsid w:val="00AD01E4"/>
    <w:rsid w:val="00AD0858"/>
    <w:rsid w:val="00AE02E3"/>
    <w:rsid w:val="00AE6F72"/>
    <w:rsid w:val="00AE7340"/>
    <w:rsid w:val="00AF1BBD"/>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33435"/>
    <w:rsid w:val="00B351B4"/>
    <w:rsid w:val="00B377DD"/>
    <w:rsid w:val="00B42580"/>
    <w:rsid w:val="00B44EA5"/>
    <w:rsid w:val="00B46BCA"/>
    <w:rsid w:val="00B478AA"/>
    <w:rsid w:val="00B47FF0"/>
    <w:rsid w:val="00B53F6B"/>
    <w:rsid w:val="00B63799"/>
    <w:rsid w:val="00B734A5"/>
    <w:rsid w:val="00B8477E"/>
    <w:rsid w:val="00B87806"/>
    <w:rsid w:val="00B87EC9"/>
    <w:rsid w:val="00B9105D"/>
    <w:rsid w:val="00B9488E"/>
    <w:rsid w:val="00BA2DA2"/>
    <w:rsid w:val="00BB254A"/>
    <w:rsid w:val="00BB2E43"/>
    <w:rsid w:val="00BB2F50"/>
    <w:rsid w:val="00BB3C8C"/>
    <w:rsid w:val="00BB61A5"/>
    <w:rsid w:val="00BC38FD"/>
    <w:rsid w:val="00BC4076"/>
    <w:rsid w:val="00BC4A8E"/>
    <w:rsid w:val="00BD32A2"/>
    <w:rsid w:val="00BD3C14"/>
    <w:rsid w:val="00BD4D39"/>
    <w:rsid w:val="00BD51FB"/>
    <w:rsid w:val="00BE0475"/>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56DB"/>
    <w:rsid w:val="00C2752B"/>
    <w:rsid w:val="00C3178B"/>
    <w:rsid w:val="00C32FD2"/>
    <w:rsid w:val="00C36725"/>
    <w:rsid w:val="00C409D5"/>
    <w:rsid w:val="00C409E5"/>
    <w:rsid w:val="00C41722"/>
    <w:rsid w:val="00C435C3"/>
    <w:rsid w:val="00C438DB"/>
    <w:rsid w:val="00C44E5F"/>
    <w:rsid w:val="00C5007C"/>
    <w:rsid w:val="00C50EA6"/>
    <w:rsid w:val="00C518FA"/>
    <w:rsid w:val="00C51B7C"/>
    <w:rsid w:val="00C526DF"/>
    <w:rsid w:val="00C5402D"/>
    <w:rsid w:val="00C60A7A"/>
    <w:rsid w:val="00C61D2A"/>
    <w:rsid w:val="00C6234B"/>
    <w:rsid w:val="00C63A07"/>
    <w:rsid w:val="00C63EAE"/>
    <w:rsid w:val="00C66C4F"/>
    <w:rsid w:val="00C73260"/>
    <w:rsid w:val="00C74F02"/>
    <w:rsid w:val="00C7629F"/>
    <w:rsid w:val="00C77D5A"/>
    <w:rsid w:val="00C84C73"/>
    <w:rsid w:val="00C852C1"/>
    <w:rsid w:val="00C86482"/>
    <w:rsid w:val="00C8661B"/>
    <w:rsid w:val="00C90885"/>
    <w:rsid w:val="00C911B9"/>
    <w:rsid w:val="00C911F2"/>
    <w:rsid w:val="00C91F54"/>
    <w:rsid w:val="00C94618"/>
    <w:rsid w:val="00C94CD7"/>
    <w:rsid w:val="00CA03C8"/>
    <w:rsid w:val="00CA139A"/>
    <w:rsid w:val="00CA14EE"/>
    <w:rsid w:val="00CA2899"/>
    <w:rsid w:val="00CA3A3D"/>
    <w:rsid w:val="00CA3AA6"/>
    <w:rsid w:val="00CA6E0D"/>
    <w:rsid w:val="00CA77FB"/>
    <w:rsid w:val="00CB10AB"/>
    <w:rsid w:val="00CB168B"/>
    <w:rsid w:val="00CB379B"/>
    <w:rsid w:val="00CB5DD0"/>
    <w:rsid w:val="00CB74EA"/>
    <w:rsid w:val="00CC10D0"/>
    <w:rsid w:val="00CC229D"/>
    <w:rsid w:val="00CC2B9C"/>
    <w:rsid w:val="00CC4A99"/>
    <w:rsid w:val="00CC51D4"/>
    <w:rsid w:val="00CC59D3"/>
    <w:rsid w:val="00CC65DA"/>
    <w:rsid w:val="00CD2B6C"/>
    <w:rsid w:val="00CD3C52"/>
    <w:rsid w:val="00CD3D76"/>
    <w:rsid w:val="00CD78BC"/>
    <w:rsid w:val="00CE28F7"/>
    <w:rsid w:val="00CE7DA8"/>
    <w:rsid w:val="00CF214B"/>
    <w:rsid w:val="00CF21B9"/>
    <w:rsid w:val="00CF4BC7"/>
    <w:rsid w:val="00CF6BF9"/>
    <w:rsid w:val="00CF7668"/>
    <w:rsid w:val="00D00A04"/>
    <w:rsid w:val="00D01E87"/>
    <w:rsid w:val="00D022A2"/>
    <w:rsid w:val="00D03800"/>
    <w:rsid w:val="00D05650"/>
    <w:rsid w:val="00D065D3"/>
    <w:rsid w:val="00D14327"/>
    <w:rsid w:val="00D14C94"/>
    <w:rsid w:val="00D21693"/>
    <w:rsid w:val="00D228F9"/>
    <w:rsid w:val="00D257B3"/>
    <w:rsid w:val="00D25F7E"/>
    <w:rsid w:val="00D27F7B"/>
    <w:rsid w:val="00D3220A"/>
    <w:rsid w:val="00D33D39"/>
    <w:rsid w:val="00D342A6"/>
    <w:rsid w:val="00D342D3"/>
    <w:rsid w:val="00D34A66"/>
    <w:rsid w:val="00D3502C"/>
    <w:rsid w:val="00D42570"/>
    <w:rsid w:val="00D45CA6"/>
    <w:rsid w:val="00D464BF"/>
    <w:rsid w:val="00D53355"/>
    <w:rsid w:val="00D53E26"/>
    <w:rsid w:val="00D54821"/>
    <w:rsid w:val="00D54A67"/>
    <w:rsid w:val="00D63812"/>
    <w:rsid w:val="00D6593C"/>
    <w:rsid w:val="00D76803"/>
    <w:rsid w:val="00D8019A"/>
    <w:rsid w:val="00D808A3"/>
    <w:rsid w:val="00D813D6"/>
    <w:rsid w:val="00D86244"/>
    <w:rsid w:val="00D87D41"/>
    <w:rsid w:val="00D9300F"/>
    <w:rsid w:val="00D939CE"/>
    <w:rsid w:val="00DA0669"/>
    <w:rsid w:val="00DA7611"/>
    <w:rsid w:val="00DB182C"/>
    <w:rsid w:val="00DB328D"/>
    <w:rsid w:val="00DB3CB3"/>
    <w:rsid w:val="00DC05D4"/>
    <w:rsid w:val="00DC06E3"/>
    <w:rsid w:val="00DC0E47"/>
    <w:rsid w:val="00DC5380"/>
    <w:rsid w:val="00DC6B15"/>
    <w:rsid w:val="00DD14F1"/>
    <w:rsid w:val="00DD362B"/>
    <w:rsid w:val="00DD419C"/>
    <w:rsid w:val="00DD4F0E"/>
    <w:rsid w:val="00DD5DB5"/>
    <w:rsid w:val="00DD6477"/>
    <w:rsid w:val="00DD7452"/>
    <w:rsid w:val="00DE687E"/>
    <w:rsid w:val="00DF0BF0"/>
    <w:rsid w:val="00DF3CA2"/>
    <w:rsid w:val="00E01463"/>
    <w:rsid w:val="00E03FCD"/>
    <w:rsid w:val="00E05E0A"/>
    <w:rsid w:val="00E060BE"/>
    <w:rsid w:val="00E14657"/>
    <w:rsid w:val="00E17BB6"/>
    <w:rsid w:val="00E306DD"/>
    <w:rsid w:val="00E353BE"/>
    <w:rsid w:val="00E37064"/>
    <w:rsid w:val="00E37136"/>
    <w:rsid w:val="00E376B8"/>
    <w:rsid w:val="00E50709"/>
    <w:rsid w:val="00E534CF"/>
    <w:rsid w:val="00E55237"/>
    <w:rsid w:val="00E60491"/>
    <w:rsid w:val="00E61451"/>
    <w:rsid w:val="00E626CA"/>
    <w:rsid w:val="00E7009A"/>
    <w:rsid w:val="00E740E6"/>
    <w:rsid w:val="00E7456A"/>
    <w:rsid w:val="00E81CB4"/>
    <w:rsid w:val="00E8585B"/>
    <w:rsid w:val="00E85A1F"/>
    <w:rsid w:val="00E87F41"/>
    <w:rsid w:val="00E95862"/>
    <w:rsid w:val="00E971F9"/>
    <w:rsid w:val="00EA1D44"/>
    <w:rsid w:val="00EA3F15"/>
    <w:rsid w:val="00EA6D9A"/>
    <w:rsid w:val="00EA7847"/>
    <w:rsid w:val="00EB0355"/>
    <w:rsid w:val="00EB1318"/>
    <w:rsid w:val="00EB3CB3"/>
    <w:rsid w:val="00EB4C2F"/>
    <w:rsid w:val="00EB587D"/>
    <w:rsid w:val="00EC2583"/>
    <w:rsid w:val="00EC2B0B"/>
    <w:rsid w:val="00EC6CE6"/>
    <w:rsid w:val="00EC770F"/>
    <w:rsid w:val="00ED671C"/>
    <w:rsid w:val="00EE067B"/>
    <w:rsid w:val="00EE2E6E"/>
    <w:rsid w:val="00EE57B1"/>
    <w:rsid w:val="00EE638C"/>
    <w:rsid w:val="00EE6B15"/>
    <w:rsid w:val="00EF10A1"/>
    <w:rsid w:val="00EF58B4"/>
    <w:rsid w:val="00F01C5E"/>
    <w:rsid w:val="00F059BF"/>
    <w:rsid w:val="00F0759E"/>
    <w:rsid w:val="00F16A43"/>
    <w:rsid w:val="00F20F86"/>
    <w:rsid w:val="00F211A4"/>
    <w:rsid w:val="00F23031"/>
    <w:rsid w:val="00F2371D"/>
    <w:rsid w:val="00F3250F"/>
    <w:rsid w:val="00F378D6"/>
    <w:rsid w:val="00F4038B"/>
    <w:rsid w:val="00F46780"/>
    <w:rsid w:val="00F60F15"/>
    <w:rsid w:val="00F6314F"/>
    <w:rsid w:val="00F72D80"/>
    <w:rsid w:val="00F77D2D"/>
    <w:rsid w:val="00F821A3"/>
    <w:rsid w:val="00F84DEA"/>
    <w:rsid w:val="00F9314A"/>
    <w:rsid w:val="00F940B2"/>
    <w:rsid w:val="00F944B3"/>
    <w:rsid w:val="00F950B9"/>
    <w:rsid w:val="00F9647C"/>
    <w:rsid w:val="00F971E0"/>
    <w:rsid w:val="00FB3666"/>
    <w:rsid w:val="00FC58EF"/>
    <w:rsid w:val="00FD2156"/>
    <w:rsid w:val="00FD33DF"/>
    <w:rsid w:val="00FD3E0D"/>
    <w:rsid w:val="00FD52E8"/>
    <w:rsid w:val="00FD7264"/>
    <w:rsid w:val="00FE39D7"/>
    <w:rsid w:val="00FE3B40"/>
    <w:rsid w:val="00FE5667"/>
    <w:rsid w:val="00FE744A"/>
    <w:rsid w:val="00FE7592"/>
    <w:rsid w:val="00FF3E09"/>
    <w:rsid w:val="00FF3F52"/>
    <w:rsid w:val="00FF4491"/>
    <w:rsid w:val="00FF601F"/>
    <w:rsid w:val="00FF7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51751AF8-E507-4905-BD40-625477BA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2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DFB9-2B87-48C6-AF59-B54726BF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16</Pages>
  <Words>6298</Words>
  <Characters>33577</Characters>
  <Application>Microsoft Office Word</Application>
  <DocSecurity>0</DocSecurity>
  <Lines>279</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39796</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2021-10-26T16:21:00Z</cp:lastPrinted>
  <dcterms:created xsi:type="dcterms:W3CDTF">2021-11-11T23:12:00Z</dcterms:created>
  <dcterms:modified xsi:type="dcterms:W3CDTF">2021-11-11T23:12:00Z</dcterms:modified>
</cp:coreProperties>
</file>