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C16DCF" w:rsidRDefault="002626C1" w:rsidP="00D11560">
      <w:pPr>
        <w:pStyle w:val="Encabezado"/>
        <w:tabs>
          <w:tab w:val="clear" w:pos="8504"/>
          <w:tab w:val="right" w:pos="9356"/>
        </w:tabs>
        <w:ind w:left="0"/>
        <w:jc w:val="both"/>
        <w:rPr>
          <w:rFonts w:ascii="Bookman Old Style" w:hAnsi="Bookman Old Style"/>
          <w:szCs w:val="22"/>
        </w:rPr>
      </w:pPr>
      <w:bookmarkStart w:id="0" w:name="_GoBack"/>
      <w:bookmarkEnd w:id="0"/>
      <w:r>
        <w:rPr>
          <w:rFonts w:ascii="Bookman Old Style" w:hAnsi="Bookman Old Style"/>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6781243" r:id="rId10"/>
        </w:pict>
      </w:r>
    </w:p>
    <w:p w:rsidR="00625DC6" w:rsidRPr="00C16DCF" w:rsidRDefault="00625DC6" w:rsidP="00D11560">
      <w:pPr>
        <w:pStyle w:val="Encabezado"/>
        <w:tabs>
          <w:tab w:val="clear" w:pos="8504"/>
          <w:tab w:val="right" w:pos="9356"/>
        </w:tabs>
        <w:ind w:left="0"/>
        <w:jc w:val="both"/>
        <w:rPr>
          <w:rFonts w:ascii="Bookman Old Style" w:hAnsi="Bookman Old Style"/>
          <w:szCs w:val="22"/>
        </w:rPr>
      </w:pPr>
    </w:p>
    <w:p w:rsidR="008839D9" w:rsidRPr="00C16DCF" w:rsidRDefault="008839D9" w:rsidP="008839D9">
      <w:pPr>
        <w:pStyle w:val="Ttulo4"/>
        <w:keepNext w:val="0"/>
        <w:tabs>
          <w:tab w:val="right" w:pos="9356"/>
        </w:tabs>
        <w:ind w:left="0"/>
        <w:rPr>
          <w:rFonts w:ascii="Bookman Old Style" w:hAnsi="Bookman Old Style"/>
          <w:b w:val="0"/>
          <w:bCs/>
          <w:noProof/>
          <w:sz w:val="24"/>
          <w:szCs w:val="23"/>
          <w:lang w:val="es-ES"/>
        </w:rPr>
      </w:pPr>
      <w:r w:rsidRPr="00C16DCF">
        <w:rPr>
          <w:rFonts w:ascii="Bookman Old Style" w:hAnsi="Bookman Old Style"/>
          <w:b w:val="0"/>
          <w:bCs/>
          <w:sz w:val="24"/>
          <w:szCs w:val="23"/>
        </w:rPr>
        <w:t>Ministerio de Minas y Energía</w:t>
      </w:r>
    </w:p>
    <w:p w:rsidR="008839D9" w:rsidRPr="00C16DCF" w:rsidRDefault="008839D9" w:rsidP="008839D9">
      <w:pPr>
        <w:pStyle w:val="Ttulo4"/>
        <w:keepNext w:val="0"/>
        <w:tabs>
          <w:tab w:val="right" w:pos="9356"/>
        </w:tabs>
        <w:ind w:left="0"/>
        <w:rPr>
          <w:rFonts w:ascii="Bookman Old Style" w:hAnsi="Bookman Old Style"/>
          <w:b w:val="0"/>
          <w:bCs/>
          <w:sz w:val="24"/>
          <w:szCs w:val="23"/>
        </w:rPr>
      </w:pPr>
    </w:p>
    <w:p w:rsidR="008839D9" w:rsidRPr="00C16DCF" w:rsidRDefault="008839D9" w:rsidP="008839D9">
      <w:pPr>
        <w:pStyle w:val="Ttulo3"/>
        <w:keepNext w:val="0"/>
        <w:tabs>
          <w:tab w:val="right" w:pos="9356"/>
        </w:tabs>
        <w:ind w:left="0"/>
        <w:rPr>
          <w:rFonts w:ascii="Bookman Old Style" w:hAnsi="Bookman Old Style" w:cs="Arial"/>
          <w:spacing w:val="20"/>
          <w:szCs w:val="23"/>
        </w:rPr>
      </w:pPr>
      <w:r w:rsidRPr="00C16DCF">
        <w:rPr>
          <w:rFonts w:ascii="Bookman Old Style" w:hAnsi="Bookman Old Style" w:cs="Arial"/>
          <w:spacing w:val="20"/>
          <w:szCs w:val="23"/>
        </w:rPr>
        <w:t>COMISIÓN DE REGULACIÓN DE ENERGÍA Y GAS</w:t>
      </w:r>
    </w:p>
    <w:p w:rsidR="008839D9" w:rsidRPr="00C16DCF" w:rsidRDefault="008839D9" w:rsidP="008839D9">
      <w:pPr>
        <w:pStyle w:val="Ttulo5"/>
        <w:keepNext w:val="0"/>
        <w:tabs>
          <w:tab w:val="right" w:pos="9356"/>
        </w:tabs>
        <w:ind w:left="0"/>
        <w:rPr>
          <w:rFonts w:ascii="Bookman Old Style" w:hAnsi="Bookman Old Style"/>
          <w:sz w:val="24"/>
          <w:szCs w:val="23"/>
        </w:rPr>
      </w:pPr>
    </w:p>
    <w:p w:rsidR="008839D9" w:rsidRPr="00C16DCF" w:rsidRDefault="008839D9" w:rsidP="008839D9">
      <w:pPr>
        <w:pStyle w:val="Ttulo5"/>
        <w:keepNext w:val="0"/>
        <w:tabs>
          <w:tab w:val="right" w:pos="9356"/>
        </w:tabs>
        <w:ind w:left="0"/>
        <w:rPr>
          <w:rFonts w:ascii="Bookman Old Style" w:hAnsi="Bookman Old Style"/>
          <w:sz w:val="24"/>
          <w:szCs w:val="23"/>
        </w:rPr>
      </w:pPr>
    </w:p>
    <w:p w:rsidR="008839D9" w:rsidRPr="00C16DCF" w:rsidRDefault="008839D9" w:rsidP="008839D9">
      <w:pPr>
        <w:pStyle w:val="Ttulo5"/>
        <w:keepNext w:val="0"/>
        <w:tabs>
          <w:tab w:val="right" w:pos="9356"/>
        </w:tabs>
        <w:ind w:left="0"/>
        <w:rPr>
          <w:rFonts w:ascii="Bookman Old Style" w:hAnsi="Bookman Old Style"/>
          <w:sz w:val="24"/>
          <w:szCs w:val="23"/>
        </w:rPr>
      </w:pPr>
      <w:r w:rsidRPr="00C16DCF">
        <w:rPr>
          <w:rFonts w:ascii="Bookman Old Style" w:hAnsi="Bookman Old Style"/>
          <w:sz w:val="24"/>
          <w:szCs w:val="23"/>
        </w:rPr>
        <w:t>RESOLUCIÓN No.                   DE 2015</w:t>
      </w:r>
    </w:p>
    <w:p w:rsidR="008839D9" w:rsidRPr="00C16DCF" w:rsidRDefault="008839D9" w:rsidP="008839D9">
      <w:pPr>
        <w:tabs>
          <w:tab w:val="right" w:pos="9356"/>
        </w:tabs>
        <w:ind w:left="0"/>
        <w:jc w:val="center"/>
        <w:rPr>
          <w:rFonts w:ascii="Bookman Old Style" w:hAnsi="Bookman Old Style" w:cs="Arial"/>
          <w:b/>
          <w:snapToGrid w:val="0"/>
          <w:color w:val="000000"/>
          <w:szCs w:val="23"/>
          <w:lang w:val="es-ES_tradnl"/>
        </w:rPr>
      </w:pPr>
    </w:p>
    <w:p w:rsidR="008839D9" w:rsidRPr="00C16DCF" w:rsidRDefault="008839D9" w:rsidP="008839D9">
      <w:pPr>
        <w:pStyle w:val="Ttulo3"/>
        <w:keepNext w:val="0"/>
        <w:tabs>
          <w:tab w:val="right" w:pos="9356"/>
        </w:tabs>
        <w:ind w:left="0"/>
        <w:rPr>
          <w:rFonts w:ascii="Bookman Old Style" w:hAnsi="Bookman Old Style"/>
          <w:b w:val="0"/>
          <w:szCs w:val="23"/>
        </w:rPr>
      </w:pPr>
      <w:r w:rsidRPr="00C16DCF">
        <w:rPr>
          <w:rFonts w:ascii="Bookman Old Style" w:hAnsi="Bookman Old Style"/>
          <w:b w:val="0"/>
          <w:szCs w:val="23"/>
        </w:rPr>
        <w:t>(                                  )</w:t>
      </w:r>
    </w:p>
    <w:p w:rsidR="008839D9" w:rsidRPr="00C16DCF" w:rsidRDefault="008839D9" w:rsidP="008839D9">
      <w:pPr>
        <w:tabs>
          <w:tab w:val="right" w:pos="9356"/>
        </w:tabs>
        <w:ind w:left="0"/>
        <w:jc w:val="center"/>
        <w:rPr>
          <w:rFonts w:ascii="Bookman Old Style" w:hAnsi="Bookman Old Style"/>
          <w:szCs w:val="23"/>
          <w:lang w:val="es-ES_tradnl"/>
        </w:rPr>
      </w:pPr>
    </w:p>
    <w:p w:rsidR="008839D9" w:rsidRPr="00C16DCF" w:rsidRDefault="008839D9" w:rsidP="008839D9">
      <w:pPr>
        <w:tabs>
          <w:tab w:val="right" w:pos="9356"/>
        </w:tabs>
        <w:ind w:left="0"/>
        <w:jc w:val="center"/>
        <w:rPr>
          <w:rFonts w:ascii="Bookman Old Style" w:hAnsi="Bookman Old Style"/>
          <w:bCs/>
          <w:szCs w:val="23"/>
          <w:lang w:val="es-CO"/>
        </w:rPr>
      </w:pPr>
    </w:p>
    <w:p w:rsidR="008839D9" w:rsidRPr="00C16DCF" w:rsidRDefault="008839D9" w:rsidP="008839D9">
      <w:pPr>
        <w:tabs>
          <w:tab w:val="right" w:pos="9356"/>
        </w:tabs>
        <w:ind w:left="0"/>
        <w:jc w:val="center"/>
        <w:rPr>
          <w:rFonts w:ascii="Bookman Old Style" w:hAnsi="Bookman Old Style"/>
          <w:bCs/>
          <w:szCs w:val="23"/>
          <w:lang w:val="es-CO"/>
        </w:rPr>
      </w:pPr>
    </w:p>
    <w:p w:rsidR="008839D9" w:rsidRPr="00C16DCF" w:rsidRDefault="008839D9" w:rsidP="008839D9">
      <w:pPr>
        <w:tabs>
          <w:tab w:val="right" w:pos="9356"/>
        </w:tabs>
        <w:ind w:left="0"/>
        <w:jc w:val="center"/>
        <w:rPr>
          <w:rFonts w:ascii="Bookman Old Style" w:hAnsi="Bookman Old Style"/>
          <w:szCs w:val="23"/>
        </w:rPr>
      </w:pPr>
      <w:r w:rsidRPr="00C16DCF">
        <w:rPr>
          <w:rFonts w:ascii="Bookman Old Style" w:hAnsi="Bookman Old Style"/>
          <w:szCs w:val="23"/>
        </w:rPr>
        <w:t xml:space="preserve">Por la cual </w:t>
      </w:r>
      <w:r w:rsidRPr="00C16DCF">
        <w:rPr>
          <w:rFonts w:ascii="Bookman Old Style" w:hAnsi="Bookman Old Style"/>
          <w:bCs/>
          <w:szCs w:val="23"/>
          <w:lang w:val="es-CO"/>
        </w:rPr>
        <w:t xml:space="preserve">se modifica la vigencia de la </w:t>
      </w:r>
      <w:r w:rsidRPr="00C16DCF">
        <w:rPr>
          <w:rFonts w:ascii="Bookman Old Style" w:hAnsi="Bookman Old Style" w:cs="Arial"/>
          <w:szCs w:val="23"/>
        </w:rPr>
        <w:t xml:space="preserve">Resolución CREG 159 de 2011 </w:t>
      </w:r>
      <w:r w:rsidRPr="00C16DCF">
        <w:rPr>
          <w:rFonts w:ascii="Bookman Old Style" w:hAnsi="Bookman Old Style"/>
          <w:bCs/>
          <w:szCs w:val="23"/>
          <w:lang w:val="es-CO"/>
        </w:rPr>
        <w:t>y</w:t>
      </w:r>
      <w:r w:rsidRPr="00C16DCF">
        <w:rPr>
          <w:rFonts w:ascii="Bookman Old Style" w:hAnsi="Bookman Old Style"/>
          <w:szCs w:val="23"/>
        </w:rPr>
        <w:t xml:space="preserve"> se ordena hacer público un proyecto de resolución de carácter general, “</w:t>
      </w:r>
      <w:r w:rsidRPr="00C16DCF">
        <w:rPr>
          <w:rFonts w:ascii="Bookman Old Style" w:hAnsi="Bookman Old Style" w:cs="Arial"/>
          <w:szCs w:val="23"/>
        </w:rPr>
        <w:t>Por la cual se modifican algunos aspectos relacionados con las garantías establecidas en la Resolución CREG 159 de 2011</w:t>
      </w:r>
      <w:r w:rsidRPr="00C16DCF">
        <w:rPr>
          <w:rFonts w:ascii="Bookman Old Style" w:hAnsi="Bookman Old Style"/>
          <w:szCs w:val="23"/>
        </w:rPr>
        <w:t>”</w:t>
      </w:r>
    </w:p>
    <w:p w:rsidR="008839D9" w:rsidRPr="00C16DCF" w:rsidRDefault="008839D9" w:rsidP="008839D9">
      <w:pPr>
        <w:tabs>
          <w:tab w:val="right" w:pos="9356"/>
        </w:tabs>
        <w:ind w:left="0"/>
        <w:rPr>
          <w:rFonts w:ascii="Bookman Old Style" w:hAnsi="Bookman Old Style"/>
          <w:szCs w:val="23"/>
        </w:rPr>
      </w:pPr>
    </w:p>
    <w:p w:rsidR="008839D9" w:rsidRPr="00C16DCF" w:rsidRDefault="008839D9" w:rsidP="008839D9">
      <w:pPr>
        <w:tabs>
          <w:tab w:val="right" w:pos="9356"/>
        </w:tabs>
        <w:ind w:left="0"/>
        <w:jc w:val="center"/>
        <w:rPr>
          <w:rFonts w:ascii="Bookman Old Style" w:hAnsi="Bookman Old Style" w:cs="Arial"/>
          <w:b/>
          <w:szCs w:val="23"/>
        </w:rPr>
      </w:pPr>
    </w:p>
    <w:p w:rsidR="008839D9" w:rsidRPr="00C16DCF" w:rsidRDefault="008839D9" w:rsidP="008839D9">
      <w:pPr>
        <w:tabs>
          <w:tab w:val="right" w:pos="9356"/>
        </w:tabs>
        <w:ind w:left="0"/>
        <w:jc w:val="center"/>
        <w:rPr>
          <w:rFonts w:ascii="Bookman Old Style" w:hAnsi="Bookman Old Style" w:cs="Arial"/>
          <w:b/>
          <w:szCs w:val="23"/>
        </w:rPr>
      </w:pPr>
      <w:r w:rsidRPr="00C16DCF">
        <w:rPr>
          <w:rFonts w:ascii="Bookman Old Style" w:hAnsi="Bookman Old Style" w:cs="Arial"/>
          <w:b/>
          <w:szCs w:val="23"/>
        </w:rPr>
        <w:t>LA COMISIÓN DE REGULACIÓN DE ENERGÍA Y GAS</w:t>
      </w:r>
    </w:p>
    <w:p w:rsidR="008839D9" w:rsidRPr="00C16DCF" w:rsidRDefault="008839D9" w:rsidP="008839D9">
      <w:pPr>
        <w:tabs>
          <w:tab w:val="right" w:pos="9356"/>
        </w:tabs>
        <w:ind w:left="0"/>
        <w:jc w:val="center"/>
        <w:rPr>
          <w:rFonts w:ascii="Bookman Old Style" w:hAnsi="Bookman Old Style" w:cs="Arial"/>
          <w:szCs w:val="23"/>
        </w:rPr>
      </w:pPr>
    </w:p>
    <w:p w:rsidR="008839D9" w:rsidRPr="00C16DCF" w:rsidRDefault="008839D9" w:rsidP="008839D9">
      <w:pPr>
        <w:tabs>
          <w:tab w:val="right" w:pos="9356"/>
        </w:tabs>
        <w:ind w:left="0"/>
        <w:jc w:val="center"/>
        <w:rPr>
          <w:rFonts w:ascii="Bookman Old Style" w:hAnsi="Bookman Old Style" w:cs="Arial"/>
          <w:szCs w:val="23"/>
        </w:rPr>
      </w:pPr>
    </w:p>
    <w:p w:rsidR="008839D9" w:rsidRPr="00C16DCF" w:rsidRDefault="008839D9" w:rsidP="008839D9">
      <w:pPr>
        <w:tabs>
          <w:tab w:val="right" w:pos="9356"/>
        </w:tabs>
        <w:ind w:left="0"/>
        <w:jc w:val="both"/>
        <w:rPr>
          <w:rFonts w:ascii="Bookman Old Style" w:hAnsi="Bookman Old Style"/>
          <w:szCs w:val="23"/>
        </w:rPr>
      </w:pPr>
      <w:r w:rsidRPr="00C16DCF">
        <w:rPr>
          <w:rFonts w:ascii="Bookman Old Style" w:hAnsi="Bookman Old Style"/>
          <w:szCs w:val="23"/>
        </w:rPr>
        <w:t xml:space="preserve">En ejercicio de sus facultades legales, en especial de las conferidas por la Leyes 142 y 143 de 1994, y en desarrollo de los decretos 1524 y 2253 de 1994 y 1260 de 2013 y, </w:t>
      </w:r>
    </w:p>
    <w:p w:rsidR="008839D9" w:rsidRPr="00C16DCF" w:rsidRDefault="008839D9" w:rsidP="008839D9">
      <w:pPr>
        <w:tabs>
          <w:tab w:val="right" w:pos="9356"/>
        </w:tabs>
        <w:ind w:left="0"/>
        <w:jc w:val="center"/>
        <w:rPr>
          <w:rFonts w:ascii="Bookman Old Style" w:hAnsi="Bookman Old Style" w:cs="Arial"/>
          <w:szCs w:val="23"/>
        </w:rPr>
      </w:pPr>
    </w:p>
    <w:p w:rsidR="008839D9" w:rsidRPr="00C16DCF" w:rsidRDefault="008839D9" w:rsidP="008839D9">
      <w:pPr>
        <w:tabs>
          <w:tab w:val="right" w:pos="9356"/>
        </w:tabs>
        <w:ind w:left="0"/>
        <w:jc w:val="center"/>
        <w:rPr>
          <w:rFonts w:ascii="Bookman Old Style" w:hAnsi="Bookman Old Style" w:cs="Arial"/>
          <w:b/>
          <w:szCs w:val="23"/>
        </w:rPr>
      </w:pPr>
      <w:r w:rsidRPr="00C16DCF">
        <w:rPr>
          <w:rFonts w:ascii="Bookman Old Style" w:hAnsi="Bookman Old Style"/>
          <w:b/>
          <w:spacing w:val="100"/>
          <w:szCs w:val="23"/>
        </w:rPr>
        <w:t>CONSIDERANDO QUE</w:t>
      </w:r>
      <w:r w:rsidRPr="00C16DCF">
        <w:rPr>
          <w:rFonts w:ascii="Bookman Old Style" w:hAnsi="Bookman Old Style" w:cs="Arial"/>
          <w:b/>
          <w:szCs w:val="23"/>
        </w:rPr>
        <w:t>:</w:t>
      </w:r>
    </w:p>
    <w:p w:rsidR="008839D9" w:rsidRPr="00C16DCF" w:rsidRDefault="008839D9" w:rsidP="008839D9">
      <w:pPr>
        <w:ind w:left="0"/>
        <w:rPr>
          <w:rFonts w:ascii="Bookman Old Style" w:hAnsi="Bookman Old Style"/>
          <w:szCs w:val="23"/>
        </w:rPr>
      </w:pPr>
    </w:p>
    <w:p w:rsidR="008839D9" w:rsidRPr="00C16DCF" w:rsidRDefault="008839D9" w:rsidP="008839D9">
      <w:pPr>
        <w:ind w:left="0"/>
        <w:jc w:val="both"/>
        <w:rPr>
          <w:rFonts w:ascii="Bookman Old Style" w:hAnsi="Bookman Old Style" w:cs="Arial"/>
          <w:szCs w:val="23"/>
        </w:rPr>
      </w:pPr>
      <w:r w:rsidRPr="00C16DCF">
        <w:rPr>
          <w:rFonts w:ascii="Bookman Old Style" w:hAnsi="Bookman Old Style" w:cs="Arial"/>
          <w:szCs w:val="23"/>
        </w:rPr>
        <w:t>Mediante la Resolución CREG 159 de 2011, se estableció el Reglamento de Mecanismos de Cubrimiento para el Pago de los Cargos por Uso del Sistema de Transmisión Regional y del Sistema de Distribución Local, con los siguientes objetivos: i) mitigar el riesgo de incumplimiento en el pago de los cargos por uso asociados a la energía que se transporta por los sistemas de transmisión regional y distribución local; y ii) asegurar la continuidad del servicio a los usuarios finales.</w:t>
      </w:r>
    </w:p>
    <w:p w:rsidR="008839D9" w:rsidRPr="00C16DCF" w:rsidRDefault="008839D9" w:rsidP="008839D9">
      <w:pPr>
        <w:ind w:left="0"/>
        <w:jc w:val="both"/>
        <w:rPr>
          <w:rFonts w:ascii="Bookman Old Style" w:hAnsi="Bookman Old Style" w:cs="Arial"/>
          <w:szCs w:val="23"/>
        </w:rPr>
      </w:pPr>
    </w:p>
    <w:p w:rsidR="008839D9" w:rsidRPr="00C16DCF" w:rsidRDefault="008839D9" w:rsidP="008839D9">
      <w:pPr>
        <w:ind w:left="0"/>
        <w:jc w:val="both"/>
        <w:rPr>
          <w:rFonts w:ascii="Bookman Old Style" w:hAnsi="Bookman Old Style" w:cs="Arial"/>
          <w:i/>
          <w:szCs w:val="23"/>
        </w:rPr>
      </w:pPr>
      <w:r w:rsidRPr="00C16DCF">
        <w:rPr>
          <w:rFonts w:ascii="Bookman Old Style" w:hAnsi="Bookman Old Style" w:cs="Arial"/>
          <w:szCs w:val="23"/>
        </w:rPr>
        <w:t xml:space="preserve">En la precitada resolución, se señaló que para su entrada en vigencia se requerían dos condiciones: i) haber transcurrido tres (3) meses contados a partir de la expedición de la resolución que establezca la metodología para remunerar la actividad de comercialización de energía eléctrica, y ii) haber sido publicada en el </w:t>
      </w:r>
      <w:r w:rsidRPr="00C16DCF">
        <w:rPr>
          <w:rFonts w:ascii="Bookman Old Style" w:hAnsi="Bookman Old Style" w:cs="Arial"/>
          <w:i/>
          <w:szCs w:val="23"/>
        </w:rPr>
        <w:t>Diario Oficial.</w:t>
      </w:r>
    </w:p>
    <w:p w:rsidR="008839D9" w:rsidRPr="00C16DCF" w:rsidRDefault="008839D9" w:rsidP="008839D9">
      <w:pPr>
        <w:pStyle w:val="Encabezado"/>
        <w:tabs>
          <w:tab w:val="left" w:pos="-720"/>
        </w:tabs>
        <w:suppressAutoHyphens/>
        <w:ind w:left="0"/>
        <w:rPr>
          <w:rFonts w:ascii="Bookman Old Style" w:hAnsi="Bookman Old Style" w:cs="Arial"/>
          <w:szCs w:val="23"/>
          <w:lang w:val="es-ES"/>
        </w:rPr>
      </w:pPr>
    </w:p>
    <w:p w:rsidR="008839D9" w:rsidRPr="00C16DCF" w:rsidRDefault="008839D9" w:rsidP="008839D9">
      <w:pPr>
        <w:pStyle w:val="Encabezado"/>
        <w:tabs>
          <w:tab w:val="left" w:pos="-720"/>
        </w:tabs>
        <w:suppressAutoHyphens/>
        <w:ind w:left="0"/>
        <w:jc w:val="both"/>
        <w:rPr>
          <w:rFonts w:ascii="Bookman Old Style" w:hAnsi="Bookman Old Style" w:cs="Arial"/>
          <w:szCs w:val="23"/>
          <w:lang w:val="es-ES"/>
        </w:rPr>
      </w:pPr>
      <w:r w:rsidRPr="00C16DCF">
        <w:rPr>
          <w:rFonts w:ascii="Bookman Old Style" w:hAnsi="Bookman Old Style" w:cs="Arial"/>
          <w:szCs w:val="23"/>
          <w:lang w:val="es-ES"/>
        </w:rPr>
        <w:t xml:space="preserve">Mediante la Resolución CREG 180 de 2014, se establecieron los criterios generales para determinar la remuneración de la actividad de comercialización de energía eléctrica a usuarios regulados en el Sistema Interconectado Nacional; dicha Resolución fue publicada en el </w:t>
      </w:r>
      <w:r w:rsidRPr="00C16DCF">
        <w:rPr>
          <w:rFonts w:ascii="Bookman Old Style" w:hAnsi="Bookman Old Style" w:cs="Arial"/>
          <w:i/>
          <w:szCs w:val="23"/>
          <w:lang w:val="es-ES"/>
        </w:rPr>
        <w:t>Diario Oficial</w:t>
      </w:r>
      <w:r w:rsidRPr="00C16DCF">
        <w:rPr>
          <w:rFonts w:ascii="Bookman Old Style" w:hAnsi="Bookman Old Style" w:cs="Arial"/>
          <w:szCs w:val="23"/>
          <w:lang w:val="es-ES"/>
        </w:rPr>
        <w:t xml:space="preserve"> el 29 de enero de 2014.</w:t>
      </w:r>
    </w:p>
    <w:p w:rsidR="008839D9" w:rsidRPr="00C16DCF" w:rsidRDefault="008839D9" w:rsidP="008839D9">
      <w:pPr>
        <w:pStyle w:val="Encabezado"/>
        <w:tabs>
          <w:tab w:val="left" w:pos="-720"/>
        </w:tabs>
        <w:suppressAutoHyphens/>
        <w:ind w:left="0"/>
        <w:jc w:val="both"/>
        <w:rPr>
          <w:rFonts w:ascii="Bookman Old Style" w:hAnsi="Bookman Old Style" w:cs="Arial"/>
          <w:szCs w:val="23"/>
          <w:lang w:val="es-ES"/>
        </w:rPr>
      </w:pPr>
    </w:p>
    <w:p w:rsidR="008839D9" w:rsidRPr="00C16DCF" w:rsidRDefault="008839D9" w:rsidP="008839D9">
      <w:pPr>
        <w:pStyle w:val="Encabezado"/>
        <w:tabs>
          <w:tab w:val="left" w:pos="-720"/>
        </w:tabs>
        <w:suppressAutoHyphens/>
        <w:ind w:left="0"/>
        <w:jc w:val="both"/>
        <w:rPr>
          <w:rFonts w:ascii="Bookman Old Style" w:hAnsi="Bookman Old Style" w:cs="Arial"/>
          <w:szCs w:val="23"/>
          <w:lang w:val="es-ES"/>
        </w:rPr>
      </w:pPr>
      <w:r w:rsidRPr="00C16DCF">
        <w:rPr>
          <w:rFonts w:ascii="Bookman Old Style" w:hAnsi="Bookman Old Style" w:cs="Arial"/>
          <w:szCs w:val="23"/>
          <w:lang w:val="es-ES"/>
        </w:rPr>
        <w:t xml:space="preserve">De acuerdo con el Documento CREG 126 de 2011, que soporta la Resolución CREG 159 de 2011, la motivación para que la Resolución entrara en vigencia tres meses después de publicada en el Diario Oficial la Resolución que estableciera la metodología para la remuneración de comercialización de </w:t>
      </w:r>
      <w:r w:rsidRPr="00C16DCF">
        <w:rPr>
          <w:rFonts w:ascii="Bookman Old Style" w:hAnsi="Bookman Old Style" w:cs="Arial"/>
          <w:szCs w:val="23"/>
          <w:lang w:val="es-ES"/>
        </w:rPr>
        <w:lastRenderedPageBreak/>
        <w:t>energía eléctrica, obedeció a que los cargos aprobados por esta actividad, remuneraran también la nueva obligación contenida en la Resolución CREG 159 de 2011.</w:t>
      </w:r>
    </w:p>
    <w:p w:rsidR="008839D9" w:rsidRPr="00C16DCF" w:rsidRDefault="008839D9" w:rsidP="008839D9">
      <w:pPr>
        <w:ind w:left="0"/>
        <w:jc w:val="both"/>
        <w:rPr>
          <w:rFonts w:ascii="Bookman Old Style" w:hAnsi="Bookman Old Style"/>
          <w:szCs w:val="23"/>
        </w:rPr>
      </w:pPr>
    </w:p>
    <w:p w:rsidR="008839D9" w:rsidRPr="00C16DCF" w:rsidRDefault="008839D9" w:rsidP="008839D9">
      <w:pPr>
        <w:pStyle w:val="Encabezado"/>
        <w:tabs>
          <w:tab w:val="left" w:pos="-720"/>
        </w:tabs>
        <w:suppressAutoHyphens/>
        <w:ind w:left="0"/>
        <w:jc w:val="both"/>
        <w:rPr>
          <w:rFonts w:ascii="Bookman Old Style" w:hAnsi="Bookman Old Style" w:cs="Arial"/>
          <w:szCs w:val="23"/>
          <w:lang w:val="es-ES"/>
        </w:rPr>
      </w:pPr>
      <w:r w:rsidRPr="00C16DCF">
        <w:rPr>
          <w:rFonts w:ascii="Bookman Old Style" w:hAnsi="Bookman Old Style" w:cs="Arial"/>
          <w:szCs w:val="23"/>
          <w:lang w:val="es-ES"/>
        </w:rPr>
        <w:t xml:space="preserve">Mediante la Resolución CREG 104 de 2015 se modificó la vigencia de la Resolución CREG 159 de 2011, el cual se considera necesario ampliar nuevamente para llevar a cabo análisis adicionales relacionados con la entrada en vigencia del </w:t>
      </w:r>
      <w:r w:rsidRPr="00C16DCF">
        <w:rPr>
          <w:rFonts w:ascii="Bookman Old Style" w:hAnsi="Bookman Old Style" w:cs="Arial"/>
          <w:szCs w:val="23"/>
        </w:rPr>
        <w:t>Reglamento de Mecanismos de Cubrimiento para el Pago de los Cargos por Uso del Sistema de Transmisión Regional y del Sistema de Distribución Local</w:t>
      </w:r>
      <w:r w:rsidRPr="00C16DCF">
        <w:rPr>
          <w:rFonts w:ascii="Bookman Old Style" w:hAnsi="Bookman Old Style" w:cs="Arial"/>
          <w:szCs w:val="23"/>
          <w:lang w:val="es-ES"/>
        </w:rPr>
        <w:t>.</w:t>
      </w:r>
    </w:p>
    <w:p w:rsidR="008839D9" w:rsidRPr="00C16DCF" w:rsidRDefault="008839D9" w:rsidP="008839D9">
      <w:pPr>
        <w:ind w:left="0"/>
        <w:jc w:val="both"/>
        <w:rPr>
          <w:rFonts w:ascii="Bookman Old Style" w:hAnsi="Bookman Old Style"/>
          <w:szCs w:val="23"/>
        </w:rPr>
      </w:pPr>
    </w:p>
    <w:p w:rsidR="008839D9" w:rsidRPr="00C16DCF" w:rsidRDefault="008839D9" w:rsidP="008839D9">
      <w:pPr>
        <w:ind w:left="0"/>
        <w:jc w:val="both"/>
        <w:rPr>
          <w:rFonts w:ascii="Bookman Old Style" w:hAnsi="Bookman Old Style"/>
          <w:szCs w:val="23"/>
        </w:rPr>
      </w:pPr>
      <w:r w:rsidRPr="00C16DCF">
        <w:rPr>
          <w:rFonts w:ascii="Bookman Old Style" w:hAnsi="Bookman Old Style"/>
          <w:szCs w:val="23"/>
        </w:rPr>
        <w:t xml:space="preserve">Conforme </w:t>
      </w:r>
      <w:r w:rsidR="007F5C80">
        <w:rPr>
          <w:rFonts w:ascii="Bookman Old Style" w:hAnsi="Bookman Old Style"/>
          <w:szCs w:val="23"/>
        </w:rPr>
        <w:t>con</w:t>
      </w:r>
      <w:r w:rsidRPr="00C16DCF">
        <w:rPr>
          <w:rFonts w:ascii="Bookman Old Style" w:hAnsi="Bookman Old Style"/>
          <w:szCs w:val="23"/>
        </w:rPr>
        <w:t xml:space="preserve"> lo dispuesto por el artículo 9 del Decreto 2696 de 2004, concordante con el artículo 8 del Código de Procedimiento Administrativo y de lo Contencioso Administrativo, la Comisión debe hacer público en su página web todos los proyectos de resolución de carácter general que pretenda adoptar.</w:t>
      </w:r>
    </w:p>
    <w:p w:rsidR="008839D9" w:rsidRPr="00C16DCF" w:rsidRDefault="008839D9" w:rsidP="008839D9">
      <w:pPr>
        <w:ind w:left="0"/>
        <w:jc w:val="both"/>
        <w:rPr>
          <w:rFonts w:ascii="Bookman Old Style" w:hAnsi="Bookman Old Style"/>
          <w:szCs w:val="23"/>
        </w:rPr>
      </w:pPr>
    </w:p>
    <w:p w:rsidR="008839D9" w:rsidRPr="00C16DCF" w:rsidRDefault="008839D9" w:rsidP="008839D9">
      <w:pPr>
        <w:ind w:left="0"/>
        <w:jc w:val="both"/>
        <w:rPr>
          <w:rFonts w:ascii="Bookman Old Style" w:hAnsi="Bookman Old Style"/>
          <w:szCs w:val="23"/>
        </w:rPr>
      </w:pPr>
      <w:r w:rsidRPr="00C16DCF">
        <w:rPr>
          <w:rFonts w:ascii="Bookman Old Style" w:hAnsi="Bookman Old Style"/>
          <w:szCs w:val="23"/>
        </w:rPr>
        <w:t>La Comisión de Regulación de Energía y Gas, en su sesión 677 del 2 de octubre de 2015, aprobó modificar la vigencia de la Resolución CREG 159 de 2011 y p</w:t>
      </w:r>
      <w:r w:rsidR="007F5C80">
        <w:rPr>
          <w:rFonts w:ascii="Bookman Old Style" w:hAnsi="Bookman Old Style"/>
          <w:szCs w:val="23"/>
        </w:rPr>
        <w:t>u</w:t>
      </w:r>
      <w:r w:rsidRPr="00C16DCF">
        <w:rPr>
          <w:rFonts w:ascii="Bookman Old Style" w:hAnsi="Bookman Old Style"/>
          <w:szCs w:val="23"/>
        </w:rPr>
        <w:t>blic</w:t>
      </w:r>
      <w:r w:rsidR="007F5C80">
        <w:rPr>
          <w:rFonts w:ascii="Bookman Old Style" w:hAnsi="Bookman Old Style"/>
          <w:szCs w:val="23"/>
        </w:rPr>
        <w:t>ar para consulta</w:t>
      </w:r>
      <w:r w:rsidRPr="00C16DCF">
        <w:rPr>
          <w:rFonts w:ascii="Bookman Old Style" w:hAnsi="Bookman Old Style"/>
          <w:szCs w:val="23"/>
        </w:rPr>
        <w:t xml:space="preserve"> el proyecto de resolución “Por la cual se modifican algunos aspectos relacionados con las garantías establecidas en la Resolución CREG 159 de 2011”.</w:t>
      </w:r>
    </w:p>
    <w:p w:rsidR="008839D9" w:rsidRPr="00C16DCF" w:rsidRDefault="008839D9" w:rsidP="008839D9">
      <w:pPr>
        <w:tabs>
          <w:tab w:val="left" w:pos="993"/>
        </w:tabs>
        <w:spacing w:after="120"/>
        <w:ind w:left="0"/>
        <w:jc w:val="both"/>
        <w:rPr>
          <w:rFonts w:ascii="Bookman Old Style" w:hAnsi="Bookman Old Style"/>
          <w:szCs w:val="23"/>
        </w:rPr>
      </w:pPr>
    </w:p>
    <w:p w:rsidR="008839D9" w:rsidRPr="00C16DCF" w:rsidRDefault="008839D9" w:rsidP="008839D9">
      <w:pPr>
        <w:jc w:val="center"/>
        <w:rPr>
          <w:rFonts w:ascii="Bookman Old Style" w:hAnsi="Bookman Old Style"/>
          <w:b/>
          <w:szCs w:val="23"/>
        </w:rPr>
      </w:pPr>
      <w:r w:rsidRPr="00C16DCF">
        <w:rPr>
          <w:rFonts w:ascii="Bookman Old Style" w:hAnsi="Bookman Old Style"/>
          <w:b/>
          <w:szCs w:val="23"/>
        </w:rPr>
        <w:t>R E</w:t>
      </w:r>
      <w:r w:rsidRPr="00C16DCF">
        <w:rPr>
          <w:rFonts w:ascii="Bookman Old Style" w:hAnsi="Bookman Old Style"/>
          <w:szCs w:val="23"/>
        </w:rPr>
        <w:t xml:space="preserve"> </w:t>
      </w:r>
      <w:r w:rsidRPr="00C16DCF">
        <w:rPr>
          <w:rFonts w:ascii="Bookman Old Style" w:hAnsi="Bookman Old Style"/>
          <w:b/>
          <w:szCs w:val="23"/>
        </w:rPr>
        <w:t>S U E L V E:</w:t>
      </w:r>
    </w:p>
    <w:p w:rsidR="008839D9" w:rsidRPr="00C16DCF" w:rsidRDefault="008839D9" w:rsidP="008839D9">
      <w:pPr>
        <w:jc w:val="center"/>
        <w:rPr>
          <w:rFonts w:ascii="Bookman Old Style" w:hAnsi="Bookman Old Style"/>
          <w:b/>
          <w:szCs w:val="23"/>
        </w:rPr>
      </w:pPr>
    </w:p>
    <w:p w:rsidR="008839D9" w:rsidRPr="00C16DCF" w:rsidRDefault="008839D9" w:rsidP="008839D9">
      <w:pPr>
        <w:ind w:left="0"/>
        <w:jc w:val="both"/>
        <w:rPr>
          <w:rFonts w:ascii="Bookman Old Style" w:hAnsi="Bookman Old Style"/>
          <w:szCs w:val="23"/>
        </w:rPr>
      </w:pPr>
      <w:r w:rsidRPr="00C16DCF">
        <w:rPr>
          <w:rFonts w:ascii="Bookman Old Style" w:hAnsi="Bookman Old Style"/>
          <w:b/>
          <w:szCs w:val="23"/>
        </w:rPr>
        <w:t>Artículo 1.</w:t>
      </w:r>
      <w:r w:rsidRPr="00C16DCF">
        <w:rPr>
          <w:rFonts w:ascii="Bookman Old Style" w:hAnsi="Bookman Old Style"/>
          <w:szCs w:val="23"/>
        </w:rPr>
        <w:tab/>
      </w:r>
      <w:r w:rsidRPr="00C16DCF">
        <w:rPr>
          <w:rFonts w:ascii="Bookman Old Style" w:hAnsi="Bookman Old Style"/>
          <w:b/>
          <w:szCs w:val="23"/>
        </w:rPr>
        <w:t>Modificación del artículo 4 de la Resolución CREG 159 de 2011.</w:t>
      </w:r>
      <w:r w:rsidRPr="00C16DCF">
        <w:rPr>
          <w:rFonts w:ascii="Bookman Old Style" w:hAnsi="Bookman Old Style"/>
          <w:szCs w:val="23"/>
        </w:rPr>
        <w:t xml:space="preserve"> Se modifica el artículo 4 de la Resolución CREG 159 de 2011, el cual quedará así:</w:t>
      </w:r>
    </w:p>
    <w:p w:rsidR="008839D9" w:rsidRPr="00C16DCF" w:rsidRDefault="008839D9" w:rsidP="008839D9">
      <w:pPr>
        <w:ind w:left="0"/>
        <w:jc w:val="both"/>
        <w:rPr>
          <w:rFonts w:ascii="Bookman Old Style" w:hAnsi="Bookman Old Style"/>
          <w:szCs w:val="23"/>
        </w:rPr>
      </w:pPr>
    </w:p>
    <w:p w:rsidR="008839D9" w:rsidRPr="00C16DCF" w:rsidRDefault="008839D9" w:rsidP="008839D9">
      <w:pPr>
        <w:pStyle w:val="Estilo2"/>
        <w:keepNext w:val="0"/>
        <w:widowControl/>
        <w:tabs>
          <w:tab w:val="clear" w:pos="1440"/>
        </w:tabs>
        <w:ind w:left="426" w:right="284"/>
        <w:rPr>
          <w:b w:val="0"/>
          <w:szCs w:val="23"/>
        </w:rPr>
      </w:pPr>
      <w:r w:rsidRPr="00C16DCF">
        <w:rPr>
          <w:szCs w:val="23"/>
        </w:rPr>
        <w:t xml:space="preserve">Artículo 4. Vigencia. </w:t>
      </w:r>
      <w:r w:rsidRPr="00C16DCF">
        <w:rPr>
          <w:b w:val="0"/>
          <w:szCs w:val="23"/>
        </w:rPr>
        <w:t>La presente resolución entrará en vigencia una vez hayan transcurrido nueve (9) meses contados a partir de la ejecutoria de la resolución que apruebe el cargo que remunere la actividad de comercialización de energía eléctrica a usuarios regulados, en el respetivo mercado de comercialización, en aplicación de la metodología contenida en la Resolución CREG 180 de 2014. Esta resolución deroga las disposiciones que le sean contrarias.</w:t>
      </w:r>
    </w:p>
    <w:p w:rsidR="008839D9" w:rsidRPr="00C16DCF" w:rsidRDefault="008839D9" w:rsidP="008839D9">
      <w:pPr>
        <w:ind w:left="0"/>
        <w:jc w:val="both"/>
        <w:rPr>
          <w:rFonts w:ascii="Bookman Old Style" w:hAnsi="Bookman Old Style"/>
          <w:szCs w:val="23"/>
        </w:rPr>
      </w:pPr>
    </w:p>
    <w:p w:rsidR="008839D9" w:rsidRPr="00C16DCF" w:rsidRDefault="008839D9" w:rsidP="008839D9">
      <w:pPr>
        <w:ind w:left="0"/>
        <w:jc w:val="both"/>
        <w:rPr>
          <w:rFonts w:ascii="Bookman Old Style" w:hAnsi="Bookman Old Style"/>
          <w:szCs w:val="23"/>
        </w:rPr>
      </w:pPr>
      <w:r w:rsidRPr="00C16DCF">
        <w:rPr>
          <w:rFonts w:ascii="Bookman Old Style" w:hAnsi="Bookman Old Style"/>
          <w:b/>
          <w:szCs w:val="23"/>
        </w:rPr>
        <w:t xml:space="preserve">Artículo 2. </w:t>
      </w:r>
      <w:r w:rsidRPr="00C16DCF">
        <w:rPr>
          <w:rFonts w:ascii="Bookman Old Style" w:hAnsi="Bookman Old Style"/>
          <w:b/>
          <w:bCs/>
          <w:szCs w:val="23"/>
        </w:rPr>
        <w:t xml:space="preserve">Objeto de la consulta. </w:t>
      </w:r>
      <w:r w:rsidRPr="00C16DCF">
        <w:rPr>
          <w:rFonts w:ascii="Bookman Old Style" w:hAnsi="Bookman Old Style"/>
          <w:szCs w:val="23"/>
        </w:rPr>
        <w:t>Hágase público el proyecto de resolución “</w:t>
      </w:r>
      <w:r w:rsidRPr="00C16DCF">
        <w:rPr>
          <w:rFonts w:ascii="Bookman Old Style" w:hAnsi="Bookman Old Style" w:cs="Arial"/>
          <w:szCs w:val="23"/>
        </w:rPr>
        <w:t>Por la cual se modifican algunos aspectos relacionados con las garantías establecidas en la Resolución CREG 159 de 2011</w:t>
      </w:r>
      <w:r w:rsidRPr="00C16DCF">
        <w:rPr>
          <w:rFonts w:ascii="Bookman Old Style" w:hAnsi="Bookman Old Style"/>
          <w:szCs w:val="23"/>
        </w:rPr>
        <w:t>”.</w:t>
      </w:r>
    </w:p>
    <w:p w:rsidR="008839D9" w:rsidRPr="00C16DCF" w:rsidRDefault="008839D9" w:rsidP="008839D9">
      <w:pPr>
        <w:ind w:left="0"/>
        <w:jc w:val="both"/>
        <w:rPr>
          <w:rFonts w:ascii="Bookman Old Style" w:hAnsi="Bookman Old Style"/>
          <w:szCs w:val="23"/>
        </w:rPr>
      </w:pPr>
    </w:p>
    <w:p w:rsidR="008839D9" w:rsidRPr="00C16DCF" w:rsidRDefault="008839D9" w:rsidP="008839D9">
      <w:pPr>
        <w:ind w:left="0"/>
        <w:jc w:val="both"/>
        <w:rPr>
          <w:rFonts w:ascii="Bookman Old Style" w:hAnsi="Bookman Old Style"/>
          <w:szCs w:val="23"/>
        </w:rPr>
      </w:pPr>
      <w:r w:rsidRPr="00C16DCF">
        <w:rPr>
          <w:rFonts w:ascii="Bookman Old Style" w:hAnsi="Bookman Old Style"/>
          <w:b/>
          <w:szCs w:val="23"/>
        </w:rPr>
        <w:t>Artículo 3.</w:t>
      </w:r>
      <w:r w:rsidRPr="00C16DCF">
        <w:rPr>
          <w:rFonts w:ascii="Bookman Old Style" w:hAnsi="Bookman Old Style"/>
          <w:szCs w:val="23"/>
        </w:rPr>
        <w:tab/>
      </w:r>
      <w:r w:rsidRPr="00C16DCF">
        <w:rPr>
          <w:rFonts w:ascii="Bookman Old Style" w:hAnsi="Bookman Old Style"/>
          <w:b/>
          <w:bCs/>
          <w:szCs w:val="23"/>
        </w:rPr>
        <w:t>Presentación de comentarios, observaciones y sugerencias.</w:t>
      </w:r>
      <w:r w:rsidRPr="00C16DCF">
        <w:rPr>
          <w:rFonts w:ascii="Bookman Old Style" w:hAnsi="Bookman Old Style"/>
          <w:szCs w:val="23"/>
        </w:rPr>
        <w:t xml:space="preserve"> Se invita a los usuarios, a los agentes, a la Superintendencia de Servicios Públicos Domiciliarios, a la Superintendencia de Industria y Comercio y a los demás interesados para que remitan sus observaciones o sugerencias sobre la propuesta, dentro de los 10 días siguientes a la publicación de la presente resolución en la página web de la Comisión de Regulación de Energía y Gas.</w:t>
      </w:r>
    </w:p>
    <w:p w:rsidR="008839D9" w:rsidRPr="00C16DCF" w:rsidRDefault="008839D9" w:rsidP="008839D9">
      <w:pPr>
        <w:ind w:left="0"/>
        <w:jc w:val="both"/>
        <w:rPr>
          <w:rFonts w:ascii="Bookman Old Style" w:hAnsi="Bookman Old Style"/>
          <w:szCs w:val="23"/>
        </w:rPr>
      </w:pPr>
    </w:p>
    <w:p w:rsidR="008839D9" w:rsidRPr="00C16DCF" w:rsidRDefault="008839D9" w:rsidP="008839D9">
      <w:pPr>
        <w:ind w:left="0"/>
        <w:jc w:val="both"/>
        <w:rPr>
          <w:rFonts w:ascii="Bookman Old Style" w:hAnsi="Bookman Old Style"/>
          <w:szCs w:val="23"/>
        </w:rPr>
      </w:pPr>
      <w:r w:rsidRPr="00C16DCF">
        <w:rPr>
          <w:rFonts w:ascii="Bookman Old Style" w:hAnsi="Bookman Old Style"/>
          <w:b/>
          <w:szCs w:val="23"/>
        </w:rPr>
        <w:t xml:space="preserve">Artículo 4. </w:t>
      </w:r>
      <w:r w:rsidRPr="00C16DCF">
        <w:rPr>
          <w:rFonts w:ascii="Bookman Old Style" w:hAnsi="Bookman Old Style"/>
          <w:b/>
          <w:bCs/>
          <w:szCs w:val="23"/>
        </w:rPr>
        <w:t>Información.</w:t>
      </w:r>
      <w:r w:rsidRPr="00C16DCF">
        <w:rPr>
          <w:rFonts w:ascii="Bookman Old Style" w:hAnsi="Bookman Old Style"/>
          <w:szCs w:val="23"/>
        </w:rPr>
        <w:t xml:space="preserve"> Las observaciones y sugerencias sobre el proyecto en consulta deberán dirigirse al Director Ejecutivo de la Comisión, a la siguiente </w:t>
      </w:r>
      <w:r w:rsidRPr="00C16DCF">
        <w:rPr>
          <w:rFonts w:ascii="Bookman Old Style" w:hAnsi="Bookman Old Style"/>
          <w:szCs w:val="23"/>
        </w:rPr>
        <w:lastRenderedPageBreak/>
        <w:t xml:space="preserve">dirección: calle 116 No. 7-15, Interior 2, oficina 901 o al correo electrónico </w:t>
      </w:r>
      <w:hyperlink r:id="rId11" w:history="1">
        <w:r w:rsidRPr="00C16DCF">
          <w:rPr>
            <w:rFonts w:ascii="Bookman Old Style" w:hAnsi="Bookman Old Style"/>
            <w:color w:val="0000FF"/>
            <w:szCs w:val="23"/>
            <w:u w:val="single"/>
          </w:rPr>
          <w:t>creg@creg.gov.co</w:t>
        </w:r>
      </w:hyperlink>
      <w:r w:rsidRPr="00C16DCF">
        <w:rPr>
          <w:rFonts w:ascii="Bookman Old Style" w:hAnsi="Bookman Old Style"/>
          <w:szCs w:val="23"/>
        </w:rPr>
        <w:t xml:space="preserve"> </w:t>
      </w:r>
    </w:p>
    <w:p w:rsidR="008839D9" w:rsidRPr="00C16DCF" w:rsidRDefault="008839D9" w:rsidP="008839D9">
      <w:pPr>
        <w:ind w:left="0"/>
        <w:jc w:val="both"/>
        <w:rPr>
          <w:rFonts w:ascii="Bookman Old Style" w:hAnsi="Bookman Old Style"/>
          <w:szCs w:val="23"/>
        </w:rPr>
      </w:pPr>
    </w:p>
    <w:p w:rsidR="008839D9" w:rsidRPr="00C16DCF" w:rsidRDefault="008839D9" w:rsidP="008839D9">
      <w:pPr>
        <w:ind w:left="0"/>
        <w:jc w:val="both"/>
        <w:rPr>
          <w:rFonts w:ascii="Bookman Old Style" w:hAnsi="Bookman Old Style"/>
          <w:szCs w:val="23"/>
        </w:rPr>
      </w:pPr>
      <w:r w:rsidRPr="00C16DCF">
        <w:rPr>
          <w:rFonts w:ascii="Bookman Old Style" w:hAnsi="Bookman Old Style"/>
          <w:b/>
          <w:szCs w:val="23"/>
        </w:rPr>
        <w:t>Artículo 5.</w:t>
      </w:r>
      <w:r w:rsidRPr="00C16DCF">
        <w:rPr>
          <w:rFonts w:ascii="Bookman Old Style" w:hAnsi="Bookman Old Style"/>
          <w:szCs w:val="23"/>
        </w:rPr>
        <w:tab/>
      </w:r>
      <w:r w:rsidRPr="00C16DCF">
        <w:rPr>
          <w:rFonts w:ascii="Bookman Old Style" w:hAnsi="Bookman Old Style"/>
          <w:b/>
          <w:bCs/>
          <w:szCs w:val="23"/>
        </w:rPr>
        <w:t>Vigencia.</w:t>
      </w:r>
      <w:r w:rsidRPr="00C16DCF">
        <w:rPr>
          <w:rFonts w:ascii="Bookman Old Style" w:hAnsi="Bookman Old Style"/>
          <w:szCs w:val="23"/>
        </w:rPr>
        <w:t xml:space="preserve"> </w:t>
      </w:r>
      <w:r w:rsidRPr="00C16DCF">
        <w:rPr>
          <w:rFonts w:ascii="Bookman Old Style" w:hAnsi="Bookman Old Style" w:cs="Arial"/>
          <w:szCs w:val="23"/>
        </w:rPr>
        <w:t xml:space="preserve">La presente resolución entrará en vigencia a partir de su publicación en el </w:t>
      </w:r>
      <w:r w:rsidRPr="00C16DCF">
        <w:rPr>
          <w:rFonts w:ascii="Bookman Old Style" w:hAnsi="Bookman Old Style" w:cs="Arial"/>
          <w:i/>
          <w:szCs w:val="23"/>
        </w:rPr>
        <w:t>Diario Oficial</w:t>
      </w:r>
      <w:r w:rsidRPr="00C16DCF">
        <w:rPr>
          <w:rFonts w:ascii="Bookman Old Style" w:hAnsi="Bookman Old Style" w:cs="Arial"/>
          <w:szCs w:val="23"/>
        </w:rPr>
        <w:t xml:space="preserve">, modifica el artículo 4 de la Resolución CREG 159 de 2011 y deroga las disposiciones que le sean contrarias. En cuanto </w:t>
      </w:r>
      <w:r w:rsidR="00ED08DC">
        <w:rPr>
          <w:rFonts w:ascii="Bookman Old Style" w:hAnsi="Bookman Old Style" w:cs="Arial"/>
          <w:szCs w:val="23"/>
        </w:rPr>
        <w:t>al proyecto que se</w:t>
      </w:r>
      <w:r w:rsidRPr="00C16DCF">
        <w:rPr>
          <w:rFonts w:ascii="Bookman Old Style" w:hAnsi="Bookman Old Style" w:cs="Arial"/>
          <w:szCs w:val="23"/>
        </w:rPr>
        <w:t xml:space="preserve"> consulta,</w:t>
      </w:r>
      <w:r w:rsidR="00ED08DC">
        <w:rPr>
          <w:rFonts w:ascii="Bookman Old Style" w:hAnsi="Bookman Old Style" w:cs="Arial"/>
          <w:szCs w:val="23"/>
        </w:rPr>
        <w:t xml:space="preserve"> </w:t>
      </w:r>
      <w:r w:rsidRPr="00C16DCF">
        <w:rPr>
          <w:rFonts w:ascii="Bookman Old Style" w:hAnsi="Bookman Old Style"/>
          <w:szCs w:val="23"/>
        </w:rPr>
        <w:t>no deroga ni modifica disposiciones vigentes por tratarse de un acto de trámite.</w:t>
      </w:r>
    </w:p>
    <w:p w:rsidR="008839D9" w:rsidRPr="00C16DCF" w:rsidRDefault="008839D9" w:rsidP="008839D9">
      <w:pPr>
        <w:ind w:left="0"/>
        <w:rPr>
          <w:rFonts w:ascii="Bookman Old Style" w:hAnsi="Bookman Old Style"/>
          <w:szCs w:val="23"/>
        </w:rPr>
      </w:pPr>
    </w:p>
    <w:p w:rsidR="008839D9" w:rsidRPr="00C16DCF" w:rsidRDefault="008839D9" w:rsidP="008839D9">
      <w:pPr>
        <w:rPr>
          <w:rFonts w:ascii="Bookman Old Style" w:hAnsi="Bookman Old Style"/>
          <w:szCs w:val="23"/>
        </w:rPr>
      </w:pPr>
    </w:p>
    <w:p w:rsidR="008839D9" w:rsidRPr="00C16DCF" w:rsidRDefault="008839D9" w:rsidP="008839D9">
      <w:pPr>
        <w:ind w:left="0"/>
        <w:jc w:val="center"/>
        <w:rPr>
          <w:rFonts w:ascii="Bookman Old Style" w:hAnsi="Bookman Old Style" w:cs="Arial"/>
          <w:b/>
          <w:szCs w:val="23"/>
          <w:lang w:val="es-CO"/>
        </w:rPr>
      </w:pPr>
      <w:r w:rsidRPr="00C16DCF">
        <w:rPr>
          <w:rFonts w:ascii="Bookman Old Style" w:hAnsi="Bookman Old Style" w:cs="Arial"/>
          <w:b/>
          <w:szCs w:val="23"/>
          <w:lang w:val="es-CO"/>
        </w:rPr>
        <w:t>PUBLÍQUESE Y CÚMPLASE</w:t>
      </w:r>
    </w:p>
    <w:p w:rsidR="008839D9" w:rsidRPr="00C16DCF" w:rsidRDefault="008839D9" w:rsidP="008839D9">
      <w:pPr>
        <w:rPr>
          <w:rFonts w:ascii="Bookman Old Style" w:hAnsi="Bookman Old Style"/>
          <w:szCs w:val="23"/>
        </w:rPr>
      </w:pPr>
    </w:p>
    <w:p w:rsidR="008839D9" w:rsidRPr="00C16DCF" w:rsidRDefault="008839D9" w:rsidP="008839D9">
      <w:pPr>
        <w:ind w:left="0"/>
        <w:rPr>
          <w:rFonts w:ascii="Bookman Old Style" w:hAnsi="Bookman Old Style"/>
          <w:b/>
          <w:bCs/>
          <w:szCs w:val="23"/>
        </w:rPr>
      </w:pPr>
      <w:r w:rsidRPr="00C16DCF">
        <w:rPr>
          <w:rFonts w:ascii="Bookman Old Style" w:hAnsi="Bookman Old Style"/>
          <w:szCs w:val="23"/>
        </w:rPr>
        <w:t xml:space="preserve">Dada en Bogotá, D.C., </w:t>
      </w:r>
    </w:p>
    <w:p w:rsidR="008839D9" w:rsidRPr="00C16DCF" w:rsidRDefault="008839D9" w:rsidP="008839D9">
      <w:pPr>
        <w:rPr>
          <w:rFonts w:ascii="Bookman Old Style" w:hAnsi="Bookman Old Style"/>
          <w:szCs w:val="23"/>
        </w:rPr>
      </w:pPr>
    </w:p>
    <w:p w:rsidR="008839D9" w:rsidRPr="00C16DCF" w:rsidRDefault="008839D9" w:rsidP="008839D9">
      <w:pPr>
        <w:rPr>
          <w:rFonts w:ascii="Bookman Old Style" w:hAnsi="Bookman Old Style"/>
          <w:szCs w:val="23"/>
        </w:rPr>
      </w:pPr>
    </w:p>
    <w:p w:rsidR="008839D9" w:rsidRPr="00C16DCF" w:rsidRDefault="008839D9" w:rsidP="008839D9">
      <w:pPr>
        <w:rPr>
          <w:rFonts w:ascii="Bookman Old Style" w:hAnsi="Bookman Old Style"/>
          <w:szCs w:val="23"/>
        </w:rPr>
      </w:pPr>
    </w:p>
    <w:p w:rsidR="008839D9" w:rsidRPr="00C16DCF" w:rsidRDefault="008839D9" w:rsidP="008839D9">
      <w:pPr>
        <w:rPr>
          <w:rFonts w:ascii="Bookman Old Style" w:hAnsi="Bookman Old Style"/>
          <w:szCs w:val="23"/>
        </w:rPr>
      </w:pPr>
    </w:p>
    <w:p w:rsidR="008839D9" w:rsidRPr="00C16DCF" w:rsidRDefault="008839D9" w:rsidP="008839D9">
      <w:pPr>
        <w:rPr>
          <w:rFonts w:ascii="Bookman Old Style" w:hAnsi="Bookman Old Style"/>
          <w:szCs w:val="23"/>
        </w:rPr>
      </w:pPr>
    </w:p>
    <w:tbl>
      <w:tblPr>
        <w:tblW w:w="0" w:type="auto"/>
        <w:jc w:val="center"/>
        <w:tblInd w:w="-741" w:type="dxa"/>
        <w:tblLayout w:type="fixed"/>
        <w:tblCellMar>
          <w:left w:w="70" w:type="dxa"/>
          <w:right w:w="70" w:type="dxa"/>
        </w:tblCellMar>
        <w:tblLook w:val="0000" w:firstRow="0" w:lastRow="0" w:firstColumn="0" w:lastColumn="0" w:noHBand="0" w:noVBand="0"/>
      </w:tblPr>
      <w:tblGrid>
        <w:gridCol w:w="4904"/>
        <w:gridCol w:w="4477"/>
      </w:tblGrid>
      <w:tr w:rsidR="008839D9" w:rsidRPr="00C16DCF" w:rsidTr="005121E1">
        <w:trPr>
          <w:trHeight w:val="329"/>
          <w:jc w:val="center"/>
        </w:trPr>
        <w:tc>
          <w:tcPr>
            <w:tcW w:w="4904" w:type="dxa"/>
          </w:tcPr>
          <w:p w:rsidR="008839D9" w:rsidRPr="00C16DCF" w:rsidRDefault="008839D9" w:rsidP="005121E1">
            <w:pPr>
              <w:tabs>
                <w:tab w:val="left" w:pos="-720"/>
              </w:tabs>
              <w:ind w:left="0"/>
              <w:jc w:val="center"/>
              <w:rPr>
                <w:rFonts w:ascii="Bookman Old Style" w:hAnsi="Bookman Old Style"/>
                <w:b/>
                <w:szCs w:val="23"/>
              </w:rPr>
            </w:pPr>
            <w:r w:rsidRPr="00C16DCF">
              <w:rPr>
                <w:rFonts w:ascii="Bookman Old Style" w:hAnsi="Bookman Old Style"/>
                <w:b/>
                <w:bCs/>
                <w:szCs w:val="23"/>
              </w:rPr>
              <w:t>TOMÁS GONZÁLEZ ESTRADA</w:t>
            </w:r>
          </w:p>
        </w:tc>
        <w:tc>
          <w:tcPr>
            <w:tcW w:w="4477" w:type="dxa"/>
            <w:vAlign w:val="center"/>
          </w:tcPr>
          <w:p w:rsidR="008839D9" w:rsidRPr="00C16DCF" w:rsidRDefault="008839D9" w:rsidP="005121E1">
            <w:pPr>
              <w:ind w:left="0"/>
              <w:jc w:val="center"/>
              <w:rPr>
                <w:rFonts w:ascii="Bookman Old Style" w:hAnsi="Bookman Old Style"/>
                <w:b/>
                <w:szCs w:val="23"/>
              </w:rPr>
            </w:pPr>
            <w:r w:rsidRPr="00C16DCF">
              <w:rPr>
                <w:rFonts w:ascii="Bookman Old Style" w:hAnsi="Bookman Old Style"/>
                <w:b/>
                <w:szCs w:val="23"/>
              </w:rPr>
              <w:t>JORGE PINTO NOLLA</w:t>
            </w:r>
          </w:p>
        </w:tc>
      </w:tr>
      <w:tr w:rsidR="008839D9" w:rsidRPr="00C16DCF" w:rsidTr="005121E1">
        <w:trPr>
          <w:trHeight w:val="254"/>
          <w:jc w:val="center"/>
        </w:trPr>
        <w:tc>
          <w:tcPr>
            <w:tcW w:w="4904" w:type="dxa"/>
          </w:tcPr>
          <w:p w:rsidR="008839D9" w:rsidRPr="00C16DCF" w:rsidRDefault="008839D9" w:rsidP="005121E1">
            <w:pPr>
              <w:ind w:left="0"/>
              <w:jc w:val="center"/>
              <w:rPr>
                <w:rFonts w:ascii="Bookman Old Style" w:hAnsi="Bookman Old Style"/>
                <w:szCs w:val="23"/>
              </w:rPr>
            </w:pPr>
            <w:r w:rsidRPr="00C16DCF">
              <w:rPr>
                <w:rFonts w:ascii="Bookman Old Style" w:hAnsi="Bookman Old Style" w:cs="Arial"/>
                <w:spacing w:val="-3"/>
                <w:szCs w:val="23"/>
              </w:rPr>
              <w:t>Ministro de Minas y Energía</w:t>
            </w:r>
          </w:p>
        </w:tc>
        <w:tc>
          <w:tcPr>
            <w:tcW w:w="4477" w:type="dxa"/>
          </w:tcPr>
          <w:p w:rsidR="008839D9" w:rsidRPr="00C16DCF" w:rsidRDefault="008839D9" w:rsidP="005121E1">
            <w:pPr>
              <w:tabs>
                <w:tab w:val="left" w:pos="-720"/>
              </w:tabs>
              <w:ind w:left="0"/>
              <w:jc w:val="center"/>
              <w:rPr>
                <w:rFonts w:ascii="Bookman Old Style" w:hAnsi="Bookman Old Style"/>
                <w:szCs w:val="23"/>
              </w:rPr>
            </w:pPr>
            <w:r w:rsidRPr="00C16DCF">
              <w:rPr>
                <w:rFonts w:ascii="Bookman Old Style" w:hAnsi="Bookman Old Style"/>
                <w:szCs w:val="23"/>
              </w:rPr>
              <w:t>Director Ejecutivo</w:t>
            </w:r>
          </w:p>
        </w:tc>
      </w:tr>
      <w:tr w:rsidR="008839D9" w:rsidRPr="00C16DCF" w:rsidTr="005121E1">
        <w:trPr>
          <w:trHeight w:val="73"/>
          <w:jc w:val="center"/>
        </w:trPr>
        <w:tc>
          <w:tcPr>
            <w:tcW w:w="4904" w:type="dxa"/>
          </w:tcPr>
          <w:p w:rsidR="008839D9" w:rsidRPr="00C16DCF" w:rsidRDefault="008839D9" w:rsidP="005121E1">
            <w:pPr>
              <w:tabs>
                <w:tab w:val="left" w:pos="-720"/>
              </w:tabs>
              <w:ind w:left="0"/>
              <w:jc w:val="center"/>
              <w:rPr>
                <w:rFonts w:ascii="Bookman Old Style" w:hAnsi="Bookman Old Style"/>
                <w:szCs w:val="23"/>
              </w:rPr>
            </w:pPr>
            <w:r w:rsidRPr="00C16DCF">
              <w:rPr>
                <w:rFonts w:ascii="Bookman Old Style" w:hAnsi="Bookman Old Style" w:cs="Arial"/>
                <w:spacing w:val="-3"/>
                <w:szCs w:val="23"/>
              </w:rPr>
              <w:t>Presidente</w:t>
            </w:r>
          </w:p>
        </w:tc>
        <w:tc>
          <w:tcPr>
            <w:tcW w:w="4477" w:type="dxa"/>
            <w:vAlign w:val="center"/>
          </w:tcPr>
          <w:p w:rsidR="008839D9" w:rsidRPr="00C16DCF" w:rsidRDefault="008839D9" w:rsidP="005121E1">
            <w:pPr>
              <w:ind w:left="708" w:hanging="708"/>
              <w:rPr>
                <w:rFonts w:ascii="Bookman Old Style" w:hAnsi="Bookman Old Style"/>
                <w:b/>
                <w:bCs/>
                <w:szCs w:val="23"/>
              </w:rPr>
            </w:pPr>
          </w:p>
        </w:tc>
      </w:tr>
    </w:tbl>
    <w:p w:rsidR="008839D9" w:rsidRPr="00C16DCF" w:rsidRDefault="008839D9" w:rsidP="008839D9">
      <w:pPr>
        <w:ind w:left="0"/>
        <w:rPr>
          <w:rFonts w:ascii="Bookman Old Style" w:hAnsi="Bookman Old Style"/>
          <w:szCs w:val="23"/>
        </w:rPr>
      </w:pPr>
    </w:p>
    <w:p w:rsidR="008839D9" w:rsidRPr="00C16DCF" w:rsidRDefault="008839D9" w:rsidP="008839D9">
      <w:pPr>
        <w:ind w:left="0"/>
        <w:jc w:val="center"/>
        <w:rPr>
          <w:rFonts w:ascii="Bookman Old Style" w:hAnsi="Bookman Old Style"/>
          <w:sz w:val="23"/>
          <w:szCs w:val="23"/>
        </w:rPr>
      </w:pPr>
      <w:r w:rsidRPr="00C16DCF">
        <w:rPr>
          <w:rFonts w:ascii="Bookman Old Style" w:hAnsi="Bookman Old Style"/>
          <w:sz w:val="23"/>
          <w:szCs w:val="23"/>
        </w:rPr>
        <w:br w:type="page"/>
      </w:r>
    </w:p>
    <w:p w:rsidR="008839D9" w:rsidRPr="00C16DCF" w:rsidRDefault="008839D9" w:rsidP="008839D9">
      <w:pPr>
        <w:ind w:left="0"/>
        <w:jc w:val="center"/>
        <w:rPr>
          <w:rFonts w:ascii="Bookman Old Style" w:hAnsi="Bookman Old Style" w:cs="Arial"/>
          <w:b/>
          <w:sz w:val="23"/>
          <w:szCs w:val="23"/>
          <w:lang w:val="es-CO"/>
        </w:rPr>
      </w:pPr>
      <w:r w:rsidRPr="00C16DCF">
        <w:rPr>
          <w:rFonts w:ascii="Bookman Old Style" w:hAnsi="Bookman Old Style" w:cs="Arial"/>
          <w:b/>
          <w:sz w:val="23"/>
          <w:szCs w:val="23"/>
          <w:lang w:val="es-CO"/>
        </w:rPr>
        <w:lastRenderedPageBreak/>
        <w:t>PROYECTO DE RESOLUCIÓN</w:t>
      </w:r>
    </w:p>
    <w:p w:rsidR="008839D9" w:rsidRPr="00C16DCF" w:rsidRDefault="008839D9" w:rsidP="008839D9">
      <w:pPr>
        <w:pStyle w:val="Textodebloque"/>
        <w:suppressAutoHyphens w:val="0"/>
        <w:spacing w:after="0"/>
        <w:ind w:left="0" w:right="0"/>
        <w:rPr>
          <w:rFonts w:ascii="Bookman Old Style" w:hAnsi="Bookman Old Style" w:cs="Arial"/>
          <w:sz w:val="23"/>
          <w:szCs w:val="23"/>
        </w:rPr>
      </w:pPr>
    </w:p>
    <w:p w:rsidR="008839D9" w:rsidRPr="00C16DCF" w:rsidRDefault="008839D9" w:rsidP="008839D9">
      <w:pPr>
        <w:pStyle w:val="Textodebloque"/>
        <w:suppressAutoHyphens w:val="0"/>
        <w:spacing w:after="0"/>
        <w:ind w:left="0" w:right="0"/>
        <w:jc w:val="center"/>
        <w:rPr>
          <w:rFonts w:ascii="Bookman Old Style" w:hAnsi="Bookman Old Style" w:cs="Arial"/>
          <w:sz w:val="23"/>
          <w:szCs w:val="23"/>
        </w:rPr>
      </w:pPr>
    </w:p>
    <w:p w:rsidR="008839D9" w:rsidRPr="00C16DCF" w:rsidRDefault="008839D9" w:rsidP="008839D9">
      <w:pPr>
        <w:pStyle w:val="Textodebloque"/>
        <w:suppressAutoHyphens w:val="0"/>
        <w:spacing w:after="0"/>
        <w:ind w:left="0" w:right="0"/>
        <w:jc w:val="center"/>
        <w:rPr>
          <w:rFonts w:ascii="Bookman Old Style" w:hAnsi="Bookman Old Style" w:cs="Arial"/>
          <w:sz w:val="23"/>
          <w:szCs w:val="23"/>
        </w:rPr>
      </w:pPr>
      <w:r w:rsidRPr="00C16DCF">
        <w:rPr>
          <w:rFonts w:ascii="Bookman Old Style" w:hAnsi="Bookman Old Style" w:cs="Arial"/>
          <w:sz w:val="23"/>
          <w:szCs w:val="23"/>
        </w:rPr>
        <w:t>Por la cual se modifican algunos aspectos relacionados con las garantías establecidas en la Resolución CREG 159 de 2011</w:t>
      </w:r>
      <w:r w:rsidRPr="00C16DCF">
        <w:rPr>
          <w:rFonts w:ascii="Bookman Old Style" w:hAnsi="Bookman Old Style" w:cs="Arial"/>
          <w:sz w:val="23"/>
          <w:szCs w:val="23"/>
          <w:lang w:val="es-ES"/>
        </w:rPr>
        <w:t>.</w:t>
      </w:r>
    </w:p>
    <w:p w:rsidR="008839D9" w:rsidRPr="00C16DCF" w:rsidRDefault="008839D9" w:rsidP="008839D9">
      <w:pPr>
        <w:ind w:left="0"/>
        <w:jc w:val="center"/>
        <w:rPr>
          <w:rFonts w:ascii="Bookman Old Style" w:hAnsi="Bookman Old Style" w:cs="Arial"/>
          <w:sz w:val="23"/>
          <w:szCs w:val="23"/>
        </w:rPr>
      </w:pPr>
    </w:p>
    <w:p w:rsidR="008839D9" w:rsidRPr="00C16DCF" w:rsidRDefault="008839D9" w:rsidP="008839D9">
      <w:pPr>
        <w:ind w:left="0"/>
        <w:jc w:val="center"/>
        <w:rPr>
          <w:rFonts w:ascii="Bookman Old Style" w:hAnsi="Bookman Old Style" w:cs="Arial"/>
          <w:sz w:val="23"/>
          <w:szCs w:val="23"/>
        </w:rPr>
      </w:pPr>
    </w:p>
    <w:p w:rsidR="008839D9" w:rsidRPr="00C16DCF" w:rsidRDefault="008839D9" w:rsidP="008839D9">
      <w:pPr>
        <w:ind w:left="0"/>
        <w:jc w:val="center"/>
        <w:rPr>
          <w:rFonts w:ascii="Bookman Old Style" w:hAnsi="Bookman Old Style" w:cs="Arial"/>
          <w:b/>
          <w:bCs/>
          <w:sz w:val="23"/>
          <w:szCs w:val="23"/>
        </w:rPr>
      </w:pPr>
      <w:r w:rsidRPr="00C16DCF">
        <w:rPr>
          <w:rFonts w:ascii="Bookman Old Style" w:hAnsi="Bookman Old Style" w:cs="Arial"/>
          <w:b/>
          <w:bCs/>
          <w:sz w:val="23"/>
          <w:szCs w:val="23"/>
        </w:rPr>
        <w:t>LA COMISIÓN DE REGULACIÓN DE ENERGÍA Y GAS</w:t>
      </w:r>
    </w:p>
    <w:p w:rsidR="008839D9" w:rsidRPr="00C16DCF" w:rsidRDefault="008839D9" w:rsidP="008839D9">
      <w:pPr>
        <w:ind w:left="0"/>
        <w:jc w:val="center"/>
        <w:rPr>
          <w:rFonts w:ascii="Bookman Old Style" w:hAnsi="Bookman Old Style" w:cs="Arial"/>
          <w:b/>
          <w:sz w:val="23"/>
          <w:szCs w:val="23"/>
        </w:rPr>
      </w:pPr>
    </w:p>
    <w:p w:rsidR="008839D9" w:rsidRPr="00C16DCF" w:rsidRDefault="008839D9" w:rsidP="008839D9">
      <w:pPr>
        <w:ind w:left="0"/>
        <w:jc w:val="center"/>
        <w:rPr>
          <w:rFonts w:ascii="Bookman Old Style" w:hAnsi="Bookman Old Style" w:cs="Arial"/>
          <w:b/>
          <w:sz w:val="23"/>
          <w:szCs w:val="23"/>
        </w:rPr>
      </w:pPr>
    </w:p>
    <w:p w:rsidR="008839D9" w:rsidRPr="00C16DCF" w:rsidRDefault="008839D9" w:rsidP="008839D9">
      <w:pPr>
        <w:tabs>
          <w:tab w:val="left" w:pos="9356"/>
        </w:tabs>
        <w:ind w:left="0"/>
        <w:jc w:val="center"/>
        <w:rPr>
          <w:rFonts w:ascii="Bookman Old Style" w:hAnsi="Bookman Old Style" w:cs="Arial"/>
          <w:sz w:val="23"/>
          <w:szCs w:val="23"/>
        </w:rPr>
      </w:pPr>
      <w:r w:rsidRPr="00C16DCF">
        <w:rPr>
          <w:rFonts w:ascii="Bookman Old Style" w:hAnsi="Bookman Old Style" w:cs="Arial"/>
          <w:sz w:val="23"/>
          <w:szCs w:val="23"/>
        </w:rPr>
        <w:t>En ejercicio de sus atribuciones constitucionales y legales, en especial las conferidas por las Leyes 142 y 143 de 1994, y en desarrollo de los decretos 1524 y 2253 de 1994 y 1260 de 2013, y</w:t>
      </w:r>
    </w:p>
    <w:p w:rsidR="008839D9" w:rsidRPr="00C16DCF" w:rsidRDefault="008839D9" w:rsidP="008839D9">
      <w:pPr>
        <w:ind w:left="0"/>
        <w:jc w:val="center"/>
        <w:rPr>
          <w:rFonts w:ascii="Bookman Old Style" w:hAnsi="Bookman Old Style" w:cs="Arial"/>
          <w:sz w:val="23"/>
          <w:szCs w:val="23"/>
        </w:rPr>
      </w:pPr>
    </w:p>
    <w:p w:rsidR="008839D9" w:rsidRPr="00C16DCF" w:rsidRDefault="008839D9" w:rsidP="008839D9">
      <w:pPr>
        <w:ind w:left="0"/>
        <w:jc w:val="center"/>
        <w:rPr>
          <w:rFonts w:ascii="Bookman Old Style" w:hAnsi="Bookman Old Style" w:cs="Arial"/>
          <w:sz w:val="23"/>
          <w:szCs w:val="23"/>
        </w:rPr>
      </w:pPr>
    </w:p>
    <w:p w:rsidR="008839D9" w:rsidRPr="00C16DCF" w:rsidRDefault="008839D9" w:rsidP="008839D9">
      <w:pPr>
        <w:ind w:left="0"/>
        <w:jc w:val="center"/>
        <w:rPr>
          <w:rFonts w:ascii="Bookman Old Style" w:hAnsi="Bookman Old Style" w:cs="Arial"/>
          <w:b/>
          <w:sz w:val="23"/>
          <w:szCs w:val="23"/>
        </w:rPr>
      </w:pPr>
      <w:r w:rsidRPr="00C16DCF">
        <w:rPr>
          <w:rFonts w:ascii="Bookman Old Style" w:hAnsi="Bookman Old Style" w:cs="Arial"/>
          <w:b/>
          <w:spacing w:val="80"/>
          <w:sz w:val="23"/>
          <w:szCs w:val="23"/>
        </w:rPr>
        <w:t>CONSIDERANDO QUE</w:t>
      </w:r>
      <w:r w:rsidRPr="00C16DCF">
        <w:rPr>
          <w:rFonts w:ascii="Bookman Old Style" w:hAnsi="Bookman Old Style" w:cs="Arial"/>
          <w:b/>
          <w:sz w:val="23"/>
          <w:szCs w:val="23"/>
        </w:rPr>
        <w:t>:</w:t>
      </w:r>
    </w:p>
    <w:p w:rsidR="008839D9" w:rsidRPr="00C16DCF" w:rsidRDefault="008839D9" w:rsidP="008839D9">
      <w:pPr>
        <w:ind w:left="0" w:right="51"/>
        <w:jc w:val="both"/>
        <w:rPr>
          <w:rFonts w:ascii="Bookman Old Style" w:hAnsi="Bookman Old Style" w:cs="Arial"/>
          <w:sz w:val="23"/>
          <w:szCs w:val="23"/>
        </w:rPr>
      </w:pPr>
    </w:p>
    <w:p w:rsidR="008839D9" w:rsidRPr="00C16DCF" w:rsidRDefault="008839D9" w:rsidP="008839D9">
      <w:pPr>
        <w:ind w:left="0" w:right="51"/>
        <w:jc w:val="both"/>
        <w:rPr>
          <w:rFonts w:ascii="Bookman Old Style" w:hAnsi="Bookman Old Style" w:cs="Arial"/>
          <w:sz w:val="23"/>
          <w:szCs w:val="23"/>
        </w:rPr>
      </w:pPr>
    </w:p>
    <w:p w:rsidR="008839D9" w:rsidRPr="00C16DCF" w:rsidRDefault="008839D9" w:rsidP="008839D9">
      <w:pPr>
        <w:ind w:left="0" w:right="51"/>
        <w:jc w:val="both"/>
        <w:rPr>
          <w:rFonts w:ascii="Bookman Old Style" w:hAnsi="Bookman Old Style" w:cs="Arial"/>
          <w:sz w:val="23"/>
          <w:szCs w:val="23"/>
        </w:rPr>
      </w:pPr>
      <w:r w:rsidRPr="00C16DCF">
        <w:rPr>
          <w:rFonts w:ascii="Bookman Old Style" w:hAnsi="Bookman Old Style" w:cs="Arial"/>
          <w:sz w:val="23"/>
          <w:szCs w:val="23"/>
        </w:rPr>
        <w:t xml:space="preserve">Mediante la Resolución CREG 159 de 2011, la CREG </w:t>
      </w:r>
      <w:r w:rsidRPr="00C16DCF">
        <w:rPr>
          <w:rFonts w:ascii="Bookman Old Style" w:hAnsi="Bookman Old Style"/>
          <w:bCs/>
          <w:sz w:val="23"/>
          <w:szCs w:val="23"/>
          <w:lang w:val="es-CO"/>
        </w:rPr>
        <w:t>adoptó el Reglamento de Mecanismos de Cubrimiento para el Pago de los Cargos por Uso del Sistema de Transmisión Regional y del Sistema de Distribución Local</w:t>
      </w:r>
      <w:r w:rsidRPr="00C16DCF">
        <w:rPr>
          <w:rFonts w:ascii="Bookman Old Style" w:hAnsi="Bookman Old Style"/>
          <w:bCs/>
          <w:sz w:val="23"/>
          <w:szCs w:val="23"/>
        </w:rPr>
        <w:t>.</w:t>
      </w:r>
    </w:p>
    <w:p w:rsidR="008839D9" w:rsidRPr="00C16DCF" w:rsidRDefault="008839D9" w:rsidP="008839D9">
      <w:pPr>
        <w:ind w:left="0" w:right="51"/>
        <w:jc w:val="both"/>
        <w:rPr>
          <w:rFonts w:ascii="Bookman Old Style" w:hAnsi="Bookman Old Style" w:cs="Arial"/>
          <w:sz w:val="23"/>
          <w:szCs w:val="23"/>
        </w:rPr>
      </w:pPr>
    </w:p>
    <w:p w:rsidR="008839D9" w:rsidRPr="00C16DCF" w:rsidRDefault="008839D9" w:rsidP="008839D9">
      <w:pPr>
        <w:tabs>
          <w:tab w:val="left" w:pos="-720"/>
        </w:tabs>
        <w:ind w:left="0"/>
        <w:jc w:val="both"/>
        <w:rPr>
          <w:rFonts w:ascii="Bookman Old Style" w:hAnsi="Bookman Old Style" w:cs="Arial"/>
          <w:sz w:val="23"/>
          <w:szCs w:val="23"/>
        </w:rPr>
      </w:pPr>
      <w:r w:rsidRPr="00C16DCF">
        <w:rPr>
          <w:rFonts w:ascii="Bookman Old Style" w:hAnsi="Bookman Old Style" w:cs="Arial"/>
          <w:sz w:val="23"/>
          <w:szCs w:val="23"/>
        </w:rPr>
        <w:t>La CREG</w:t>
      </w:r>
      <w:r w:rsidRPr="00C16DCF">
        <w:rPr>
          <w:sz w:val="23"/>
          <w:szCs w:val="23"/>
        </w:rPr>
        <w:t xml:space="preserve"> </w:t>
      </w:r>
      <w:r w:rsidRPr="00C16DCF">
        <w:rPr>
          <w:rFonts w:ascii="Bookman Old Style" w:hAnsi="Bookman Old Style" w:cs="Arial"/>
          <w:sz w:val="23"/>
          <w:szCs w:val="23"/>
        </w:rPr>
        <w:t xml:space="preserve">estableció los criterios generales para determinar la remuneración de la actividad de comercialización de energía eléctrica a usuarios regulados en el Sistema Interconectado Nacional, mediante la Resolución CREG 180 de 2014.  </w:t>
      </w:r>
    </w:p>
    <w:p w:rsidR="008839D9" w:rsidRPr="00C16DCF" w:rsidRDefault="008839D9" w:rsidP="008839D9">
      <w:pPr>
        <w:tabs>
          <w:tab w:val="left" w:pos="-720"/>
        </w:tabs>
        <w:ind w:left="0"/>
        <w:jc w:val="both"/>
        <w:rPr>
          <w:rFonts w:ascii="Bookman Old Style" w:hAnsi="Bookman Old Style" w:cs="Arial"/>
          <w:sz w:val="23"/>
          <w:szCs w:val="23"/>
        </w:rPr>
      </w:pPr>
    </w:p>
    <w:p w:rsidR="008839D9" w:rsidRPr="00C16DCF" w:rsidRDefault="008839D9" w:rsidP="008839D9">
      <w:pPr>
        <w:tabs>
          <w:tab w:val="left" w:pos="-720"/>
        </w:tabs>
        <w:ind w:left="0"/>
        <w:jc w:val="both"/>
        <w:rPr>
          <w:rFonts w:ascii="Bookman Old Style" w:hAnsi="Bookman Old Style" w:cs="Arial"/>
          <w:sz w:val="23"/>
          <w:szCs w:val="23"/>
        </w:rPr>
      </w:pPr>
      <w:r w:rsidRPr="00C16DCF">
        <w:rPr>
          <w:rFonts w:ascii="Bookman Old Style" w:hAnsi="Bookman Old Style" w:cs="Arial"/>
          <w:sz w:val="23"/>
          <w:szCs w:val="23"/>
        </w:rPr>
        <w:t>XM S.A. E.S.P., en su calidad de liquidador y administrador de cuentas, ha presentado algunos comentarios relacionados con la forma de estimar el valor de las coberturas de las garantías establecidas en la Resolución CREG 159 de 2011 y sobre la administración de estas.</w:t>
      </w:r>
    </w:p>
    <w:p w:rsidR="008839D9" w:rsidRPr="00C16DCF" w:rsidRDefault="008839D9" w:rsidP="008839D9">
      <w:pPr>
        <w:tabs>
          <w:tab w:val="left" w:pos="-720"/>
        </w:tabs>
        <w:ind w:left="0"/>
        <w:jc w:val="both"/>
        <w:rPr>
          <w:rFonts w:ascii="Bookman Old Style" w:hAnsi="Bookman Old Style" w:cs="Arial"/>
          <w:sz w:val="23"/>
          <w:szCs w:val="23"/>
        </w:rPr>
      </w:pPr>
    </w:p>
    <w:p w:rsidR="008839D9" w:rsidRPr="00C16DCF" w:rsidRDefault="008839D9" w:rsidP="008839D9">
      <w:pPr>
        <w:tabs>
          <w:tab w:val="left" w:pos="-720"/>
        </w:tabs>
        <w:ind w:left="0"/>
        <w:jc w:val="both"/>
        <w:rPr>
          <w:rFonts w:ascii="Bookman Old Style" w:hAnsi="Bookman Old Style" w:cs="Arial"/>
          <w:sz w:val="23"/>
          <w:szCs w:val="23"/>
        </w:rPr>
      </w:pPr>
      <w:r w:rsidRPr="00C16DCF">
        <w:rPr>
          <w:rFonts w:ascii="Bookman Old Style" w:hAnsi="Bookman Old Style" w:cs="Arial"/>
          <w:sz w:val="23"/>
          <w:szCs w:val="23"/>
        </w:rPr>
        <w:t>Se ha considerado conveniente hacer algunos ajustes antes del inicio de la aplicación de la Resolución CREG 159 de 2011.</w:t>
      </w:r>
    </w:p>
    <w:p w:rsidR="008839D9" w:rsidRPr="00C16DCF" w:rsidRDefault="008839D9" w:rsidP="008839D9">
      <w:pPr>
        <w:tabs>
          <w:tab w:val="left" w:pos="-720"/>
        </w:tabs>
        <w:ind w:left="0"/>
        <w:jc w:val="both"/>
        <w:rPr>
          <w:rFonts w:ascii="Bookman Old Style" w:hAnsi="Bookman Old Style" w:cs="Arial"/>
          <w:sz w:val="23"/>
          <w:szCs w:val="23"/>
        </w:rPr>
      </w:pPr>
    </w:p>
    <w:p w:rsidR="008839D9" w:rsidRPr="00C16DCF" w:rsidRDefault="008839D9" w:rsidP="008839D9">
      <w:pPr>
        <w:tabs>
          <w:tab w:val="left" w:pos="-720"/>
        </w:tabs>
        <w:ind w:left="0"/>
        <w:jc w:val="both"/>
        <w:rPr>
          <w:rFonts w:ascii="Bookman Old Style" w:hAnsi="Bookman Old Style" w:cs="Arial"/>
          <w:sz w:val="23"/>
          <w:szCs w:val="23"/>
        </w:rPr>
      </w:pPr>
    </w:p>
    <w:p w:rsidR="008839D9" w:rsidRPr="00C16DCF" w:rsidRDefault="008839D9" w:rsidP="008839D9">
      <w:pPr>
        <w:ind w:left="0"/>
        <w:jc w:val="center"/>
        <w:rPr>
          <w:rFonts w:ascii="Bookman Old Style" w:hAnsi="Bookman Old Style" w:cs="Arial"/>
          <w:sz w:val="23"/>
          <w:szCs w:val="23"/>
        </w:rPr>
      </w:pPr>
      <w:r w:rsidRPr="00C16DCF">
        <w:rPr>
          <w:rFonts w:ascii="Bookman Old Style" w:hAnsi="Bookman Old Style" w:cs="Arial"/>
          <w:b/>
          <w:spacing w:val="80"/>
          <w:sz w:val="23"/>
          <w:szCs w:val="23"/>
        </w:rPr>
        <w:t>RESUELVE</w:t>
      </w:r>
      <w:r w:rsidRPr="00C16DCF">
        <w:rPr>
          <w:rFonts w:ascii="Bookman Old Style" w:hAnsi="Bookman Old Style" w:cs="Arial"/>
          <w:sz w:val="23"/>
          <w:szCs w:val="23"/>
        </w:rPr>
        <w:t>:</w:t>
      </w:r>
    </w:p>
    <w:p w:rsidR="008839D9" w:rsidRPr="00C16DCF" w:rsidRDefault="008839D9" w:rsidP="008839D9">
      <w:pPr>
        <w:pStyle w:val="ARTICULOS"/>
        <w:rPr>
          <w:b w:val="0"/>
          <w:sz w:val="23"/>
          <w:szCs w:val="23"/>
        </w:rPr>
      </w:pPr>
      <w:bookmarkStart w:id="1" w:name="_Ref44815543"/>
      <w:bookmarkStart w:id="2" w:name="_Ref44815511"/>
      <w:r w:rsidRPr="00C16DCF">
        <w:rPr>
          <w:b w:val="0"/>
          <w:sz w:val="23"/>
          <w:szCs w:val="23"/>
        </w:rPr>
        <w:t>Modificar el artículo 5 del Reglamento de Mecanismos de Cubrimiento para el Pago de los Cargos por Uso del Sistema de Transmisión Regional y del Sistema de Distribución Local adoptado con la Resolución CREG 159 de 2011, el cual queda así:</w:t>
      </w:r>
    </w:p>
    <w:p w:rsidR="008839D9" w:rsidRPr="00C16DCF" w:rsidRDefault="008839D9" w:rsidP="008839D9">
      <w:pPr>
        <w:pStyle w:val="Estilo2"/>
        <w:keepNext w:val="0"/>
        <w:widowControl/>
        <w:tabs>
          <w:tab w:val="clear" w:pos="1440"/>
        </w:tabs>
        <w:rPr>
          <w:rFonts w:ascii="Times New Roman" w:hAnsi="Times New Roman"/>
          <w:b w:val="0"/>
          <w:bCs w:val="0"/>
          <w:sz w:val="23"/>
          <w:szCs w:val="23"/>
          <w:lang w:eastAsia="es-ES"/>
        </w:rPr>
      </w:pPr>
    </w:p>
    <w:p w:rsidR="008839D9" w:rsidRPr="00C16DCF" w:rsidRDefault="008839D9" w:rsidP="008839D9">
      <w:pPr>
        <w:pStyle w:val="Estilo2"/>
        <w:keepNext w:val="0"/>
        <w:widowControl/>
        <w:tabs>
          <w:tab w:val="clear" w:pos="1440"/>
        </w:tabs>
        <w:ind w:left="284"/>
        <w:rPr>
          <w:rFonts w:cs="Arial"/>
          <w:b w:val="0"/>
          <w:sz w:val="23"/>
          <w:szCs w:val="23"/>
        </w:rPr>
      </w:pPr>
      <w:bookmarkStart w:id="3" w:name="_Ref303264931"/>
      <w:r w:rsidRPr="00C16DCF">
        <w:rPr>
          <w:sz w:val="23"/>
          <w:szCs w:val="23"/>
        </w:rPr>
        <w:t xml:space="preserve">Artículo 5. Valor de la cobertura para los cargos por uso del SDL. </w:t>
      </w:r>
      <w:r w:rsidRPr="00C16DCF">
        <w:rPr>
          <w:b w:val="0"/>
          <w:sz w:val="23"/>
          <w:szCs w:val="23"/>
        </w:rPr>
        <w:t>Los valores de las coberturas para el pago de los cargos por uso del SDL, a constituir por parte los comercializadores, se calcularán con base en la siguiente fórmula:</w:t>
      </w:r>
      <w:bookmarkEnd w:id="3"/>
    </w:p>
    <w:p w:rsidR="008839D9" w:rsidRPr="00C16DCF" w:rsidRDefault="008839D9" w:rsidP="008839D9">
      <w:pPr>
        <w:ind w:left="284"/>
        <w:rPr>
          <w:sz w:val="23"/>
          <w:szCs w:val="23"/>
        </w:rPr>
      </w:pPr>
    </w:p>
    <w:p w:rsidR="008839D9" w:rsidRPr="00C16DCF" w:rsidRDefault="002626C1" w:rsidP="008839D9">
      <w:pPr>
        <w:ind w:left="284"/>
        <w:jc w:val="center"/>
        <w:rPr>
          <w:rFonts w:ascii="Bookman Old Style" w:hAnsi="Bookman Old Style"/>
          <w:sz w:val="23"/>
          <w:szCs w:val="23"/>
        </w:rPr>
      </w:pPr>
      <m:oMathPara>
        <m:oMath>
          <m:sSub>
            <m:sSubPr>
              <m:ctrlPr>
                <w:rPr>
                  <w:rFonts w:ascii="Cambria Math" w:hAnsi="Cambria Math"/>
                  <w:i/>
                  <w:sz w:val="23"/>
                  <w:szCs w:val="23"/>
                </w:rPr>
              </m:ctrlPr>
            </m:sSubPr>
            <m:e>
              <m:r>
                <w:rPr>
                  <w:rFonts w:ascii="Cambria Math" w:hAnsi="Cambria Math"/>
                  <w:sz w:val="23"/>
                  <w:szCs w:val="23"/>
                </w:rPr>
                <m:t>VSDL</m:t>
              </m:r>
            </m:e>
            <m:sub>
              <m:r>
                <w:rPr>
                  <w:rFonts w:ascii="Cambria Math" w:hAnsi="Cambria Math"/>
                  <w:sz w:val="23"/>
                  <w:szCs w:val="23"/>
                </w:rPr>
                <m:t>c,m,j</m:t>
              </m:r>
            </m:sub>
          </m:sSub>
          <m:r>
            <w:rPr>
              <w:rFonts w:ascii="Cambria Math" w:hAnsi="Cambria Math"/>
              <w:sz w:val="23"/>
              <w:szCs w:val="23"/>
            </w:rPr>
            <m:t>=</m:t>
          </m:r>
          <m:nary>
            <m:naryPr>
              <m:chr m:val="∑"/>
              <m:limLoc m:val="undOvr"/>
              <m:ctrlPr>
                <w:rPr>
                  <w:rFonts w:ascii="Cambria Math" w:hAnsi="Cambria Math"/>
                  <w:i/>
                  <w:sz w:val="23"/>
                  <w:szCs w:val="23"/>
                </w:rPr>
              </m:ctrlPr>
            </m:naryPr>
            <m:sub>
              <m:r>
                <w:rPr>
                  <w:rFonts w:ascii="Cambria Math" w:hAnsi="Cambria Math"/>
                  <w:sz w:val="23"/>
                  <w:szCs w:val="23"/>
                </w:rPr>
                <m:t>n=1</m:t>
              </m:r>
            </m:sub>
            <m:sup>
              <m:r>
                <w:rPr>
                  <w:rFonts w:ascii="Cambria Math" w:hAnsi="Cambria Math"/>
                  <w:sz w:val="23"/>
                  <w:szCs w:val="23"/>
                </w:rPr>
                <m:t>3</m:t>
              </m:r>
            </m:sup>
            <m:e>
              <m:d>
                <m:dPr>
                  <m:begChr m:val="["/>
                  <m:endChr m:val="]"/>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DM</m:t>
                      </m:r>
                    </m:e>
                    <m:sub>
                      <m:r>
                        <w:rPr>
                          <w:rFonts w:ascii="Cambria Math" w:hAnsi="Cambria Math"/>
                          <w:sz w:val="23"/>
                          <w:szCs w:val="23"/>
                        </w:rPr>
                        <m:t>c,m,n,j</m:t>
                      </m:r>
                    </m:sub>
                  </m:sSub>
                  <m:r>
                    <w:rPr>
                      <w:rFonts w:ascii="Cambria Math" w:hAnsi="Cambria Math"/>
                      <w:sz w:val="23"/>
                      <w:szCs w:val="23"/>
                    </w:rPr>
                    <m:t>*</m:t>
                  </m:r>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Cargo</m:t>
                          </m:r>
                        </m:e>
                        <m:sub>
                          <m:r>
                            <w:rPr>
                              <w:rFonts w:ascii="Cambria Math" w:hAnsi="Cambria Math"/>
                              <w:sz w:val="23"/>
                              <w:szCs w:val="23"/>
                            </w:rPr>
                            <m:t>m,n,a</m:t>
                          </m:r>
                        </m:sub>
                      </m:sSub>
                      <m:r>
                        <w:rPr>
                          <w:rFonts w:ascii="Cambria Math" w:hAnsi="Cambria Math"/>
                          <w:sz w:val="23"/>
                          <w:szCs w:val="23"/>
                        </w:rPr>
                        <m:t>-</m:t>
                      </m:r>
                      <m:f>
                        <m:fPr>
                          <m:ctrlPr>
                            <w:rPr>
                              <w:rFonts w:ascii="Cambria Math" w:hAnsi="Cambria Math"/>
                              <w:i/>
                              <w:sz w:val="23"/>
                              <w:szCs w:val="23"/>
                            </w:rPr>
                          </m:ctrlPr>
                        </m:fPr>
                        <m:num>
                          <m:sSub>
                            <m:sSubPr>
                              <m:ctrlPr>
                                <w:rPr>
                                  <w:rFonts w:ascii="Cambria Math" w:hAnsi="Cambria Math"/>
                                  <w:i/>
                                  <w:sz w:val="23"/>
                                  <w:szCs w:val="23"/>
                                </w:rPr>
                              </m:ctrlPr>
                            </m:sSubPr>
                            <m:e>
                              <m:r>
                                <w:rPr>
                                  <w:rFonts w:ascii="Cambria Math" w:hAnsi="Cambria Math"/>
                                  <w:sz w:val="23"/>
                                  <w:szCs w:val="23"/>
                                </w:rPr>
                                <m:t>CD</m:t>
                              </m:r>
                            </m:e>
                            <m:sub>
                              <m:r>
                                <w:rPr>
                                  <w:rFonts w:ascii="Cambria Math" w:hAnsi="Cambria Math"/>
                                  <w:sz w:val="23"/>
                                  <w:szCs w:val="23"/>
                                </w:rPr>
                                <m:t>4,m,R</m:t>
                              </m:r>
                            </m:sub>
                          </m:sSub>
                        </m:num>
                        <m:den>
                          <m:r>
                            <w:rPr>
                              <w:rFonts w:ascii="Cambria Math" w:hAnsi="Cambria Math"/>
                              <w:sz w:val="23"/>
                              <w:szCs w:val="23"/>
                            </w:rPr>
                            <m:t>1-</m:t>
                          </m:r>
                          <m:sSub>
                            <m:sSubPr>
                              <m:ctrlPr>
                                <w:rPr>
                                  <w:rFonts w:ascii="Cambria Math" w:hAnsi="Cambria Math"/>
                                  <w:i/>
                                  <w:sz w:val="23"/>
                                  <w:szCs w:val="23"/>
                                </w:rPr>
                              </m:ctrlPr>
                            </m:sSubPr>
                            <m:e>
                              <m:r>
                                <w:rPr>
                                  <w:rFonts w:ascii="Cambria Math" w:hAnsi="Cambria Math"/>
                                  <w:sz w:val="23"/>
                                  <w:szCs w:val="23"/>
                                </w:rPr>
                                <m:t>PR</m:t>
                              </m:r>
                            </m:e>
                            <m:sub>
                              <m:r>
                                <w:rPr>
                                  <w:rFonts w:ascii="Cambria Math" w:hAnsi="Cambria Math"/>
                                  <w:sz w:val="23"/>
                                  <w:szCs w:val="23"/>
                                </w:rPr>
                                <m:t>n,j</m:t>
                              </m:r>
                            </m:sub>
                          </m:sSub>
                        </m:den>
                      </m:f>
                    </m:e>
                  </m:d>
                </m:e>
              </m:d>
              <m:r>
                <w:rPr>
                  <w:rFonts w:ascii="Cambria Math" w:hAnsi="Cambria Math"/>
                  <w:sz w:val="23"/>
                  <w:szCs w:val="23"/>
                </w:rPr>
                <m:t>-</m:t>
              </m:r>
              <m:nary>
                <m:naryPr>
                  <m:chr m:val="∑"/>
                  <m:limLoc m:val="undOvr"/>
                  <m:ctrlPr>
                    <w:rPr>
                      <w:rFonts w:ascii="Cambria Math" w:hAnsi="Cambria Math"/>
                      <w:i/>
                      <w:sz w:val="23"/>
                      <w:szCs w:val="23"/>
                    </w:rPr>
                  </m:ctrlPr>
                </m:naryPr>
                <m:sub>
                  <m:r>
                    <w:rPr>
                      <w:rFonts w:ascii="Cambria Math" w:hAnsi="Cambria Math"/>
                      <w:sz w:val="23"/>
                      <w:szCs w:val="23"/>
                    </w:rPr>
                    <m:t>b=1</m:t>
                  </m:r>
                </m:sub>
                <m:sup>
                  <m:r>
                    <w:rPr>
                      <w:rFonts w:ascii="Cambria Math" w:hAnsi="Cambria Math"/>
                      <w:sz w:val="23"/>
                      <w:szCs w:val="23"/>
                    </w:rPr>
                    <m:t>2</m:t>
                  </m:r>
                </m:sup>
                <m:e>
                  <m:nary>
                    <m:naryPr>
                      <m:chr m:val="∑"/>
                      <m:limLoc m:val="undOvr"/>
                      <m:ctrlPr>
                        <w:rPr>
                          <w:rFonts w:ascii="Cambria Math" w:hAnsi="Cambria Math"/>
                          <w:i/>
                          <w:sz w:val="23"/>
                          <w:szCs w:val="23"/>
                        </w:rPr>
                      </m:ctrlPr>
                    </m:naryPr>
                    <m:sub>
                      <m:r>
                        <w:rPr>
                          <w:rFonts w:ascii="Cambria Math" w:hAnsi="Cambria Math"/>
                          <w:sz w:val="23"/>
                          <w:szCs w:val="23"/>
                        </w:rPr>
                        <m:t>p=1</m:t>
                      </m:r>
                    </m:sub>
                    <m:sup>
                      <m:r>
                        <w:rPr>
                          <w:rFonts w:ascii="Cambria Math" w:hAnsi="Cambria Math"/>
                          <w:sz w:val="23"/>
                          <w:szCs w:val="23"/>
                        </w:rPr>
                        <m:t>2</m:t>
                      </m:r>
                    </m:sup>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DM'</m:t>
                              </m:r>
                            </m:e>
                            <m:sub>
                              <m:r>
                                <w:rPr>
                                  <w:rFonts w:ascii="Cambria Math" w:hAnsi="Cambria Math"/>
                                  <w:sz w:val="23"/>
                                  <w:szCs w:val="23"/>
                                </w:rPr>
                                <m:t>c,m,n,j,b,p</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CDI</m:t>
                              </m:r>
                            </m:e>
                            <m:sub>
                              <m:r>
                                <w:rPr>
                                  <w:rFonts w:ascii="Cambria Math" w:hAnsi="Cambria Math"/>
                                  <w:sz w:val="23"/>
                                  <w:szCs w:val="23"/>
                                </w:rPr>
                                <m:t>j,1,m,b,p</m:t>
                              </m:r>
                            </m:sub>
                          </m:sSub>
                        </m:e>
                      </m:d>
                    </m:e>
                  </m:nary>
                </m:e>
              </m:nary>
            </m:e>
          </m:nary>
        </m:oMath>
      </m:oMathPara>
    </w:p>
    <w:p w:rsidR="008839D9" w:rsidRPr="00C16DCF" w:rsidRDefault="008839D9" w:rsidP="008839D9">
      <w:pPr>
        <w:ind w:left="284"/>
        <w:jc w:val="both"/>
        <w:rPr>
          <w:rFonts w:ascii="Bookman Old Style" w:hAnsi="Bookman Old Style"/>
          <w:sz w:val="23"/>
          <w:szCs w:val="23"/>
        </w:rPr>
      </w:pPr>
      <w:proofErr w:type="spellStart"/>
      <w:r w:rsidRPr="00C16DCF">
        <w:rPr>
          <w:rFonts w:ascii="Bookman Old Style" w:hAnsi="Bookman Old Style"/>
          <w:sz w:val="23"/>
          <w:szCs w:val="23"/>
        </w:rPr>
        <w:t>Donde</w:t>
      </w:r>
      <w:proofErr w:type="spellEnd"/>
      <w:r w:rsidRPr="00C16DCF">
        <w:rPr>
          <w:rFonts w:ascii="Bookman Old Style" w:hAnsi="Bookman Old Style"/>
          <w:sz w:val="23"/>
          <w:szCs w:val="23"/>
        </w:rPr>
        <w:t>:</w:t>
      </w:r>
    </w:p>
    <w:p w:rsidR="008839D9" w:rsidRPr="00C16DCF" w:rsidRDefault="008839D9" w:rsidP="008839D9">
      <w:pPr>
        <w:ind w:left="284"/>
        <w:jc w:val="both"/>
        <w:rPr>
          <w:rFonts w:ascii="Bookman Old Style" w:hAnsi="Bookman Old Style"/>
          <w:sz w:val="23"/>
          <w:szCs w:val="23"/>
        </w:rPr>
      </w:pPr>
    </w:p>
    <w:p w:rsidR="008839D9" w:rsidRPr="00C16DCF" w:rsidRDefault="008839D9" w:rsidP="008839D9">
      <w:pPr>
        <w:ind w:left="1701" w:hanging="1417"/>
        <w:jc w:val="both"/>
        <w:rPr>
          <w:rFonts w:ascii="Bookman Old Style" w:hAnsi="Bookman Old Style"/>
          <w:sz w:val="23"/>
          <w:szCs w:val="23"/>
        </w:rPr>
      </w:pPr>
      <w:proofErr w:type="spellStart"/>
      <w:r w:rsidRPr="00C16DCF">
        <w:rPr>
          <w:rFonts w:ascii="Bookman Old Style" w:hAnsi="Bookman Old Style"/>
          <w:i/>
          <w:sz w:val="23"/>
          <w:szCs w:val="23"/>
        </w:rPr>
        <w:lastRenderedPageBreak/>
        <w:t>VSDL</w:t>
      </w:r>
      <w:r w:rsidRPr="00C16DCF">
        <w:rPr>
          <w:rFonts w:ascii="Bookman Old Style" w:hAnsi="Bookman Old Style"/>
          <w:i/>
          <w:sz w:val="23"/>
          <w:szCs w:val="23"/>
          <w:vertAlign w:val="subscript"/>
        </w:rPr>
        <w:t>c</w:t>
      </w:r>
      <w:proofErr w:type="gramStart"/>
      <w:r w:rsidRPr="00C16DCF">
        <w:rPr>
          <w:rFonts w:ascii="Bookman Old Style" w:hAnsi="Bookman Old Style"/>
          <w:i/>
          <w:sz w:val="23"/>
          <w:szCs w:val="23"/>
          <w:vertAlign w:val="subscript"/>
        </w:rPr>
        <w:t>,m,j</w:t>
      </w:r>
      <w:proofErr w:type="spellEnd"/>
      <w:proofErr w:type="gramEnd"/>
      <w:r w:rsidRPr="00C16DCF">
        <w:rPr>
          <w:rFonts w:ascii="Bookman Old Style" w:hAnsi="Bookman Old Style"/>
          <w:i/>
          <w:sz w:val="23"/>
          <w:szCs w:val="23"/>
        </w:rPr>
        <w:t>:</w:t>
      </w:r>
      <w:r w:rsidRPr="00C16DCF">
        <w:rPr>
          <w:rFonts w:ascii="Bookman Old Style" w:hAnsi="Bookman Old Style"/>
          <w:sz w:val="23"/>
          <w:szCs w:val="23"/>
        </w:rPr>
        <w:tab/>
        <w:t xml:space="preserve">Valor de la cobertura para el pago de los cargos por uso del SDL </w:t>
      </w:r>
      <w:r w:rsidRPr="00C16DCF">
        <w:rPr>
          <w:rFonts w:ascii="Bookman Old Style" w:hAnsi="Bookman Old Style"/>
          <w:i/>
          <w:sz w:val="23"/>
          <w:szCs w:val="23"/>
        </w:rPr>
        <w:t>j</w:t>
      </w:r>
      <w:r w:rsidRPr="00C16DCF">
        <w:rPr>
          <w:rFonts w:ascii="Bookman Old Style" w:hAnsi="Bookman Old Style"/>
          <w:sz w:val="23"/>
          <w:szCs w:val="23"/>
        </w:rPr>
        <w:t xml:space="preserve"> que deberá constituir el comercializador </w:t>
      </w:r>
      <w:r w:rsidRPr="00C16DCF">
        <w:rPr>
          <w:rFonts w:ascii="Bookman Old Style" w:hAnsi="Bookman Old Style"/>
          <w:i/>
          <w:sz w:val="23"/>
          <w:szCs w:val="23"/>
        </w:rPr>
        <w:t>c</w:t>
      </w:r>
      <w:r w:rsidRPr="00C16DCF">
        <w:rPr>
          <w:rFonts w:ascii="Bookman Old Style" w:hAnsi="Bookman Old Style"/>
          <w:sz w:val="23"/>
          <w:szCs w:val="23"/>
        </w:rPr>
        <w:t xml:space="preserve"> para el mes </w:t>
      </w:r>
      <w:r w:rsidRPr="00C16DCF">
        <w:rPr>
          <w:rFonts w:ascii="Bookman Old Style" w:hAnsi="Bookman Old Style"/>
          <w:i/>
          <w:sz w:val="23"/>
          <w:szCs w:val="23"/>
        </w:rPr>
        <w:t>m</w:t>
      </w:r>
      <w:r w:rsidRPr="00C16DCF">
        <w:rPr>
          <w:rFonts w:ascii="Bookman Old Style" w:hAnsi="Bookman Old Style"/>
          <w:sz w:val="23"/>
          <w:szCs w:val="23"/>
        </w:rPr>
        <w:t>.</w:t>
      </w:r>
    </w:p>
    <w:p w:rsidR="008839D9" w:rsidRPr="00C16DCF" w:rsidRDefault="008839D9" w:rsidP="008839D9">
      <w:pPr>
        <w:ind w:left="1701" w:hanging="1417"/>
        <w:jc w:val="both"/>
        <w:rPr>
          <w:rFonts w:ascii="Bookman Old Style" w:hAnsi="Bookman Old Style"/>
          <w:sz w:val="23"/>
          <w:szCs w:val="23"/>
        </w:rPr>
      </w:pPr>
    </w:p>
    <w:p w:rsidR="008839D9" w:rsidRPr="00C16DCF" w:rsidRDefault="008839D9" w:rsidP="008839D9">
      <w:pPr>
        <w:ind w:left="1701" w:hanging="1417"/>
        <w:jc w:val="both"/>
        <w:rPr>
          <w:rFonts w:ascii="Bookman Old Style" w:hAnsi="Bookman Old Style"/>
          <w:sz w:val="23"/>
          <w:szCs w:val="23"/>
        </w:rPr>
      </w:pPr>
      <w:proofErr w:type="spellStart"/>
      <w:r w:rsidRPr="00C16DCF">
        <w:rPr>
          <w:rFonts w:ascii="Bookman Old Style" w:hAnsi="Bookman Old Style"/>
          <w:i/>
          <w:sz w:val="23"/>
          <w:szCs w:val="23"/>
        </w:rPr>
        <w:t>DM</w:t>
      </w:r>
      <w:r w:rsidRPr="00C16DCF">
        <w:rPr>
          <w:rFonts w:ascii="Bookman Old Style" w:hAnsi="Bookman Old Style"/>
          <w:i/>
          <w:sz w:val="23"/>
          <w:szCs w:val="23"/>
          <w:vertAlign w:val="subscript"/>
        </w:rPr>
        <w:t>c</w:t>
      </w:r>
      <w:proofErr w:type="gramStart"/>
      <w:r w:rsidRPr="00C16DCF">
        <w:rPr>
          <w:rFonts w:ascii="Bookman Old Style" w:hAnsi="Bookman Old Style"/>
          <w:i/>
          <w:sz w:val="23"/>
          <w:szCs w:val="23"/>
          <w:vertAlign w:val="subscript"/>
        </w:rPr>
        <w:t>,m,n,j</w:t>
      </w:r>
      <w:proofErr w:type="spellEnd"/>
      <w:proofErr w:type="gramEnd"/>
      <w:r w:rsidRPr="00C16DCF">
        <w:rPr>
          <w:rFonts w:ascii="Bookman Old Style" w:hAnsi="Bookman Old Style"/>
          <w:i/>
          <w:sz w:val="23"/>
          <w:szCs w:val="23"/>
        </w:rPr>
        <w:t>:</w:t>
      </w:r>
      <w:r w:rsidRPr="00C16DCF">
        <w:rPr>
          <w:rFonts w:ascii="Bookman Old Style" w:hAnsi="Bookman Old Style"/>
          <w:sz w:val="23"/>
          <w:szCs w:val="23"/>
        </w:rPr>
        <w:tab/>
        <w:t xml:space="preserve">Demanda del comercializador </w:t>
      </w:r>
      <w:r w:rsidRPr="00C16DCF">
        <w:rPr>
          <w:rFonts w:ascii="Bookman Old Style" w:hAnsi="Bookman Old Style"/>
          <w:i/>
          <w:sz w:val="23"/>
          <w:szCs w:val="23"/>
        </w:rPr>
        <w:t>c</w:t>
      </w:r>
      <w:r w:rsidRPr="00C16DCF">
        <w:rPr>
          <w:rFonts w:ascii="Bookman Old Style" w:hAnsi="Bookman Old Style"/>
          <w:sz w:val="23"/>
          <w:szCs w:val="23"/>
        </w:rPr>
        <w:t xml:space="preserve">, en el nivel de tensión </w:t>
      </w:r>
      <w:r w:rsidRPr="00C16DCF">
        <w:rPr>
          <w:rFonts w:ascii="Bookman Old Style" w:hAnsi="Bookman Old Style"/>
          <w:i/>
          <w:sz w:val="23"/>
          <w:szCs w:val="23"/>
        </w:rPr>
        <w:t>n</w:t>
      </w:r>
      <w:r w:rsidRPr="00C16DCF">
        <w:rPr>
          <w:rFonts w:ascii="Bookman Old Style" w:hAnsi="Bookman Old Style"/>
          <w:sz w:val="23"/>
          <w:szCs w:val="23"/>
        </w:rPr>
        <w:t xml:space="preserve"> del SDL </w:t>
      </w:r>
      <w:r w:rsidRPr="00C16DCF">
        <w:rPr>
          <w:rFonts w:ascii="Bookman Old Style" w:hAnsi="Bookman Old Style"/>
          <w:i/>
          <w:sz w:val="23"/>
          <w:szCs w:val="23"/>
        </w:rPr>
        <w:t>j,</w:t>
      </w:r>
      <w:r w:rsidRPr="00C16DCF">
        <w:rPr>
          <w:rFonts w:ascii="Bookman Old Style" w:hAnsi="Bookman Old Style"/>
          <w:sz w:val="23"/>
          <w:szCs w:val="23"/>
        </w:rPr>
        <w:t xml:space="preserve"> estimada con base en el último dato disponible de la energía facturada al comercializador en el nivel de tensión </w:t>
      </w:r>
      <w:r w:rsidRPr="00C16DCF">
        <w:rPr>
          <w:rFonts w:ascii="Bookman Old Style" w:hAnsi="Bookman Old Style"/>
          <w:i/>
          <w:sz w:val="23"/>
          <w:szCs w:val="23"/>
        </w:rPr>
        <w:t>n</w:t>
      </w:r>
      <w:r w:rsidRPr="00C16DCF">
        <w:rPr>
          <w:rFonts w:ascii="Bookman Old Style" w:hAnsi="Bookman Old Style"/>
          <w:sz w:val="23"/>
          <w:szCs w:val="23"/>
        </w:rPr>
        <w:t xml:space="preserve"> del SDL </w:t>
      </w:r>
      <w:r w:rsidRPr="00C16DCF">
        <w:rPr>
          <w:rFonts w:ascii="Bookman Old Style" w:hAnsi="Bookman Old Style"/>
          <w:i/>
          <w:sz w:val="23"/>
          <w:szCs w:val="23"/>
        </w:rPr>
        <w:t>j</w:t>
      </w:r>
      <w:r w:rsidRPr="00C16DCF">
        <w:rPr>
          <w:rFonts w:ascii="Bookman Old Style" w:hAnsi="Bookman Old Style"/>
          <w:sz w:val="23"/>
          <w:szCs w:val="23"/>
        </w:rPr>
        <w:t>, reportada al SUI por el operador de red.</w:t>
      </w:r>
    </w:p>
    <w:p w:rsidR="008839D9" w:rsidRPr="00C16DCF" w:rsidRDefault="008839D9" w:rsidP="008839D9">
      <w:pPr>
        <w:ind w:left="1701" w:hanging="1417"/>
        <w:jc w:val="both"/>
        <w:rPr>
          <w:rFonts w:ascii="Bookman Old Style" w:hAnsi="Bookman Old Style"/>
          <w:sz w:val="23"/>
          <w:szCs w:val="23"/>
        </w:rPr>
      </w:pPr>
    </w:p>
    <w:p w:rsidR="008839D9" w:rsidRPr="00C16DCF" w:rsidRDefault="008839D9" w:rsidP="008839D9">
      <w:pPr>
        <w:ind w:left="1701" w:hanging="1417"/>
        <w:jc w:val="both"/>
        <w:rPr>
          <w:rFonts w:ascii="Bookman Old Style" w:hAnsi="Bookman Old Style"/>
          <w:sz w:val="23"/>
          <w:szCs w:val="23"/>
        </w:rPr>
      </w:pPr>
      <w:proofErr w:type="spellStart"/>
      <w:r w:rsidRPr="00C16DCF">
        <w:rPr>
          <w:rFonts w:ascii="Bookman Old Style" w:hAnsi="Bookman Old Style"/>
          <w:i/>
          <w:sz w:val="23"/>
          <w:szCs w:val="23"/>
        </w:rPr>
        <w:t>Cargo</w:t>
      </w:r>
      <w:r w:rsidRPr="00C16DCF">
        <w:rPr>
          <w:rFonts w:ascii="Bookman Old Style" w:hAnsi="Bookman Old Style"/>
          <w:i/>
          <w:sz w:val="23"/>
          <w:szCs w:val="23"/>
          <w:vertAlign w:val="subscript"/>
        </w:rPr>
        <w:t>m</w:t>
      </w:r>
      <w:proofErr w:type="gramStart"/>
      <w:r w:rsidRPr="00C16DCF">
        <w:rPr>
          <w:rFonts w:ascii="Bookman Old Style" w:hAnsi="Bookman Old Style"/>
          <w:i/>
          <w:sz w:val="23"/>
          <w:szCs w:val="23"/>
          <w:vertAlign w:val="subscript"/>
        </w:rPr>
        <w:t>,n,a</w:t>
      </w:r>
      <w:proofErr w:type="spellEnd"/>
      <w:proofErr w:type="gramEnd"/>
      <w:r w:rsidRPr="00C16DCF">
        <w:rPr>
          <w:rFonts w:ascii="Bookman Old Style" w:hAnsi="Bookman Old Style"/>
          <w:i/>
          <w:sz w:val="23"/>
          <w:szCs w:val="23"/>
        </w:rPr>
        <w:t>:</w:t>
      </w:r>
      <w:r w:rsidRPr="00C16DCF">
        <w:rPr>
          <w:rFonts w:ascii="Bookman Old Style" w:hAnsi="Bookman Old Style"/>
          <w:sz w:val="23"/>
          <w:szCs w:val="23"/>
        </w:rPr>
        <w:tab/>
        <w:t>Esta variable tiene uno de los siguientes valores:</w:t>
      </w:r>
    </w:p>
    <w:p w:rsidR="008839D9" w:rsidRPr="00C16DCF" w:rsidRDefault="008839D9" w:rsidP="008839D9">
      <w:pPr>
        <w:ind w:left="1701" w:hanging="1417"/>
        <w:jc w:val="both"/>
        <w:rPr>
          <w:rFonts w:ascii="Bookman Old Style" w:hAnsi="Bookman Old Style"/>
          <w:sz w:val="23"/>
          <w:szCs w:val="23"/>
        </w:rPr>
      </w:pPr>
    </w:p>
    <w:p w:rsidR="008839D9" w:rsidRPr="00C16DCF" w:rsidRDefault="008839D9" w:rsidP="008839D9">
      <w:pPr>
        <w:pStyle w:val="Prrafodelista"/>
        <w:numPr>
          <w:ilvl w:val="0"/>
          <w:numId w:val="19"/>
        </w:numPr>
        <w:tabs>
          <w:tab w:val="left" w:pos="1843"/>
        </w:tabs>
        <w:ind w:left="2127" w:hanging="426"/>
        <w:jc w:val="both"/>
        <w:rPr>
          <w:rFonts w:ascii="Bookman Old Style" w:hAnsi="Bookman Old Style"/>
          <w:sz w:val="23"/>
          <w:szCs w:val="23"/>
        </w:rPr>
      </w:pPr>
      <w:r w:rsidRPr="00C16DCF">
        <w:rPr>
          <w:rFonts w:ascii="Bookman Old Style" w:hAnsi="Bookman Old Style"/>
          <w:sz w:val="23"/>
          <w:szCs w:val="23"/>
        </w:rPr>
        <w:t xml:space="preserve">Para los operadores de red que hacen parte de un área de distribución </w:t>
      </w:r>
      <w:r w:rsidRPr="00C16DCF">
        <w:rPr>
          <w:rFonts w:ascii="Bookman Old Style" w:hAnsi="Bookman Old Style"/>
          <w:i/>
          <w:sz w:val="23"/>
          <w:szCs w:val="23"/>
        </w:rPr>
        <w:t>a</w:t>
      </w:r>
      <w:r w:rsidRPr="00C16DCF">
        <w:rPr>
          <w:rFonts w:ascii="Bookman Old Style" w:hAnsi="Bookman Old Style"/>
          <w:sz w:val="23"/>
          <w:szCs w:val="23"/>
        </w:rPr>
        <w:t xml:space="preserve">, es el cargo por uso único del nivel de tensión </w:t>
      </w:r>
      <w:r w:rsidRPr="00C16DCF">
        <w:rPr>
          <w:rFonts w:ascii="Bookman Old Style" w:hAnsi="Bookman Old Style"/>
          <w:i/>
          <w:sz w:val="23"/>
          <w:szCs w:val="23"/>
        </w:rPr>
        <w:t>n</w:t>
      </w:r>
      <w:r w:rsidRPr="00C16DCF">
        <w:rPr>
          <w:rFonts w:ascii="Bookman Old Style" w:hAnsi="Bookman Old Style"/>
          <w:sz w:val="23"/>
          <w:szCs w:val="23"/>
        </w:rPr>
        <w:t xml:space="preserve"> a aplicar en el mes </w:t>
      </w:r>
      <w:r w:rsidRPr="00C16DCF">
        <w:rPr>
          <w:rFonts w:ascii="Bookman Old Style" w:hAnsi="Bookman Old Style"/>
          <w:i/>
          <w:sz w:val="23"/>
          <w:szCs w:val="23"/>
        </w:rPr>
        <w:t>m</w:t>
      </w:r>
      <w:r w:rsidRPr="00C16DCF">
        <w:rPr>
          <w:rFonts w:ascii="Bookman Old Style" w:hAnsi="Bookman Old Style"/>
          <w:sz w:val="23"/>
          <w:szCs w:val="23"/>
        </w:rPr>
        <w:t xml:space="preserve">. Es igual a la variable </w:t>
      </w:r>
      <w:proofErr w:type="spellStart"/>
      <w:r w:rsidRPr="00C16DCF">
        <w:rPr>
          <w:rFonts w:ascii="Bookman Old Style" w:hAnsi="Bookman Old Style"/>
          <w:i/>
          <w:sz w:val="23"/>
          <w:szCs w:val="23"/>
        </w:rPr>
        <w:t>DtUN</w:t>
      </w:r>
      <w:r w:rsidRPr="00C16DCF">
        <w:rPr>
          <w:rFonts w:ascii="Bookman Old Style" w:hAnsi="Bookman Old Style"/>
          <w:i/>
          <w:sz w:val="23"/>
          <w:szCs w:val="23"/>
          <w:vertAlign w:val="subscript"/>
        </w:rPr>
        <w:t>n</w:t>
      </w:r>
      <w:proofErr w:type="gramStart"/>
      <w:r w:rsidRPr="00C16DCF">
        <w:rPr>
          <w:rFonts w:ascii="Bookman Old Style" w:hAnsi="Bookman Old Style"/>
          <w:i/>
          <w:sz w:val="23"/>
          <w:szCs w:val="23"/>
          <w:vertAlign w:val="subscript"/>
        </w:rPr>
        <w:t>,m,a</w:t>
      </w:r>
      <w:proofErr w:type="spellEnd"/>
      <w:proofErr w:type="gramEnd"/>
      <w:r w:rsidRPr="00C16DCF">
        <w:rPr>
          <w:rFonts w:ascii="Bookman Old Style" w:hAnsi="Bookman Old Style"/>
          <w:sz w:val="23"/>
          <w:szCs w:val="23"/>
        </w:rPr>
        <w:t xml:space="preserve"> definida en la Resolución CREG 058 de 2008, o en las resoluciones que la modifiquen o sustituyan. Si el LAC no conoce el valor definitivo de la variable </w:t>
      </w:r>
      <w:proofErr w:type="spellStart"/>
      <w:r w:rsidRPr="00C16DCF">
        <w:rPr>
          <w:rFonts w:ascii="Bookman Old Style" w:hAnsi="Bookman Old Style"/>
          <w:i/>
          <w:sz w:val="23"/>
          <w:szCs w:val="23"/>
        </w:rPr>
        <w:t>DtUN</w:t>
      </w:r>
      <w:r w:rsidRPr="00C16DCF">
        <w:rPr>
          <w:rFonts w:ascii="Bookman Old Style" w:hAnsi="Bookman Old Style"/>
          <w:i/>
          <w:sz w:val="23"/>
          <w:szCs w:val="23"/>
          <w:vertAlign w:val="subscript"/>
        </w:rPr>
        <w:t>n</w:t>
      </w:r>
      <w:proofErr w:type="gramStart"/>
      <w:r w:rsidRPr="00C16DCF">
        <w:rPr>
          <w:rFonts w:ascii="Bookman Old Style" w:hAnsi="Bookman Old Style"/>
          <w:i/>
          <w:sz w:val="23"/>
          <w:szCs w:val="23"/>
          <w:vertAlign w:val="subscript"/>
        </w:rPr>
        <w:t>,m,a</w:t>
      </w:r>
      <w:proofErr w:type="spellEnd"/>
      <w:proofErr w:type="gramEnd"/>
      <w:r w:rsidRPr="00C16DCF">
        <w:rPr>
          <w:rFonts w:ascii="Bookman Old Style" w:hAnsi="Bookman Old Style"/>
          <w:sz w:val="23"/>
          <w:szCs w:val="23"/>
        </w:rPr>
        <w:t xml:space="preserve"> al momento de calcular los montos a garantizar, utilizará el último valor conocido.</w:t>
      </w:r>
    </w:p>
    <w:p w:rsidR="008839D9" w:rsidRPr="00C16DCF" w:rsidRDefault="008839D9" w:rsidP="008839D9">
      <w:pPr>
        <w:pStyle w:val="Prrafodelista"/>
        <w:tabs>
          <w:tab w:val="left" w:pos="1843"/>
        </w:tabs>
        <w:ind w:left="2127" w:hanging="426"/>
        <w:jc w:val="both"/>
        <w:rPr>
          <w:rFonts w:ascii="Bookman Old Style" w:hAnsi="Bookman Old Style"/>
          <w:sz w:val="23"/>
          <w:szCs w:val="23"/>
        </w:rPr>
      </w:pPr>
    </w:p>
    <w:p w:rsidR="008839D9" w:rsidRPr="00C16DCF" w:rsidRDefault="008839D9" w:rsidP="008839D9">
      <w:pPr>
        <w:pStyle w:val="Prrafodelista"/>
        <w:numPr>
          <w:ilvl w:val="0"/>
          <w:numId w:val="19"/>
        </w:numPr>
        <w:tabs>
          <w:tab w:val="left" w:pos="1843"/>
        </w:tabs>
        <w:ind w:left="2127" w:hanging="426"/>
        <w:jc w:val="both"/>
        <w:rPr>
          <w:rFonts w:ascii="Bookman Old Style" w:hAnsi="Bookman Old Style"/>
          <w:sz w:val="23"/>
          <w:szCs w:val="23"/>
        </w:rPr>
      </w:pPr>
      <w:r w:rsidRPr="00C16DCF">
        <w:rPr>
          <w:rFonts w:ascii="Bookman Old Style" w:hAnsi="Bookman Old Style"/>
          <w:sz w:val="23"/>
          <w:szCs w:val="23"/>
        </w:rPr>
        <w:t xml:space="preserve">Para los operadores de red que no hacen parte de un área de distribución </w:t>
      </w:r>
      <w:r w:rsidRPr="00C16DCF">
        <w:rPr>
          <w:rFonts w:ascii="Bookman Old Style" w:hAnsi="Bookman Old Style"/>
          <w:i/>
          <w:sz w:val="23"/>
          <w:szCs w:val="23"/>
        </w:rPr>
        <w:t>a</w:t>
      </w:r>
      <w:r w:rsidRPr="00C16DCF">
        <w:rPr>
          <w:rFonts w:ascii="Bookman Old Style" w:hAnsi="Bookman Old Style"/>
          <w:sz w:val="23"/>
          <w:szCs w:val="23"/>
        </w:rPr>
        <w:t xml:space="preserve">, es el cargo por uso del nivel de tensión </w:t>
      </w:r>
      <w:r w:rsidRPr="00C16DCF">
        <w:rPr>
          <w:rFonts w:ascii="Bookman Old Style" w:hAnsi="Bookman Old Style"/>
          <w:i/>
          <w:sz w:val="23"/>
          <w:szCs w:val="23"/>
        </w:rPr>
        <w:t>n</w:t>
      </w:r>
      <w:r w:rsidRPr="00C16DCF">
        <w:rPr>
          <w:rFonts w:ascii="Bookman Old Style" w:hAnsi="Bookman Old Style"/>
          <w:sz w:val="23"/>
          <w:szCs w:val="23"/>
        </w:rPr>
        <w:t xml:space="preserve"> a aplicar en el mes </w:t>
      </w:r>
      <w:r w:rsidRPr="00C16DCF">
        <w:rPr>
          <w:rFonts w:ascii="Bookman Old Style" w:hAnsi="Bookman Old Style"/>
          <w:i/>
          <w:sz w:val="23"/>
          <w:szCs w:val="23"/>
        </w:rPr>
        <w:t>m</w:t>
      </w:r>
      <w:r w:rsidRPr="00C16DCF">
        <w:rPr>
          <w:rFonts w:ascii="Bookman Old Style" w:hAnsi="Bookman Old Style"/>
          <w:sz w:val="23"/>
          <w:szCs w:val="23"/>
        </w:rPr>
        <w:t xml:space="preserve">. Es igual a la variable </w:t>
      </w:r>
      <w:proofErr w:type="spellStart"/>
      <w:r w:rsidRPr="00C16DCF">
        <w:rPr>
          <w:rFonts w:ascii="Bookman Old Style" w:hAnsi="Bookman Old Style"/>
          <w:i/>
          <w:sz w:val="23"/>
          <w:szCs w:val="23"/>
        </w:rPr>
        <w:t>Dt</w:t>
      </w:r>
      <w:r w:rsidRPr="00C16DCF">
        <w:rPr>
          <w:rFonts w:ascii="Bookman Old Style" w:hAnsi="Bookman Old Style"/>
          <w:i/>
          <w:sz w:val="23"/>
          <w:szCs w:val="23"/>
          <w:vertAlign w:val="subscript"/>
        </w:rPr>
        <w:t>j</w:t>
      </w:r>
      <w:proofErr w:type="gramStart"/>
      <w:r w:rsidRPr="00C16DCF">
        <w:rPr>
          <w:rFonts w:ascii="Bookman Old Style" w:hAnsi="Bookman Old Style"/>
          <w:i/>
          <w:sz w:val="23"/>
          <w:szCs w:val="23"/>
          <w:vertAlign w:val="subscript"/>
        </w:rPr>
        <w:t>,n,m,k</w:t>
      </w:r>
      <w:proofErr w:type="spellEnd"/>
      <w:proofErr w:type="gramEnd"/>
      <w:r w:rsidRPr="00C16DCF">
        <w:rPr>
          <w:rFonts w:ascii="Bookman Old Style" w:hAnsi="Bookman Old Style"/>
          <w:sz w:val="23"/>
          <w:szCs w:val="23"/>
        </w:rPr>
        <w:t xml:space="preserve"> definida en el numeral 6.5 del Anexo General de la Resolución CREG 097 de 2008, o en las resoluciones que la modifiquen o sustituyan. El valor de esta variable deberá ser reportado por el operador de red al LAC y recibido por éste antes de las 10:00 am del día anterior a la publicación de los montos a garantizar. Si el operador de red no envía esta información en el plazo previsto, el LAC utilizará la última recibida del operador de red.</w:t>
      </w:r>
    </w:p>
    <w:p w:rsidR="008839D9" w:rsidRPr="00C16DCF" w:rsidRDefault="008839D9" w:rsidP="008839D9">
      <w:pPr>
        <w:pStyle w:val="Prrafodelista"/>
        <w:ind w:left="284"/>
        <w:jc w:val="both"/>
        <w:rPr>
          <w:rFonts w:ascii="Bookman Old Style" w:hAnsi="Bookman Old Style"/>
          <w:sz w:val="23"/>
          <w:szCs w:val="23"/>
        </w:rPr>
      </w:pPr>
    </w:p>
    <w:p w:rsidR="008839D9" w:rsidRPr="00C16DCF" w:rsidRDefault="008839D9" w:rsidP="008839D9">
      <w:pPr>
        <w:ind w:left="1701" w:hanging="1417"/>
        <w:jc w:val="both"/>
        <w:rPr>
          <w:rFonts w:ascii="Bookman Old Style" w:hAnsi="Bookman Old Style"/>
          <w:sz w:val="23"/>
          <w:szCs w:val="23"/>
        </w:rPr>
      </w:pPr>
      <w:r w:rsidRPr="00C16DCF">
        <w:rPr>
          <w:rFonts w:ascii="Bookman Old Style" w:hAnsi="Bookman Old Style"/>
          <w:i/>
          <w:sz w:val="23"/>
          <w:szCs w:val="23"/>
        </w:rPr>
        <w:t>CD</w:t>
      </w:r>
      <w:r w:rsidRPr="00C16DCF">
        <w:rPr>
          <w:rFonts w:ascii="Bookman Old Style" w:hAnsi="Bookman Old Style"/>
          <w:i/>
          <w:sz w:val="23"/>
          <w:szCs w:val="23"/>
          <w:vertAlign w:val="subscript"/>
        </w:rPr>
        <w:t>4</w:t>
      </w:r>
      <w:proofErr w:type="gramStart"/>
      <w:r w:rsidRPr="00C16DCF">
        <w:rPr>
          <w:rFonts w:ascii="Bookman Old Style" w:hAnsi="Bookman Old Style"/>
          <w:i/>
          <w:sz w:val="23"/>
          <w:szCs w:val="23"/>
          <w:vertAlign w:val="subscript"/>
        </w:rPr>
        <w:t>,m,R</w:t>
      </w:r>
      <w:proofErr w:type="gramEnd"/>
      <w:r w:rsidRPr="00C16DCF">
        <w:rPr>
          <w:rFonts w:ascii="Bookman Old Style" w:hAnsi="Bookman Old Style"/>
          <w:i/>
          <w:sz w:val="23"/>
          <w:szCs w:val="23"/>
        </w:rPr>
        <w:t>:</w:t>
      </w:r>
      <w:r w:rsidRPr="00C16DCF">
        <w:rPr>
          <w:rFonts w:ascii="Bookman Old Style" w:hAnsi="Bookman Old Style"/>
          <w:sz w:val="23"/>
          <w:szCs w:val="23"/>
        </w:rPr>
        <w:tab/>
        <w:t xml:space="preserve">Último cargo estimado y publicado por el LAC para el nivel de tensión 4 correspondiente al STR </w:t>
      </w:r>
      <w:r w:rsidRPr="00C16DCF">
        <w:rPr>
          <w:rFonts w:ascii="Bookman Old Style" w:hAnsi="Bookman Old Style"/>
          <w:i/>
          <w:sz w:val="23"/>
          <w:szCs w:val="23"/>
        </w:rPr>
        <w:t>R</w:t>
      </w:r>
      <w:r w:rsidRPr="00C16DCF">
        <w:rPr>
          <w:rFonts w:ascii="Bookman Old Style" w:hAnsi="Bookman Old Style"/>
          <w:sz w:val="23"/>
          <w:szCs w:val="23"/>
        </w:rPr>
        <w:t>, de conformidad con el artículo 28 de la Resolución CREG 157 de 2011.</w:t>
      </w:r>
    </w:p>
    <w:p w:rsidR="008839D9" w:rsidRPr="00C16DCF" w:rsidRDefault="008839D9" w:rsidP="008839D9">
      <w:pPr>
        <w:ind w:left="1701" w:hanging="1417"/>
        <w:jc w:val="both"/>
        <w:rPr>
          <w:rFonts w:ascii="Bookman Old Style" w:hAnsi="Bookman Old Style"/>
          <w:sz w:val="23"/>
          <w:szCs w:val="23"/>
        </w:rPr>
      </w:pPr>
    </w:p>
    <w:p w:rsidR="008839D9" w:rsidRPr="00C16DCF" w:rsidRDefault="008839D9" w:rsidP="008839D9">
      <w:pPr>
        <w:ind w:left="1701" w:hanging="1417"/>
        <w:jc w:val="both"/>
        <w:rPr>
          <w:rFonts w:ascii="Bookman Old Style" w:hAnsi="Bookman Old Style"/>
          <w:sz w:val="23"/>
          <w:szCs w:val="23"/>
        </w:rPr>
      </w:pPr>
      <w:proofErr w:type="spellStart"/>
      <w:r w:rsidRPr="00C16DCF">
        <w:rPr>
          <w:rFonts w:ascii="Bookman Old Style" w:hAnsi="Bookman Old Style"/>
          <w:i/>
          <w:sz w:val="23"/>
          <w:szCs w:val="23"/>
        </w:rPr>
        <w:t>PR</w:t>
      </w:r>
      <w:r w:rsidRPr="00C16DCF">
        <w:rPr>
          <w:rFonts w:ascii="Bookman Old Style" w:hAnsi="Bookman Old Style"/>
          <w:i/>
          <w:sz w:val="23"/>
          <w:szCs w:val="23"/>
          <w:vertAlign w:val="subscript"/>
        </w:rPr>
        <w:t>n</w:t>
      </w:r>
      <w:proofErr w:type="gramStart"/>
      <w:r w:rsidRPr="00C16DCF">
        <w:rPr>
          <w:rFonts w:ascii="Bookman Old Style" w:hAnsi="Bookman Old Style"/>
          <w:i/>
          <w:sz w:val="23"/>
          <w:szCs w:val="23"/>
          <w:vertAlign w:val="subscript"/>
        </w:rPr>
        <w:t>,j</w:t>
      </w:r>
      <w:proofErr w:type="spellEnd"/>
      <w:proofErr w:type="gramEnd"/>
      <w:r w:rsidRPr="00C16DCF">
        <w:rPr>
          <w:rFonts w:ascii="Bookman Old Style" w:hAnsi="Bookman Old Style"/>
          <w:i/>
          <w:sz w:val="23"/>
          <w:szCs w:val="23"/>
        </w:rPr>
        <w:t>:</w:t>
      </w:r>
      <w:r w:rsidRPr="00C16DCF">
        <w:rPr>
          <w:rFonts w:ascii="Bookman Old Style" w:hAnsi="Bookman Old Style"/>
          <w:sz w:val="23"/>
          <w:szCs w:val="23"/>
        </w:rPr>
        <w:tab/>
        <w:t xml:space="preserve">Factor de pérdidas para referir las medidas de energía del nivel de tensión </w:t>
      </w:r>
      <w:r w:rsidRPr="00C16DCF">
        <w:rPr>
          <w:rFonts w:ascii="Bookman Old Style" w:hAnsi="Bookman Old Style"/>
          <w:i/>
          <w:sz w:val="23"/>
          <w:szCs w:val="23"/>
        </w:rPr>
        <w:t>n</w:t>
      </w:r>
      <w:r w:rsidRPr="00C16DCF">
        <w:rPr>
          <w:rFonts w:ascii="Bookman Old Style" w:hAnsi="Bookman Old Style"/>
          <w:sz w:val="23"/>
          <w:szCs w:val="23"/>
        </w:rPr>
        <w:t xml:space="preserve"> del SDL </w:t>
      </w:r>
      <w:r w:rsidRPr="00C16DCF">
        <w:rPr>
          <w:rFonts w:ascii="Bookman Old Style" w:hAnsi="Bookman Old Style"/>
          <w:i/>
          <w:sz w:val="23"/>
          <w:szCs w:val="23"/>
        </w:rPr>
        <w:t>j</w:t>
      </w:r>
      <w:r w:rsidRPr="00C16DCF">
        <w:rPr>
          <w:rFonts w:ascii="Bookman Old Style" w:hAnsi="Bookman Old Style"/>
          <w:sz w:val="23"/>
          <w:szCs w:val="23"/>
        </w:rPr>
        <w:t xml:space="preserve"> al STN.</w:t>
      </w:r>
    </w:p>
    <w:p w:rsidR="008839D9" w:rsidRPr="00ED08DC" w:rsidRDefault="008839D9" w:rsidP="008839D9">
      <w:pPr>
        <w:ind w:left="1701" w:hanging="1417"/>
        <w:jc w:val="both"/>
        <w:rPr>
          <w:rFonts w:ascii="Bookman Old Style" w:hAnsi="Bookman Old Style"/>
          <w:sz w:val="18"/>
          <w:szCs w:val="23"/>
        </w:rPr>
      </w:pPr>
    </w:p>
    <w:p w:rsidR="008839D9" w:rsidRPr="00C16DCF" w:rsidRDefault="008839D9" w:rsidP="008839D9">
      <w:pPr>
        <w:ind w:left="1701" w:hanging="1417"/>
        <w:jc w:val="both"/>
        <w:rPr>
          <w:rFonts w:ascii="Bookman Old Style" w:hAnsi="Bookman Old Style"/>
          <w:sz w:val="23"/>
          <w:szCs w:val="23"/>
        </w:rPr>
      </w:pPr>
      <w:proofErr w:type="spellStart"/>
      <w:r w:rsidRPr="00C16DCF">
        <w:rPr>
          <w:rFonts w:ascii="Bookman Old Style" w:hAnsi="Bookman Old Style"/>
          <w:i/>
          <w:sz w:val="23"/>
          <w:szCs w:val="23"/>
        </w:rPr>
        <w:t>DM’</w:t>
      </w:r>
      <w:r w:rsidRPr="00C16DCF">
        <w:rPr>
          <w:rFonts w:ascii="Bookman Old Style" w:hAnsi="Bookman Old Style"/>
          <w:i/>
          <w:sz w:val="23"/>
          <w:szCs w:val="23"/>
          <w:vertAlign w:val="subscript"/>
        </w:rPr>
        <w:t>c</w:t>
      </w:r>
      <w:proofErr w:type="gramStart"/>
      <w:r w:rsidRPr="00C16DCF">
        <w:rPr>
          <w:rFonts w:ascii="Bookman Old Style" w:hAnsi="Bookman Old Style"/>
          <w:i/>
          <w:sz w:val="23"/>
          <w:szCs w:val="23"/>
          <w:vertAlign w:val="subscript"/>
        </w:rPr>
        <w:t>,m,n,j,b,p</w:t>
      </w:r>
      <w:proofErr w:type="spellEnd"/>
      <w:proofErr w:type="gramEnd"/>
      <w:r w:rsidRPr="00C16DCF">
        <w:rPr>
          <w:rFonts w:ascii="Bookman Old Style" w:hAnsi="Bookman Old Style"/>
          <w:i/>
          <w:sz w:val="23"/>
          <w:szCs w:val="23"/>
        </w:rPr>
        <w:t>:</w:t>
      </w:r>
      <w:r w:rsidRPr="00C16DCF">
        <w:rPr>
          <w:rFonts w:ascii="Bookman Old Style" w:hAnsi="Bookman Old Style"/>
          <w:sz w:val="23"/>
          <w:szCs w:val="23"/>
        </w:rPr>
        <w:tab/>
        <w:t xml:space="preserve">Demanda del comercializador </w:t>
      </w:r>
      <w:r w:rsidRPr="00C16DCF">
        <w:rPr>
          <w:rFonts w:ascii="Bookman Old Style" w:hAnsi="Bookman Old Style"/>
          <w:i/>
          <w:sz w:val="23"/>
          <w:szCs w:val="23"/>
        </w:rPr>
        <w:t>c</w:t>
      </w:r>
      <w:r w:rsidRPr="00C16DCF">
        <w:rPr>
          <w:rFonts w:ascii="Bookman Old Style" w:hAnsi="Bookman Old Style"/>
          <w:sz w:val="23"/>
          <w:szCs w:val="23"/>
        </w:rPr>
        <w:t xml:space="preserve"> en el nivel de tensión</w:t>
      </w:r>
      <w:r w:rsidRPr="00C16DCF">
        <w:rPr>
          <w:rFonts w:ascii="Bookman Old Style" w:hAnsi="Bookman Old Style"/>
          <w:b/>
          <w:sz w:val="23"/>
          <w:szCs w:val="23"/>
        </w:rPr>
        <w:t xml:space="preserve"> </w:t>
      </w:r>
      <w:r w:rsidRPr="00C16DCF">
        <w:rPr>
          <w:rFonts w:ascii="Bookman Old Style" w:hAnsi="Bookman Old Style"/>
          <w:sz w:val="23"/>
          <w:szCs w:val="23"/>
        </w:rPr>
        <w:t xml:space="preserve">1 del SDL </w:t>
      </w:r>
      <w:r w:rsidRPr="00C16DCF">
        <w:rPr>
          <w:rFonts w:ascii="Bookman Old Style" w:hAnsi="Bookman Old Style"/>
          <w:i/>
          <w:sz w:val="23"/>
          <w:szCs w:val="23"/>
        </w:rPr>
        <w:t>j</w:t>
      </w:r>
      <w:r w:rsidRPr="00C16DCF">
        <w:rPr>
          <w:rFonts w:ascii="Bookman Old Style" w:hAnsi="Bookman Old Style"/>
          <w:sz w:val="23"/>
          <w:szCs w:val="23"/>
        </w:rPr>
        <w:t xml:space="preserve"> para el mes </w:t>
      </w:r>
      <w:r w:rsidRPr="00C16DCF">
        <w:rPr>
          <w:rFonts w:ascii="Bookman Old Style" w:hAnsi="Bookman Old Style"/>
          <w:i/>
          <w:sz w:val="23"/>
          <w:szCs w:val="23"/>
        </w:rPr>
        <w:t>m</w:t>
      </w:r>
      <w:r w:rsidRPr="00C16DCF">
        <w:rPr>
          <w:rFonts w:ascii="Bookman Old Style" w:hAnsi="Bookman Old Style"/>
          <w:sz w:val="23"/>
          <w:szCs w:val="23"/>
        </w:rPr>
        <w:t>, destinada a usuarios que de acuerdo con el numeral 6.6 del anexo general de la Resolución CREG 097 de 2008, o aquella que la modifique o sustituya, se les deba descontar el cargo máximo del nivel de tensión 1 por concepto de inversión. Para la estimación de esta demanda se considerará el último dato disponible de la energía facturada en el nivel de tensión</w:t>
      </w:r>
      <w:r w:rsidRPr="00C16DCF">
        <w:rPr>
          <w:rFonts w:ascii="Bookman Old Style" w:hAnsi="Bookman Old Style"/>
          <w:i/>
          <w:sz w:val="23"/>
          <w:szCs w:val="23"/>
        </w:rPr>
        <w:t xml:space="preserve"> </w:t>
      </w:r>
      <w:r w:rsidRPr="00C16DCF">
        <w:rPr>
          <w:rFonts w:ascii="Bookman Old Style" w:hAnsi="Bookman Old Style"/>
          <w:sz w:val="23"/>
          <w:szCs w:val="23"/>
        </w:rPr>
        <w:t>1, por el comercializador c que atiende usuarios conec</w:t>
      </w:r>
      <w:r w:rsidRPr="00C16DCF">
        <w:rPr>
          <w:rFonts w:ascii="Bookman Old Style" w:hAnsi="Bookman Old Style"/>
          <w:sz w:val="23"/>
          <w:szCs w:val="23"/>
        </w:rPr>
        <w:softHyphen/>
        <w:t xml:space="preserve">tados al SDL </w:t>
      </w:r>
      <w:r w:rsidRPr="00C16DCF">
        <w:rPr>
          <w:rFonts w:ascii="Bookman Old Style" w:hAnsi="Bookman Old Style"/>
          <w:i/>
          <w:sz w:val="23"/>
          <w:szCs w:val="23"/>
        </w:rPr>
        <w:t>j</w:t>
      </w:r>
      <w:r w:rsidRPr="00C16DCF">
        <w:rPr>
          <w:rFonts w:ascii="Bookman Old Style" w:hAnsi="Bookman Old Style"/>
          <w:sz w:val="23"/>
          <w:szCs w:val="23"/>
        </w:rPr>
        <w:t>, propietarios de parte o del total de los activos de nivel de tensión 1, según corresponda, a</w:t>
      </w:r>
      <w:r w:rsidRPr="00C16DCF">
        <w:rPr>
          <w:rFonts w:ascii="Bookman Old Style" w:hAnsi="Bookman Old Style" w:cs="Arial"/>
          <w:sz w:val="23"/>
          <w:szCs w:val="23"/>
        </w:rPr>
        <w:t>éreo (b=1) o subterráneo (b=2) y según la proporción reconocida (p=1 cuando se reconoce el 100% de la inversión o p=2 cuando se reconoce el 50%)</w:t>
      </w:r>
      <w:r w:rsidRPr="00C16DCF">
        <w:rPr>
          <w:rFonts w:ascii="Bookman Old Style" w:hAnsi="Bookman Old Style"/>
          <w:sz w:val="23"/>
          <w:szCs w:val="23"/>
        </w:rPr>
        <w:t>. Estos datos deben ser reportados por el comercializador al LAC.</w:t>
      </w:r>
    </w:p>
    <w:p w:rsidR="008839D9" w:rsidRPr="00ED08DC" w:rsidRDefault="008839D9" w:rsidP="008839D9">
      <w:pPr>
        <w:ind w:left="1701" w:hanging="1417"/>
        <w:jc w:val="both"/>
        <w:rPr>
          <w:rFonts w:ascii="Bookman Old Style" w:hAnsi="Bookman Old Style"/>
          <w:sz w:val="20"/>
          <w:szCs w:val="23"/>
        </w:rPr>
      </w:pPr>
    </w:p>
    <w:p w:rsidR="008839D9" w:rsidRPr="00C16DCF" w:rsidRDefault="008839D9" w:rsidP="008839D9">
      <w:pPr>
        <w:ind w:left="1701" w:hanging="1417"/>
        <w:jc w:val="both"/>
        <w:rPr>
          <w:rFonts w:ascii="Bookman Old Style" w:hAnsi="Bookman Old Style"/>
          <w:sz w:val="23"/>
          <w:szCs w:val="23"/>
        </w:rPr>
      </w:pPr>
      <w:r w:rsidRPr="00C16DCF">
        <w:rPr>
          <w:rFonts w:ascii="Bookman Old Style" w:hAnsi="Bookman Old Style"/>
          <w:i/>
          <w:sz w:val="23"/>
          <w:szCs w:val="23"/>
        </w:rPr>
        <w:t>CDI</w:t>
      </w:r>
      <w:r w:rsidRPr="00C16DCF">
        <w:rPr>
          <w:rFonts w:ascii="Bookman Old Style" w:hAnsi="Bookman Old Style"/>
          <w:i/>
          <w:sz w:val="23"/>
          <w:szCs w:val="23"/>
          <w:vertAlign w:val="subscript"/>
        </w:rPr>
        <w:t>j</w:t>
      </w:r>
      <w:proofErr w:type="gramStart"/>
      <w:r w:rsidRPr="00C16DCF">
        <w:rPr>
          <w:rFonts w:ascii="Bookman Old Style" w:hAnsi="Bookman Old Style"/>
          <w:i/>
          <w:sz w:val="23"/>
          <w:szCs w:val="23"/>
          <w:vertAlign w:val="subscript"/>
        </w:rPr>
        <w:t>,1,m,b,p</w:t>
      </w:r>
      <w:proofErr w:type="gramEnd"/>
      <w:r w:rsidRPr="00C16DCF">
        <w:rPr>
          <w:rFonts w:ascii="Bookman Old Style" w:hAnsi="Bookman Old Style"/>
          <w:i/>
          <w:sz w:val="23"/>
          <w:szCs w:val="23"/>
        </w:rPr>
        <w:t>:</w:t>
      </w:r>
      <w:r w:rsidRPr="00C16DCF">
        <w:rPr>
          <w:rFonts w:ascii="Bookman Old Style" w:hAnsi="Bookman Old Style"/>
          <w:i/>
          <w:sz w:val="23"/>
          <w:szCs w:val="23"/>
        </w:rPr>
        <w:tab/>
      </w:r>
      <w:r w:rsidRPr="00C16DCF">
        <w:rPr>
          <w:rFonts w:ascii="Bookman Old Style" w:hAnsi="Bookman Old Style"/>
          <w:sz w:val="23"/>
          <w:szCs w:val="23"/>
        </w:rPr>
        <w:t xml:space="preserve">Cargo máximo del nivel de tensión 1, por concepto de inversión, del SDL </w:t>
      </w:r>
      <w:r w:rsidRPr="00C16DCF">
        <w:rPr>
          <w:rFonts w:ascii="Bookman Old Style" w:hAnsi="Bookman Old Style"/>
          <w:i/>
          <w:sz w:val="23"/>
          <w:szCs w:val="23"/>
        </w:rPr>
        <w:t>j</w:t>
      </w:r>
      <w:r w:rsidRPr="00C16DCF">
        <w:rPr>
          <w:rFonts w:ascii="Bookman Old Style" w:hAnsi="Bookman Old Style"/>
          <w:sz w:val="23"/>
          <w:szCs w:val="23"/>
        </w:rPr>
        <w:t xml:space="preserve"> para el mes </w:t>
      </w:r>
      <w:r w:rsidRPr="00C16DCF">
        <w:rPr>
          <w:rFonts w:ascii="Bookman Old Style" w:hAnsi="Bookman Old Style"/>
          <w:i/>
          <w:sz w:val="23"/>
          <w:szCs w:val="23"/>
        </w:rPr>
        <w:t>m</w:t>
      </w:r>
      <w:r w:rsidRPr="00C16DCF">
        <w:rPr>
          <w:rFonts w:ascii="Bookman Old Style" w:hAnsi="Bookman Old Style"/>
          <w:sz w:val="23"/>
          <w:szCs w:val="23"/>
        </w:rPr>
        <w:t xml:space="preserve"> definido en el numeral 6.5.4 del anexo general de la Resolución CREG 097 de 2008, o aquella que la modifique o </w:t>
      </w:r>
      <w:r w:rsidRPr="00C16DCF">
        <w:rPr>
          <w:rFonts w:ascii="Bookman Old Style" w:hAnsi="Bookman Old Style"/>
          <w:sz w:val="23"/>
          <w:szCs w:val="23"/>
        </w:rPr>
        <w:lastRenderedPageBreak/>
        <w:t xml:space="preserve">sustituya. Este cargo corresponderá al último reportado por el comercializador </w:t>
      </w:r>
      <w:r w:rsidRPr="00C16DCF">
        <w:rPr>
          <w:rFonts w:ascii="Bookman Old Style" w:hAnsi="Bookman Old Style"/>
          <w:i/>
          <w:sz w:val="23"/>
          <w:szCs w:val="23"/>
        </w:rPr>
        <w:t>c</w:t>
      </w:r>
      <w:r w:rsidRPr="00C16DCF">
        <w:rPr>
          <w:rFonts w:ascii="Bookman Old Style" w:hAnsi="Bookman Old Style"/>
          <w:sz w:val="23"/>
          <w:szCs w:val="23"/>
        </w:rPr>
        <w:t xml:space="preserve"> al LAC según corresponda: a</w:t>
      </w:r>
      <w:r w:rsidRPr="00C16DCF">
        <w:rPr>
          <w:rFonts w:ascii="Bookman Old Style" w:hAnsi="Bookman Old Style" w:cs="Arial"/>
          <w:sz w:val="23"/>
          <w:szCs w:val="23"/>
        </w:rPr>
        <w:t>éreo (b=1) o subterráneo (b=2), según la proporción reconocida (p=1 cuando se reconoce el 100% de la inversión o p=2 cuando se reconoce el 50%)</w:t>
      </w:r>
      <w:r w:rsidRPr="00C16DCF">
        <w:rPr>
          <w:rFonts w:ascii="Bookman Old Style" w:hAnsi="Bookman Old Style"/>
          <w:i/>
          <w:sz w:val="23"/>
          <w:szCs w:val="23"/>
        </w:rPr>
        <w:t>.</w:t>
      </w:r>
    </w:p>
    <w:p w:rsidR="008839D9" w:rsidRPr="00C16DCF" w:rsidRDefault="008839D9" w:rsidP="008839D9">
      <w:pPr>
        <w:ind w:left="1701" w:hanging="1417"/>
        <w:jc w:val="both"/>
        <w:rPr>
          <w:rFonts w:ascii="Bookman Old Style" w:hAnsi="Bookman Old Style"/>
          <w:i/>
          <w:sz w:val="23"/>
          <w:szCs w:val="23"/>
        </w:rPr>
      </w:pPr>
    </w:p>
    <w:p w:rsidR="008839D9" w:rsidRPr="00C16DCF" w:rsidRDefault="008839D9" w:rsidP="008839D9">
      <w:pPr>
        <w:ind w:left="1701" w:hanging="1417"/>
        <w:jc w:val="both"/>
        <w:rPr>
          <w:rFonts w:ascii="Bookman Old Style" w:hAnsi="Bookman Old Style"/>
          <w:sz w:val="23"/>
          <w:szCs w:val="23"/>
        </w:rPr>
      </w:pPr>
      <w:r w:rsidRPr="00C16DCF">
        <w:rPr>
          <w:rFonts w:ascii="Bookman Old Style" w:hAnsi="Bookman Old Style"/>
          <w:i/>
          <w:sz w:val="23"/>
          <w:szCs w:val="23"/>
        </w:rPr>
        <w:t>R:</w:t>
      </w:r>
      <w:r w:rsidRPr="00C16DCF">
        <w:rPr>
          <w:rFonts w:ascii="Bookman Old Style" w:hAnsi="Bookman Old Style"/>
          <w:sz w:val="23"/>
          <w:szCs w:val="23"/>
        </w:rPr>
        <w:tab/>
        <w:t xml:space="preserve">STR al que estén conectados los usuarios del comercializador </w:t>
      </w:r>
      <w:r w:rsidRPr="00C16DCF">
        <w:rPr>
          <w:rFonts w:ascii="Bookman Old Style" w:hAnsi="Bookman Old Style"/>
          <w:i/>
          <w:sz w:val="23"/>
          <w:szCs w:val="23"/>
        </w:rPr>
        <w:t>c</w:t>
      </w:r>
      <w:r w:rsidRPr="00C16DCF">
        <w:rPr>
          <w:rFonts w:ascii="Bookman Old Style" w:hAnsi="Bookman Old Style"/>
          <w:sz w:val="23"/>
          <w:szCs w:val="23"/>
        </w:rPr>
        <w:t>.</w:t>
      </w:r>
    </w:p>
    <w:p w:rsidR="008839D9" w:rsidRPr="00C16DCF" w:rsidRDefault="008839D9" w:rsidP="008839D9">
      <w:pPr>
        <w:ind w:left="1701" w:hanging="1417"/>
        <w:jc w:val="both"/>
        <w:rPr>
          <w:rFonts w:ascii="Bookman Old Style" w:hAnsi="Bookman Old Style"/>
          <w:sz w:val="23"/>
          <w:szCs w:val="23"/>
        </w:rPr>
      </w:pPr>
    </w:p>
    <w:p w:rsidR="008839D9" w:rsidRPr="00C16DCF" w:rsidRDefault="008839D9" w:rsidP="008839D9">
      <w:pPr>
        <w:ind w:left="1701" w:hanging="1417"/>
        <w:jc w:val="both"/>
        <w:rPr>
          <w:rFonts w:ascii="Bookman Old Style" w:hAnsi="Bookman Old Style"/>
          <w:sz w:val="23"/>
          <w:szCs w:val="23"/>
        </w:rPr>
      </w:pPr>
      <w:proofErr w:type="gramStart"/>
      <w:r w:rsidRPr="00C16DCF">
        <w:rPr>
          <w:rFonts w:ascii="Bookman Old Style" w:hAnsi="Bookman Old Style"/>
          <w:i/>
          <w:sz w:val="23"/>
          <w:szCs w:val="23"/>
        </w:rPr>
        <w:t>j</w:t>
      </w:r>
      <w:proofErr w:type="gramEnd"/>
      <w:r w:rsidRPr="00C16DCF">
        <w:rPr>
          <w:rFonts w:ascii="Bookman Old Style" w:hAnsi="Bookman Old Style"/>
          <w:i/>
          <w:sz w:val="23"/>
          <w:szCs w:val="23"/>
        </w:rPr>
        <w:t>:</w:t>
      </w:r>
      <w:r w:rsidRPr="00C16DCF">
        <w:rPr>
          <w:rFonts w:ascii="Bookman Old Style" w:hAnsi="Bookman Old Style"/>
          <w:sz w:val="23"/>
          <w:szCs w:val="23"/>
        </w:rPr>
        <w:tab/>
        <w:t xml:space="preserve">SDL al que estén conectados los usuarios del comercializador </w:t>
      </w:r>
      <w:r w:rsidRPr="00C16DCF">
        <w:rPr>
          <w:rFonts w:ascii="Bookman Old Style" w:hAnsi="Bookman Old Style"/>
          <w:i/>
          <w:sz w:val="23"/>
          <w:szCs w:val="23"/>
        </w:rPr>
        <w:t>c</w:t>
      </w:r>
      <w:r w:rsidRPr="00C16DCF">
        <w:rPr>
          <w:rFonts w:ascii="Bookman Old Style" w:hAnsi="Bookman Old Style"/>
          <w:sz w:val="23"/>
          <w:szCs w:val="23"/>
        </w:rPr>
        <w:t>.</w:t>
      </w:r>
    </w:p>
    <w:p w:rsidR="008839D9" w:rsidRPr="00C16DCF" w:rsidRDefault="008839D9" w:rsidP="008839D9">
      <w:pPr>
        <w:ind w:left="1701" w:hanging="1417"/>
        <w:jc w:val="both"/>
        <w:rPr>
          <w:rFonts w:ascii="Bookman Old Style" w:hAnsi="Bookman Old Style"/>
          <w:sz w:val="23"/>
          <w:szCs w:val="23"/>
        </w:rPr>
      </w:pPr>
    </w:p>
    <w:p w:rsidR="008839D9" w:rsidRPr="00C16DCF" w:rsidRDefault="008839D9" w:rsidP="008839D9">
      <w:pPr>
        <w:ind w:left="1701" w:hanging="1417"/>
        <w:jc w:val="both"/>
        <w:rPr>
          <w:rFonts w:ascii="Bookman Old Style" w:hAnsi="Bookman Old Style"/>
          <w:sz w:val="23"/>
          <w:szCs w:val="23"/>
        </w:rPr>
      </w:pPr>
      <w:r w:rsidRPr="00C16DCF">
        <w:rPr>
          <w:rFonts w:ascii="Bookman Old Style" w:hAnsi="Bookman Old Style"/>
          <w:i/>
          <w:sz w:val="23"/>
          <w:szCs w:val="23"/>
        </w:rPr>
        <w:t>a</w:t>
      </w:r>
      <w:r w:rsidRPr="00C16DCF">
        <w:rPr>
          <w:rFonts w:ascii="Bookman Old Style" w:hAnsi="Bookman Old Style"/>
          <w:sz w:val="23"/>
          <w:szCs w:val="23"/>
        </w:rPr>
        <w:t>:</w:t>
      </w:r>
      <w:r w:rsidRPr="00C16DCF">
        <w:rPr>
          <w:rFonts w:ascii="Bookman Old Style" w:hAnsi="Bookman Old Style"/>
          <w:sz w:val="23"/>
          <w:szCs w:val="23"/>
        </w:rPr>
        <w:tab/>
        <w:t xml:space="preserve">Área de distribución, tal como se encuentra definida en el Decreto 388 de 2007 o aquellos que lo modifiquen o sustituyan, en la cual se encuentran conectados usuarios del comercializador </w:t>
      </w:r>
      <w:r w:rsidRPr="00C16DCF">
        <w:rPr>
          <w:rFonts w:ascii="Bookman Old Style" w:hAnsi="Bookman Old Style"/>
          <w:i/>
          <w:sz w:val="23"/>
          <w:szCs w:val="23"/>
        </w:rPr>
        <w:t>c</w:t>
      </w:r>
      <w:r w:rsidRPr="00C16DCF">
        <w:rPr>
          <w:rFonts w:ascii="Bookman Old Style" w:hAnsi="Bookman Old Style"/>
          <w:sz w:val="23"/>
          <w:szCs w:val="23"/>
        </w:rPr>
        <w:t>.</w:t>
      </w:r>
    </w:p>
    <w:p w:rsidR="008839D9" w:rsidRPr="00C16DCF" w:rsidRDefault="008839D9" w:rsidP="008839D9">
      <w:pPr>
        <w:ind w:left="1701" w:hanging="1417"/>
        <w:jc w:val="both"/>
        <w:rPr>
          <w:rFonts w:ascii="Bookman Old Style" w:hAnsi="Bookman Old Style"/>
          <w:sz w:val="23"/>
          <w:szCs w:val="23"/>
        </w:rPr>
      </w:pPr>
    </w:p>
    <w:p w:rsidR="008839D9" w:rsidRPr="00C16DCF" w:rsidRDefault="008839D9" w:rsidP="008839D9">
      <w:pPr>
        <w:ind w:left="1701" w:hanging="1417"/>
        <w:jc w:val="both"/>
        <w:rPr>
          <w:rFonts w:ascii="Bookman Old Style" w:hAnsi="Bookman Old Style"/>
          <w:sz w:val="23"/>
          <w:szCs w:val="23"/>
        </w:rPr>
      </w:pPr>
      <w:proofErr w:type="gramStart"/>
      <w:r w:rsidRPr="00C16DCF">
        <w:rPr>
          <w:rFonts w:ascii="Bookman Old Style" w:hAnsi="Bookman Old Style"/>
          <w:i/>
          <w:sz w:val="23"/>
          <w:szCs w:val="23"/>
        </w:rPr>
        <w:t>c</w:t>
      </w:r>
      <w:proofErr w:type="gramEnd"/>
      <w:r w:rsidRPr="00C16DCF">
        <w:rPr>
          <w:rFonts w:ascii="Bookman Old Style" w:hAnsi="Bookman Old Style"/>
          <w:i/>
          <w:sz w:val="23"/>
          <w:szCs w:val="23"/>
        </w:rPr>
        <w:t>:</w:t>
      </w:r>
      <w:r w:rsidRPr="00C16DCF">
        <w:rPr>
          <w:rFonts w:ascii="Bookman Old Style" w:hAnsi="Bookman Old Style"/>
          <w:sz w:val="23"/>
          <w:szCs w:val="23"/>
        </w:rPr>
        <w:tab/>
        <w:t xml:space="preserve">Comercializador que debe constituir los mecanismos de cubrimiento para el mes </w:t>
      </w:r>
      <w:r w:rsidRPr="00C16DCF">
        <w:rPr>
          <w:rFonts w:ascii="Bookman Old Style" w:hAnsi="Bookman Old Style"/>
          <w:i/>
          <w:sz w:val="23"/>
          <w:szCs w:val="23"/>
        </w:rPr>
        <w:t>m</w:t>
      </w:r>
      <w:r w:rsidRPr="00C16DCF">
        <w:rPr>
          <w:rFonts w:ascii="Bookman Old Style" w:hAnsi="Bookman Old Style"/>
          <w:sz w:val="23"/>
          <w:szCs w:val="23"/>
        </w:rPr>
        <w:t>.</w:t>
      </w:r>
    </w:p>
    <w:p w:rsidR="008839D9" w:rsidRPr="00C16DCF" w:rsidRDefault="008839D9" w:rsidP="008839D9">
      <w:pPr>
        <w:ind w:left="1701" w:hanging="1417"/>
        <w:jc w:val="both"/>
        <w:rPr>
          <w:rFonts w:ascii="Bookman Old Style" w:hAnsi="Bookman Old Style"/>
          <w:sz w:val="23"/>
          <w:szCs w:val="23"/>
        </w:rPr>
      </w:pPr>
    </w:p>
    <w:p w:rsidR="008839D9" w:rsidRPr="00C16DCF" w:rsidRDefault="008839D9" w:rsidP="008839D9">
      <w:pPr>
        <w:ind w:left="1701" w:hanging="1417"/>
        <w:jc w:val="both"/>
        <w:rPr>
          <w:rFonts w:ascii="Bookman Old Style" w:hAnsi="Bookman Old Style"/>
          <w:sz w:val="23"/>
          <w:szCs w:val="23"/>
        </w:rPr>
      </w:pPr>
      <w:proofErr w:type="gramStart"/>
      <w:r w:rsidRPr="00C16DCF">
        <w:rPr>
          <w:rFonts w:ascii="Bookman Old Style" w:hAnsi="Bookman Old Style"/>
          <w:i/>
          <w:sz w:val="23"/>
          <w:szCs w:val="23"/>
        </w:rPr>
        <w:t>m</w:t>
      </w:r>
      <w:proofErr w:type="gramEnd"/>
      <w:r w:rsidRPr="00C16DCF">
        <w:rPr>
          <w:rFonts w:ascii="Bookman Old Style" w:hAnsi="Bookman Old Style"/>
          <w:i/>
          <w:sz w:val="23"/>
          <w:szCs w:val="23"/>
        </w:rPr>
        <w:t>:</w:t>
      </w:r>
      <w:r w:rsidRPr="00C16DCF">
        <w:rPr>
          <w:rFonts w:ascii="Bookman Old Style" w:hAnsi="Bookman Old Style"/>
          <w:i/>
          <w:sz w:val="23"/>
          <w:szCs w:val="23"/>
        </w:rPr>
        <w:tab/>
      </w:r>
      <w:r w:rsidRPr="00C16DCF">
        <w:rPr>
          <w:rFonts w:ascii="Bookman Old Style" w:hAnsi="Bookman Old Style"/>
          <w:sz w:val="23"/>
          <w:szCs w:val="23"/>
        </w:rPr>
        <w:t>Mes para el cual se van a constituir los mecanismos de cubrimiento.</w:t>
      </w:r>
    </w:p>
    <w:p w:rsidR="008839D9" w:rsidRPr="00C16DCF" w:rsidRDefault="008839D9" w:rsidP="008839D9">
      <w:pPr>
        <w:ind w:left="1701" w:hanging="1417"/>
        <w:jc w:val="both"/>
        <w:rPr>
          <w:rFonts w:ascii="Bookman Old Style" w:hAnsi="Bookman Old Style"/>
          <w:sz w:val="23"/>
          <w:szCs w:val="23"/>
        </w:rPr>
      </w:pPr>
    </w:p>
    <w:p w:rsidR="008839D9" w:rsidRPr="00C16DCF" w:rsidRDefault="008839D9" w:rsidP="008839D9">
      <w:pPr>
        <w:ind w:left="1701" w:hanging="1417"/>
        <w:rPr>
          <w:rFonts w:ascii="Bookman Old Style" w:hAnsi="Bookman Old Style"/>
          <w:sz w:val="23"/>
          <w:szCs w:val="23"/>
        </w:rPr>
      </w:pPr>
      <w:proofErr w:type="gramStart"/>
      <w:r w:rsidRPr="00C16DCF">
        <w:rPr>
          <w:rFonts w:ascii="Bookman Old Style" w:hAnsi="Bookman Old Style"/>
          <w:i/>
          <w:sz w:val="23"/>
          <w:szCs w:val="23"/>
        </w:rPr>
        <w:t>n</w:t>
      </w:r>
      <w:proofErr w:type="gramEnd"/>
      <w:r w:rsidRPr="00C16DCF">
        <w:rPr>
          <w:rFonts w:ascii="Bookman Old Style" w:hAnsi="Bookman Old Style"/>
          <w:i/>
          <w:sz w:val="23"/>
          <w:szCs w:val="23"/>
        </w:rPr>
        <w:t>:</w:t>
      </w:r>
      <w:r w:rsidRPr="00C16DCF">
        <w:rPr>
          <w:rFonts w:ascii="Bookman Old Style" w:hAnsi="Bookman Old Style"/>
          <w:sz w:val="23"/>
          <w:szCs w:val="23"/>
        </w:rPr>
        <w:tab/>
        <w:t xml:space="preserve">Nivel de tensión del SDL </w:t>
      </w:r>
      <w:r w:rsidRPr="00C16DCF">
        <w:rPr>
          <w:rFonts w:ascii="Bookman Old Style" w:hAnsi="Bookman Old Style"/>
          <w:i/>
          <w:sz w:val="23"/>
          <w:szCs w:val="23"/>
        </w:rPr>
        <w:t>j</w:t>
      </w:r>
      <w:r w:rsidRPr="00C16DCF">
        <w:rPr>
          <w:rFonts w:ascii="Bookman Old Style" w:hAnsi="Bookman Old Style"/>
          <w:sz w:val="23"/>
          <w:szCs w:val="23"/>
        </w:rPr>
        <w:t xml:space="preserve"> en el que se encuentran conectados los usuarios del comercializador </w:t>
      </w:r>
      <w:r w:rsidRPr="00C16DCF">
        <w:rPr>
          <w:rFonts w:ascii="Bookman Old Style" w:hAnsi="Bookman Old Style"/>
          <w:i/>
          <w:sz w:val="23"/>
          <w:szCs w:val="23"/>
        </w:rPr>
        <w:t>c</w:t>
      </w:r>
      <w:r w:rsidRPr="00C16DCF">
        <w:rPr>
          <w:rFonts w:ascii="Bookman Old Style" w:hAnsi="Bookman Old Style"/>
          <w:sz w:val="23"/>
          <w:szCs w:val="23"/>
        </w:rPr>
        <w:t>.</w:t>
      </w:r>
    </w:p>
    <w:p w:rsidR="008839D9" w:rsidRPr="00C16DCF" w:rsidRDefault="008839D9" w:rsidP="008839D9">
      <w:pPr>
        <w:ind w:left="0"/>
        <w:jc w:val="both"/>
        <w:rPr>
          <w:rFonts w:ascii="Bookman Old Style" w:hAnsi="Bookman Old Style"/>
          <w:sz w:val="23"/>
          <w:szCs w:val="23"/>
        </w:rPr>
      </w:pPr>
    </w:p>
    <w:bookmarkEnd w:id="1"/>
    <w:p w:rsidR="008839D9" w:rsidRPr="00C16DCF" w:rsidRDefault="008839D9" w:rsidP="008839D9">
      <w:pPr>
        <w:pStyle w:val="ARTICULOS"/>
        <w:rPr>
          <w:b w:val="0"/>
          <w:sz w:val="23"/>
          <w:szCs w:val="23"/>
        </w:rPr>
      </w:pPr>
      <w:r w:rsidRPr="00C16DCF">
        <w:rPr>
          <w:b w:val="0"/>
          <w:sz w:val="23"/>
          <w:szCs w:val="23"/>
        </w:rPr>
        <w:t>Modificar el artículo 7 del Reglamento de Mecanismos de Cubrimiento para el Pago de los Cargos por Uso del Sistema de Transmisión Regional y del Sistema de Distribución Local adoptado con</w:t>
      </w:r>
      <w:r w:rsidRPr="00C16DCF" w:rsidDel="002F1905">
        <w:rPr>
          <w:b w:val="0"/>
          <w:sz w:val="23"/>
          <w:szCs w:val="23"/>
        </w:rPr>
        <w:t xml:space="preserve"> </w:t>
      </w:r>
      <w:r w:rsidRPr="00C16DCF">
        <w:rPr>
          <w:b w:val="0"/>
          <w:sz w:val="23"/>
          <w:szCs w:val="23"/>
        </w:rPr>
        <w:t>la Resolución CREG 159 de 2011, el cual queda así:</w:t>
      </w:r>
    </w:p>
    <w:p w:rsidR="008839D9" w:rsidRPr="00C16DCF" w:rsidRDefault="008839D9" w:rsidP="008839D9">
      <w:pPr>
        <w:rPr>
          <w:rFonts w:ascii="Bookman Old Style" w:hAnsi="Bookman Old Style" w:cs="Arial"/>
          <w:sz w:val="23"/>
          <w:szCs w:val="23"/>
        </w:rPr>
      </w:pPr>
    </w:p>
    <w:p w:rsidR="008839D9" w:rsidRPr="00C16DCF" w:rsidRDefault="008839D9" w:rsidP="008839D9">
      <w:pPr>
        <w:pStyle w:val="Estilo2"/>
        <w:keepNext w:val="0"/>
        <w:widowControl/>
        <w:tabs>
          <w:tab w:val="clear" w:pos="1440"/>
        </w:tabs>
        <w:ind w:left="708" w:right="284"/>
        <w:rPr>
          <w:rFonts w:cs="Arial"/>
          <w:b w:val="0"/>
          <w:sz w:val="23"/>
          <w:szCs w:val="23"/>
        </w:rPr>
      </w:pPr>
      <w:bookmarkStart w:id="4" w:name="_Ref304974914"/>
      <w:r w:rsidRPr="00C16DCF">
        <w:rPr>
          <w:sz w:val="23"/>
          <w:szCs w:val="23"/>
        </w:rPr>
        <w:t xml:space="preserve">Artículo 7. Participación de los operadores de red en los STR. </w:t>
      </w:r>
      <w:r w:rsidRPr="00C16DCF">
        <w:rPr>
          <w:b w:val="0"/>
          <w:sz w:val="23"/>
          <w:szCs w:val="23"/>
        </w:rPr>
        <w:t>El LAC publicará, junto con los valores de las coberturas, una lista con los porcentajes de participación de cada operador de red en un STR, los cuales serán calculados así:</w:t>
      </w:r>
      <w:bookmarkEnd w:id="4"/>
    </w:p>
    <w:p w:rsidR="008839D9" w:rsidRPr="00C16DCF" w:rsidRDefault="008839D9" w:rsidP="008839D9">
      <w:pPr>
        <w:ind w:left="1275" w:right="284"/>
        <w:jc w:val="center"/>
        <w:rPr>
          <w:rFonts w:ascii="Bookman Old Style" w:hAnsi="Bookman Old Style"/>
          <w:sz w:val="23"/>
          <w:szCs w:val="23"/>
        </w:rPr>
      </w:pPr>
    </w:p>
    <w:p w:rsidR="008839D9" w:rsidRPr="00C16DCF" w:rsidRDefault="002626C1" w:rsidP="008839D9">
      <w:pPr>
        <w:ind w:left="708" w:right="284"/>
        <w:jc w:val="center"/>
        <w:rPr>
          <w:color w:val="000000"/>
          <w:sz w:val="23"/>
          <w:szCs w:val="23"/>
        </w:rPr>
      </w:pPr>
      <m:oMathPara>
        <m:oMath>
          <m:sSub>
            <m:sSubPr>
              <m:ctrlPr>
                <w:rPr>
                  <w:rFonts w:ascii="Cambria Math" w:hAnsi="Cambria Math"/>
                  <w:i/>
                  <w:sz w:val="23"/>
                  <w:szCs w:val="23"/>
                </w:rPr>
              </m:ctrlPr>
            </m:sSubPr>
            <m:e>
              <m:r>
                <w:rPr>
                  <w:rFonts w:ascii="Cambria Math" w:hAnsi="Cambria Math"/>
                  <w:sz w:val="23"/>
                  <w:szCs w:val="23"/>
                </w:rPr>
                <m:t>PAR</m:t>
              </m:r>
            </m:e>
            <m:sub>
              <m:r>
                <w:rPr>
                  <w:rFonts w:ascii="Cambria Math" w:hAnsi="Cambria Math"/>
                  <w:sz w:val="23"/>
                  <w:szCs w:val="23"/>
                </w:rPr>
                <m:t>m,j,R</m:t>
              </m:r>
            </m:sub>
          </m:sSub>
          <m:r>
            <w:rPr>
              <w:rFonts w:ascii="Cambria Math" w:hAnsi="Cambria Math"/>
              <w:sz w:val="23"/>
              <w:szCs w:val="23"/>
            </w:rPr>
            <m:t>=</m:t>
          </m:r>
          <m:f>
            <m:fPr>
              <m:ctrlPr>
                <w:rPr>
                  <w:rFonts w:ascii="Cambria Math" w:hAnsi="Cambria Math"/>
                  <w:i/>
                  <w:sz w:val="23"/>
                  <w:szCs w:val="23"/>
                </w:rPr>
              </m:ctrlPr>
            </m:fPr>
            <m:num>
              <m:sSub>
                <m:sSubPr>
                  <m:ctrlPr>
                    <w:rPr>
                      <w:rFonts w:ascii="Cambria Math" w:hAnsi="Cambria Math"/>
                      <w:i/>
                      <w:sz w:val="23"/>
                      <w:szCs w:val="23"/>
                    </w:rPr>
                  </m:ctrlPr>
                </m:sSubPr>
                <m:e>
                  <m:r>
                    <w:rPr>
                      <w:rFonts w:ascii="Cambria Math" w:hAnsi="Cambria Math"/>
                      <w:sz w:val="23"/>
                      <w:szCs w:val="23"/>
                    </w:rPr>
                    <m:t>IM</m:t>
                  </m:r>
                </m:e>
                <m:sub>
                  <m:r>
                    <w:rPr>
                      <w:rFonts w:ascii="Cambria Math" w:hAnsi="Cambria Math"/>
                      <w:sz w:val="23"/>
                      <w:szCs w:val="23"/>
                    </w:rPr>
                    <m:t>m,j,R</m:t>
                  </m:r>
                </m:sub>
              </m:sSub>
              <m:r>
                <w:rPr>
                  <w:rFonts w:ascii="Cambria Math" w:hAnsi="Cambria Math"/>
                  <w:sz w:val="23"/>
                  <w:szCs w:val="23"/>
                </w:rPr>
                <m:t>+</m:t>
              </m:r>
              <m:nary>
                <m:naryPr>
                  <m:chr m:val="∑"/>
                  <m:limLoc m:val="undOvr"/>
                  <m:ctrlPr>
                    <w:rPr>
                      <w:rFonts w:ascii="Cambria Math" w:hAnsi="Cambria Math"/>
                      <w:i/>
                      <w:sz w:val="23"/>
                      <w:szCs w:val="23"/>
                    </w:rPr>
                  </m:ctrlPr>
                </m:naryPr>
                <m:sub>
                  <m:r>
                    <w:rPr>
                      <w:rFonts w:ascii="Cambria Math" w:hAnsi="Cambria Math"/>
                      <w:sz w:val="23"/>
                      <w:szCs w:val="23"/>
                    </w:rPr>
                    <m:t>cv=1</m:t>
                  </m:r>
                </m:sub>
                <m:sup>
                  <m:r>
                    <w:rPr>
                      <w:rFonts w:ascii="Cambria Math" w:hAnsi="Cambria Math"/>
                      <w:sz w:val="23"/>
                      <w:szCs w:val="23"/>
                    </w:rPr>
                    <m:t>NCRj</m:t>
                  </m:r>
                </m:sup>
                <m:e>
                  <m:sSub>
                    <m:sSubPr>
                      <m:ctrlPr>
                        <w:rPr>
                          <w:rFonts w:ascii="Cambria Math" w:hAnsi="Cambria Math"/>
                          <w:i/>
                          <w:sz w:val="23"/>
                          <w:szCs w:val="23"/>
                        </w:rPr>
                      </m:ctrlPr>
                    </m:sSubPr>
                    <m:e>
                      <m:r>
                        <w:rPr>
                          <w:rFonts w:ascii="Cambria Math" w:hAnsi="Cambria Math"/>
                          <w:sz w:val="23"/>
                          <w:szCs w:val="23"/>
                        </w:rPr>
                        <m:t>IE</m:t>
                      </m:r>
                    </m:e>
                    <m:sub>
                      <m:r>
                        <w:rPr>
                          <w:rFonts w:ascii="Cambria Math" w:hAnsi="Cambria Math"/>
                          <w:sz w:val="23"/>
                          <w:szCs w:val="23"/>
                        </w:rPr>
                        <m:t>cv,m,j,R</m:t>
                      </m:r>
                    </m:sub>
                  </m:sSub>
                </m:e>
              </m:nary>
            </m:num>
            <m:den>
              <m:nary>
                <m:naryPr>
                  <m:chr m:val="∑"/>
                  <m:limLoc m:val="undOvr"/>
                  <m:ctrlPr>
                    <w:rPr>
                      <w:rFonts w:ascii="Cambria Math" w:hAnsi="Cambria Math"/>
                      <w:i/>
                      <w:sz w:val="23"/>
                      <w:szCs w:val="23"/>
                    </w:rPr>
                  </m:ctrlPr>
                </m:naryPr>
                <m:sub>
                  <m:r>
                    <w:rPr>
                      <w:rFonts w:ascii="Cambria Math" w:hAnsi="Cambria Math"/>
                      <w:sz w:val="23"/>
                      <w:szCs w:val="23"/>
                    </w:rPr>
                    <m:t>j=1</m:t>
                  </m:r>
                </m:sub>
                <m:sup>
                  <m:sSub>
                    <m:sSubPr>
                      <m:ctrlPr>
                        <w:rPr>
                          <w:rFonts w:ascii="Cambria Math" w:hAnsi="Cambria Math"/>
                          <w:i/>
                          <w:sz w:val="23"/>
                          <w:szCs w:val="23"/>
                        </w:rPr>
                      </m:ctrlPr>
                    </m:sSubPr>
                    <m:e>
                      <m:r>
                        <w:rPr>
                          <w:rFonts w:ascii="Cambria Math" w:hAnsi="Cambria Math"/>
                          <w:sz w:val="23"/>
                          <w:szCs w:val="23"/>
                        </w:rPr>
                        <m:t>NOR</m:t>
                      </m:r>
                    </m:e>
                    <m:sub>
                      <m:r>
                        <w:rPr>
                          <w:rFonts w:ascii="Cambria Math" w:hAnsi="Cambria Math"/>
                          <w:sz w:val="23"/>
                          <w:szCs w:val="23"/>
                        </w:rPr>
                        <m:t>R</m:t>
                      </m:r>
                    </m:sub>
                  </m:sSub>
                </m:sup>
                <m:e>
                  <m:sSub>
                    <m:sSubPr>
                      <m:ctrlPr>
                        <w:rPr>
                          <w:rFonts w:ascii="Cambria Math" w:hAnsi="Cambria Math"/>
                          <w:i/>
                          <w:sz w:val="23"/>
                          <w:szCs w:val="23"/>
                        </w:rPr>
                      </m:ctrlPr>
                    </m:sSubPr>
                    <m:e>
                      <m:r>
                        <w:rPr>
                          <w:rFonts w:ascii="Cambria Math" w:hAnsi="Cambria Math"/>
                          <w:sz w:val="23"/>
                          <w:szCs w:val="23"/>
                        </w:rPr>
                        <m:t>IM</m:t>
                      </m:r>
                    </m:e>
                    <m:sub>
                      <m:r>
                        <w:rPr>
                          <w:rFonts w:ascii="Cambria Math" w:hAnsi="Cambria Math"/>
                          <w:sz w:val="23"/>
                          <w:szCs w:val="23"/>
                        </w:rPr>
                        <m:t>m,j,R</m:t>
                      </m:r>
                    </m:sub>
                  </m:sSub>
                </m:e>
              </m:nary>
              <m:r>
                <w:rPr>
                  <w:rFonts w:ascii="Cambria Math" w:hAnsi="Cambria Math"/>
                  <w:sz w:val="23"/>
                  <w:szCs w:val="23"/>
                </w:rPr>
                <m:t>+</m:t>
              </m:r>
              <m:nary>
                <m:naryPr>
                  <m:chr m:val="∑"/>
                  <m:limLoc m:val="undOvr"/>
                  <m:ctrlPr>
                    <w:rPr>
                      <w:rFonts w:ascii="Cambria Math" w:hAnsi="Cambria Math"/>
                      <w:i/>
                      <w:sz w:val="23"/>
                      <w:szCs w:val="23"/>
                    </w:rPr>
                  </m:ctrlPr>
                </m:naryPr>
                <m:sub>
                  <m:r>
                    <w:rPr>
                      <w:rFonts w:ascii="Cambria Math" w:hAnsi="Cambria Math"/>
                      <w:sz w:val="23"/>
                      <w:szCs w:val="23"/>
                    </w:rPr>
                    <m:t>cv=1</m:t>
                  </m:r>
                </m:sub>
                <m:sup>
                  <m:r>
                    <w:rPr>
                      <w:rFonts w:ascii="Cambria Math" w:hAnsi="Cambria Math"/>
                      <w:sz w:val="23"/>
                      <w:szCs w:val="23"/>
                    </w:rPr>
                    <m:t>NCR</m:t>
                  </m:r>
                </m:sup>
                <m:e>
                  <m:sSub>
                    <m:sSubPr>
                      <m:ctrlPr>
                        <w:rPr>
                          <w:rFonts w:ascii="Cambria Math" w:hAnsi="Cambria Math"/>
                          <w:i/>
                          <w:sz w:val="23"/>
                          <w:szCs w:val="23"/>
                        </w:rPr>
                      </m:ctrlPr>
                    </m:sSubPr>
                    <m:e>
                      <m:r>
                        <w:rPr>
                          <w:rFonts w:ascii="Cambria Math" w:hAnsi="Cambria Math"/>
                          <w:sz w:val="23"/>
                          <w:szCs w:val="23"/>
                        </w:rPr>
                        <m:t>IE</m:t>
                      </m:r>
                    </m:e>
                    <m:sub>
                      <m:r>
                        <w:rPr>
                          <w:rFonts w:ascii="Cambria Math" w:hAnsi="Cambria Math"/>
                          <w:sz w:val="23"/>
                          <w:szCs w:val="23"/>
                        </w:rPr>
                        <m:t>cv,m,R</m:t>
                      </m:r>
                    </m:sub>
                  </m:sSub>
                </m:e>
              </m:nary>
            </m:den>
          </m:f>
        </m:oMath>
      </m:oMathPara>
    </w:p>
    <w:p w:rsidR="008839D9" w:rsidRPr="00C16DCF" w:rsidRDefault="008839D9" w:rsidP="008839D9">
      <w:pPr>
        <w:ind w:left="708" w:right="284"/>
        <w:jc w:val="both"/>
        <w:rPr>
          <w:rFonts w:ascii="Bookman Old Style" w:hAnsi="Bookman Old Style"/>
          <w:sz w:val="23"/>
          <w:szCs w:val="23"/>
        </w:rPr>
      </w:pPr>
    </w:p>
    <w:p w:rsidR="008839D9" w:rsidRPr="00C16DCF" w:rsidRDefault="008839D9" w:rsidP="008839D9">
      <w:pPr>
        <w:ind w:left="708" w:right="284"/>
        <w:jc w:val="both"/>
        <w:rPr>
          <w:rFonts w:ascii="Bookman Old Style" w:hAnsi="Bookman Old Style"/>
          <w:sz w:val="23"/>
          <w:szCs w:val="23"/>
        </w:rPr>
      </w:pPr>
      <w:proofErr w:type="spellStart"/>
      <w:r w:rsidRPr="00C16DCF">
        <w:rPr>
          <w:rFonts w:ascii="Bookman Old Style" w:hAnsi="Bookman Old Style"/>
          <w:sz w:val="23"/>
          <w:szCs w:val="23"/>
        </w:rPr>
        <w:t>Donde</w:t>
      </w:r>
      <w:proofErr w:type="spellEnd"/>
      <w:r w:rsidRPr="00C16DCF">
        <w:rPr>
          <w:rFonts w:ascii="Bookman Old Style" w:hAnsi="Bookman Old Style"/>
          <w:sz w:val="23"/>
          <w:szCs w:val="23"/>
        </w:rPr>
        <w:t>:</w:t>
      </w:r>
    </w:p>
    <w:p w:rsidR="008839D9" w:rsidRPr="00C16DCF" w:rsidRDefault="008839D9" w:rsidP="008839D9">
      <w:pPr>
        <w:ind w:left="708" w:right="284"/>
        <w:jc w:val="both"/>
        <w:rPr>
          <w:rFonts w:ascii="Bookman Old Style" w:hAnsi="Bookman Old Style"/>
          <w:sz w:val="23"/>
          <w:szCs w:val="23"/>
        </w:rPr>
      </w:pPr>
    </w:p>
    <w:p w:rsidR="008839D9" w:rsidRPr="00C16DCF" w:rsidRDefault="008839D9" w:rsidP="008839D9">
      <w:pPr>
        <w:ind w:left="1842" w:right="284" w:hanging="1134"/>
        <w:jc w:val="both"/>
        <w:rPr>
          <w:rFonts w:ascii="Bookman Old Style" w:hAnsi="Bookman Old Style"/>
          <w:sz w:val="23"/>
          <w:szCs w:val="23"/>
        </w:rPr>
      </w:pPr>
      <w:proofErr w:type="spellStart"/>
      <w:r w:rsidRPr="00C16DCF">
        <w:rPr>
          <w:rFonts w:ascii="Bookman Old Style" w:hAnsi="Bookman Old Style"/>
          <w:i/>
          <w:sz w:val="23"/>
          <w:szCs w:val="23"/>
        </w:rPr>
        <w:t>PAR</w:t>
      </w:r>
      <w:r w:rsidRPr="00C16DCF">
        <w:rPr>
          <w:rFonts w:ascii="Bookman Old Style" w:hAnsi="Bookman Old Style"/>
          <w:i/>
          <w:sz w:val="23"/>
          <w:szCs w:val="23"/>
          <w:vertAlign w:val="subscript"/>
        </w:rPr>
        <w:t>m</w:t>
      </w:r>
      <w:proofErr w:type="gramStart"/>
      <w:r w:rsidRPr="00C16DCF">
        <w:rPr>
          <w:rFonts w:ascii="Bookman Old Style" w:hAnsi="Bookman Old Style"/>
          <w:i/>
          <w:sz w:val="23"/>
          <w:szCs w:val="23"/>
          <w:vertAlign w:val="subscript"/>
        </w:rPr>
        <w:t>,j,R</w:t>
      </w:r>
      <w:proofErr w:type="spellEnd"/>
      <w:proofErr w:type="gramEnd"/>
      <w:r w:rsidRPr="00C16DCF">
        <w:rPr>
          <w:rFonts w:ascii="Bookman Old Style" w:hAnsi="Bookman Old Style"/>
          <w:i/>
          <w:sz w:val="23"/>
          <w:szCs w:val="23"/>
        </w:rPr>
        <w:t>:</w:t>
      </w:r>
      <w:r w:rsidRPr="00C16DCF">
        <w:rPr>
          <w:rFonts w:ascii="Bookman Old Style" w:hAnsi="Bookman Old Style"/>
          <w:sz w:val="23"/>
          <w:szCs w:val="23"/>
        </w:rPr>
        <w:tab/>
        <w:t xml:space="preserve">Participación del operador de red del </w:t>
      </w:r>
      <w:r w:rsidRPr="00C16DCF">
        <w:rPr>
          <w:rFonts w:ascii="Bookman Old Style" w:hAnsi="Bookman Old Style"/>
          <w:i/>
          <w:sz w:val="23"/>
          <w:szCs w:val="23"/>
        </w:rPr>
        <w:t>j</w:t>
      </w:r>
      <w:r w:rsidRPr="00C16DCF">
        <w:rPr>
          <w:rFonts w:ascii="Bookman Old Style" w:hAnsi="Bookman Old Style"/>
          <w:sz w:val="23"/>
          <w:szCs w:val="23"/>
        </w:rPr>
        <w:t xml:space="preserve"> en el STR </w:t>
      </w:r>
      <w:r w:rsidRPr="00C16DCF">
        <w:rPr>
          <w:rFonts w:ascii="Bookman Old Style" w:hAnsi="Bookman Old Style"/>
          <w:i/>
          <w:sz w:val="23"/>
          <w:szCs w:val="23"/>
        </w:rPr>
        <w:t>R</w:t>
      </w:r>
      <w:r w:rsidRPr="00C16DCF">
        <w:rPr>
          <w:rFonts w:ascii="Bookman Old Style" w:hAnsi="Bookman Old Style"/>
          <w:sz w:val="23"/>
          <w:szCs w:val="23"/>
        </w:rPr>
        <w:t xml:space="preserve">, en el mes para el cual se realiza el cálculo de las garantías, </w:t>
      </w:r>
      <w:r w:rsidRPr="00C16DCF">
        <w:rPr>
          <w:rFonts w:ascii="Bookman Old Style" w:hAnsi="Bookman Old Style"/>
          <w:i/>
          <w:sz w:val="23"/>
          <w:szCs w:val="23"/>
        </w:rPr>
        <w:t>m</w:t>
      </w:r>
      <w:r w:rsidRPr="00C16DCF">
        <w:rPr>
          <w:rFonts w:ascii="Bookman Old Style" w:hAnsi="Bookman Old Style"/>
          <w:sz w:val="23"/>
          <w:szCs w:val="23"/>
        </w:rPr>
        <w:t>.</w:t>
      </w:r>
    </w:p>
    <w:p w:rsidR="008839D9" w:rsidRPr="00C16DCF" w:rsidRDefault="008839D9" w:rsidP="008839D9">
      <w:pPr>
        <w:ind w:left="1842" w:right="284" w:hanging="1134"/>
        <w:jc w:val="both"/>
        <w:rPr>
          <w:rFonts w:ascii="Bookman Old Style" w:hAnsi="Bookman Old Style"/>
          <w:sz w:val="23"/>
          <w:szCs w:val="23"/>
        </w:rPr>
      </w:pPr>
    </w:p>
    <w:p w:rsidR="008839D9" w:rsidRPr="00C16DCF" w:rsidRDefault="008839D9" w:rsidP="008839D9">
      <w:pPr>
        <w:ind w:left="1842" w:right="284" w:hanging="1134"/>
        <w:jc w:val="both"/>
        <w:rPr>
          <w:rFonts w:ascii="Bookman Old Style" w:hAnsi="Bookman Old Style"/>
          <w:sz w:val="23"/>
          <w:szCs w:val="23"/>
        </w:rPr>
      </w:pPr>
      <w:proofErr w:type="spellStart"/>
      <w:r w:rsidRPr="00C16DCF">
        <w:rPr>
          <w:rFonts w:ascii="Bookman Old Style" w:hAnsi="Bookman Old Style"/>
          <w:i/>
          <w:sz w:val="23"/>
          <w:szCs w:val="23"/>
        </w:rPr>
        <w:t>IM</w:t>
      </w:r>
      <w:r w:rsidRPr="00C16DCF">
        <w:rPr>
          <w:rFonts w:ascii="Bookman Old Style" w:hAnsi="Bookman Old Style"/>
          <w:i/>
          <w:sz w:val="23"/>
          <w:szCs w:val="23"/>
          <w:vertAlign w:val="subscript"/>
        </w:rPr>
        <w:t>m,j,R</w:t>
      </w:r>
      <w:proofErr w:type="spellEnd"/>
      <w:r w:rsidRPr="00C16DCF">
        <w:rPr>
          <w:rFonts w:ascii="Bookman Old Style" w:hAnsi="Bookman Old Style"/>
          <w:i/>
          <w:sz w:val="23"/>
          <w:szCs w:val="23"/>
        </w:rPr>
        <w:t>:</w:t>
      </w:r>
      <w:r w:rsidRPr="00C16DCF">
        <w:rPr>
          <w:rFonts w:ascii="Bookman Old Style" w:hAnsi="Bookman Old Style"/>
          <w:sz w:val="23"/>
          <w:szCs w:val="23"/>
        </w:rPr>
        <w:tab/>
        <w:t xml:space="preserve">Ingreso mensual del operador de red </w:t>
      </w:r>
      <w:r w:rsidRPr="00C16DCF">
        <w:rPr>
          <w:rFonts w:ascii="Bookman Old Style" w:hAnsi="Bookman Old Style"/>
          <w:i/>
          <w:sz w:val="23"/>
          <w:szCs w:val="23"/>
        </w:rPr>
        <w:t>j</w:t>
      </w:r>
      <w:r w:rsidRPr="00C16DCF">
        <w:rPr>
          <w:rFonts w:ascii="Bookman Old Style" w:hAnsi="Bookman Old Style"/>
          <w:sz w:val="23"/>
          <w:szCs w:val="23"/>
        </w:rPr>
        <w:t>, para el mes para el que se calculan las garantías, estimado por el LAC de acuerdo con lo establecido en la Resolución CREG 097 de 2008, o aquellas que la modifiquen o sustituyan, con la mejor información disponible que se tenga al momento de estimar el valor de las garantías.</w:t>
      </w:r>
    </w:p>
    <w:p w:rsidR="008839D9" w:rsidRPr="00C16DCF" w:rsidRDefault="008839D9" w:rsidP="008839D9">
      <w:pPr>
        <w:ind w:left="1842" w:right="284" w:hanging="1134"/>
        <w:jc w:val="both"/>
        <w:rPr>
          <w:rFonts w:ascii="Bookman Old Style" w:hAnsi="Bookman Old Style"/>
          <w:sz w:val="23"/>
          <w:szCs w:val="23"/>
        </w:rPr>
      </w:pPr>
    </w:p>
    <w:p w:rsidR="008839D9" w:rsidRPr="00C16DCF" w:rsidRDefault="008839D9" w:rsidP="008839D9">
      <w:pPr>
        <w:ind w:left="1842" w:right="284" w:hanging="1134"/>
        <w:jc w:val="both"/>
        <w:rPr>
          <w:rFonts w:ascii="Bookman Old Style" w:hAnsi="Bookman Old Style"/>
          <w:sz w:val="23"/>
          <w:szCs w:val="23"/>
        </w:rPr>
      </w:pPr>
      <w:r w:rsidRPr="00C16DCF">
        <w:rPr>
          <w:rFonts w:ascii="Bookman Old Style" w:hAnsi="Bookman Old Style"/>
          <w:i/>
          <w:sz w:val="23"/>
          <w:szCs w:val="23"/>
        </w:rPr>
        <w:t>NOR</w:t>
      </w:r>
      <w:r w:rsidRPr="00C16DCF">
        <w:rPr>
          <w:rFonts w:ascii="Bookman Old Style" w:hAnsi="Bookman Old Style"/>
          <w:i/>
          <w:sz w:val="23"/>
          <w:szCs w:val="23"/>
          <w:vertAlign w:val="subscript"/>
        </w:rPr>
        <w:t>R</w:t>
      </w:r>
      <w:r w:rsidRPr="00C16DCF">
        <w:rPr>
          <w:rFonts w:ascii="Bookman Old Style" w:hAnsi="Bookman Old Style"/>
          <w:i/>
          <w:sz w:val="23"/>
          <w:szCs w:val="23"/>
        </w:rPr>
        <w:t>:</w:t>
      </w:r>
      <w:r w:rsidRPr="00C16DCF">
        <w:rPr>
          <w:rFonts w:ascii="Bookman Old Style" w:hAnsi="Bookman Old Style"/>
          <w:sz w:val="23"/>
          <w:szCs w:val="23"/>
        </w:rPr>
        <w:tab/>
        <w:t xml:space="preserve">Número de operadores de red que conforman el STR </w:t>
      </w:r>
      <w:r w:rsidRPr="00C16DCF">
        <w:rPr>
          <w:rFonts w:ascii="Bookman Old Style" w:hAnsi="Bookman Old Style"/>
          <w:i/>
          <w:sz w:val="23"/>
          <w:szCs w:val="23"/>
        </w:rPr>
        <w:t>R</w:t>
      </w:r>
      <w:r w:rsidRPr="00C16DCF">
        <w:rPr>
          <w:rFonts w:ascii="Bookman Old Style" w:hAnsi="Bookman Old Style"/>
          <w:sz w:val="23"/>
          <w:szCs w:val="23"/>
        </w:rPr>
        <w:t>.</w:t>
      </w:r>
    </w:p>
    <w:p w:rsidR="008839D9" w:rsidRPr="00C16DCF" w:rsidRDefault="008839D9" w:rsidP="008839D9">
      <w:pPr>
        <w:ind w:left="1842" w:right="284" w:hanging="1134"/>
        <w:jc w:val="both"/>
        <w:rPr>
          <w:rFonts w:ascii="Bookman Old Style" w:hAnsi="Bookman Old Style"/>
          <w:sz w:val="23"/>
          <w:szCs w:val="23"/>
        </w:rPr>
      </w:pPr>
    </w:p>
    <w:p w:rsidR="008839D9" w:rsidRPr="00C16DCF" w:rsidRDefault="008839D9" w:rsidP="008839D9">
      <w:pPr>
        <w:ind w:left="1842" w:right="284" w:hanging="1134"/>
        <w:jc w:val="both"/>
        <w:rPr>
          <w:rFonts w:ascii="Bookman Old Style" w:hAnsi="Bookman Old Style"/>
          <w:i/>
          <w:sz w:val="23"/>
          <w:szCs w:val="23"/>
        </w:rPr>
      </w:pPr>
      <w:proofErr w:type="spellStart"/>
      <w:r w:rsidRPr="00C16DCF">
        <w:rPr>
          <w:rFonts w:ascii="Bookman Old Style" w:hAnsi="Bookman Old Style"/>
          <w:i/>
          <w:sz w:val="23"/>
          <w:szCs w:val="23"/>
        </w:rPr>
        <w:t>IE</w:t>
      </w:r>
      <w:r w:rsidRPr="00C16DCF">
        <w:rPr>
          <w:rFonts w:ascii="Bookman Old Style" w:hAnsi="Bookman Old Style"/>
          <w:i/>
          <w:sz w:val="23"/>
          <w:szCs w:val="23"/>
          <w:vertAlign w:val="subscript"/>
        </w:rPr>
        <w:t>cv</w:t>
      </w:r>
      <w:proofErr w:type="gramStart"/>
      <w:r w:rsidRPr="00C16DCF">
        <w:rPr>
          <w:rFonts w:ascii="Bookman Old Style" w:hAnsi="Bookman Old Style"/>
          <w:i/>
          <w:sz w:val="23"/>
          <w:szCs w:val="23"/>
          <w:vertAlign w:val="subscript"/>
        </w:rPr>
        <w:t>,m,j,R</w:t>
      </w:r>
      <w:proofErr w:type="spellEnd"/>
      <w:proofErr w:type="gramEnd"/>
      <w:r w:rsidRPr="00C16DCF">
        <w:rPr>
          <w:rFonts w:ascii="Bookman Old Style" w:hAnsi="Bookman Old Style"/>
          <w:i/>
          <w:sz w:val="23"/>
          <w:szCs w:val="23"/>
          <w:vertAlign w:val="subscript"/>
        </w:rPr>
        <w:t>:</w:t>
      </w:r>
      <w:r w:rsidRPr="00C16DCF">
        <w:rPr>
          <w:rFonts w:ascii="Bookman Old Style" w:hAnsi="Bookman Old Style"/>
          <w:i/>
          <w:sz w:val="23"/>
          <w:szCs w:val="23"/>
          <w:vertAlign w:val="subscript"/>
        </w:rPr>
        <w:tab/>
      </w:r>
      <w:r w:rsidRPr="00C16DCF">
        <w:rPr>
          <w:rFonts w:ascii="Bookman Old Style" w:hAnsi="Bookman Old Style"/>
          <w:sz w:val="23"/>
          <w:szCs w:val="23"/>
        </w:rPr>
        <w:t xml:space="preserve">Ingreso esperado de cada convocatoria </w:t>
      </w:r>
      <w:r w:rsidRPr="00C16DCF">
        <w:rPr>
          <w:rFonts w:ascii="Bookman Old Style" w:hAnsi="Bookman Old Style"/>
          <w:i/>
          <w:sz w:val="23"/>
          <w:szCs w:val="23"/>
        </w:rPr>
        <w:t>cv</w:t>
      </w:r>
      <w:r w:rsidRPr="00C16DCF">
        <w:rPr>
          <w:rFonts w:ascii="Bookman Old Style" w:hAnsi="Bookman Old Style"/>
          <w:sz w:val="23"/>
          <w:szCs w:val="23"/>
        </w:rPr>
        <w:t xml:space="preserve"> que ejecutó el OR </w:t>
      </w:r>
      <w:r w:rsidRPr="00C16DCF">
        <w:rPr>
          <w:rFonts w:ascii="Bookman Old Style" w:hAnsi="Bookman Old Style"/>
          <w:i/>
          <w:sz w:val="23"/>
          <w:szCs w:val="23"/>
        </w:rPr>
        <w:t xml:space="preserve">j </w:t>
      </w:r>
      <w:r w:rsidRPr="00C16DCF">
        <w:rPr>
          <w:rFonts w:ascii="Bookman Old Style" w:hAnsi="Bookman Old Style"/>
          <w:sz w:val="23"/>
          <w:szCs w:val="23"/>
        </w:rPr>
        <w:t xml:space="preserve">en el STR </w:t>
      </w:r>
      <w:r w:rsidRPr="00C16DCF">
        <w:rPr>
          <w:rFonts w:ascii="Bookman Old Style" w:hAnsi="Bookman Old Style"/>
          <w:i/>
          <w:sz w:val="23"/>
          <w:szCs w:val="23"/>
        </w:rPr>
        <w:t>R</w:t>
      </w:r>
      <w:r w:rsidRPr="00C16DCF">
        <w:rPr>
          <w:rFonts w:ascii="Bookman Old Style" w:hAnsi="Bookman Old Style"/>
          <w:sz w:val="23"/>
          <w:szCs w:val="23"/>
        </w:rPr>
        <w:t xml:space="preserve">, para el mes </w:t>
      </w:r>
      <w:r w:rsidRPr="00C16DCF">
        <w:rPr>
          <w:rFonts w:ascii="Bookman Old Style" w:hAnsi="Bookman Old Style"/>
          <w:i/>
          <w:sz w:val="23"/>
          <w:szCs w:val="23"/>
        </w:rPr>
        <w:t>m.</w:t>
      </w:r>
    </w:p>
    <w:p w:rsidR="008839D9" w:rsidRPr="00C16DCF" w:rsidRDefault="008839D9" w:rsidP="008839D9">
      <w:pPr>
        <w:ind w:left="1842" w:right="284" w:hanging="1134"/>
        <w:jc w:val="both"/>
        <w:rPr>
          <w:rFonts w:ascii="Bookman Old Style" w:hAnsi="Bookman Old Style"/>
          <w:i/>
          <w:sz w:val="23"/>
          <w:szCs w:val="23"/>
        </w:rPr>
      </w:pPr>
    </w:p>
    <w:p w:rsidR="008839D9" w:rsidRPr="00C16DCF" w:rsidRDefault="008839D9" w:rsidP="008839D9">
      <w:pPr>
        <w:ind w:left="1842" w:right="284" w:hanging="1134"/>
        <w:jc w:val="both"/>
        <w:rPr>
          <w:rFonts w:ascii="Bookman Old Style" w:hAnsi="Bookman Old Style"/>
          <w:sz w:val="23"/>
          <w:szCs w:val="23"/>
        </w:rPr>
      </w:pPr>
      <w:proofErr w:type="spellStart"/>
      <w:r w:rsidRPr="00C16DCF">
        <w:rPr>
          <w:rFonts w:ascii="Bookman Old Style" w:hAnsi="Bookman Old Style"/>
          <w:i/>
          <w:sz w:val="23"/>
          <w:szCs w:val="23"/>
        </w:rPr>
        <w:t>NCR</w:t>
      </w:r>
      <w:r w:rsidRPr="00C16DCF">
        <w:rPr>
          <w:rFonts w:ascii="Bookman Old Style" w:hAnsi="Bookman Old Style"/>
          <w:i/>
          <w:sz w:val="23"/>
          <w:szCs w:val="23"/>
          <w:vertAlign w:val="subscript"/>
        </w:rPr>
        <w:t>j</w:t>
      </w:r>
      <w:proofErr w:type="spellEnd"/>
      <w:r w:rsidRPr="00C16DCF">
        <w:rPr>
          <w:rFonts w:ascii="Bookman Old Style" w:hAnsi="Bookman Old Style"/>
          <w:i/>
          <w:sz w:val="23"/>
          <w:szCs w:val="23"/>
        </w:rPr>
        <w:t>:</w:t>
      </w:r>
      <w:r w:rsidRPr="00C16DCF">
        <w:rPr>
          <w:rFonts w:ascii="Bookman Old Style" w:hAnsi="Bookman Old Style"/>
          <w:sz w:val="23"/>
          <w:szCs w:val="23"/>
        </w:rPr>
        <w:tab/>
        <w:t xml:space="preserve">Número de convocatorias ejecutadas por el OR </w:t>
      </w:r>
      <w:r w:rsidRPr="00C16DCF">
        <w:rPr>
          <w:rFonts w:ascii="Bookman Old Style" w:hAnsi="Bookman Old Style"/>
          <w:i/>
          <w:sz w:val="23"/>
          <w:szCs w:val="23"/>
        </w:rPr>
        <w:t>j</w:t>
      </w:r>
      <w:r w:rsidRPr="00C16DCF">
        <w:rPr>
          <w:rFonts w:ascii="Bookman Old Style" w:hAnsi="Bookman Old Style"/>
          <w:sz w:val="23"/>
          <w:szCs w:val="23"/>
        </w:rPr>
        <w:t xml:space="preserve"> en el STR </w:t>
      </w:r>
      <w:r w:rsidRPr="00C16DCF">
        <w:rPr>
          <w:rFonts w:ascii="Bookman Old Style" w:hAnsi="Bookman Old Style"/>
          <w:i/>
          <w:sz w:val="23"/>
          <w:szCs w:val="23"/>
        </w:rPr>
        <w:t>R</w:t>
      </w:r>
      <w:r w:rsidRPr="00C16DCF">
        <w:rPr>
          <w:rFonts w:ascii="Bookman Old Style" w:hAnsi="Bookman Old Style"/>
          <w:sz w:val="23"/>
          <w:szCs w:val="23"/>
        </w:rPr>
        <w:t>.</w:t>
      </w:r>
    </w:p>
    <w:p w:rsidR="008839D9" w:rsidRPr="00C16DCF" w:rsidRDefault="008839D9" w:rsidP="008839D9">
      <w:pPr>
        <w:ind w:left="1842" w:right="284" w:hanging="1134"/>
        <w:jc w:val="both"/>
        <w:rPr>
          <w:rFonts w:ascii="Bookman Old Style" w:hAnsi="Bookman Old Style"/>
          <w:sz w:val="23"/>
          <w:szCs w:val="23"/>
        </w:rPr>
      </w:pPr>
    </w:p>
    <w:p w:rsidR="008839D9" w:rsidRPr="00C16DCF" w:rsidRDefault="008839D9" w:rsidP="008839D9">
      <w:pPr>
        <w:ind w:left="1842" w:right="284" w:hanging="1134"/>
        <w:jc w:val="both"/>
        <w:rPr>
          <w:rFonts w:ascii="Bookman Old Style" w:hAnsi="Bookman Old Style"/>
          <w:i/>
          <w:sz w:val="23"/>
          <w:szCs w:val="23"/>
        </w:rPr>
      </w:pPr>
      <w:proofErr w:type="spellStart"/>
      <w:r w:rsidRPr="00C16DCF">
        <w:rPr>
          <w:rFonts w:ascii="Bookman Old Style" w:hAnsi="Bookman Old Style"/>
          <w:i/>
          <w:sz w:val="23"/>
          <w:szCs w:val="23"/>
        </w:rPr>
        <w:t>IE</w:t>
      </w:r>
      <w:r w:rsidRPr="00C16DCF">
        <w:rPr>
          <w:rFonts w:ascii="Bookman Old Style" w:hAnsi="Bookman Old Style"/>
          <w:i/>
          <w:sz w:val="23"/>
          <w:szCs w:val="23"/>
          <w:vertAlign w:val="subscript"/>
        </w:rPr>
        <w:t>cv</w:t>
      </w:r>
      <w:proofErr w:type="gramStart"/>
      <w:r w:rsidRPr="00C16DCF">
        <w:rPr>
          <w:rFonts w:ascii="Bookman Old Style" w:hAnsi="Bookman Old Style"/>
          <w:i/>
          <w:sz w:val="23"/>
          <w:szCs w:val="23"/>
          <w:vertAlign w:val="subscript"/>
        </w:rPr>
        <w:t>,m,R</w:t>
      </w:r>
      <w:proofErr w:type="spellEnd"/>
      <w:proofErr w:type="gramEnd"/>
      <w:r w:rsidRPr="00C16DCF">
        <w:rPr>
          <w:rFonts w:ascii="Bookman Old Style" w:hAnsi="Bookman Old Style"/>
          <w:i/>
          <w:sz w:val="23"/>
          <w:szCs w:val="23"/>
          <w:vertAlign w:val="subscript"/>
        </w:rPr>
        <w:t>:</w:t>
      </w:r>
      <w:r w:rsidRPr="00C16DCF">
        <w:rPr>
          <w:rFonts w:ascii="Bookman Old Style" w:hAnsi="Bookman Old Style"/>
          <w:i/>
          <w:sz w:val="23"/>
          <w:szCs w:val="23"/>
          <w:vertAlign w:val="subscript"/>
        </w:rPr>
        <w:tab/>
      </w:r>
      <w:r w:rsidRPr="00C16DCF">
        <w:rPr>
          <w:rFonts w:ascii="Bookman Old Style" w:hAnsi="Bookman Old Style"/>
          <w:sz w:val="23"/>
          <w:szCs w:val="23"/>
        </w:rPr>
        <w:t xml:space="preserve">Ingreso esperado de cada convocatoria </w:t>
      </w:r>
      <w:r w:rsidRPr="00C16DCF">
        <w:rPr>
          <w:rFonts w:ascii="Bookman Old Style" w:hAnsi="Bookman Old Style"/>
          <w:i/>
          <w:sz w:val="23"/>
          <w:szCs w:val="23"/>
        </w:rPr>
        <w:t>cv</w:t>
      </w:r>
      <w:r w:rsidRPr="00C16DCF">
        <w:rPr>
          <w:rFonts w:ascii="Bookman Old Style" w:hAnsi="Bookman Old Style"/>
          <w:sz w:val="23"/>
          <w:szCs w:val="23"/>
        </w:rPr>
        <w:t xml:space="preserve"> ejecutada en el STR </w:t>
      </w:r>
      <w:r w:rsidRPr="00C16DCF">
        <w:rPr>
          <w:rFonts w:ascii="Bookman Old Style" w:hAnsi="Bookman Old Style"/>
          <w:i/>
          <w:sz w:val="23"/>
          <w:szCs w:val="23"/>
        </w:rPr>
        <w:t>R</w:t>
      </w:r>
      <w:r w:rsidRPr="00C16DCF">
        <w:rPr>
          <w:rFonts w:ascii="Bookman Old Style" w:hAnsi="Bookman Old Style"/>
          <w:sz w:val="23"/>
          <w:szCs w:val="23"/>
        </w:rPr>
        <w:t xml:space="preserve">, para el mes </w:t>
      </w:r>
      <w:r w:rsidRPr="00C16DCF">
        <w:rPr>
          <w:rFonts w:ascii="Bookman Old Style" w:hAnsi="Bookman Old Style"/>
          <w:i/>
          <w:sz w:val="23"/>
          <w:szCs w:val="23"/>
        </w:rPr>
        <w:t>m.</w:t>
      </w:r>
    </w:p>
    <w:p w:rsidR="008839D9" w:rsidRPr="00C16DCF" w:rsidRDefault="008839D9" w:rsidP="008839D9">
      <w:pPr>
        <w:ind w:left="1842" w:right="284" w:hanging="1134"/>
        <w:jc w:val="both"/>
        <w:rPr>
          <w:rFonts w:ascii="Bookman Old Style" w:hAnsi="Bookman Old Style"/>
          <w:i/>
          <w:sz w:val="23"/>
          <w:szCs w:val="23"/>
        </w:rPr>
      </w:pPr>
    </w:p>
    <w:p w:rsidR="008839D9" w:rsidRPr="00C16DCF" w:rsidRDefault="008839D9" w:rsidP="008839D9">
      <w:pPr>
        <w:ind w:left="1842" w:right="284" w:hanging="1134"/>
        <w:jc w:val="both"/>
        <w:rPr>
          <w:rFonts w:ascii="Bookman Old Style" w:hAnsi="Bookman Old Style"/>
          <w:i/>
          <w:sz w:val="23"/>
          <w:szCs w:val="23"/>
        </w:rPr>
      </w:pPr>
      <w:r w:rsidRPr="00C16DCF">
        <w:rPr>
          <w:rFonts w:ascii="Bookman Old Style" w:hAnsi="Bookman Old Style"/>
          <w:i/>
          <w:sz w:val="23"/>
          <w:szCs w:val="23"/>
        </w:rPr>
        <w:t>NCR:</w:t>
      </w:r>
      <w:r w:rsidRPr="00C16DCF">
        <w:rPr>
          <w:rFonts w:ascii="Bookman Old Style" w:hAnsi="Bookman Old Style"/>
          <w:i/>
          <w:sz w:val="23"/>
          <w:szCs w:val="23"/>
        </w:rPr>
        <w:tab/>
      </w:r>
      <w:r w:rsidRPr="00C16DCF">
        <w:rPr>
          <w:rFonts w:ascii="Bookman Old Style" w:hAnsi="Bookman Old Style"/>
          <w:sz w:val="23"/>
          <w:szCs w:val="23"/>
        </w:rPr>
        <w:t>Número total de convocatorias ejecutadas en el STR</w:t>
      </w:r>
      <w:r w:rsidRPr="00C16DCF">
        <w:rPr>
          <w:rFonts w:ascii="Bookman Old Style" w:hAnsi="Bookman Old Style"/>
          <w:i/>
          <w:sz w:val="23"/>
          <w:szCs w:val="23"/>
        </w:rPr>
        <w:t xml:space="preserve"> R.</w:t>
      </w:r>
    </w:p>
    <w:p w:rsidR="008839D9" w:rsidRPr="00C16DCF" w:rsidRDefault="008839D9" w:rsidP="008839D9">
      <w:pPr>
        <w:ind w:left="1842" w:right="284" w:hanging="1134"/>
        <w:jc w:val="both"/>
        <w:rPr>
          <w:rFonts w:ascii="Bookman Old Style" w:hAnsi="Bookman Old Style"/>
          <w:i/>
          <w:sz w:val="23"/>
          <w:szCs w:val="23"/>
        </w:rPr>
      </w:pPr>
    </w:p>
    <w:p w:rsidR="008839D9" w:rsidRPr="00C16DCF" w:rsidRDefault="008839D9" w:rsidP="008839D9">
      <w:pPr>
        <w:ind w:left="1842" w:right="284" w:hanging="1134"/>
        <w:rPr>
          <w:rFonts w:ascii="Bookman Old Style" w:hAnsi="Bookman Old Style"/>
          <w:i/>
          <w:sz w:val="23"/>
          <w:szCs w:val="23"/>
        </w:rPr>
      </w:pPr>
      <w:proofErr w:type="gramStart"/>
      <w:r w:rsidRPr="00C16DCF">
        <w:rPr>
          <w:rFonts w:ascii="Bookman Old Style" w:hAnsi="Bookman Old Style"/>
          <w:i/>
          <w:sz w:val="23"/>
          <w:szCs w:val="23"/>
        </w:rPr>
        <w:t>cv</w:t>
      </w:r>
      <w:proofErr w:type="gramEnd"/>
      <w:r w:rsidRPr="00C16DCF">
        <w:rPr>
          <w:rFonts w:ascii="Bookman Old Style" w:hAnsi="Bookman Old Style"/>
          <w:i/>
          <w:sz w:val="23"/>
          <w:szCs w:val="23"/>
        </w:rPr>
        <w:t>:</w:t>
      </w:r>
      <w:r w:rsidRPr="00C16DCF">
        <w:rPr>
          <w:rFonts w:ascii="Bookman Old Style" w:hAnsi="Bookman Old Style"/>
          <w:sz w:val="23"/>
          <w:szCs w:val="23"/>
        </w:rPr>
        <w:tab/>
        <w:t xml:space="preserve">Cada convocatoria ejecutada en el STR </w:t>
      </w:r>
      <w:r w:rsidRPr="00C16DCF">
        <w:rPr>
          <w:rFonts w:ascii="Bookman Old Style" w:hAnsi="Bookman Old Style"/>
          <w:i/>
          <w:sz w:val="23"/>
          <w:szCs w:val="23"/>
        </w:rPr>
        <w:t>R.</w:t>
      </w:r>
    </w:p>
    <w:p w:rsidR="008839D9" w:rsidRPr="00C16DCF" w:rsidRDefault="008839D9" w:rsidP="008839D9">
      <w:pPr>
        <w:rPr>
          <w:rFonts w:ascii="Bookman Old Style" w:hAnsi="Bookman Old Style" w:cs="Arial"/>
          <w:sz w:val="23"/>
          <w:szCs w:val="23"/>
        </w:rPr>
      </w:pPr>
    </w:p>
    <w:p w:rsidR="008839D9" w:rsidRPr="00C16DCF" w:rsidRDefault="008839D9" w:rsidP="008839D9">
      <w:pPr>
        <w:pStyle w:val="ARTICULOS"/>
        <w:rPr>
          <w:b w:val="0"/>
          <w:sz w:val="23"/>
          <w:szCs w:val="23"/>
        </w:rPr>
      </w:pPr>
      <w:r w:rsidRPr="00C16DCF">
        <w:rPr>
          <w:b w:val="0"/>
          <w:sz w:val="23"/>
          <w:szCs w:val="23"/>
        </w:rPr>
        <w:t xml:space="preserve"> Modificar el parágrafo 3 del artículo 9 del Reglamento de Mecanismos de Cubrimiento para el Pago de los Cargos por Uso del Sistema de Transmisión Regional y del Sistema de Distribución Local adoptado con</w:t>
      </w:r>
      <w:r w:rsidRPr="00C16DCF" w:rsidDel="002F1905">
        <w:rPr>
          <w:b w:val="0"/>
          <w:sz w:val="23"/>
          <w:szCs w:val="23"/>
        </w:rPr>
        <w:t xml:space="preserve"> </w:t>
      </w:r>
      <w:r w:rsidRPr="00C16DCF">
        <w:rPr>
          <w:b w:val="0"/>
          <w:sz w:val="23"/>
          <w:szCs w:val="23"/>
        </w:rPr>
        <w:t>la Resolución CREG 159 de 2011, el cual queda así:</w:t>
      </w:r>
    </w:p>
    <w:p w:rsidR="008839D9" w:rsidRPr="00C16DCF" w:rsidRDefault="008839D9" w:rsidP="008839D9">
      <w:pPr>
        <w:pStyle w:val="Estilo2"/>
        <w:keepNext w:val="0"/>
        <w:widowControl/>
        <w:tabs>
          <w:tab w:val="clear" w:pos="1440"/>
        </w:tabs>
        <w:rPr>
          <w:rFonts w:ascii="Times New Roman" w:hAnsi="Times New Roman"/>
          <w:b w:val="0"/>
          <w:bCs w:val="0"/>
          <w:sz w:val="23"/>
          <w:szCs w:val="23"/>
          <w:lang w:eastAsia="es-ES"/>
        </w:rPr>
      </w:pPr>
    </w:p>
    <w:p w:rsidR="008839D9" w:rsidRPr="00C16DCF" w:rsidRDefault="008839D9" w:rsidP="008839D9">
      <w:pPr>
        <w:pStyle w:val="Estilo2"/>
        <w:keepNext w:val="0"/>
        <w:widowControl/>
        <w:tabs>
          <w:tab w:val="clear" w:pos="1440"/>
        </w:tabs>
        <w:ind w:left="426" w:right="284"/>
        <w:rPr>
          <w:b w:val="0"/>
          <w:sz w:val="23"/>
          <w:szCs w:val="23"/>
        </w:rPr>
      </w:pPr>
      <w:r w:rsidRPr="00C16DCF">
        <w:rPr>
          <w:sz w:val="23"/>
          <w:szCs w:val="23"/>
        </w:rPr>
        <w:t xml:space="preserve">Parágrafo 3. </w:t>
      </w:r>
      <w:r w:rsidRPr="00C16DCF">
        <w:rPr>
          <w:b w:val="0"/>
          <w:sz w:val="23"/>
          <w:szCs w:val="23"/>
        </w:rPr>
        <w:t xml:space="preserve">Un comercializador </w:t>
      </w:r>
      <w:r w:rsidRPr="00C16DCF">
        <w:rPr>
          <w:b w:val="0"/>
          <w:i/>
          <w:sz w:val="23"/>
          <w:szCs w:val="23"/>
        </w:rPr>
        <w:t>c</w:t>
      </w:r>
      <w:r w:rsidRPr="00C16DCF">
        <w:rPr>
          <w:b w:val="0"/>
          <w:sz w:val="23"/>
          <w:szCs w:val="23"/>
        </w:rPr>
        <w:t xml:space="preserve"> integrado al operador de red </w:t>
      </w:r>
      <w:r w:rsidRPr="00C16DCF">
        <w:rPr>
          <w:b w:val="0"/>
          <w:i/>
          <w:sz w:val="23"/>
          <w:szCs w:val="23"/>
        </w:rPr>
        <w:t>j</w:t>
      </w:r>
      <w:r w:rsidRPr="00C16DCF">
        <w:rPr>
          <w:b w:val="0"/>
          <w:sz w:val="23"/>
          <w:szCs w:val="23"/>
        </w:rPr>
        <w:t xml:space="preserve"> no estará obligado a constituir mecanismos de cubrimiento para el pago de los cargos por uso del SDL </w:t>
      </w:r>
      <w:r w:rsidRPr="00C16DCF">
        <w:rPr>
          <w:b w:val="0"/>
          <w:i/>
          <w:sz w:val="23"/>
          <w:szCs w:val="23"/>
        </w:rPr>
        <w:t>j</w:t>
      </w:r>
      <w:r w:rsidRPr="00C16DCF">
        <w:rPr>
          <w:b w:val="0"/>
          <w:sz w:val="23"/>
          <w:szCs w:val="23"/>
        </w:rPr>
        <w:t xml:space="preserve"> que deba realizar al operador de red </w:t>
      </w:r>
      <w:r w:rsidRPr="00C16DCF">
        <w:rPr>
          <w:b w:val="0"/>
          <w:i/>
          <w:sz w:val="23"/>
          <w:szCs w:val="23"/>
        </w:rPr>
        <w:t>j</w:t>
      </w:r>
      <w:r w:rsidRPr="00C16DCF">
        <w:rPr>
          <w:b w:val="0"/>
          <w:sz w:val="23"/>
          <w:szCs w:val="23"/>
        </w:rPr>
        <w:t xml:space="preserve">. Para darle aplicación a esta disposición, el LAC publicará un valor igual a cero para la variable </w:t>
      </w:r>
      <w:proofErr w:type="spellStart"/>
      <w:r w:rsidRPr="00C16DCF">
        <w:rPr>
          <w:b w:val="0"/>
          <w:i/>
          <w:sz w:val="23"/>
          <w:szCs w:val="23"/>
        </w:rPr>
        <w:t>VSDL</w:t>
      </w:r>
      <w:r w:rsidRPr="00C16DCF">
        <w:rPr>
          <w:b w:val="0"/>
          <w:i/>
          <w:sz w:val="23"/>
          <w:szCs w:val="23"/>
          <w:vertAlign w:val="subscript"/>
        </w:rPr>
        <w:t>c</w:t>
      </w:r>
      <w:proofErr w:type="gramStart"/>
      <w:r w:rsidRPr="00C16DCF">
        <w:rPr>
          <w:b w:val="0"/>
          <w:i/>
          <w:sz w:val="23"/>
          <w:szCs w:val="23"/>
          <w:vertAlign w:val="subscript"/>
        </w:rPr>
        <w:t>,m,j</w:t>
      </w:r>
      <w:proofErr w:type="spellEnd"/>
      <w:proofErr w:type="gramEnd"/>
      <w:r w:rsidRPr="00C16DCF">
        <w:rPr>
          <w:b w:val="0"/>
          <w:sz w:val="23"/>
          <w:szCs w:val="23"/>
        </w:rPr>
        <w:t xml:space="preserve"> a la que se refiere el Artículo 5 de este Reglamento.</w:t>
      </w:r>
    </w:p>
    <w:p w:rsidR="008839D9" w:rsidRPr="00C16DCF" w:rsidRDefault="008839D9" w:rsidP="008839D9">
      <w:pPr>
        <w:ind w:left="0"/>
        <w:rPr>
          <w:rFonts w:ascii="Bookman Old Style" w:hAnsi="Bookman Old Style" w:cs="Arial"/>
          <w:sz w:val="23"/>
          <w:szCs w:val="23"/>
        </w:rPr>
      </w:pPr>
    </w:p>
    <w:bookmarkEnd w:id="2"/>
    <w:p w:rsidR="008839D9" w:rsidRPr="00C16DCF" w:rsidRDefault="008839D9" w:rsidP="008839D9">
      <w:pPr>
        <w:pStyle w:val="ARTICULOS"/>
        <w:rPr>
          <w:sz w:val="23"/>
          <w:szCs w:val="23"/>
        </w:rPr>
      </w:pPr>
      <w:r w:rsidRPr="00C16DCF">
        <w:rPr>
          <w:sz w:val="23"/>
          <w:szCs w:val="23"/>
        </w:rPr>
        <w:t xml:space="preserve">Vigencia. </w:t>
      </w:r>
      <w:r w:rsidRPr="00C16DCF">
        <w:rPr>
          <w:b w:val="0"/>
          <w:sz w:val="23"/>
          <w:szCs w:val="23"/>
        </w:rPr>
        <w:t>La presente resolución</w:t>
      </w:r>
      <w:r w:rsidRPr="00C16DCF">
        <w:rPr>
          <w:sz w:val="23"/>
          <w:szCs w:val="23"/>
        </w:rPr>
        <w:t xml:space="preserve"> </w:t>
      </w:r>
      <w:r w:rsidRPr="00C16DCF">
        <w:rPr>
          <w:b w:val="0"/>
          <w:sz w:val="23"/>
          <w:szCs w:val="23"/>
        </w:rPr>
        <w:t xml:space="preserve">entrará en vigencia a partir de su publicación en el </w:t>
      </w:r>
      <w:r w:rsidRPr="00C16DCF">
        <w:rPr>
          <w:b w:val="0"/>
          <w:i/>
          <w:sz w:val="23"/>
          <w:szCs w:val="23"/>
        </w:rPr>
        <w:t>Diario Oficial</w:t>
      </w:r>
      <w:r w:rsidRPr="00C16DCF">
        <w:rPr>
          <w:b w:val="0"/>
          <w:sz w:val="23"/>
          <w:szCs w:val="23"/>
        </w:rPr>
        <w:t>, modifica parcialmente la Resolución CREG 159 de 2011 y deroga las disposiciones que le sean contrarias</w:t>
      </w:r>
      <w:r w:rsidRPr="00C16DCF">
        <w:rPr>
          <w:sz w:val="23"/>
          <w:szCs w:val="23"/>
        </w:rPr>
        <w:t xml:space="preserve">. </w:t>
      </w:r>
    </w:p>
    <w:p w:rsidR="008839D9" w:rsidRPr="00C16DCF" w:rsidRDefault="008839D9" w:rsidP="008839D9">
      <w:pPr>
        <w:ind w:left="0"/>
        <w:rPr>
          <w:rFonts w:ascii="Bookman Old Style" w:hAnsi="Bookman Old Style" w:cs="Arial"/>
          <w:sz w:val="23"/>
          <w:szCs w:val="23"/>
        </w:rPr>
      </w:pPr>
    </w:p>
    <w:p w:rsidR="008839D9" w:rsidRPr="00C16DCF" w:rsidRDefault="008839D9" w:rsidP="008839D9">
      <w:pPr>
        <w:ind w:left="0"/>
        <w:rPr>
          <w:rFonts w:ascii="Bookman Old Style" w:hAnsi="Bookman Old Style" w:cs="Arial"/>
          <w:sz w:val="23"/>
          <w:szCs w:val="23"/>
        </w:rPr>
      </w:pPr>
    </w:p>
    <w:p w:rsidR="008839D9" w:rsidRPr="00C16DCF" w:rsidRDefault="008839D9" w:rsidP="008839D9">
      <w:pPr>
        <w:jc w:val="center"/>
        <w:rPr>
          <w:rFonts w:ascii="Bookman Old Style" w:hAnsi="Bookman Old Style" w:cs="Arial"/>
          <w:b/>
          <w:sz w:val="23"/>
          <w:szCs w:val="23"/>
        </w:rPr>
      </w:pPr>
      <w:r w:rsidRPr="00C16DCF">
        <w:rPr>
          <w:rFonts w:ascii="Bookman Old Style" w:hAnsi="Bookman Old Style" w:cs="Arial"/>
          <w:b/>
          <w:sz w:val="23"/>
          <w:szCs w:val="23"/>
        </w:rPr>
        <w:t>PUBLÍQUESE Y CÚMPLASE</w:t>
      </w:r>
    </w:p>
    <w:p w:rsidR="008839D9" w:rsidRPr="00C16DCF" w:rsidRDefault="008839D9" w:rsidP="008839D9">
      <w:pPr>
        <w:rPr>
          <w:rFonts w:ascii="Bookman Old Style" w:hAnsi="Bookman Old Style" w:cs="Arial"/>
          <w:sz w:val="23"/>
          <w:szCs w:val="23"/>
        </w:rPr>
      </w:pPr>
    </w:p>
    <w:p w:rsidR="008839D9" w:rsidRPr="00C16DCF" w:rsidRDefault="008839D9" w:rsidP="008839D9">
      <w:pPr>
        <w:ind w:left="0"/>
        <w:rPr>
          <w:rFonts w:ascii="Bookman Old Style" w:hAnsi="Bookman Old Style" w:cs="Arial"/>
          <w:sz w:val="23"/>
          <w:szCs w:val="23"/>
        </w:rPr>
      </w:pPr>
      <w:r w:rsidRPr="00C16DCF">
        <w:rPr>
          <w:rFonts w:ascii="Bookman Old Style" w:hAnsi="Bookman Old Style" w:cs="Arial"/>
          <w:sz w:val="23"/>
          <w:szCs w:val="23"/>
        </w:rPr>
        <w:t>Firma del proyecto,</w:t>
      </w:r>
    </w:p>
    <w:p w:rsidR="008839D9" w:rsidRPr="00C16DCF" w:rsidRDefault="008839D9" w:rsidP="008839D9">
      <w:pPr>
        <w:rPr>
          <w:rFonts w:ascii="Bookman Old Style" w:hAnsi="Bookman Old Style" w:cs="Arial"/>
          <w:sz w:val="23"/>
          <w:szCs w:val="23"/>
        </w:rPr>
      </w:pPr>
    </w:p>
    <w:p w:rsidR="008839D9" w:rsidRPr="00C16DCF" w:rsidRDefault="008839D9" w:rsidP="008839D9">
      <w:pPr>
        <w:rPr>
          <w:rFonts w:ascii="Bookman Old Style" w:hAnsi="Bookman Old Style" w:cs="Arial"/>
          <w:sz w:val="23"/>
          <w:szCs w:val="23"/>
        </w:rPr>
      </w:pPr>
    </w:p>
    <w:p w:rsidR="008839D9" w:rsidRPr="00C16DCF" w:rsidRDefault="008839D9" w:rsidP="008839D9">
      <w:pPr>
        <w:tabs>
          <w:tab w:val="left" w:pos="-720"/>
        </w:tabs>
        <w:rPr>
          <w:rFonts w:ascii="Bookman Old Style" w:hAnsi="Bookman Old Style" w:cs="Arial"/>
          <w:sz w:val="23"/>
          <w:szCs w:val="23"/>
        </w:rPr>
      </w:pPr>
    </w:p>
    <w:p w:rsidR="008839D9" w:rsidRPr="00C16DCF" w:rsidRDefault="008839D9" w:rsidP="008839D9">
      <w:pPr>
        <w:tabs>
          <w:tab w:val="left" w:pos="-720"/>
        </w:tabs>
        <w:rPr>
          <w:rFonts w:ascii="Bookman Old Style" w:hAnsi="Bookman Old Style" w:cs="Arial"/>
          <w:sz w:val="23"/>
          <w:szCs w:val="23"/>
        </w:rPr>
      </w:pPr>
    </w:p>
    <w:p w:rsidR="008839D9" w:rsidRPr="00C16DCF" w:rsidRDefault="008839D9" w:rsidP="008839D9">
      <w:pPr>
        <w:tabs>
          <w:tab w:val="left" w:pos="-720"/>
        </w:tabs>
        <w:rPr>
          <w:rFonts w:ascii="Bookman Old Style" w:hAnsi="Bookman Old Style" w:cs="Arial"/>
          <w:sz w:val="23"/>
          <w:szCs w:val="23"/>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839D9" w:rsidRPr="00C16DCF" w:rsidTr="005121E1">
        <w:trPr>
          <w:tblCellSpacing w:w="0" w:type="dxa"/>
        </w:trPr>
        <w:tc>
          <w:tcPr>
            <w:tcW w:w="5104" w:type="dxa"/>
          </w:tcPr>
          <w:p w:rsidR="008839D9" w:rsidRPr="00C16DCF" w:rsidRDefault="008839D9" w:rsidP="005121E1">
            <w:pPr>
              <w:ind w:left="66"/>
              <w:jc w:val="center"/>
              <w:rPr>
                <w:rFonts w:ascii="Bookman Old Style" w:hAnsi="Bookman Old Style" w:cs="Arial"/>
                <w:b/>
                <w:spacing w:val="-3"/>
                <w:sz w:val="23"/>
                <w:szCs w:val="23"/>
              </w:rPr>
            </w:pPr>
            <w:r w:rsidRPr="00C16DCF">
              <w:rPr>
                <w:rFonts w:ascii="Bookman Old Style" w:hAnsi="Bookman Old Style" w:cs="Arial"/>
                <w:b/>
                <w:spacing w:val="-3"/>
                <w:sz w:val="23"/>
                <w:szCs w:val="23"/>
              </w:rPr>
              <w:t>TOMÁS GONZÁLEZ ESTRADA</w:t>
            </w:r>
          </w:p>
          <w:p w:rsidR="008839D9" w:rsidRPr="00C16DCF" w:rsidRDefault="008839D9" w:rsidP="005121E1">
            <w:pPr>
              <w:ind w:left="66"/>
              <w:jc w:val="center"/>
              <w:rPr>
                <w:rFonts w:ascii="Bookman Old Style" w:hAnsi="Bookman Old Style" w:cs="Arial"/>
                <w:spacing w:val="-3"/>
                <w:sz w:val="23"/>
                <w:szCs w:val="23"/>
              </w:rPr>
            </w:pPr>
            <w:r w:rsidRPr="00C16DCF">
              <w:rPr>
                <w:rFonts w:ascii="Bookman Old Style" w:hAnsi="Bookman Old Style" w:cs="Arial"/>
                <w:spacing w:val="-3"/>
                <w:sz w:val="23"/>
                <w:szCs w:val="23"/>
              </w:rPr>
              <w:t>Ministro de Minas y Energía</w:t>
            </w:r>
          </w:p>
        </w:tc>
        <w:tc>
          <w:tcPr>
            <w:tcW w:w="4678" w:type="dxa"/>
          </w:tcPr>
          <w:p w:rsidR="008839D9" w:rsidRPr="00C16DCF" w:rsidRDefault="008839D9" w:rsidP="005121E1">
            <w:pPr>
              <w:ind w:left="89"/>
              <w:jc w:val="center"/>
              <w:rPr>
                <w:rFonts w:ascii="Bookman Old Style" w:hAnsi="Bookman Old Style" w:cs="Arial"/>
                <w:b/>
                <w:spacing w:val="-3"/>
                <w:sz w:val="23"/>
                <w:szCs w:val="23"/>
              </w:rPr>
            </w:pPr>
            <w:r w:rsidRPr="00C16DCF">
              <w:rPr>
                <w:rFonts w:ascii="Bookman Old Style" w:hAnsi="Bookman Old Style" w:cs="Arial"/>
                <w:b/>
                <w:spacing w:val="-3"/>
                <w:sz w:val="23"/>
                <w:szCs w:val="23"/>
              </w:rPr>
              <w:t>JORGE PINTO NOLLA</w:t>
            </w:r>
          </w:p>
          <w:p w:rsidR="008839D9" w:rsidRPr="00C16DCF" w:rsidRDefault="008839D9" w:rsidP="005121E1">
            <w:pPr>
              <w:ind w:left="89"/>
              <w:jc w:val="center"/>
              <w:rPr>
                <w:rFonts w:ascii="Bookman Old Style" w:eastAsia="Arial Unicode MS" w:hAnsi="Bookman Old Style" w:cs="Arial"/>
                <w:bCs/>
                <w:sz w:val="23"/>
                <w:szCs w:val="23"/>
              </w:rPr>
            </w:pPr>
            <w:r w:rsidRPr="00C16DCF">
              <w:rPr>
                <w:rFonts w:ascii="Bookman Old Style" w:hAnsi="Bookman Old Style" w:cs="Arial"/>
                <w:spacing w:val="-3"/>
                <w:sz w:val="23"/>
                <w:szCs w:val="23"/>
              </w:rPr>
              <w:t>Director Ejecutivo</w:t>
            </w:r>
          </w:p>
        </w:tc>
      </w:tr>
      <w:tr w:rsidR="008839D9" w:rsidRPr="00C16DCF" w:rsidTr="005121E1">
        <w:trPr>
          <w:tblCellSpacing w:w="0" w:type="dxa"/>
        </w:trPr>
        <w:tc>
          <w:tcPr>
            <w:tcW w:w="5104" w:type="dxa"/>
          </w:tcPr>
          <w:p w:rsidR="008839D9" w:rsidRPr="00C16DCF" w:rsidRDefault="008839D9" w:rsidP="005121E1">
            <w:pPr>
              <w:ind w:left="66"/>
              <w:jc w:val="center"/>
              <w:rPr>
                <w:rFonts w:ascii="Bookman Old Style" w:eastAsia="Arial Unicode MS" w:hAnsi="Bookman Old Style" w:cs="Arial"/>
                <w:color w:val="000000"/>
                <w:sz w:val="23"/>
                <w:szCs w:val="23"/>
              </w:rPr>
            </w:pPr>
            <w:r w:rsidRPr="00C16DCF">
              <w:rPr>
                <w:rFonts w:ascii="Bookman Old Style" w:hAnsi="Bookman Old Style" w:cs="Arial"/>
                <w:spacing w:val="-3"/>
                <w:sz w:val="23"/>
                <w:szCs w:val="23"/>
              </w:rPr>
              <w:t>Presidente</w:t>
            </w:r>
          </w:p>
        </w:tc>
        <w:tc>
          <w:tcPr>
            <w:tcW w:w="4678" w:type="dxa"/>
          </w:tcPr>
          <w:p w:rsidR="008839D9" w:rsidRPr="00C16DCF" w:rsidRDefault="008839D9" w:rsidP="005121E1">
            <w:pPr>
              <w:jc w:val="center"/>
              <w:rPr>
                <w:rFonts w:ascii="Bookman Old Style" w:eastAsia="Arial Unicode MS" w:hAnsi="Bookman Old Style" w:cs="Arial"/>
                <w:color w:val="000000"/>
                <w:sz w:val="23"/>
                <w:szCs w:val="23"/>
              </w:rPr>
            </w:pPr>
          </w:p>
        </w:tc>
      </w:tr>
    </w:tbl>
    <w:p w:rsidR="008839D9" w:rsidRPr="00C16DCF" w:rsidRDefault="008839D9" w:rsidP="008839D9">
      <w:pPr>
        <w:pStyle w:val="Sinespaciado"/>
        <w:jc w:val="both"/>
        <w:rPr>
          <w:rFonts w:ascii="Bookman Old Style" w:hAnsi="Bookman Old Style" w:cs="Arial"/>
          <w:b/>
          <w:sz w:val="23"/>
          <w:szCs w:val="23"/>
        </w:rPr>
      </w:pPr>
    </w:p>
    <w:p w:rsidR="00C034CB" w:rsidRPr="00C16DCF" w:rsidRDefault="00C034CB" w:rsidP="008839D9">
      <w:pPr>
        <w:ind w:left="0"/>
        <w:jc w:val="center"/>
        <w:rPr>
          <w:rFonts w:ascii="Bookman Old Style" w:hAnsi="Bookman Old Style"/>
          <w:b/>
          <w:sz w:val="23"/>
          <w:szCs w:val="23"/>
        </w:rPr>
      </w:pPr>
    </w:p>
    <w:sectPr w:rsidR="00C034CB" w:rsidRPr="00C16DCF" w:rsidSect="00605AFE">
      <w:headerReference w:type="default" r:id="rId12"/>
      <w:headerReference w:type="first" r:id="rId13"/>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9EC" w:rsidRPr="00C16DCF" w:rsidRDefault="003879EC">
      <w:pPr>
        <w:rPr>
          <w:sz w:val="22"/>
          <w:szCs w:val="22"/>
        </w:rPr>
      </w:pPr>
      <w:r w:rsidRPr="00C16DCF">
        <w:rPr>
          <w:sz w:val="22"/>
          <w:szCs w:val="22"/>
        </w:rPr>
        <w:separator/>
      </w:r>
    </w:p>
    <w:p w:rsidR="003879EC" w:rsidRPr="00C16DCF" w:rsidRDefault="003879EC">
      <w:pPr>
        <w:rPr>
          <w:sz w:val="23"/>
          <w:szCs w:val="23"/>
        </w:rPr>
      </w:pPr>
    </w:p>
  </w:endnote>
  <w:endnote w:type="continuationSeparator" w:id="0">
    <w:p w:rsidR="003879EC" w:rsidRPr="00C16DCF" w:rsidRDefault="003879EC">
      <w:pPr>
        <w:rPr>
          <w:sz w:val="22"/>
          <w:szCs w:val="22"/>
        </w:rPr>
      </w:pPr>
      <w:r w:rsidRPr="00C16DCF">
        <w:rPr>
          <w:sz w:val="22"/>
          <w:szCs w:val="22"/>
        </w:rPr>
        <w:continuationSeparator/>
      </w:r>
    </w:p>
    <w:p w:rsidR="003879EC" w:rsidRPr="00C16DCF" w:rsidRDefault="003879EC">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9EC" w:rsidRPr="00C16DCF" w:rsidRDefault="003879EC">
      <w:pPr>
        <w:rPr>
          <w:sz w:val="22"/>
          <w:szCs w:val="22"/>
        </w:rPr>
      </w:pPr>
      <w:r w:rsidRPr="00C16DCF">
        <w:rPr>
          <w:sz w:val="22"/>
          <w:szCs w:val="22"/>
        </w:rPr>
        <w:separator/>
      </w:r>
    </w:p>
    <w:p w:rsidR="003879EC" w:rsidRPr="00C16DCF" w:rsidRDefault="003879EC">
      <w:pPr>
        <w:rPr>
          <w:sz w:val="23"/>
          <w:szCs w:val="23"/>
        </w:rPr>
      </w:pPr>
    </w:p>
  </w:footnote>
  <w:footnote w:type="continuationSeparator" w:id="0">
    <w:p w:rsidR="003879EC" w:rsidRPr="00C16DCF" w:rsidRDefault="003879EC">
      <w:pPr>
        <w:rPr>
          <w:sz w:val="22"/>
          <w:szCs w:val="22"/>
        </w:rPr>
      </w:pPr>
      <w:r w:rsidRPr="00C16DCF">
        <w:rPr>
          <w:sz w:val="22"/>
          <w:szCs w:val="22"/>
        </w:rPr>
        <w:continuationSeparator/>
      </w:r>
    </w:p>
    <w:p w:rsidR="003879EC" w:rsidRPr="00C16DCF" w:rsidRDefault="003879EC">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FC2" w:rsidRPr="00C16DCF" w:rsidRDefault="00451FC2" w:rsidP="00951F79">
    <w:pPr>
      <w:pStyle w:val="Ttulo1"/>
      <w:ind w:right="6"/>
      <w:jc w:val="left"/>
      <w:rPr>
        <w:rFonts w:ascii="Bookman Old Style" w:hAnsi="Bookman Old Style" w:cs="Arial"/>
        <w:b w:val="0"/>
        <w:sz w:val="20"/>
      </w:rPr>
    </w:pPr>
  </w:p>
  <w:p w:rsidR="00451FC2" w:rsidRPr="00C16DCF" w:rsidRDefault="00451FC2" w:rsidP="009F4BEC">
    <w:pPr>
      <w:pStyle w:val="Ttulo1"/>
      <w:ind w:left="0" w:right="6"/>
      <w:jc w:val="left"/>
      <w:rPr>
        <w:rFonts w:ascii="Bookman Old Style" w:hAnsi="Bookman Old Style" w:cs="Arial"/>
        <w:b w:val="0"/>
        <w:sz w:val="20"/>
      </w:rPr>
    </w:pPr>
    <w:r w:rsidRPr="00C16DCF">
      <w:rPr>
        <w:rFonts w:ascii="Bookman Old Style" w:hAnsi="Bookman Old Style" w:cs="Arial"/>
        <w:b w:val="0"/>
        <w:sz w:val="20"/>
      </w:rPr>
      <w:t>RESOLUCIÓN No.  ________________</w:t>
    </w:r>
    <w:r w:rsidRPr="00C16DCF">
      <w:rPr>
        <w:rFonts w:ascii="Bookman Old Style" w:hAnsi="Bookman Old Style" w:cs="Arial"/>
        <w:b w:val="0"/>
        <w:sz w:val="20"/>
      </w:rPr>
      <w:tab/>
      <w:t>DE ________________</w:t>
    </w:r>
    <w:r w:rsidRPr="00C16DCF">
      <w:rPr>
        <w:rFonts w:ascii="Bookman Old Style" w:hAnsi="Bookman Old Style" w:cs="Arial"/>
        <w:b w:val="0"/>
        <w:sz w:val="20"/>
      </w:rPr>
      <w:tab/>
      <w:t xml:space="preserve">HOJA No. </w:t>
    </w:r>
    <w:r w:rsidRPr="00C16DCF">
      <w:rPr>
        <w:rFonts w:ascii="Bookman Old Style" w:hAnsi="Bookman Old Style" w:cs="Arial"/>
        <w:b w:val="0"/>
        <w:sz w:val="20"/>
      </w:rPr>
      <w:fldChar w:fldCharType="begin"/>
    </w:r>
    <w:r w:rsidRPr="00C16DCF">
      <w:rPr>
        <w:rFonts w:ascii="Bookman Old Style" w:hAnsi="Bookman Old Style" w:cs="Arial"/>
        <w:b w:val="0"/>
        <w:sz w:val="20"/>
      </w:rPr>
      <w:instrText xml:space="preserve"> PAGE   \* MERGEFORMAT </w:instrText>
    </w:r>
    <w:r w:rsidRPr="00C16DCF">
      <w:rPr>
        <w:rFonts w:ascii="Bookman Old Style" w:hAnsi="Bookman Old Style" w:cs="Arial"/>
        <w:b w:val="0"/>
        <w:sz w:val="20"/>
      </w:rPr>
      <w:fldChar w:fldCharType="separate"/>
    </w:r>
    <w:r w:rsidR="002626C1">
      <w:rPr>
        <w:rFonts w:ascii="Bookman Old Style" w:hAnsi="Bookman Old Style" w:cs="Arial"/>
        <w:b w:val="0"/>
        <w:noProof/>
        <w:sz w:val="20"/>
      </w:rPr>
      <w:t>7</w:t>
    </w:r>
    <w:r w:rsidRPr="00C16DCF">
      <w:rPr>
        <w:rFonts w:ascii="Bookman Old Style" w:hAnsi="Bookman Old Style" w:cs="Arial"/>
        <w:b w:val="0"/>
        <w:sz w:val="20"/>
      </w:rPr>
      <w:fldChar w:fldCharType="end"/>
    </w:r>
    <w:r w:rsidRPr="00C16DCF">
      <w:rPr>
        <w:rFonts w:ascii="Bookman Old Style" w:hAnsi="Bookman Old Style" w:cs="Arial"/>
        <w:b w:val="0"/>
        <w:sz w:val="20"/>
      </w:rPr>
      <w:t>/</w:t>
    </w:r>
    <w:r w:rsidRPr="00C16DCF">
      <w:rPr>
        <w:sz w:val="22"/>
      </w:rPr>
      <w:fldChar w:fldCharType="begin"/>
    </w:r>
    <w:r w:rsidRPr="00C16DCF">
      <w:rPr>
        <w:sz w:val="22"/>
        <w:szCs w:val="22"/>
      </w:rPr>
      <w:instrText xml:space="preserve"> NUMPAGES  \* MERGEFORMAT </w:instrText>
    </w:r>
    <w:r w:rsidRPr="00C16DCF">
      <w:rPr>
        <w:sz w:val="22"/>
      </w:rPr>
      <w:fldChar w:fldCharType="separate"/>
    </w:r>
    <w:r w:rsidR="002626C1" w:rsidRPr="002626C1">
      <w:rPr>
        <w:rFonts w:ascii="Bookman Old Style" w:hAnsi="Bookman Old Style" w:cs="Arial"/>
        <w:b w:val="0"/>
        <w:noProof/>
        <w:sz w:val="20"/>
        <w:szCs w:val="22"/>
      </w:rPr>
      <w:t>7</w:t>
    </w:r>
    <w:r w:rsidRPr="00C16DCF">
      <w:rPr>
        <w:rFonts w:ascii="Bookman Old Style" w:hAnsi="Bookman Old Style" w:cs="Arial"/>
        <w:b w:val="0"/>
        <w:noProof/>
        <w:sz w:val="20"/>
      </w:rPr>
      <w:fldChar w:fldCharType="end"/>
    </w:r>
  </w:p>
  <w:p w:rsidR="00451FC2" w:rsidRPr="00C16DCF" w:rsidRDefault="00451FC2" w:rsidP="00AD01E4">
    <w:pPr>
      <w:ind w:left="142" w:right="148"/>
      <w:rPr>
        <w:rFonts w:ascii="Bookman Old Style" w:hAnsi="Bookman Old Style" w:cs="Arial"/>
        <w:sz w:val="22"/>
        <w:szCs w:val="22"/>
      </w:rPr>
    </w:pPr>
    <w:r w:rsidRPr="00C16DCF">
      <w:rPr>
        <w:noProof/>
        <w:sz w:val="22"/>
        <w:szCs w:val="22"/>
        <w:lang w:val="es-CO" w:eastAsia="es-CO"/>
      </w:rPr>
      <mc:AlternateContent>
        <mc:Choice Requires="wps">
          <w:drawing>
            <wp:anchor distT="0" distB="0" distL="114300" distR="114300" simplePos="0" relativeHeight="251657216" behindDoc="0" locked="0" layoutInCell="1" allowOverlap="1" wp14:anchorId="7B0B2DEC" wp14:editId="76EDA0AE">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451FC2" w:rsidRPr="00C16DCF" w:rsidRDefault="008839D9" w:rsidP="008839D9">
    <w:pPr>
      <w:pBdr>
        <w:bottom w:val="single" w:sz="4" w:space="1" w:color="auto"/>
      </w:pBdr>
      <w:tabs>
        <w:tab w:val="left" w:pos="9356"/>
      </w:tabs>
      <w:ind w:left="0" w:right="148"/>
      <w:jc w:val="both"/>
      <w:rPr>
        <w:rFonts w:ascii="Bookman Old Style" w:hAnsi="Bookman Old Style"/>
        <w:sz w:val="21"/>
        <w:szCs w:val="21"/>
      </w:rPr>
    </w:pPr>
    <w:r w:rsidRPr="00C16DCF">
      <w:rPr>
        <w:rFonts w:ascii="Bookman Old Style" w:hAnsi="Bookman Old Style"/>
        <w:sz w:val="21"/>
        <w:szCs w:val="21"/>
      </w:rPr>
      <w:t xml:space="preserve">Por la cual </w:t>
    </w:r>
    <w:r w:rsidRPr="00C16DCF">
      <w:rPr>
        <w:rFonts w:ascii="Bookman Old Style" w:hAnsi="Bookman Old Style"/>
        <w:bCs/>
        <w:sz w:val="21"/>
        <w:szCs w:val="21"/>
        <w:lang w:val="es-CO"/>
      </w:rPr>
      <w:t xml:space="preserve">se modifica la vigencia de la </w:t>
    </w:r>
    <w:r w:rsidRPr="00C16DCF">
      <w:rPr>
        <w:rFonts w:ascii="Bookman Old Style" w:hAnsi="Bookman Old Style" w:cs="Arial"/>
        <w:sz w:val="21"/>
        <w:szCs w:val="21"/>
      </w:rPr>
      <w:t xml:space="preserve">Resolución CREG 159 de 2011 </w:t>
    </w:r>
    <w:r w:rsidRPr="00C16DCF">
      <w:rPr>
        <w:rFonts w:ascii="Bookman Old Style" w:hAnsi="Bookman Old Style"/>
        <w:bCs/>
        <w:sz w:val="21"/>
        <w:szCs w:val="21"/>
        <w:lang w:val="es-CO"/>
      </w:rPr>
      <w:t>y</w:t>
    </w:r>
    <w:r w:rsidRPr="00C16DCF">
      <w:rPr>
        <w:rFonts w:ascii="Bookman Old Style" w:hAnsi="Bookman Old Style"/>
        <w:sz w:val="21"/>
        <w:szCs w:val="21"/>
      </w:rPr>
      <w:t xml:space="preserve"> se ordena hacer público un proyecto de resolución de carácter general, “</w:t>
    </w:r>
    <w:r w:rsidRPr="00C16DCF">
      <w:rPr>
        <w:rFonts w:ascii="Bookman Old Style" w:hAnsi="Bookman Old Style" w:cs="Arial"/>
        <w:sz w:val="21"/>
        <w:szCs w:val="21"/>
      </w:rPr>
      <w:t>Por la cual se modifican algunos aspectos relacionados con las garantías establecidas en la Resolución CREG 159 de 2011</w:t>
    </w:r>
    <w:r w:rsidRPr="00C16DCF">
      <w:rPr>
        <w:rFonts w:ascii="Bookman Old Style" w:hAnsi="Bookman Old Style"/>
        <w:sz w:val="21"/>
        <w:szCs w:val="21"/>
      </w:rPr>
      <w:t>”</w:t>
    </w:r>
  </w:p>
  <w:p w:rsidR="00451FC2" w:rsidRPr="00C16DCF" w:rsidRDefault="00451FC2" w:rsidP="006E710B">
    <w:pPr>
      <w:ind w:left="142" w:right="148"/>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FC2" w:rsidRPr="00C16DCF" w:rsidRDefault="00451FC2" w:rsidP="00025383">
    <w:pPr>
      <w:pStyle w:val="Encabezado"/>
      <w:jc w:val="both"/>
      <w:rPr>
        <w:rFonts w:ascii="Arial" w:hAnsi="Arial" w:cs="Arial"/>
        <w:spacing w:val="20"/>
        <w:sz w:val="18"/>
        <w:szCs w:val="18"/>
      </w:rPr>
    </w:pPr>
    <w:r w:rsidRPr="00C16DCF">
      <w:rPr>
        <w:rFonts w:ascii="Arial" w:hAnsi="Arial" w:cs="Arial"/>
        <w:spacing w:val="20"/>
        <w:sz w:val="18"/>
        <w:szCs w:val="18"/>
      </w:rPr>
      <w:t xml:space="preserve">                                   República de Colombia</w:t>
    </w:r>
  </w:p>
  <w:p w:rsidR="00451FC2" w:rsidRPr="00C16DCF" w:rsidRDefault="00451FC2">
    <w:pPr>
      <w:pStyle w:val="Encabezado"/>
      <w:jc w:val="center"/>
      <w:rPr>
        <w:rFonts w:ascii="Arial" w:hAnsi="Arial" w:cs="Arial"/>
        <w:spacing w:val="20"/>
        <w:sz w:val="18"/>
        <w:szCs w:val="18"/>
      </w:rPr>
    </w:pPr>
  </w:p>
  <w:p w:rsidR="00451FC2" w:rsidRPr="00C16DCF" w:rsidRDefault="00451FC2" w:rsidP="00CA77FB">
    <w:pPr>
      <w:pStyle w:val="Encabezado"/>
      <w:jc w:val="center"/>
      <w:rPr>
        <w:sz w:val="22"/>
        <w:szCs w:val="22"/>
      </w:rPr>
    </w:pPr>
    <w:r w:rsidRPr="00C16DCF">
      <w:rPr>
        <w:rFonts w:ascii="Arial" w:hAnsi="Arial" w:cs="Arial"/>
        <w:noProof/>
        <w:spacing w:val="20"/>
        <w:sz w:val="18"/>
        <w:szCs w:val="18"/>
        <w:lang w:eastAsia="es-CO"/>
      </w:rPr>
      <mc:AlternateContent>
        <mc:Choice Requires="wps">
          <w:drawing>
            <wp:anchor distT="0" distB="0" distL="114300" distR="114300" simplePos="0" relativeHeight="251658240" behindDoc="0" locked="0" layoutInCell="1" allowOverlap="1" wp14:anchorId="1DF58BE4" wp14:editId="70045DC0">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6F4845"/>
    <w:multiLevelType w:val="hybridMultilevel"/>
    <w:tmpl w:val="58C61EB6"/>
    <w:lvl w:ilvl="0" w:tplc="0C0A0017">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7">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2F71DB1"/>
    <w:multiLevelType w:val="hybridMultilevel"/>
    <w:tmpl w:val="7AB031A2"/>
    <w:lvl w:ilvl="0" w:tplc="3B50D2BE">
      <w:start w:val="12"/>
      <w:numFmt w:val="bullet"/>
      <w:lvlText w:val="-"/>
      <w:lvlJc w:val="left"/>
      <w:pPr>
        <w:ind w:left="1069" w:hanging="360"/>
      </w:pPr>
      <w:rPr>
        <w:rFonts w:ascii="Bookman Old Style" w:eastAsia="Times New Roman" w:hAnsi="Bookman Old Style" w:cs="Times New Roman"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7"/>
  </w:num>
  <w:num w:numId="4">
    <w:abstractNumId w:val="4"/>
  </w:num>
  <w:num w:numId="5">
    <w:abstractNumId w:val="10"/>
  </w:num>
  <w:num w:numId="6">
    <w:abstractNumId w:val="1"/>
  </w:num>
  <w:num w:numId="7">
    <w:abstractNumId w:val="0"/>
  </w:num>
  <w:num w:numId="8">
    <w:abstractNumId w:val="13"/>
  </w:num>
  <w:num w:numId="9">
    <w:abstractNumId w:val="11"/>
  </w:num>
  <w:num w:numId="10">
    <w:abstractNumId w:val="7"/>
  </w:num>
  <w:num w:numId="11">
    <w:abstractNumId w:val="18"/>
  </w:num>
  <w:num w:numId="12">
    <w:abstractNumId w:val="14"/>
  </w:num>
  <w:num w:numId="13">
    <w:abstractNumId w:val="5"/>
  </w:num>
  <w:num w:numId="14">
    <w:abstractNumId w:val="15"/>
  </w:num>
  <w:num w:numId="15">
    <w:abstractNumId w:val="8"/>
  </w:num>
  <w:num w:numId="16">
    <w:abstractNumId w:val="16"/>
  </w:num>
  <w:num w:numId="17">
    <w:abstractNumId w:val="1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465EA"/>
    <w:rsid w:val="00063657"/>
    <w:rsid w:val="00073B6C"/>
    <w:rsid w:val="000749B7"/>
    <w:rsid w:val="00076680"/>
    <w:rsid w:val="0008073E"/>
    <w:rsid w:val="00091CDB"/>
    <w:rsid w:val="0009326E"/>
    <w:rsid w:val="000954CA"/>
    <w:rsid w:val="000A19AC"/>
    <w:rsid w:val="000B1FCD"/>
    <w:rsid w:val="000D26F8"/>
    <w:rsid w:val="000D3F11"/>
    <w:rsid w:val="000D5740"/>
    <w:rsid w:val="000D7A27"/>
    <w:rsid w:val="000E0FC4"/>
    <w:rsid w:val="000E4B55"/>
    <w:rsid w:val="000F06E6"/>
    <w:rsid w:val="000F2918"/>
    <w:rsid w:val="00103215"/>
    <w:rsid w:val="00106ADE"/>
    <w:rsid w:val="00112EEE"/>
    <w:rsid w:val="00127A25"/>
    <w:rsid w:val="0013134B"/>
    <w:rsid w:val="001367C1"/>
    <w:rsid w:val="001405C6"/>
    <w:rsid w:val="00141013"/>
    <w:rsid w:val="00190BA7"/>
    <w:rsid w:val="00192CBF"/>
    <w:rsid w:val="00192FF1"/>
    <w:rsid w:val="0019387C"/>
    <w:rsid w:val="001A39E6"/>
    <w:rsid w:val="001A5F1B"/>
    <w:rsid w:val="001B1C22"/>
    <w:rsid w:val="001B34C6"/>
    <w:rsid w:val="001C65CE"/>
    <w:rsid w:val="001D050F"/>
    <w:rsid w:val="001D2F0E"/>
    <w:rsid w:val="001D340A"/>
    <w:rsid w:val="001D7832"/>
    <w:rsid w:val="001E219B"/>
    <w:rsid w:val="001F3BD3"/>
    <w:rsid w:val="00211D34"/>
    <w:rsid w:val="00214F04"/>
    <w:rsid w:val="00216A94"/>
    <w:rsid w:val="00217D69"/>
    <w:rsid w:val="002220A3"/>
    <w:rsid w:val="00224BCD"/>
    <w:rsid w:val="002367B8"/>
    <w:rsid w:val="002478FA"/>
    <w:rsid w:val="002507A7"/>
    <w:rsid w:val="002626C1"/>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6394B"/>
    <w:rsid w:val="00363D4F"/>
    <w:rsid w:val="00364570"/>
    <w:rsid w:val="003709B5"/>
    <w:rsid w:val="003722BC"/>
    <w:rsid w:val="003759C2"/>
    <w:rsid w:val="0037753D"/>
    <w:rsid w:val="00385020"/>
    <w:rsid w:val="003879EC"/>
    <w:rsid w:val="003945E8"/>
    <w:rsid w:val="00397365"/>
    <w:rsid w:val="003A31F6"/>
    <w:rsid w:val="003A75C1"/>
    <w:rsid w:val="003B6435"/>
    <w:rsid w:val="003C3447"/>
    <w:rsid w:val="003D076C"/>
    <w:rsid w:val="003D42DE"/>
    <w:rsid w:val="003F793E"/>
    <w:rsid w:val="0040096F"/>
    <w:rsid w:val="004058B1"/>
    <w:rsid w:val="00407D54"/>
    <w:rsid w:val="00413642"/>
    <w:rsid w:val="0041407C"/>
    <w:rsid w:val="00415BAB"/>
    <w:rsid w:val="00415ED2"/>
    <w:rsid w:val="0042068C"/>
    <w:rsid w:val="0045054F"/>
    <w:rsid w:val="00450E1D"/>
    <w:rsid w:val="00451FC2"/>
    <w:rsid w:val="00457B8C"/>
    <w:rsid w:val="0047122B"/>
    <w:rsid w:val="00473B7A"/>
    <w:rsid w:val="0047623D"/>
    <w:rsid w:val="004766AB"/>
    <w:rsid w:val="004960E9"/>
    <w:rsid w:val="004A2E88"/>
    <w:rsid w:val="004A5305"/>
    <w:rsid w:val="004A7114"/>
    <w:rsid w:val="004A7B26"/>
    <w:rsid w:val="004B2297"/>
    <w:rsid w:val="004B6AEE"/>
    <w:rsid w:val="004D39D4"/>
    <w:rsid w:val="004D7634"/>
    <w:rsid w:val="004E0AE2"/>
    <w:rsid w:val="004E37FB"/>
    <w:rsid w:val="005017C9"/>
    <w:rsid w:val="005070F9"/>
    <w:rsid w:val="0051403F"/>
    <w:rsid w:val="00514F93"/>
    <w:rsid w:val="005300D3"/>
    <w:rsid w:val="00531349"/>
    <w:rsid w:val="00544F82"/>
    <w:rsid w:val="0054526E"/>
    <w:rsid w:val="00553DCF"/>
    <w:rsid w:val="00577827"/>
    <w:rsid w:val="00586464"/>
    <w:rsid w:val="00593184"/>
    <w:rsid w:val="00593C4F"/>
    <w:rsid w:val="005946A8"/>
    <w:rsid w:val="005A248A"/>
    <w:rsid w:val="005A4407"/>
    <w:rsid w:val="005A59EF"/>
    <w:rsid w:val="005B7CBC"/>
    <w:rsid w:val="00604ED3"/>
    <w:rsid w:val="00605AFE"/>
    <w:rsid w:val="00615D63"/>
    <w:rsid w:val="00622144"/>
    <w:rsid w:val="00625DC6"/>
    <w:rsid w:val="006341A9"/>
    <w:rsid w:val="006438E6"/>
    <w:rsid w:val="00644260"/>
    <w:rsid w:val="0064774B"/>
    <w:rsid w:val="00647A0D"/>
    <w:rsid w:val="00651821"/>
    <w:rsid w:val="00654384"/>
    <w:rsid w:val="006675CD"/>
    <w:rsid w:val="00671194"/>
    <w:rsid w:val="00677344"/>
    <w:rsid w:val="00684D9B"/>
    <w:rsid w:val="00685B83"/>
    <w:rsid w:val="00697556"/>
    <w:rsid w:val="00697E16"/>
    <w:rsid w:val="006A1075"/>
    <w:rsid w:val="006A5016"/>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1F"/>
    <w:rsid w:val="006F6D95"/>
    <w:rsid w:val="007032B9"/>
    <w:rsid w:val="00706F13"/>
    <w:rsid w:val="007072E8"/>
    <w:rsid w:val="0071618D"/>
    <w:rsid w:val="00716CD2"/>
    <w:rsid w:val="00722435"/>
    <w:rsid w:val="007258CD"/>
    <w:rsid w:val="00725FA4"/>
    <w:rsid w:val="00740446"/>
    <w:rsid w:val="007438A9"/>
    <w:rsid w:val="0074491E"/>
    <w:rsid w:val="00747BF4"/>
    <w:rsid w:val="007501F8"/>
    <w:rsid w:val="00754C05"/>
    <w:rsid w:val="00754E00"/>
    <w:rsid w:val="00772476"/>
    <w:rsid w:val="00775964"/>
    <w:rsid w:val="00795BFB"/>
    <w:rsid w:val="007B2760"/>
    <w:rsid w:val="007B3029"/>
    <w:rsid w:val="007B7FED"/>
    <w:rsid w:val="007C3378"/>
    <w:rsid w:val="007E653B"/>
    <w:rsid w:val="007F5C80"/>
    <w:rsid w:val="00806C01"/>
    <w:rsid w:val="008148CC"/>
    <w:rsid w:val="0081540B"/>
    <w:rsid w:val="008211A4"/>
    <w:rsid w:val="008475D6"/>
    <w:rsid w:val="00847BD0"/>
    <w:rsid w:val="00853C27"/>
    <w:rsid w:val="0085500E"/>
    <w:rsid w:val="00862266"/>
    <w:rsid w:val="0086401C"/>
    <w:rsid w:val="00873150"/>
    <w:rsid w:val="0087657D"/>
    <w:rsid w:val="008801B9"/>
    <w:rsid w:val="008807D5"/>
    <w:rsid w:val="00880832"/>
    <w:rsid w:val="008839D9"/>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E73E9"/>
    <w:rsid w:val="008F21F6"/>
    <w:rsid w:val="0091040D"/>
    <w:rsid w:val="00912226"/>
    <w:rsid w:val="00913068"/>
    <w:rsid w:val="009421C9"/>
    <w:rsid w:val="00951F79"/>
    <w:rsid w:val="0095467A"/>
    <w:rsid w:val="009627D4"/>
    <w:rsid w:val="00974AB5"/>
    <w:rsid w:val="00983AF8"/>
    <w:rsid w:val="0098706D"/>
    <w:rsid w:val="00993534"/>
    <w:rsid w:val="009935FB"/>
    <w:rsid w:val="00996CE7"/>
    <w:rsid w:val="00996FC9"/>
    <w:rsid w:val="009B38DB"/>
    <w:rsid w:val="009D6F14"/>
    <w:rsid w:val="009E491E"/>
    <w:rsid w:val="009F4A54"/>
    <w:rsid w:val="009F4BEC"/>
    <w:rsid w:val="009F6B61"/>
    <w:rsid w:val="00A03BF8"/>
    <w:rsid w:val="00A0697B"/>
    <w:rsid w:val="00A25FD7"/>
    <w:rsid w:val="00A32091"/>
    <w:rsid w:val="00A34981"/>
    <w:rsid w:val="00A35D3E"/>
    <w:rsid w:val="00A43AFF"/>
    <w:rsid w:val="00A534E6"/>
    <w:rsid w:val="00A537F8"/>
    <w:rsid w:val="00A7793A"/>
    <w:rsid w:val="00A812C7"/>
    <w:rsid w:val="00A8397B"/>
    <w:rsid w:val="00AA5F12"/>
    <w:rsid w:val="00AB10DA"/>
    <w:rsid w:val="00AB6CA7"/>
    <w:rsid w:val="00AD01E4"/>
    <w:rsid w:val="00AD0858"/>
    <w:rsid w:val="00AE7340"/>
    <w:rsid w:val="00AE74BE"/>
    <w:rsid w:val="00AF1BBD"/>
    <w:rsid w:val="00AF219D"/>
    <w:rsid w:val="00B10207"/>
    <w:rsid w:val="00B141E7"/>
    <w:rsid w:val="00B24F17"/>
    <w:rsid w:val="00B403DB"/>
    <w:rsid w:val="00B46BCA"/>
    <w:rsid w:val="00B47BE4"/>
    <w:rsid w:val="00B87806"/>
    <w:rsid w:val="00B87EC9"/>
    <w:rsid w:val="00BA215B"/>
    <w:rsid w:val="00BC38FD"/>
    <w:rsid w:val="00BC3AC0"/>
    <w:rsid w:val="00BC5DB4"/>
    <w:rsid w:val="00C034CB"/>
    <w:rsid w:val="00C047D3"/>
    <w:rsid w:val="00C051A8"/>
    <w:rsid w:val="00C054BC"/>
    <w:rsid w:val="00C06FB3"/>
    <w:rsid w:val="00C15B75"/>
    <w:rsid w:val="00C16DCF"/>
    <w:rsid w:val="00C17897"/>
    <w:rsid w:val="00C2175A"/>
    <w:rsid w:val="00C35E8B"/>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1560"/>
    <w:rsid w:val="00D14C94"/>
    <w:rsid w:val="00D221D6"/>
    <w:rsid w:val="00D22D7D"/>
    <w:rsid w:val="00D342A6"/>
    <w:rsid w:val="00D464BF"/>
    <w:rsid w:val="00D50ED9"/>
    <w:rsid w:val="00D510DE"/>
    <w:rsid w:val="00D53E26"/>
    <w:rsid w:val="00D60F0E"/>
    <w:rsid w:val="00D66276"/>
    <w:rsid w:val="00D8167B"/>
    <w:rsid w:val="00D93760"/>
    <w:rsid w:val="00D979C4"/>
    <w:rsid w:val="00DB370A"/>
    <w:rsid w:val="00DC12BD"/>
    <w:rsid w:val="00DD43AA"/>
    <w:rsid w:val="00DD4F0E"/>
    <w:rsid w:val="00DD6802"/>
    <w:rsid w:val="00E05E0A"/>
    <w:rsid w:val="00E172A5"/>
    <w:rsid w:val="00E40A2D"/>
    <w:rsid w:val="00E42972"/>
    <w:rsid w:val="00E50CC8"/>
    <w:rsid w:val="00E534CF"/>
    <w:rsid w:val="00E56F40"/>
    <w:rsid w:val="00E63CD9"/>
    <w:rsid w:val="00E81CB4"/>
    <w:rsid w:val="00E8585B"/>
    <w:rsid w:val="00E901DA"/>
    <w:rsid w:val="00EA3F15"/>
    <w:rsid w:val="00EA42DE"/>
    <w:rsid w:val="00EA6857"/>
    <w:rsid w:val="00EA7847"/>
    <w:rsid w:val="00EB4CE1"/>
    <w:rsid w:val="00EB63CE"/>
    <w:rsid w:val="00EC2F35"/>
    <w:rsid w:val="00EC4D7D"/>
    <w:rsid w:val="00ED08DC"/>
    <w:rsid w:val="00EE2E6E"/>
    <w:rsid w:val="00EE5AC7"/>
    <w:rsid w:val="00EF31C6"/>
    <w:rsid w:val="00F00D67"/>
    <w:rsid w:val="00F00F6E"/>
    <w:rsid w:val="00F04AEC"/>
    <w:rsid w:val="00F0759E"/>
    <w:rsid w:val="00F41A73"/>
    <w:rsid w:val="00F47DAC"/>
    <w:rsid w:val="00F63C8B"/>
    <w:rsid w:val="00F67881"/>
    <w:rsid w:val="00F80BDE"/>
    <w:rsid w:val="00F811BA"/>
    <w:rsid w:val="00F815DB"/>
    <w:rsid w:val="00F821A3"/>
    <w:rsid w:val="00F9314A"/>
    <w:rsid w:val="00FA033F"/>
    <w:rsid w:val="00FB6E6E"/>
    <w:rsid w:val="00FC267E"/>
    <w:rsid w:val="00FC58EF"/>
    <w:rsid w:val="00FC5D20"/>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D1156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paragraph" w:styleId="Revisin">
    <w:name w:val="Revision"/>
    <w:hidden/>
    <w:uiPriority w:val="99"/>
    <w:semiHidden/>
    <w:rsid w:val="000F06E6"/>
    <w:rPr>
      <w:sz w:val="24"/>
      <w:szCs w:val="24"/>
    </w:rPr>
  </w:style>
  <w:style w:type="paragraph" w:customStyle="1" w:styleId="Estilo2">
    <w:name w:val="Estilo2"/>
    <w:basedOn w:val="Estilo1"/>
    <w:link w:val="Estilo2Car"/>
    <w:rsid w:val="000F06E6"/>
    <w:pPr>
      <w:keepNext/>
      <w:widowControl w:val="0"/>
      <w:shd w:val="clear" w:color="auto" w:fill="auto"/>
      <w:tabs>
        <w:tab w:val="num" w:pos="1440"/>
      </w:tabs>
      <w:adjustRightInd w:val="0"/>
      <w:ind w:left="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0F06E6"/>
    <w:rPr>
      <w:rFonts w:ascii="Bookman Old Style" w:hAnsi="Bookman Old Style"/>
      <w:b/>
      <w:bCs/>
      <w:sz w:val="24"/>
      <w:szCs w:val="24"/>
      <w:lang w:eastAsia="ar-SA"/>
    </w:rPr>
  </w:style>
  <w:style w:type="character" w:styleId="Textodelmarcadordeposicin">
    <w:name w:val="Placeholder Text"/>
    <w:basedOn w:val="Fuentedeprrafopredeter"/>
    <w:uiPriority w:val="99"/>
    <w:semiHidden/>
    <w:rsid w:val="00E50CC8"/>
    <w:rPr>
      <w:color w:val="808080"/>
    </w:rPr>
  </w:style>
  <w:style w:type="character" w:customStyle="1" w:styleId="Ttulo7Car">
    <w:name w:val="Título 7 Car"/>
    <w:basedOn w:val="Fuentedeprrafopredeter"/>
    <w:link w:val="Ttulo7"/>
    <w:uiPriority w:val="9"/>
    <w:semiHidden/>
    <w:rsid w:val="00D11560"/>
    <w:rPr>
      <w:rFonts w:asciiTheme="majorHAnsi" w:eastAsiaTheme="majorEastAsia" w:hAnsiTheme="majorHAnsi" w:cstheme="majorBidi"/>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D1156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paragraph" w:styleId="Revisin">
    <w:name w:val="Revision"/>
    <w:hidden/>
    <w:uiPriority w:val="99"/>
    <w:semiHidden/>
    <w:rsid w:val="000F06E6"/>
    <w:rPr>
      <w:sz w:val="24"/>
      <w:szCs w:val="24"/>
    </w:rPr>
  </w:style>
  <w:style w:type="paragraph" w:customStyle="1" w:styleId="Estilo2">
    <w:name w:val="Estilo2"/>
    <w:basedOn w:val="Estilo1"/>
    <w:link w:val="Estilo2Car"/>
    <w:rsid w:val="000F06E6"/>
    <w:pPr>
      <w:keepNext/>
      <w:widowControl w:val="0"/>
      <w:shd w:val="clear" w:color="auto" w:fill="auto"/>
      <w:tabs>
        <w:tab w:val="num" w:pos="1440"/>
      </w:tabs>
      <w:adjustRightInd w:val="0"/>
      <w:ind w:left="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0F06E6"/>
    <w:rPr>
      <w:rFonts w:ascii="Bookman Old Style" w:hAnsi="Bookman Old Style"/>
      <w:b/>
      <w:bCs/>
      <w:sz w:val="24"/>
      <w:szCs w:val="24"/>
      <w:lang w:eastAsia="ar-SA"/>
    </w:rPr>
  </w:style>
  <w:style w:type="character" w:styleId="Textodelmarcadordeposicin">
    <w:name w:val="Placeholder Text"/>
    <w:basedOn w:val="Fuentedeprrafopredeter"/>
    <w:uiPriority w:val="99"/>
    <w:semiHidden/>
    <w:rsid w:val="00E50CC8"/>
    <w:rPr>
      <w:color w:val="808080"/>
    </w:rPr>
  </w:style>
  <w:style w:type="character" w:customStyle="1" w:styleId="Ttulo7Car">
    <w:name w:val="Título 7 Car"/>
    <w:basedOn w:val="Fuentedeprrafopredeter"/>
    <w:link w:val="Ttulo7"/>
    <w:uiPriority w:val="9"/>
    <w:semiHidden/>
    <w:rsid w:val="00D11560"/>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eg@creg.gov.c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D20BC-D2C4-4D62-93DE-A1C50A80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2205</Words>
  <Characters>11200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2015-10-16T14:53:00Z</cp:lastPrinted>
  <dcterms:created xsi:type="dcterms:W3CDTF">2015-10-19T22:34:00Z</dcterms:created>
  <dcterms:modified xsi:type="dcterms:W3CDTF">2015-10-19T22:34:00Z</dcterms:modified>
</cp:coreProperties>
</file>