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D03800" w:rsidRDefault="00054517" w:rsidP="007072E8">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71384432" r:id="rId10"/>
        </w:pict>
      </w:r>
    </w:p>
    <w:p w:rsidR="00625DC6" w:rsidRPr="00D03800" w:rsidRDefault="00625DC6" w:rsidP="007072E8">
      <w:pPr>
        <w:pStyle w:val="Encabezado"/>
        <w:tabs>
          <w:tab w:val="clear" w:pos="8504"/>
          <w:tab w:val="left" w:pos="0"/>
          <w:tab w:val="right" w:pos="9356"/>
        </w:tabs>
        <w:ind w:left="0"/>
        <w:jc w:val="both"/>
        <w:rPr>
          <w:rFonts w:ascii="Bookman Old Style" w:hAnsi="Bookman Old Style"/>
          <w:szCs w:val="24"/>
        </w:rPr>
      </w:pPr>
    </w:p>
    <w:p w:rsidR="00CA77FB" w:rsidRPr="00D03800" w:rsidRDefault="00CA77FB" w:rsidP="007072E8">
      <w:pPr>
        <w:pStyle w:val="Ttulo4"/>
        <w:tabs>
          <w:tab w:val="left" w:pos="0"/>
          <w:tab w:val="right" w:pos="9356"/>
        </w:tabs>
        <w:ind w:left="0"/>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rsidR="00CA77FB" w:rsidRPr="00D03800" w:rsidRDefault="00CA77FB" w:rsidP="007072E8">
      <w:pPr>
        <w:pStyle w:val="Ttulo4"/>
        <w:tabs>
          <w:tab w:val="left" w:pos="0"/>
          <w:tab w:val="right" w:pos="9356"/>
        </w:tabs>
        <w:ind w:left="0"/>
        <w:rPr>
          <w:rFonts w:ascii="Bookman Old Style" w:hAnsi="Bookman Old Style"/>
          <w:b w:val="0"/>
          <w:bCs/>
          <w:sz w:val="24"/>
          <w:szCs w:val="24"/>
        </w:rPr>
      </w:pPr>
    </w:p>
    <w:p w:rsidR="00CA77FB" w:rsidRPr="00397365" w:rsidRDefault="00B832C9" w:rsidP="007072E8">
      <w:pPr>
        <w:pStyle w:val="Ttulo3"/>
        <w:tabs>
          <w:tab w:val="left" w:pos="0"/>
          <w:tab w:val="right" w:pos="9356"/>
        </w:tabs>
        <w:ind w:left="0"/>
        <w:rPr>
          <w:rFonts w:ascii="Bookman Old Style" w:hAnsi="Bookman Old Style" w:cs="Arial"/>
          <w:spacing w:val="20"/>
          <w:szCs w:val="24"/>
        </w:rPr>
      </w:pPr>
      <w:r>
        <w:rPr>
          <w:rFonts w:ascii="Bookman Old Style" w:hAnsi="Bookman Old Style" w:cs="Arial"/>
          <w:spacing w:val="20"/>
          <w:szCs w:val="24"/>
        </w:rPr>
        <w:t>COMISIÓN DE REGULACIÓN DE ENERGÍA Y GAS -CREG-</w:t>
      </w:r>
    </w:p>
    <w:p w:rsidR="00CA77FB" w:rsidRPr="00397365" w:rsidRDefault="00CA77FB" w:rsidP="007072E8">
      <w:pPr>
        <w:pStyle w:val="Ttulo5"/>
        <w:tabs>
          <w:tab w:val="left" w:pos="0"/>
          <w:tab w:val="right" w:pos="9356"/>
        </w:tabs>
        <w:ind w:left="0"/>
        <w:rPr>
          <w:rFonts w:ascii="Bookman Old Style" w:hAnsi="Bookman Old Style"/>
          <w:sz w:val="24"/>
          <w:szCs w:val="24"/>
        </w:rPr>
      </w:pPr>
    </w:p>
    <w:p w:rsidR="00CA77FB" w:rsidRPr="00397365" w:rsidRDefault="00CA77FB" w:rsidP="007072E8">
      <w:pPr>
        <w:pStyle w:val="Ttulo5"/>
        <w:tabs>
          <w:tab w:val="left" w:pos="0"/>
          <w:tab w:val="right" w:pos="9356"/>
        </w:tabs>
        <w:ind w:left="0"/>
        <w:rPr>
          <w:rFonts w:ascii="Bookman Old Style" w:hAnsi="Bookman Old Style"/>
          <w:sz w:val="24"/>
          <w:szCs w:val="24"/>
        </w:rPr>
      </w:pPr>
    </w:p>
    <w:p w:rsidR="00CA77FB" w:rsidRPr="00397365" w:rsidRDefault="00CA77FB" w:rsidP="007072E8">
      <w:pPr>
        <w:pStyle w:val="Ttulo5"/>
        <w:tabs>
          <w:tab w:val="left" w:pos="0"/>
          <w:tab w:val="right" w:pos="9356"/>
        </w:tabs>
        <w:ind w:left="0"/>
        <w:rPr>
          <w:rFonts w:ascii="Bookman Old Style" w:hAnsi="Bookman Old Style"/>
          <w:sz w:val="24"/>
          <w:szCs w:val="24"/>
        </w:rPr>
      </w:pPr>
      <w:r w:rsidRPr="00397365">
        <w:rPr>
          <w:rFonts w:ascii="Bookman Old Style" w:hAnsi="Bookman Old Style"/>
          <w:sz w:val="24"/>
          <w:szCs w:val="24"/>
        </w:rPr>
        <w:t xml:space="preserve">RESOLUCIÓN No. </w:t>
      </w:r>
      <w:r w:rsidR="00795BFB" w:rsidRPr="00397365">
        <w:rPr>
          <w:rFonts w:ascii="Bookman Old Style" w:hAnsi="Bookman Old Style"/>
          <w:sz w:val="24"/>
          <w:szCs w:val="24"/>
        </w:rPr>
        <w:t xml:space="preserve">                  </w:t>
      </w:r>
      <w:r w:rsidRPr="00397365">
        <w:rPr>
          <w:rFonts w:ascii="Bookman Old Style" w:hAnsi="Bookman Old Style"/>
          <w:sz w:val="24"/>
          <w:szCs w:val="24"/>
        </w:rPr>
        <w:t>DE 20</w:t>
      </w:r>
      <w:r w:rsidR="00795BFB" w:rsidRPr="00397365">
        <w:rPr>
          <w:rFonts w:ascii="Bookman Old Style" w:hAnsi="Bookman Old Style"/>
          <w:sz w:val="24"/>
          <w:szCs w:val="24"/>
        </w:rPr>
        <w:t>1</w:t>
      </w:r>
      <w:r w:rsidR="00552B00">
        <w:rPr>
          <w:rFonts w:ascii="Bookman Old Style" w:hAnsi="Bookman Old Style"/>
          <w:sz w:val="24"/>
          <w:szCs w:val="24"/>
        </w:rPr>
        <w:t>1</w:t>
      </w:r>
    </w:p>
    <w:p w:rsidR="00CA77FB" w:rsidRPr="00D03800" w:rsidRDefault="00CA77FB" w:rsidP="007072E8">
      <w:pPr>
        <w:tabs>
          <w:tab w:val="left" w:pos="0"/>
          <w:tab w:val="right" w:pos="9356"/>
        </w:tabs>
        <w:ind w:left="0"/>
        <w:jc w:val="center"/>
        <w:rPr>
          <w:rFonts w:ascii="Bookman Old Style" w:hAnsi="Bookman Old Style" w:cs="Arial"/>
          <w:b/>
          <w:snapToGrid w:val="0"/>
          <w:color w:val="000000"/>
          <w:lang w:val="es-ES_tradnl"/>
        </w:rPr>
      </w:pPr>
    </w:p>
    <w:p w:rsidR="00CA77FB" w:rsidRPr="00D03800" w:rsidRDefault="00CA77FB" w:rsidP="007072E8">
      <w:pPr>
        <w:pStyle w:val="Ttulo3"/>
        <w:tabs>
          <w:tab w:val="left" w:pos="0"/>
          <w:tab w:val="right" w:pos="9356"/>
        </w:tabs>
        <w:ind w:left="0"/>
        <w:rPr>
          <w:rFonts w:ascii="Bookman Old Style" w:hAnsi="Bookman Old Style"/>
          <w:b w:val="0"/>
          <w:szCs w:val="24"/>
        </w:rPr>
      </w:pPr>
      <w:r w:rsidRPr="00D03800">
        <w:rPr>
          <w:rFonts w:ascii="Bookman Old Style" w:hAnsi="Bookman Old Style"/>
          <w:b w:val="0"/>
          <w:szCs w:val="24"/>
        </w:rPr>
        <w:t>(                                  )</w:t>
      </w:r>
    </w:p>
    <w:p w:rsidR="00CA77FB" w:rsidRPr="00D03800" w:rsidRDefault="00CA77FB" w:rsidP="007072E8">
      <w:pPr>
        <w:tabs>
          <w:tab w:val="left" w:pos="0"/>
          <w:tab w:val="right" w:pos="9356"/>
        </w:tabs>
        <w:ind w:left="0"/>
        <w:jc w:val="center"/>
        <w:rPr>
          <w:rFonts w:ascii="Bookman Old Style" w:hAnsi="Bookman Old Style"/>
          <w:lang w:val="es-ES_tradnl"/>
        </w:rPr>
      </w:pPr>
    </w:p>
    <w:p w:rsidR="00C034CB" w:rsidRPr="00221A14" w:rsidRDefault="00C034CB" w:rsidP="007072E8">
      <w:pPr>
        <w:ind w:left="0"/>
        <w:rPr>
          <w:rFonts w:ascii="Bookman Old Style" w:hAnsi="Bookman Old Style"/>
          <w:bCs/>
          <w:lang w:val="es-CO"/>
        </w:rPr>
      </w:pPr>
    </w:p>
    <w:p w:rsidR="00C034CB" w:rsidRPr="00CD5AF2" w:rsidRDefault="00C034CB" w:rsidP="007072E8">
      <w:pPr>
        <w:pStyle w:val="Sinespaciado"/>
        <w:jc w:val="both"/>
        <w:rPr>
          <w:rFonts w:ascii="Bookman Old Style" w:hAnsi="Bookman Old Style" w:cs="Arial"/>
          <w:b/>
          <w:sz w:val="24"/>
          <w:szCs w:val="24"/>
        </w:rPr>
      </w:pPr>
    </w:p>
    <w:p w:rsidR="00C051A8" w:rsidRPr="00E65BFE" w:rsidRDefault="00796B49" w:rsidP="00796B49">
      <w:pPr>
        <w:ind w:left="227" w:right="-737"/>
        <w:jc w:val="center"/>
        <w:rPr>
          <w:rFonts w:ascii="Bookman Old Style" w:hAnsi="Bookman Old Style"/>
        </w:rPr>
      </w:pPr>
      <w:r w:rsidRPr="00E65BFE">
        <w:rPr>
          <w:rFonts w:ascii="Bookman Old Style" w:hAnsi="Bookman Old Style"/>
        </w:rPr>
        <w:t>Por</w:t>
      </w:r>
      <w:r w:rsidR="00CD5AF2" w:rsidRPr="00E65BFE">
        <w:rPr>
          <w:rFonts w:ascii="Bookman Old Style" w:hAnsi="Bookman Old Style"/>
        </w:rPr>
        <w:t xml:space="preserve"> medio de la cual </w:t>
      </w:r>
      <w:r w:rsidRPr="00E65BFE">
        <w:rPr>
          <w:rFonts w:ascii="Bookman Old Style" w:hAnsi="Bookman Old Style"/>
        </w:rPr>
        <w:t>se resuelve un recurso de reposición</w:t>
      </w:r>
    </w:p>
    <w:p w:rsidR="00C051A8" w:rsidRDefault="00C051A8" w:rsidP="00C051A8">
      <w:pPr>
        <w:ind w:left="227" w:right="-454"/>
        <w:jc w:val="both"/>
        <w:rPr>
          <w:sz w:val="23"/>
        </w:rPr>
      </w:pPr>
    </w:p>
    <w:p w:rsidR="00C051A8" w:rsidRDefault="00C051A8" w:rsidP="00C051A8">
      <w:pPr>
        <w:ind w:left="170" w:right="-454"/>
        <w:jc w:val="both"/>
        <w:rPr>
          <w:sz w:val="23"/>
        </w:rPr>
      </w:pPr>
    </w:p>
    <w:p w:rsidR="00C051A8" w:rsidRDefault="00C051A8" w:rsidP="00C051A8">
      <w:pPr>
        <w:ind w:left="170" w:right="-454"/>
        <w:jc w:val="both"/>
        <w:rPr>
          <w:b/>
          <w:sz w:val="23"/>
        </w:rPr>
      </w:pPr>
    </w:p>
    <w:p w:rsidR="00C051A8" w:rsidRPr="00C051A8" w:rsidRDefault="00C051A8" w:rsidP="00C051A8">
      <w:pPr>
        <w:ind w:left="170" w:right="-454"/>
        <w:jc w:val="center"/>
        <w:rPr>
          <w:rFonts w:ascii="Bookman Old Style" w:hAnsi="Bookman Old Style"/>
          <w:b/>
        </w:rPr>
      </w:pPr>
      <w:r w:rsidRPr="00C051A8">
        <w:rPr>
          <w:rFonts w:ascii="Bookman Old Style" w:hAnsi="Bookman Old Style"/>
          <w:b/>
        </w:rPr>
        <w:t xml:space="preserve">LA </w:t>
      </w:r>
      <w:r w:rsidR="00B832C9">
        <w:rPr>
          <w:rFonts w:ascii="Bookman Old Style" w:hAnsi="Bookman Old Style"/>
          <w:b/>
        </w:rPr>
        <w:t>COMISIÓN DE REGULACIÓN DE ENERGÍA Y GAS -CREG-</w:t>
      </w:r>
    </w:p>
    <w:p w:rsidR="00C051A8" w:rsidRPr="00C051A8" w:rsidRDefault="00C051A8" w:rsidP="00C051A8">
      <w:pPr>
        <w:ind w:left="170" w:right="-454"/>
        <w:jc w:val="both"/>
        <w:rPr>
          <w:rFonts w:ascii="Bookman Old Style" w:hAnsi="Bookman Old Style"/>
        </w:rPr>
      </w:pPr>
    </w:p>
    <w:p w:rsidR="00C051A8" w:rsidRPr="00C051A8" w:rsidRDefault="00C051A8" w:rsidP="00C051A8">
      <w:pPr>
        <w:ind w:left="170" w:right="-454"/>
        <w:jc w:val="both"/>
        <w:rPr>
          <w:rFonts w:ascii="Bookman Old Style" w:hAnsi="Bookman Old Style"/>
        </w:rPr>
      </w:pPr>
    </w:p>
    <w:p w:rsidR="00C051A8" w:rsidRPr="00C051A8" w:rsidRDefault="00796B49" w:rsidP="00C051A8">
      <w:pPr>
        <w:ind w:left="170"/>
        <w:jc w:val="both"/>
        <w:rPr>
          <w:rFonts w:ascii="Bookman Old Style" w:hAnsi="Bookman Old Style"/>
        </w:rPr>
      </w:pPr>
      <w:r w:rsidRPr="00C051A8">
        <w:rPr>
          <w:rFonts w:ascii="Bookman Old Style" w:hAnsi="Bookman Old Style"/>
        </w:rPr>
        <w:t>En</w:t>
      </w:r>
      <w:r w:rsidR="00C051A8" w:rsidRPr="00C051A8">
        <w:rPr>
          <w:rFonts w:ascii="Bookman Old Style" w:hAnsi="Bookman Old Style"/>
        </w:rPr>
        <w:t xml:space="preserve"> uso de sus facultades legales, en especial las conferidas por la Ley 142 de 1994, y en desarrollo de los decretos 1524 y 2253 de 1994, y</w:t>
      </w:r>
    </w:p>
    <w:p w:rsidR="00C051A8" w:rsidRPr="00C051A8" w:rsidRDefault="00C051A8" w:rsidP="00F763C8">
      <w:pPr>
        <w:ind w:left="0" w:right="-454"/>
        <w:jc w:val="both"/>
        <w:rPr>
          <w:rFonts w:ascii="Bookman Old Style" w:hAnsi="Bookman Old Style"/>
        </w:rPr>
      </w:pPr>
    </w:p>
    <w:p w:rsidR="00C051A8" w:rsidRPr="00C051A8" w:rsidRDefault="00C051A8" w:rsidP="00C051A8">
      <w:pPr>
        <w:ind w:left="170" w:right="-454"/>
        <w:jc w:val="both"/>
        <w:rPr>
          <w:rFonts w:ascii="Bookman Old Style" w:hAnsi="Bookman Old Style"/>
        </w:rPr>
      </w:pPr>
    </w:p>
    <w:p w:rsidR="00C051A8" w:rsidRPr="00F763C8" w:rsidRDefault="00C051A8" w:rsidP="00F763C8">
      <w:pPr>
        <w:tabs>
          <w:tab w:val="center" w:pos="4512"/>
        </w:tabs>
        <w:suppressAutoHyphens/>
        <w:ind w:left="170" w:right="-454"/>
        <w:jc w:val="center"/>
        <w:rPr>
          <w:rFonts w:ascii="Bookman Old Style" w:hAnsi="Bookman Old Style"/>
          <w:b/>
          <w:spacing w:val="-3"/>
        </w:rPr>
      </w:pPr>
      <w:r w:rsidRPr="00C051A8">
        <w:rPr>
          <w:rFonts w:ascii="Bookman Old Style" w:hAnsi="Bookman Old Style"/>
          <w:b/>
          <w:spacing w:val="-3"/>
        </w:rPr>
        <w:t>C O N S I D E R A N D O:</w:t>
      </w:r>
    </w:p>
    <w:p w:rsidR="004A63E2" w:rsidRPr="00C051A8" w:rsidRDefault="004A63E2" w:rsidP="008F3D28">
      <w:pPr>
        <w:ind w:left="0"/>
        <w:jc w:val="both"/>
        <w:rPr>
          <w:rFonts w:ascii="Bookman Old Style" w:hAnsi="Bookman Old Style"/>
        </w:rPr>
      </w:pPr>
    </w:p>
    <w:p w:rsidR="00796B49" w:rsidRPr="00F763C8" w:rsidRDefault="00796B49" w:rsidP="00F763C8">
      <w:pPr>
        <w:ind w:left="0"/>
        <w:jc w:val="both"/>
        <w:rPr>
          <w:rFonts w:ascii="Bookman Old Style" w:hAnsi="Bookman Old Style" w:cs="Arial"/>
        </w:rPr>
      </w:pPr>
      <w:r w:rsidRPr="00F763C8">
        <w:rPr>
          <w:rFonts w:ascii="Bookman Old Style" w:hAnsi="Bookman Old Style" w:cs="Arial"/>
        </w:rPr>
        <w:t xml:space="preserve">Que la </w:t>
      </w:r>
      <w:r w:rsidR="00B832C9">
        <w:rPr>
          <w:rFonts w:ascii="Bookman Old Style" w:hAnsi="Bookman Old Style" w:cs="Arial"/>
        </w:rPr>
        <w:t>Comisión de Regulación de Energía y Gas -CREG-</w:t>
      </w:r>
      <w:r w:rsidRPr="00F763C8">
        <w:rPr>
          <w:rFonts w:ascii="Bookman Old Style" w:hAnsi="Bookman Old Style" w:cs="Arial"/>
        </w:rPr>
        <w:t xml:space="preserve"> tiene a su cargo la liquidación del monto de la contribución que se aplica a cada una de las entidades </w:t>
      </w:r>
      <w:r w:rsidR="00687C56" w:rsidRPr="00F763C8">
        <w:rPr>
          <w:rFonts w:ascii="Bookman Old Style" w:hAnsi="Bookman Old Style" w:cs="Arial"/>
        </w:rPr>
        <w:t>sujetas</w:t>
      </w:r>
      <w:r w:rsidRPr="00F763C8">
        <w:rPr>
          <w:rFonts w:ascii="Bookman Old Style" w:hAnsi="Bookman Old Style" w:cs="Arial"/>
        </w:rPr>
        <w:t xml:space="preserve"> a su regulación, </w:t>
      </w:r>
      <w:r w:rsidR="00687C56" w:rsidRPr="00F763C8">
        <w:rPr>
          <w:rFonts w:ascii="Bookman Old Style" w:hAnsi="Bookman Old Style" w:cs="Arial"/>
        </w:rPr>
        <w:t>de acuerdo con lo señalado</w:t>
      </w:r>
      <w:r w:rsidRPr="00F763C8">
        <w:rPr>
          <w:rFonts w:ascii="Bookman Old Style" w:hAnsi="Bookman Old Style" w:cs="Arial"/>
        </w:rPr>
        <w:t xml:space="preserve"> en los Artículos 20 y 21 del Decreto 2461 de 1999, para los subsectores de energía eléctrica y de gas combustible, cuya tarifa máxima no p</w:t>
      </w:r>
      <w:r w:rsidR="00190880" w:rsidRPr="00F763C8">
        <w:rPr>
          <w:rFonts w:ascii="Bookman Old Style" w:hAnsi="Bookman Old Style" w:cs="Arial"/>
        </w:rPr>
        <w:t>uede</w:t>
      </w:r>
      <w:r w:rsidRPr="00F763C8">
        <w:rPr>
          <w:rFonts w:ascii="Bookman Old Style" w:hAnsi="Bookman Old Style" w:cs="Arial"/>
        </w:rPr>
        <w:t xml:space="preserve"> ser superior al uno por ciento (1%) del valor de los gastos de funcionamiento de la entidad contribuyente, con exclusión de los factores señalados en las Leyes 142 y 143 de 1994</w:t>
      </w:r>
      <w:r w:rsidR="00E65BFE">
        <w:rPr>
          <w:rFonts w:ascii="Bookman Old Style" w:hAnsi="Bookman Old Style" w:cs="Arial"/>
        </w:rPr>
        <w:t>;</w:t>
      </w:r>
    </w:p>
    <w:p w:rsidR="00796B49" w:rsidRDefault="00796B49" w:rsidP="00796B49">
      <w:pPr>
        <w:pStyle w:val="Prrafodelista"/>
        <w:ind w:left="720"/>
        <w:jc w:val="both"/>
        <w:rPr>
          <w:rFonts w:ascii="Bookman Old Style" w:hAnsi="Bookman Old Style" w:cs="Arial"/>
          <w:sz w:val="24"/>
          <w:szCs w:val="24"/>
        </w:rPr>
      </w:pPr>
    </w:p>
    <w:p w:rsidR="00796B49" w:rsidRPr="00F763C8" w:rsidRDefault="00796B49" w:rsidP="00F763C8">
      <w:pPr>
        <w:ind w:left="0"/>
        <w:jc w:val="both"/>
        <w:rPr>
          <w:rFonts w:ascii="Bookman Old Style" w:hAnsi="Bookman Old Style" w:cs="Arial"/>
        </w:rPr>
      </w:pPr>
      <w:r w:rsidRPr="00540876">
        <w:rPr>
          <w:rFonts w:ascii="Bookman Old Style" w:hAnsi="Bookman Old Style" w:cs="Arial"/>
        </w:rPr>
        <w:t>Que mediante resolución CREG-1</w:t>
      </w:r>
      <w:r w:rsidR="00540876" w:rsidRPr="00540876">
        <w:rPr>
          <w:rFonts w:ascii="Bookman Old Style" w:hAnsi="Bookman Old Style" w:cs="Arial"/>
        </w:rPr>
        <w:t>56</w:t>
      </w:r>
      <w:r w:rsidRPr="00540876">
        <w:rPr>
          <w:rFonts w:ascii="Bookman Old Style" w:hAnsi="Bookman Old Style" w:cs="Arial"/>
        </w:rPr>
        <w:t xml:space="preserve"> del </w:t>
      </w:r>
      <w:r w:rsidR="00540876" w:rsidRPr="00540876">
        <w:rPr>
          <w:rFonts w:ascii="Bookman Old Style" w:hAnsi="Bookman Old Style" w:cs="Arial"/>
        </w:rPr>
        <w:t>10</w:t>
      </w:r>
      <w:r w:rsidRPr="00540876">
        <w:rPr>
          <w:rFonts w:ascii="Bookman Old Style" w:hAnsi="Bookman Old Style" w:cs="Arial"/>
        </w:rPr>
        <w:t xml:space="preserve"> de </w:t>
      </w:r>
      <w:r w:rsidR="00540876" w:rsidRPr="00540876">
        <w:rPr>
          <w:rFonts w:ascii="Bookman Old Style" w:hAnsi="Bookman Old Style" w:cs="Arial"/>
        </w:rPr>
        <w:t>noviembre</w:t>
      </w:r>
      <w:r w:rsidRPr="00540876">
        <w:rPr>
          <w:rFonts w:ascii="Bookman Old Style" w:hAnsi="Bookman Old Style" w:cs="Arial"/>
        </w:rPr>
        <w:t xml:space="preserve"> de 2010, se </w:t>
      </w:r>
      <w:r w:rsidR="00540876" w:rsidRPr="00540876">
        <w:rPr>
          <w:rFonts w:ascii="Bookman Old Style" w:hAnsi="Bookman Old Style" w:cs="Arial"/>
        </w:rPr>
        <w:t xml:space="preserve">revocaron parcialmente las resoluciones CREG- 124 de 2010 y CREG-125 de 2010 y </w:t>
      </w:r>
      <w:r w:rsidRPr="00540876">
        <w:rPr>
          <w:rFonts w:ascii="Bookman Old Style" w:hAnsi="Bookman Old Style" w:cs="Arial"/>
        </w:rPr>
        <w:t xml:space="preserve">señaló </w:t>
      </w:r>
      <w:r w:rsidR="00687C56" w:rsidRPr="00540876">
        <w:rPr>
          <w:rFonts w:ascii="Bookman Old Style" w:hAnsi="Bookman Old Style" w:cs="Arial"/>
        </w:rPr>
        <w:t xml:space="preserve">la contribución que debe pagar a la </w:t>
      </w:r>
      <w:r w:rsidR="00B832C9" w:rsidRPr="00540876">
        <w:rPr>
          <w:rFonts w:ascii="Bookman Old Style" w:hAnsi="Bookman Old Style" w:cs="Arial"/>
        </w:rPr>
        <w:t>Comisión de Regulación de Energía y Gas</w:t>
      </w:r>
      <w:r w:rsidR="00B832C9">
        <w:rPr>
          <w:rFonts w:ascii="Bookman Old Style" w:hAnsi="Bookman Old Style" w:cs="Arial"/>
        </w:rPr>
        <w:t xml:space="preserve"> -CREG-</w:t>
      </w:r>
      <w:r w:rsidR="00687C56" w:rsidRPr="00F763C8">
        <w:rPr>
          <w:rFonts w:ascii="Bookman Old Style" w:hAnsi="Bookman Old Style" w:cs="Arial"/>
        </w:rPr>
        <w:t xml:space="preserve"> cada una de las entidades reguladas por el año 2010</w:t>
      </w:r>
      <w:r w:rsidR="00E65BFE">
        <w:rPr>
          <w:rFonts w:ascii="Bookman Old Style" w:hAnsi="Bookman Old Style" w:cs="Arial"/>
        </w:rPr>
        <w:t>;</w:t>
      </w:r>
    </w:p>
    <w:p w:rsidR="00687C56" w:rsidRPr="00687C56" w:rsidRDefault="00687C56" w:rsidP="00687C56">
      <w:pPr>
        <w:pStyle w:val="Prrafodelista"/>
        <w:rPr>
          <w:rFonts w:ascii="Bookman Old Style" w:hAnsi="Bookman Old Style" w:cs="Arial"/>
          <w:sz w:val="24"/>
          <w:szCs w:val="24"/>
        </w:rPr>
      </w:pPr>
    </w:p>
    <w:p w:rsidR="00687C56" w:rsidRPr="00F763C8" w:rsidRDefault="00687C56" w:rsidP="00F763C8">
      <w:pPr>
        <w:ind w:left="0"/>
        <w:jc w:val="both"/>
        <w:rPr>
          <w:rFonts w:ascii="Bookman Old Style" w:hAnsi="Bookman Old Style" w:cs="Arial"/>
        </w:rPr>
      </w:pPr>
      <w:r w:rsidRPr="00F763C8">
        <w:rPr>
          <w:rFonts w:ascii="Bookman Old Style" w:hAnsi="Bookman Old Style" w:cs="Arial"/>
        </w:rPr>
        <w:t>Que en virtud de la resolución CREG-1</w:t>
      </w:r>
      <w:r w:rsidR="00540876">
        <w:rPr>
          <w:rFonts w:ascii="Bookman Old Style" w:hAnsi="Bookman Old Style" w:cs="Arial"/>
        </w:rPr>
        <w:t>56</w:t>
      </w:r>
      <w:r w:rsidRPr="00F763C8">
        <w:rPr>
          <w:rFonts w:ascii="Bookman Old Style" w:hAnsi="Bookman Old Style" w:cs="Arial"/>
        </w:rPr>
        <w:t xml:space="preserve"> del </w:t>
      </w:r>
      <w:r w:rsidR="00540876">
        <w:rPr>
          <w:rFonts w:ascii="Bookman Old Style" w:hAnsi="Bookman Old Style" w:cs="Arial"/>
        </w:rPr>
        <w:t>10</w:t>
      </w:r>
      <w:r w:rsidRPr="00F763C8">
        <w:rPr>
          <w:rFonts w:ascii="Bookman Old Style" w:hAnsi="Bookman Old Style" w:cs="Arial"/>
        </w:rPr>
        <w:t xml:space="preserve"> de </w:t>
      </w:r>
      <w:r w:rsidR="00540876" w:rsidRPr="00540876">
        <w:rPr>
          <w:rFonts w:ascii="Bookman Old Style" w:hAnsi="Bookman Old Style" w:cs="Arial"/>
        </w:rPr>
        <w:t>noviembre</w:t>
      </w:r>
      <w:r w:rsidR="00540876" w:rsidRPr="00F763C8">
        <w:rPr>
          <w:rFonts w:ascii="Bookman Old Style" w:hAnsi="Bookman Old Style" w:cs="Arial"/>
        </w:rPr>
        <w:t xml:space="preserve"> </w:t>
      </w:r>
      <w:r w:rsidRPr="00F763C8">
        <w:rPr>
          <w:rFonts w:ascii="Bookman Old Style" w:hAnsi="Bookman Old Style" w:cs="Arial"/>
        </w:rPr>
        <w:t xml:space="preserve">de 2010, se señaló que la empresa </w:t>
      </w:r>
      <w:r w:rsidR="00540876">
        <w:rPr>
          <w:rFonts w:ascii="Bookman Old Style" w:hAnsi="Bookman Old Style" w:cs="Arial"/>
        </w:rPr>
        <w:t>LUSTRIGAS S.A E.S.P.</w:t>
      </w:r>
      <w:r w:rsidR="00E36613" w:rsidRPr="00F763C8">
        <w:rPr>
          <w:rFonts w:ascii="Bookman Old Style" w:hAnsi="Bookman Old Style" w:cs="Arial"/>
        </w:rPr>
        <w:t xml:space="preserve"> </w:t>
      </w:r>
      <w:r w:rsidRPr="00F763C8">
        <w:rPr>
          <w:rFonts w:ascii="Bookman Old Style" w:hAnsi="Bookman Old Style" w:cs="Arial"/>
        </w:rPr>
        <w:t xml:space="preserve">debe pagar la suma de </w:t>
      </w:r>
      <w:r w:rsidR="00540876">
        <w:rPr>
          <w:rFonts w:ascii="Bookman Old Style" w:hAnsi="Bookman Old Style" w:cs="Arial"/>
        </w:rPr>
        <w:t>SIETE</w:t>
      </w:r>
      <w:r w:rsidRPr="00F763C8">
        <w:rPr>
          <w:rFonts w:ascii="Bookman Old Style" w:hAnsi="Bookman Old Style" w:cs="Arial"/>
        </w:rPr>
        <w:t xml:space="preserve"> MILLONES </w:t>
      </w:r>
      <w:r w:rsidR="00540876">
        <w:rPr>
          <w:rFonts w:ascii="Bookman Old Style" w:hAnsi="Bookman Old Style" w:cs="Arial"/>
        </w:rPr>
        <w:t>OCHOCIENTOS VEINTIÚN</w:t>
      </w:r>
      <w:r w:rsidRPr="00F763C8">
        <w:rPr>
          <w:rFonts w:ascii="Bookman Old Style" w:hAnsi="Bookman Old Style" w:cs="Arial"/>
        </w:rPr>
        <w:t xml:space="preserve"> MIL </w:t>
      </w:r>
      <w:r w:rsidR="00540876">
        <w:rPr>
          <w:rFonts w:ascii="Bookman Old Style" w:hAnsi="Bookman Old Style" w:cs="Arial"/>
        </w:rPr>
        <w:t>SETECIENTOS VEINTIÚN</w:t>
      </w:r>
      <w:r w:rsidR="00540876" w:rsidRPr="00F763C8">
        <w:rPr>
          <w:rFonts w:ascii="Bookman Old Style" w:hAnsi="Bookman Old Style" w:cs="Arial"/>
        </w:rPr>
        <w:t xml:space="preserve"> </w:t>
      </w:r>
      <w:r w:rsidRPr="00F763C8">
        <w:rPr>
          <w:rFonts w:ascii="Bookman Old Style" w:hAnsi="Bookman Old Style" w:cs="Arial"/>
        </w:rPr>
        <w:t>PESOS M/CTE ($</w:t>
      </w:r>
      <w:r w:rsidR="00540876">
        <w:rPr>
          <w:rFonts w:ascii="Bookman Old Style" w:hAnsi="Bookman Old Style" w:cs="Arial"/>
        </w:rPr>
        <w:t>7.821.721</w:t>
      </w:r>
      <w:r w:rsidRPr="00F763C8">
        <w:rPr>
          <w:rFonts w:ascii="Bookman Old Style" w:hAnsi="Bookman Old Style" w:cs="Arial"/>
        </w:rPr>
        <w:t>) por concepto de la contribución especial a que está obligada por el año 2010</w:t>
      </w:r>
      <w:r w:rsidR="00E65BFE">
        <w:rPr>
          <w:rFonts w:ascii="Bookman Old Style" w:hAnsi="Bookman Old Style" w:cs="Arial"/>
        </w:rPr>
        <w:t>;</w:t>
      </w:r>
    </w:p>
    <w:p w:rsidR="00E36613" w:rsidRPr="00190880" w:rsidRDefault="00E36613" w:rsidP="00190880">
      <w:pPr>
        <w:ind w:left="0"/>
        <w:rPr>
          <w:rFonts w:ascii="Bookman Old Style" w:hAnsi="Bookman Old Style" w:cs="Arial"/>
        </w:rPr>
      </w:pPr>
    </w:p>
    <w:p w:rsidR="00E36613" w:rsidRPr="00F763C8" w:rsidRDefault="00FE2A94" w:rsidP="00F763C8">
      <w:pPr>
        <w:ind w:left="0"/>
        <w:jc w:val="both"/>
        <w:rPr>
          <w:rFonts w:ascii="Bookman Old Style" w:hAnsi="Bookman Old Style" w:cs="Arial"/>
        </w:rPr>
      </w:pPr>
      <w:r w:rsidRPr="00F763C8">
        <w:rPr>
          <w:rFonts w:ascii="Bookman Old Style" w:hAnsi="Bookman Old Style" w:cs="Arial"/>
        </w:rPr>
        <w:t>Que la</w:t>
      </w:r>
      <w:r w:rsidR="000170F4">
        <w:rPr>
          <w:rFonts w:ascii="Bookman Old Style" w:hAnsi="Bookman Old Style" w:cs="Arial"/>
        </w:rPr>
        <w:t xml:space="preserve"> empresa </w:t>
      </w:r>
      <w:r w:rsidR="00540876">
        <w:rPr>
          <w:rFonts w:ascii="Bookman Old Style" w:hAnsi="Bookman Old Style" w:cs="Arial"/>
        </w:rPr>
        <w:t>LUSTRIGAS S.A E.S.P.</w:t>
      </w:r>
      <w:r w:rsidR="00540876" w:rsidRPr="00F763C8">
        <w:rPr>
          <w:rFonts w:ascii="Bookman Old Style" w:hAnsi="Bookman Old Style" w:cs="Arial"/>
        </w:rPr>
        <w:t xml:space="preserve"> </w:t>
      </w:r>
      <w:r w:rsidR="000170F4">
        <w:rPr>
          <w:rFonts w:ascii="Bookman Old Style" w:hAnsi="Bookman Old Style" w:cs="Arial"/>
        </w:rPr>
        <w:t>fue notificada de la</w:t>
      </w:r>
      <w:r w:rsidRPr="00F763C8">
        <w:rPr>
          <w:rFonts w:ascii="Bookman Old Style" w:hAnsi="Bookman Old Style" w:cs="Arial"/>
        </w:rPr>
        <w:t xml:space="preserve"> resolución CREG-125 de 2010 mediante EDICTO, el cual fue fijado el día </w:t>
      </w:r>
      <w:r w:rsidR="00540876">
        <w:rPr>
          <w:rFonts w:ascii="Bookman Old Style" w:hAnsi="Bookman Old Style" w:cs="Arial"/>
        </w:rPr>
        <w:t>29</w:t>
      </w:r>
      <w:r w:rsidRPr="00F763C8">
        <w:rPr>
          <w:rFonts w:ascii="Bookman Old Style" w:hAnsi="Bookman Old Style" w:cs="Arial"/>
        </w:rPr>
        <w:t xml:space="preserve"> de </w:t>
      </w:r>
      <w:r w:rsidR="00540876">
        <w:rPr>
          <w:rFonts w:ascii="Bookman Old Style" w:hAnsi="Bookman Old Style" w:cs="Arial"/>
        </w:rPr>
        <w:t>noviembre</w:t>
      </w:r>
      <w:r w:rsidRPr="00F763C8">
        <w:rPr>
          <w:rFonts w:ascii="Bookman Old Style" w:hAnsi="Bookman Old Style" w:cs="Arial"/>
        </w:rPr>
        <w:t xml:space="preserve"> de 2010 a las ocho (8:00) de la mañana y desfijado el día  1</w:t>
      </w:r>
      <w:r w:rsidR="00540876">
        <w:rPr>
          <w:rFonts w:ascii="Bookman Old Style" w:hAnsi="Bookman Old Style" w:cs="Arial"/>
        </w:rPr>
        <w:t>3 de diciembre</w:t>
      </w:r>
      <w:r w:rsidRPr="00F763C8">
        <w:rPr>
          <w:rFonts w:ascii="Bookman Old Style" w:hAnsi="Bookman Old Style" w:cs="Arial"/>
        </w:rPr>
        <w:t xml:space="preserve"> de 2010 a las </w:t>
      </w:r>
      <w:r w:rsidRPr="007E379B">
        <w:rPr>
          <w:rFonts w:ascii="Bookman Old Style" w:hAnsi="Bookman Old Style" w:cs="Arial"/>
        </w:rPr>
        <w:t>cinco (5:00)</w:t>
      </w:r>
      <w:r w:rsidRPr="00F763C8">
        <w:rPr>
          <w:rFonts w:ascii="Bookman Old Style" w:hAnsi="Bookman Old Style" w:cs="Arial"/>
        </w:rPr>
        <w:t xml:space="preserve"> de la tarde</w:t>
      </w:r>
      <w:r w:rsidR="00E65BFE">
        <w:rPr>
          <w:rFonts w:ascii="Bookman Old Style" w:hAnsi="Bookman Old Style" w:cs="Arial"/>
        </w:rPr>
        <w:t>;</w:t>
      </w:r>
    </w:p>
    <w:p w:rsidR="005522CB" w:rsidRDefault="005522CB" w:rsidP="00F763C8">
      <w:pPr>
        <w:ind w:left="0"/>
        <w:jc w:val="both"/>
        <w:rPr>
          <w:rFonts w:ascii="Bookman Old Style" w:hAnsi="Bookman Old Style" w:cs="Arial"/>
        </w:rPr>
      </w:pPr>
    </w:p>
    <w:p w:rsidR="00190880" w:rsidRPr="00F763C8" w:rsidRDefault="00190880" w:rsidP="00F763C8">
      <w:pPr>
        <w:ind w:left="0"/>
        <w:jc w:val="both"/>
        <w:rPr>
          <w:rFonts w:ascii="Bookman Old Style" w:hAnsi="Bookman Old Style" w:cs="Arial"/>
        </w:rPr>
      </w:pPr>
      <w:r w:rsidRPr="00F763C8">
        <w:rPr>
          <w:rFonts w:ascii="Bookman Old Style" w:hAnsi="Bookman Old Style" w:cs="Arial"/>
        </w:rPr>
        <w:lastRenderedPageBreak/>
        <w:t xml:space="preserve">Que mediante escrito presentado en la </w:t>
      </w:r>
      <w:r w:rsidR="00B832C9">
        <w:rPr>
          <w:rFonts w:ascii="Bookman Old Style" w:hAnsi="Bookman Old Style" w:cs="Arial"/>
        </w:rPr>
        <w:t>Comisión de Regulación de Energía y Gas -CREG-</w:t>
      </w:r>
      <w:r w:rsidRPr="00F763C8">
        <w:rPr>
          <w:rFonts w:ascii="Bookman Old Style" w:hAnsi="Bookman Old Style" w:cs="Arial"/>
        </w:rPr>
        <w:t xml:space="preserve"> el día </w:t>
      </w:r>
      <w:r w:rsidR="00540876">
        <w:rPr>
          <w:rFonts w:ascii="Bookman Old Style" w:hAnsi="Bookman Old Style" w:cs="Arial"/>
        </w:rPr>
        <w:t>22</w:t>
      </w:r>
      <w:r w:rsidRPr="00F763C8">
        <w:rPr>
          <w:rFonts w:ascii="Bookman Old Style" w:hAnsi="Bookman Old Style" w:cs="Arial"/>
        </w:rPr>
        <w:t xml:space="preserve"> de </w:t>
      </w:r>
      <w:r w:rsidR="00540876">
        <w:rPr>
          <w:rFonts w:ascii="Bookman Old Style" w:hAnsi="Bookman Old Style" w:cs="Arial"/>
        </w:rPr>
        <w:t>diciembre</w:t>
      </w:r>
      <w:r w:rsidRPr="00F763C8">
        <w:rPr>
          <w:rFonts w:ascii="Bookman Old Style" w:hAnsi="Bookman Old Style" w:cs="Arial"/>
        </w:rPr>
        <w:t xml:space="preserve"> de 2010, </w:t>
      </w:r>
      <w:r w:rsidR="00540876">
        <w:rPr>
          <w:rFonts w:ascii="Bookman Old Style" w:hAnsi="Bookman Old Style" w:cs="Arial"/>
        </w:rPr>
        <w:t>el</w:t>
      </w:r>
      <w:r w:rsidRPr="00F763C8">
        <w:rPr>
          <w:rFonts w:ascii="Bookman Old Style" w:hAnsi="Bookman Old Style" w:cs="Arial"/>
        </w:rPr>
        <w:t xml:space="preserve"> </w:t>
      </w:r>
      <w:r w:rsidR="006A6322" w:rsidRPr="00F763C8">
        <w:rPr>
          <w:rFonts w:ascii="Bookman Old Style" w:hAnsi="Bookman Old Style" w:cs="Arial"/>
        </w:rPr>
        <w:t xml:space="preserve">Representante Legal </w:t>
      </w:r>
      <w:r w:rsidRPr="00F763C8">
        <w:rPr>
          <w:rFonts w:ascii="Bookman Old Style" w:hAnsi="Bookman Old Style" w:cs="Arial"/>
        </w:rPr>
        <w:t xml:space="preserve">de la </w:t>
      </w:r>
      <w:r w:rsidR="00540876">
        <w:rPr>
          <w:rFonts w:ascii="Bookman Old Style" w:hAnsi="Bookman Old Style" w:cs="Arial"/>
        </w:rPr>
        <w:t>sociedad</w:t>
      </w:r>
      <w:r w:rsidRPr="00F763C8">
        <w:rPr>
          <w:rFonts w:ascii="Bookman Old Style" w:hAnsi="Bookman Old Style" w:cs="Arial"/>
        </w:rPr>
        <w:t xml:space="preserve"> </w:t>
      </w:r>
      <w:r w:rsidR="00540876">
        <w:rPr>
          <w:rFonts w:ascii="Bookman Old Style" w:hAnsi="Bookman Old Style" w:cs="Arial"/>
        </w:rPr>
        <w:t>LUSTRIGAS S.A E.S.P</w:t>
      </w:r>
      <w:r w:rsidRPr="00F763C8">
        <w:rPr>
          <w:rFonts w:ascii="Bookman Old Style" w:hAnsi="Bookman Old Style" w:cs="Arial"/>
        </w:rPr>
        <w:t>, presentó recurso de reposición contra la resolución CREG-1</w:t>
      </w:r>
      <w:r w:rsidR="00DA2764">
        <w:rPr>
          <w:rFonts w:ascii="Bookman Old Style" w:hAnsi="Bookman Old Style" w:cs="Arial"/>
        </w:rPr>
        <w:t>56</w:t>
      </w:r>
      <w:r w:rsidRPr="00F763C8">
        <w:rPr>
          <w:rFonts w:ascii="Bookman Old Style" w:hAnsi="Bookman Old Style" w:cs="Arial"/>
        </w:rPr>
        <w:t xml:space="preserve"> de 2010</w:t>
      </w:r>
      <w:r w:rsidR="00E65BFE">
        <w:rPr>
          <w:rFonts w:ascii="Bookman Old Style" w:hAnsi="Bookman Old Style" w:cs="Arial"/>
        </w:rPr>
        <w:t>;</w:t>
      </w:r>
    </w:p>
    <w:p w:rsidR="00842572" w:rsidRPr="00F763C8" w:rsidRDefault="00842572" w:rsidP="00F763C8">
      <w:pPr>
        <w:ind w:left="0"/>
        <w:rPr>
          <w:rFonts w:ascii="Bookman Old Style" w:hAnsi="Bookman Old Style" w:cs="Arial"/>
        </w:rPr>
      </w:pPr>
    </w:p>
    <w:p w:rsidR="00842572" w:rsidRPr="00F763C8" w:rsidRDefault="00842572" w:rsidP="00F763C8">
      <w:pPr>
        <w:pStyle w:val="Prrafodelista"/>
        <w:numPr>
          <w:ilvl w:val="0"/>
          <w:numId w:val="17"/>
        </w:numPr>
        <w:rPr>
          <w:rFonts w:ascii="Bookman Old Style" w:hAnsi="Bookman Old Style" w:cs="Arial"/>
          <w:b/>
          <w:sz w:val="24"/>
          <w:szCs w:val="24"/>
        </w:rPr>
      </w:pPr>
      <w:r w:rsidRPr="00F763C8">
        <w:rPr>
          <w:rFonts w:ascii="Bookman Old Style" w:hAnsi="Bookman Old Style" w:cs="Arial"/>
          <w:b/>
          <w:sz w:val="24"/>
          <w:szCs w:val="24"/>
        </w:rPr>
        <w:t>RAZONES Y FUNDAMENTOS DEL RECURSO DE REPOSICIÓN</w:t>
      </w:r>
    </w:p>
    <w:p w:rsidR="004A63E2" w:rsidRPr="00F171C4" w:rsidRDefault="004A63E2" w:rsidP="00F763C8">
      <w:pPr>
        <w:ind w:left="0"/>
        <w:jc w:val="both"/>
        <w:rPr>
          <w:rFonts w:ascii="Bookman Old Style" w:hAnsi="Bookman Old Style"/>
          <w:lang w:val="es-CO"/>
        </w:rPr>
      </w:pPr>
    </w:p>
    <w:p w:rsidR="0042375C" w:rsidRDefault="00842572" w:rsidP="00C051A8">
      <w:pPr>
        <w:ind w:left="170"/>
        <w:jc w:val="both"/>
        <w:rPr>
          <w:rFonts w:ascii="Bookman Old Style" w:hAnsi="Bookman Old Style"/>
        </w:rPr>
      </w:pPr>
      <w:r>
        <w:rPr>
          <w:rFonts w:ascii="Bookman Old Style" w:hAnsi="Bookman Old Style"/>
        </w:rPr>
        <w:t xml:space="preserve">Los fundamentos que soportan el recurso de reposición son presentados por el recurrente con el fin de que se </w:t>
      </w:r>
      <w:r w:rsidR="0042375C">
        <w:rPr>
          <w:rFonts w:ascii="Bookman Old Style" w:hAnsi="Bookman Old Style"/>
        </w:rPr>
        <w:t xml:space="preserve">revoque el artículo cuarto (4) de la Resolución CREG 156 del 10 de noviembre de 2010 en la parte que atañe a la sociedad </w:t>
      </w:r>
      <w:r w:rsidR="0042375C">
        <w:rPr>
          <w:rFonts w:ascii="Bookman Old Style" w:hAnsi="Bookman Old Style" w:cs="Arial"/>
        </w:rPr>
        <w:t>LUSTRIGAS S.A E.S.P, y que como consecuencia de ello se realice una nueva liquidación para proceder al pago que de allí resulte</w:t>
      </w:r>
      <w:r>
        <w:rPr>
          <w:rFonts w:ascii="Bookman Old Style" w:hAnsi="Bookman Old Style" w:cs="Arial"/>
        </w:rPr>
        <w:t>.</w:t>
      </w:r>
      <w:r>
        <w:rPr>
          <w:rFonts w:ascii="Bookman Old Style" w:hAnsi="Bookman Old Style"/>
        </w:rPr>
        <w:t xml:space="preserve"> </w:t>
      </w:r>
    </w:p>
    <w:p w:rsidR="0042375C" w:rsidRDefault="0042375C" w:rsidP="00C051A8">
      <w:pPr>
        <w:ind w:left="170"/>
        <w:jc w:val="both"/>
        <w:rPr>
          <w:rFonts w:ascii="Bookman Old Style" w:hAnsi="Bookman Old Style"/>
        </w:rPr>
      </w:pPr>
    </w:p>
    <w:p w:rsidR="00C051A8" w:rsidRDefault="0042375C" w:rsidP="00C051A8">
      <w:pPr>
        <w:ind w:left="170"/>
        <w:jc w:val="both"/>
        <w:rPr>
          <w:rFonts w:ascii="Bookman Old Style" w:hAnsi="Bookman Old Style"/>
        </w:rPr>
      </w:pPr>
      <w:r>
        <w:rPr>
          <w:rFonts w:ascii="Bookman Old Style" w:hAnsi="Bookman Old Style"/>
        </w:rPr>
        <w:t xml:space="preserve">Los fundamentos del recurrente se </w:t>
      </w:r>
      <w:r w:rsidR="00842572">
        <w:rPr>
          <w:rFonts w:ascii="Bookman Old Style" w:hAnsi="Bookman Old Style"/>
        </w:rPr>
        <w:t>exponen a continuación:</w:t>
      </w:r>
    </w:p>
    <w:p w:rsidR="00842572" w:rsidRDefault="00842572" w:rsidP="00F763C8">
      <w:pPr>
        <w:ind w:left="0"/>
        <w:jc w:val="both"/>
        <w:rPr>
          <w:rFonts w:ascii="Bookman Old Style" w:hAnsi="Bookman Old Style"/>
        </w:rPr>
      </w:pPr>
    </w:p>
    <w:p w:rsidR="00842572" w:rsidRDefault="00842572" w:rsidP="00C051A8">
      <w:pPr>
        <w:ind w:left="170"/>
        <w:jc w:val="both"/>
        <w:rPr>
          <w:rFonts w:ascii="Bookman Old Style" w:hAnsi="Bookman Old Style"/>
        </w:rPr>
      </w:pPr>
      <w:r>
        <w:rPr>
          <w:rFonts w:ascii="Bookman Old Style" w:hAnsi="Bookman Old Style"/>
        </w:rPr>
        <w:t>Argumenta el recurrente que:</w:t>
      </w:r>
    </w:p>
    <w:p w:rsidR="00CD5AF2" w:rsidRPr="00B832C9" w:rsidRDefault="00CD5AF2" w:rsidP="00F763C8">
      <w:pPr>
        <w:ind w:left="0"/>
        <w:jc w:val="both"/>
        <w:rPr>
          <w:rFonts w:ascii="Bookman Old Style" w:hAnsi="Bookman Old Style"/>
          <w:i/>
        </w:rPr>
      </w:pPr>
      <w:r w:rsidRPr="00B832C9">
        <w:rPr>
          <w:rFonts w:ascii="Bookman Old Style" w:hAnsi="Bookman Old Style"/>
          <w:i/>
        </w:rPr>
        <w:t>“</w:t>
      </w:r>
    </w:p>
    <w:p w:rsidR="006A6322" w:rsidRPr="00B832C9" w:rsidRDefault="0042375C" w:rsidP="006A6322">
      <w:pPr>
        <w:pStyle w:val="Prrafodelista"/>
        <w:numPr>
          <w:ilvl w:val="0"/>
          <w:numId w:val="16"/>
        </w:numPr>
        <w:jc w:val="both"/>
        <w:rPr>
          <w:rFonts w:ascii="Bookman Old Style" w:hAnsi="Bookman Old Style"/>
          <w:i/>
        </w:rPr>
      </w:pPr>
      <w:r>
        <w:rPr>
          <w:rFonts w:ascii="Bookman Old Style" w:hAnsi="Bookman Old Style"/>
          <w:i/>
          <w:sz w:val="24"/>
          <w:szCs w:val="24"/>
        </w:rPr>
        <w:t>A</w:t>
      </w:r>
      <w:r w:rsidR="009D0419" w:rsidRPr="00B832C9">
        <w:rPr>
          <w:rFonts w:ascii="Bookman Old Style" w:hAnsi="Bookman Old Style"/>
          <w:i/>
          <w:sz w:val="24"/>
          <w:szCs w:val="24"/>
        </w:rPr>
        <w:t>l</w:t>
      </w:r>
      <w:r>
        <w:rPr>
          <w:rFonts w:ascii="Bookman Old Style" w:hAnsi="Bookman Old Style"/>
          <w:i/>
          <w:sz w:val="24"/>
          <w:szCs w:val="24"/>
        </w:rPr>
        <w:t xml:space="preserve"> elaborar l</w:t>
      </w:r>
      <w:r w:rsidR="009D0419" w:rsidRPr="00B832C9">
        <w:rPr>
          <w:rFonts w:ascii="Bookman Old Style" w:hAnsi="Bookman Old Style"/>
          <w:i/>
          <w:sz w:val="24"/>
          <w:szCs w:val="24"/>
        </w:rPr>
        <w:t xml:space="preserve">a información financiera </w:t>
      </w:r>
      <w:r>
        <w:rPr>
          <w:rFonts w:ascii="Bookman Old Style" w:hAnsi="Bookman Old Style"/>
          <w:i/>
          <w:sz w:val="24"/>
          <w:szCs w:val="24"/>
        </w:rPr>
        <w:t>por el año 2009, se hizo una interpretación equivocada de la Resolución CREG 023 DEL 5 DE MARZO DE 2008, el (sic ) cual definió entre otros un nuevo negocio denominado “comercialización minorista” como la actividad consistente en la entrega de GLP en cilindros en el domicilio del usuario final o en expendios Convirtiéndonos en Comercializadores Minoristas</w:t>
      </w:r>
      <w:r w:rsidR="00734AB1">
        <w:rPr>
          <w:rFonts w:ascii="Bookman Old Style" w:hAnsi="Bookman Old Style"/>
          <w:i/>
          <w:sz w:val="24"/>
          <w:szCs w:val="24"/>
        </w:rPr>
        <w:t>.</w:t>
      </w:r>
    </w:p>
    <w:p w:rsidR="009D0419" w:rsidRPr="00B832C9" w:rsidRDefault="009D0419" w:rsidP="009D0419">
      <w:pPr>
        <w:pStyle w:val="Prrafodelista"/>
        <w:ind w:left="530"/>
        <w:jc w:val="both"/>
        <w:rPr>
          <w:rFonts w:ascii="Bookman Old Style" w:hAnsi="Bookman Old Style"/>
          <w:i/>
        </w:rPr>
      </w:pPr>
    </w:p>
    <w:p w:rsidR="00734AB1" w:rsidRDefault="00734AB1" w:rsidP="006A6322">
      <w:pPr>
        <w:pStyle w:val="Prrafodelista"/>
        <w:numPr>
          <w:ilvl w:val="0"/>
          <w:numId w:val="16"/>
        </w:numPr>
        <w:jc w:val="both"/>
        <w:rPr>
          <w:rFonts w:ascii="Bookman Old Style" w:hAnsi="Bookman Old Style"/>
          <w:i/>
          <w:sz w:val="24"/>
          <w:szCs w:val="24"/>
        </w:rPr>
      </w:pPr>
      <w:r>
        <w:rPr>
          <w:rFonts w:ascii="Bookman Old Style" w:hAnsi="Bookman Old Style"/>
          <w:i/>
          <w:sz w:val="24"/>
          <w:szCs w:val="24"/>
        </w:rPr>
        <w:t>En nuestro análisis concluimos que deberíamos cambia</w:t>
      </w:r>
      <w:r w:rsidR="00577312">
        <w:rPr>
          <w:rFonts w:ascii="Bookman Old Style" w:hAnsi="Bookman Old Style"/>
          <w:i/>
          <w:sz w:val="24"/>
          <w:szCs w:val="24"/>
        </w:rPr>
        <w:t>r</w:t>
      </w:r>
      <w:r>
        <w:rPr>
          <w:rFonts w:ascii="Bookman Old Style" w:hAnsi="Bookman Old Style"/>
          <w:i/>
          <w:sz w:val="24"/>
          <w:szCs w:val="24"/>
        </w:rPr>
        <w:t xml:space="preserve"> nuestro Sistema Contable pasando de un Sistema de Costos a uno Comercial. Situación que ustedes pueden corroborar ya que en las NOTAS A LOS ESTADOS FINANCIEROS AÑO 2009 entregadas a la Superintendencia de Servicios Públicos Domiciliarios, hacemos hincapié de dicho cambio, pasando por alto que nuestro Sistema Contable está regulado por las resoluciones emanadas por dicha Superintendencia, de acuerdo a la ley 142 de 1994, en el artículo 79 y sus posteriores modificaciones asignó a la SUPERINTENDENCIA DE SERVICIOS PÚBLICOS DOMICILIARIOS la función de establecer los sistemas uniformes de información y de contabilidad que deben aplicar todos los prestadores de servicios públicos.</w:t>
      </w:r>
    </w:p>
    <w:p w:rsidR="00734AB1" w:rsidRPr="00734AB1" w:rsidRDefault="00734AB1" w:rsidP="00734AB1">
      <w:pPr>
        <w:pStyle w:val="Prrafodelista"/>
        <w:rPr>
          <w:rFonts w:ascii="Bookman Old Style" w:hAnsi="Bookman Old Style"/>
          <w:i/>
          <w:sz w:val="24"/>
          <w:szCs w:val="24"/>
        </w:rPr>
      </w:pPr>
    </w:p>
    <w:p w:rsidR="00734AB1" w:rsidRDefault="00734AB1" w:rsidP="006A6322">
      <w:pPr>
        <w:pStyle w:val="Prrafodelista"/>
        <w:numPr>
          <w:ilvl w:val="0"/>
          <w:numId w:val="16"/>
        </w:numPr>
        <w:jc w:val="both"/>
        <w:rPr>
          <w:rFonts w:ascii="Bookman Old Style" w:hAnsi="Bookman Old Style"/>
          <w:i/>
          <w:sz w:val="24"/>
          <w:szCs w:val="24"/>
        </w:rPr>
      </w:pPr>
      <w:r>
        <w:rPr>
          <w:rFonts w:ascii="Bookman Old Style" w:hAnsi="Bookman Old Style"/>
          <w:i/>
          <w:sz w:val="24"/>
          <w:szCs w:val="24"/>
        </w:rPr>
        <w:t xml:space="preserve">Nuestro Sistema contable para el año en mención está estructurado de la siguiente manera: </w:t>
      </w:r>
    </w:p>
    <w:p w:rsidR="00BB54BD" w:rsidRPr="00BB54BD" w:rsidRDefault="00BB54BD" w:rsidP="00BB54BD">
      <w:pPr>
        <w:pStyle w:val="Prrafodelista"/>
        <w:rPr>
          <w:rFonts w:ascii="Bookman Old Style" w:hAnsi="Bookman Old Style"/>
          <w:i/>
          <w:sz w:val="24"/>
          <w:szCs w:val="24"/>
        </w:rPr>
      </w:pPr>
    </w:p>
    <w:tbl>
      <w:tblPr>
        <w:tblW w:w="7323" w:type="dxa"/>
        <w:jc w:val="center"/>
        <w:tblInd w:w="969" w:type="dxa"/>
        <w:tblCellMar>
          <w:left w:w="70" w:type="dxa"/>
          <w:right w:w="70" w:type="dxa"/>
        </w:tblCellMar>
        <w:tblLook w:val="04A0" w:firstRow="1" w:lastRow="0" w:firstColumn="1" w:lastColumn="0" w:noHBand="0" w:noVBand="1"/>
      </w:tblPr>
      <w:tblGrid>
        <w:gridCol w:w="1580"/>
        <w:gridCol w:w="5743"/>
      </w:tblGrid>
      <w:tr w:rsidR="00BB54BD" w:rsidRPr="00BB54BD" w:rsidTr="00BE689D">
        <w:trPr>
          <w:trHeight w:val="240"/>
          <w:jc w:val="center"/>
        </w:trPr>
        <w:tc>
          <w:tcPr>
            <w:tcW w:w="1580"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CÓDIGO</w:t>
            </w:r>
          </w:p>
        </w:tc>
        <w:tc>
          <w:tcPr>
            <w:tcW w:w="5743"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DETALLE</w:t>
            </w:r>
          </w:p>
        </w:tc>
      </w:tr>
      <w:tr w:rsidR="00BB54BD" w:rsidRPr="00BB54BD" w:rsidTr="00BE689D">
        <w:trPr>
          <w:trHeight w:val="240"/>
          <w:jc w:val="center"/>
        </w:trPr>
        <w:tc>
          <w:tcPr>
            <w:tcW w:w="1580"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004</w:t>
            </w:r>
          </w:p>
        </w:tc>
        <w:tc>
          <w:tcPr>
            <w:tcW w:w="5743"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ALMACENAMIENTO</w:t>
            </w:r>
          </w:p>
        </w:tc>
      </w:tr>
      <w:tr w:rsidR="00BB54BD" w:rsidRPr="00BB54BD" w:rsidTr="00BE689D">
        <w:trPr>
          <w:trHeight w:val="240"/>
          <w:jc w:val="center"/>
        </w:trPr>
        <w:tc>
          <w:tcPr>
            <w:tcW w:w="1580"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005</w:t>
            </w:r>
          </w:p>
        </w:tc>
        <w:tc>
          <w:tcPr>
            <w:tcW w:w="5743"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ENVASADO</w:t>
            </w:r>
          </w:p>
        </w:tc>
      </w:tr>
      <w:tr w:rsidR="00BB54BD" w:rsidRPr="00BB54BD" w:rsidTr="00BE689D">
        <w:trPr>
          <w:trHeight w:val="240"/>
          <w:jc w:val="center"/>
        </w:trPr>
        <w:tc>
          <w:tcPr>
            <w:tcW w:w="1580"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007</w:t>
            </w:r>
          </w:p>
        </w:tc>
        <w:tc>
          <w:tcPr>
            <w:tcW w:w="5743"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MERCADEO</w:t>
            </w:r>
          </w:p>
        </w:tc>
      </w:tr>
      <w:tr w:rsidR="00BB54BD" w:rsidRPr="00BB54BD" w:rsidTr="00BE689D">
        <w:trPr>
          <w:trHeight w:val="240"/>
          <w:jc w:val="center"/>
        </w:trPr>
        <w:tc>
          <w:tcPr>
            <w:tcW w:w="1580"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008</w:t>
            </w:r>
          </w:p>
        </w:tc>
        <w:tc>
          <w:tcPr>
            <w:tcW w:w="5743" w:type="dxa"/>
            <w:tcBorders>
              <w:top w:val="nil"/>
              <w:left w:val="nil"/>
              <w:bottom w:val="nil"/>
              <w:right w:val="nil"/>
            </w:tcBorders>
            <w:shd w:val="clear" w:color="auto" w:fill="auto"/>
            <w:noWrap/>
            <w:vAlign w:val="bottom"/>
            <w:hideMark/>
          </w:tcPr>
          <w:p w:rsidR="00BB54BD" w:rsidRPr="00BB54BD" w:rsidRDefault="00BB54BD" w:rsidP="00BB54BD">
            <w:pPr>
              <w:ind w:left="0"/>
              <w:rPr>
                <w:rFonts w:ascii="Bookman Old Style" w:hAnsi="Bookman Old Style"/>
                <w:color w:val="000000"/>
              </w:rPr>
            </w:pPr>
            <w:r w:rsidRPr="00BB54BD">
              <w:rPr>
                <w:rFonts w:ascii="Bookman Old Style" w:hAnsi="Bookman Old Style"/>
                <w:color w:val="000000"/>
              </w:rPr>
              <w:t>ADMINISTRACIÓN ATENCIÓN AL CLIENTE</w:t>
            </w:r>
          </w:p>
        </w:tc>
      </w:tr>
    </w:tbl>
    <w:p w:rsidR="009D0419" w:rsidRPr="00BB54BD" w:rsidRDefault="009D0419" w:rsidP="00BB54BD">
      <w:pPr>
        <w:ind w:left="0"/>
        <w:jc w:val="both"/>
        <w:rPr>
          <w:rFonts w:ascii="Bookman Old Style" w:hAnsi="Bookman Old Style"/>
          <w:i/>
        </w:rPr>
      </w:pPr>
    </w:p>
    <w:p w:rsidR="009D0419" w:rsidRPr="00B832C9" w:rsidRDefault="00BB54BD" w:rsidP="006A6322">
      <w:pPr>
        <w:pStyle w:val="Prrafodelista"/>
        <w:numPr>
          <w:ilvl w:val="0"/>
          <w:numId w:val="16"/>
        </w:numPr>
        <w:jc w:val="both"/>
        <w:rPr>
          <w:rFonts w:ascii="Bookman Old Style" w:hAnsi="Bookman Old Style"/>
          <w:i/>
          <w:sz w:val="24"/>
          <w:szCs w:val="24"/>
        </w:rPr>
      </w:pPr>
      <w:r>
        <w:rPr>
          <w:rFonts w:ascii="Bookman Old Style" w:hAnsi="Bookman Old Style"/>
          <w:i/>
          <w:sz w:val="24"/>
          <w:szCs w:val="24"/>
        </w:rPr>
        <w:t>Por lo tanto y de la manera más respetuosa solicit</w:t>
      </w:r>
      <w:r w:rsidR="009F2C51">
        <w:rPr>
          <w:rFonts w:ascii="Bookman Old Style" w:hAnsi="Bookman Old Style"/>
          <w:i/>
          <w:sz w:val="24"/>
          <w:szCs w:val="24"/>
        </w:rPr>
        <w:t>amos a dicha Superintendencia fu</w:t>
      </w:r>
      <w:r>
        <w:rPr>
          <w:rFonts w:ascii="Bookman Old Style" w:hAnsi="Bookman Old Style"/>
          <w:i/>
          <w:sz w:val="24"/>
          <w:szCs w:val="24"/>
        </w:rPr>
        <w:t xml:space="preserve">era analizado el Plan Contable por el año 2009 que sirvió de base para preparar los Estados Financieros  correspondientes a dicho año. Ya que por equivocación desmontamos los Centros de Costos de Almacenamiento, Mercadeo y Administración- Atención al Cliente. Ya que lo único que teníamos que hacer era no tener en cuenta el Centro de Costo de </w:t>
      </w:r>
      <w:r w:rsidRPr="00BB54BD">
        <w:rPr>
          <w:rFonts w:ascii="Bookman Old Style" w:hAnsi="Bookman Old Style"/>
          <w:b/>
          <w:i/>
          <w:sz w:val="24"/>
          <w:szCs w:val="24"/>
        </w:rPr>
        <w:t xml:space="preserve">ENVASADO, QUE ERA LA ÚNICA OPERACIÓN QUE NO SE REALIZARÍA </w:t>
      </w:r>
      <w:r w:rsidRPr="00BB54BD">
        <w:rPr>
          <w:rFonts w:ascii="Bookman Old Style" w:hAnsi="Bookman Old Style"/>
          <w:b/>
          <w:i/>
          <w:sz w:val="24"/>
          <w:szCs w:val="24"/>
        </w:rPr>
        <w:lastRenderedPageBreak/>
        <w:t>DENTRO DEL CICLO OPERATIVO DE LUSTRIGAS S.A EMPRESA DE SERVICIOS PÚBLICOS</w:t>
      </w:r>
      <w:r w:rsidR="009D0419" w:rsidRPr="00B832C9">
        <w:rPr>
          <w:rFonts w:ascii="Bookman Old Style" w:hAnsi="Bookman Old Style"/>
          <w:i/>
          <w:sz w:val="24"/>
          <w:szCs w:val="24"/>
        </w:rPr>
        <w:t>”</w:t>
      </w:r>
    </w:p>
    <w:p w:rsidR="004A63E2" w:rsidRPr="00B832C9" w:rsidRDefault="004A63E2" w:rsidP="00401AB2">
      <w:pPr>
        <w:ind w:left="0"/>
        <w:rPr>
          <w:rFonts w:ascii="Bookman Old Style" w:hAnsi="Bookman Old Style"/>
          <w:i/>
          <w:lang w:val="es-CO"/>
        </w:rPr>
      </w:pPr>
    </w:p>
    <w:p w:rsidR="009D0419" w:rsidRPr="00B832C9" w:rsidRDefault="00BB54BD" w:rsidP="006A6322">
      <w:pPr>
        <w:pStyle w:val="Prrafodelista"/>
        <w:numPr>
          <w:ilvl w:val="0"/>
          <w:numId w:val="16"/>
        </w:numPr>
        <w:jc w:val="both"/>
        <w:rPr>
          <w:rFonts w:ascii="Bookman Old Style" w:hAnsi="Bookman Old Style"/>
          <w:i/>
          <w:sz w:val="24"/>
          <w:szCs w:val="24"/>
        </w:rPr>
      </w:pPr>
      <w:r>
        <w:rPr>
          <w:rFonts w:ascii="Bookman Old Style" w:hAnsi="Bookman Old Style"/>
          <w:i/>
          <w:sz w:val="24"/>
          <w:szCs w:val="24"/>
        </w:rPr>
        <w:t xml:space="preserve">Como consecuencia de dicho cambio, se ve reflejado en la liquidación de la Contribución Especial para el año 2009, que asciende a la suma de $11.677.000.00, que dentro del histórico de </w:t>
      </w:r>
      <w:r w:rsidRPr="00BB54BD">
        <w:rPr>
          <w:rFonts w:ascii="Bookman Old Style" w:hAnsi="Bookman Old Style"/>
          <w:b/>
          <w:i/>
          <w:sz w:val="24"/>
          <w:szCs w:val="24"/>
        </w:rPr>
        <w:t>LUSTRIGAS S.A</w:t>
      </w:r>
      <w:r>
        <w:rPr>
          <w:rFonts w:ascii="Bookman Old Style" w:hAnsi="Bookman Old Style"/>
          <w:i/>
          <w:sz w:val="24"/>
          <w:szCs w:val="24"/>
        </w:rPr>
        <w:t xml:space="preserve"> jamás habíamos pagado dicha suma que va en detrimento de nuestro patrimonio </w:t>
      </w:r>
      <w:r w:rsidR="00CB755D">
        <w:rPr>
          <w:rFonts w:ascii="Bookman Old Style" w:hAnsi="Bookman Old Style"/>
          <w:i/>
          <w:sz w:val="24"/>
          <w:szCs w:val="24"/>
        </w:rPr>
        <w:t>siendo nuestra organización una empresa pequeña, sin dejar de un lado que dicho año nos tocó cancelar a la Superintendencia de Servicios Públicos domiciliarios el valor de $31.500.000.00, por efectos de una sanción impuesta por fallas técnicas en la planta</w:t>
      </w:r>
      <w:r>
        <w:rPr>
          <w:rFonts w:ascii="Bookman Old Style" w:hAnsi="Bookman Old Style"/>
          <w:i/>
          <w:sz w:val="24"/>
          <w:szCs w:val="24"/>
        </w:rPr>
        <w:t>.</w:t>
      </w:r>
    </w:p>
    <w:p w:rsidR="006C3E12" w:rsidRPr="00B832C9" w:rsidRDefault="006C3E12" w:rsidP="006C3E12">
      <w:pPr>
        <w:pStyle w:val="Prrafodelista"/>
        <w:rPr>
          <w:rFonts w:ascii="Bookman Old Style" w:hAnsi="Bookman Old Style"/>
          <w:i/>
          <w:sz w:val="24"/>
          <w:szCs w:val="24"/>
        </w:rPr>
      </w:pPr>
    </w:p>
    <w:p w:rsidR="006C3E12" w:rsidRPr="00B832C9" w:rsidRDefault="00CB755D" w:rsidP="006A6322">
      <w:pPr>
        <w:pStyle w:val="Prrafodelista"/>
        <w:numPr>
          <w:ilvl w:val="0"/>
          <w:numId w:val="16"/>
        </w:numPr>
        <w:jc w:val="both"/>
        <w:rPr>
          <w:rFonts w:ascii="Bookman Old Style" w:hAnsi="Bookman Old Style"/>
          <w:i/>
          <w:sz w:val="24"/>
          <w:szCs w:val="24"/>
        </w:rPr>
      </w:pPr>
      <w:r>
        <w:rPr>
          <w:rFonts w:ascii="Bookman Old Style" w:hAnsi="Bookman Old Style"/>
          <w:i/>
          <w:sz w:val="24"/>
          <w:szCs w:val="24"/>
        </w:rPr>
        <w:t xml:space="preserve">Por este motivo nos vimos en la necesidad de presentar una PETICIÓN A LA SUPERINTENDENCIA DE SERVICIOS PÚBLICOS CON EL ÚNICO OBJETIVO DE PODER CORREGIR la información Financiera, para poder establecer el verdadero valor a pagar por concepto de contribución Especial año 2009 y cualquier otra contribución que se genere, cumpliendo con todas las disposiciones legales que para tal efecto considere necesario las autoridad competente </w:t>
      </w:r>
      <w:r w:rsidRPr="00CB755D">
        <w:rPr>
          <w:rFonts w:ascii="Bookman Old Style" w:hAnsi="Bookman Old Style"/>
          <w:sz w:val="24"/>
          <w:szCs w:val="24"/>
        </w:rPr>
        <w:t>(Sic)</w:t>
      </w:r>
      <w:r>
        <w:rPr>
          <w:rFonts w:ascii="Bookman Old Style" w:hAnsi="Bookman Old Style"/>
          <w:i/>
          <w:sz w:val="24"/>
          <w:szCs w:val="24"/>
        </w:rPr>
        <w:t>.</w:t>
      </w:r>
    </w:p>
    <w:p w:rsidR="006C3E12" w:rsidRPr="00B832C9" w:rsidRDefault="006C3E12" w:rsidP="006C3E12">
      <w:pPr>
        <w:pStyle w:val="Prrafodelista"/>
        <w:rPr>
          <w:rFonts w:ascii="Bookman Old Style" w:hAnsi="Bookman Old Style"/>
          <w:i/>
          <w:sz w:val="24"/>
          <w:szCs w:val="24"/>
        </w:rPr>
      </w:pPr>
    </w:p>
    <w:p w:rsidR="006C3E12" w:rsidRPr="00B832C9" w:rsidRDefault="006C3E12" w:rsidP="006A6322">
      <w:pPr>
        <w:pStyle w:val="Prrafodelista"/>
        <w:numPr>
          <w:ilvl w:val="0"/>
          <w:numId w:val="16"/>
        </w:numPr>
        <w:jc w:val="both"/>
        <w:rPr>
          <w:rFonts w:ascii="Bookman Old Style" w:hAnsi="Bookman Old Style"/>
          <w:i/>
          <w:sz w:val="24"/>
          <w:szCs w:val="24"/>
        </w:rPr>
      </w:pPr>
      <w:r w:rsidRPr="00B832C9">
        <w:rPr>
          <w:rFonts w:ascii="Bookman Old Style" w:hAnsi="Bookman Old Style"/>
          <w:i/>
          <w:sz w:val="24"/>
          <w:szCs w:val="24"/>
        </w:rPr>
        <w:t>El 17 de febrero de 2010 la Revisoría Fiscal MGI Páez Asociados Auditores y Consultores, formuló una recomendación que fue atendida por la administración generando cambios en los estados financieros a Diciembre de 2009</w:t>
      </w:r>
    </w:p>
    <w:p w:rsidR="006C3E12" w:rsidRPr="00B832C9" w:rsidRDefault="006C3E12" w:rsidP="006C3E12">
      <w:pPr>
        <w:ind w:left="0"/>
        <w:jc w:val="both"/>
        <w:rPr>
          <w:rFonts w:ascii="Bookman Old Style" w:hAnsi="Bookman Old Style"/>
          <w:i/>
        </w:rPr>
      </w:pPr>
    </w:p>
    <w:p w:rsidR="006C3E12" w:rsidRPr="00B832C9" w:rsidRDefault="00CB755D" w:rsidP="006A6322">
      <w:pPr>
        <w:pStyle w:val="Prrafodelista"/>
        <w:numPr>
          <w:ilvl w:val="0"/>
          <w:numId w:val="16"/>
        </w:numPr>
        <w:jc w:val="both"/>
        <w:rPr>
          <w:rFonts w:ascii="Bookman Old Style" w:hAnsi="Bookman Old Style"/>
          <w:i/>
          <w:sz w:val="24"/>
          <w:szCs w:val="24"/>
        </w:rPr>
      </w:pPr>
      <w:r>
        <w:rPr>
          <w:rFonts w:ascii="Bookman Old Style" w:hAnsi="Bookman Old Style"/>
          <w:i/>
          <w:sz w:val="24"/>
          <w:szCs w:val="24"/>
        </w:rPr>
        <w:t>Se anexaron a dicha PETICIÓN, los cuadros explicativos en donde se puede observar los cambios de las cuentas que sufren modificación</w:t>
      </w:r>
      <w:r w:rsidR="006C3E12" w:rsidRPr="00B832C9">
        <w:rPr>
          <w:rFonts w:ascii="Bookman Old Style" w:hAnsi="Bookman Old Style"/>
          <w:i/>
          <w:sz w:val="24"/>
          <w:szCs w:val="24"/>
        </w:rPr>
        <w:t>.</w:t>
      </w:r>
      <w:r>
        <w:rPr>
          <w:rFonts w:ascii="Bookman Old Style" w:hAnsi="Bookman Old Style"/>
          <w:i/>
          <w:sz w:val="24"/>
          <w:szCs w:val="24"/>
        </w:rPr>
        <w:t xml:space="preserve"> En este caso se está solicitando a la Superintendencia nos permita recodificar la Información para trasladar los valores que fueron a la 5(GASTOS) por equivocación y poderlos asignar a la cuenta 7 (de COSTOS).</w:t>
      </w:r>
    </w:p>
    <w:p w:rsidR="006C3E12" w:rsidRPr="00B832C9" w:rsidRDefault="006C3E12" w:rsidP="006C3E12">
      <w:pPr>
        <w:pStyle w:val="Prrafodelista"/>
        <w:rPr>
          <w:rFonts w:ascii="Bookman Old Style" w:hAnsi="Bookman Old Style"/>
          <w:i/>
          <w:sz w:val="24"/>
          <w:szCs w:val="24"/>
        </w:rPr>
      </w:pPr>
    </w:p>
    <w:p w:rsidR="006A6322" w:rsidRDefault="00CB755D" w:rsidP="00D97BAD">
      <w:pPr>
        <w:pStyle w:val="Prrafodelista"/>
        <w:numPr>
          <w:ilvl w:val="0"/>
          <w:numId w:val="16"/>
        </w:numPr>
        <w:jc w:val="both"/>
        <w:rPr>
          <w:rFonts w:ascii="Bookman Old Style" w:hAnsi="Bookman Old Style"/>
          <w:i/>
          <w:sz w:val="24"/>
          <w:szCs w:val="24"/>
        </w:rPr>
      </w:pPr>
      <w:r>
        <w:rPr>
          <w:rFonts w:ascii="Bookman Old Style" w:hAnsi="Bookman Old Style"/>
          <w:i/>
          <w:sz w:val="24"/>
          <w:szCs w:val="24"/>
        </w:rPr>
        <w:t>En atención a lo anterior y con fundamento en las explicaciones dadas a la superintendencia de Servicios Públicos Domiciliarios, rogamos a esta entidad revocar la resolución que nos ocupa en su parte pertinente, que no es otra que la que atañe a nuestra empresa, para que por favor se sirvan reconsiderar el monto de la contribución y asignar el valor real que corresponde de acuerdo con la información financiera corregida</w:t>
      </w:r>
      <w:r w:rsidR="00117EE2" w:rsidRPr="00B832C9">
        <w:rPr>
          <w:rFonts w:ascii="Bookman Old Style" w:hAnsi="Bookman Old Style"/>
          <w:i/>
          <w:sz w:val="24"/>
          <w:szCs w:val="24"/>
        </w:rPr>
        <w:t>.</w:t>
      </w:r>
      <w:r w:rsidR="00CD5AF2" w:rsidRPr="00D97BAD">
        <w:rPr>
          <w:rFonts w:ascii="Bookman Old Style" w:hAnsi="Bookman Old Style"/>
          <w:i/>
          <w:sz w:val="24"/>
          <w:szCs w:val="24"/>
        </w:rPr>
        <w:t>”</w:t>
      </w:r>
    </w:p>
    <w:p w:rsidR="00D97BAD" w:rsidRPr="00D97BAD" w:rsidRDefault="00D97BAD" w:rsidP="00D97BAD">
      <w:pPr>
        <w:ind w:left="0"/>
        <w:jc w:val="both"/>
        <w:rPr>
          <w:rFonts w:ascii="Bookman Old Style" w:hAnsi="Bookman Old Style"/>
          <w:i/>
        </w:rPr>
      </w:pPr>
    </w:p>
    <w:p w:rsidR="006A6322" w:rsidRDefault="00D97BAD" w:rsidP="00F763C8">
      <w:pPr>
        <w:pStyle w:val="Prrafodelista"/>
        <w:numPr>
          <w:ilvl w:val="0"/>
          <w:numId w:val="17"/>
        </w:numPr>
        <w:rPr>
          <w:rFonts w:ascii="Bookman Old Style" w:hAnsi="Bookman Old Style"/>
          <w:b/>
          <w:sz w:val="24"/>
          <w:szCs w:val="24"/>
        </w:rPr>
      </w:pPr>
      <w:r>
        <w:rPr>
          <w:rFonts w:ascii="Bookman Old Style" w:hAnsi="Bookman Old Style"/>
          <w:b/>
          <w:sz w:val="24"/>
          <w:szCs w:val="24"/>
        </w:rPr>
        <w:t>PRUEBAS</w:t>
      </w:r>
    </w:p>
    <w:p w:rsidR="00D97BAD" w:rsidRDefault="00D97BAD" w:rsidP="00D97BAD">
      <w:pPr>
        <w:ind w:left="0"/>
        <w:rPr>
          <w:rFonts w:ascii="Bookman Old Style" w:hAnsi="Bookman Old Style"/>
          <w:b/>
        </w:rPr>
      </w:pPr>
    </w:p>
    <w:p w:rsidR="00D97BAD" w:rsidRPr="00D97BAD" w:rsidRDefault="00D97BAD" w:rsidP="00D97BAD">
      <w:pPr>
        <w:tabs>
          <w:tab w:val="left" w:pos="7938"/>
        </w:tabs>
        <w:ind w:left="142"/>
        <w:jc w:val="both"/>
        <w:rPr>
          <w:rFonts w:ascii="Bookman Old Style" w:hAnsi="Bookman Old Style"/>
        </w:rPr>
      </w:pPr>
      <w:r w:rsidRPr="00D97BAD">
        <w:rPr>
          <w:rFonts w:ascii="Bookman Old Style" w:hAnsi="Bookman Old Style"/>
        </w:rPr>
        <w:t>E</w:t>
      </w:r>
      <w:r>
        <w:rPr>
          <w:rFonts w:ascii="Bookman Old Style" w:hAnsi="Bookman Old Style"/>
        </w:rPr>
        <w:t>l recurrente relaciona como pruebas copia del documento presentado ante la superintendencia de Servicios Públicos Domiciliarios, con todos los documentos que soportan la solicitud allí contenida.</w:t>
      </w:r>
    </w:p>
    <w:p w:rsidR="00D97BAD" w:rsidRPr="00D97BAD" w:rsidRDefault="00D97BAD" w:rsidP="005522CB">
      <w:pPr>
        <w:ind w:left="0"/>
        <w:jc w:val="both"/>
        <w:rPr>
          <w:rFonts w:ascii="Bookman Old Style" w:hAnsi="Bookman Old Style"/>
          <w:b/>
        </w:rPr>
      </w:pPr>
    </w:p>
    <w:p w:rsidR="00D97BAD" w:rsidRPr="00F763C8" w:rsidRDefault="00637364" w:rsidP="005522CB">
      <w:pPr>
        <w:pStyle w:val="Prrafodelista"/>
        <w:numPr>
          <w:ilvl w:val="0"/>
          <w:numId w:val="17"/>
        </w:numPr>
        <w:jc w:val="both"/>
        <w:rPr>
          <w:rFonts w:ascii="Bookman Old Style" w:hAnsi="Bookman Old Style"/>
          <w:b/>
          <w:sz w:val="24"/>
          <w:szCs w:val="24"/>
        </w:rPr>
      </w:pPr>
      <w:r>
        <w:rPr>
          <w:rFonts w:ascii="Bookman Old Style" w:hAnsi="Bookman Old Style"/>
          <w:b/>
          <w:sz w:val="24"/>
          <w:szCs w:val="24"/>
        </w:rPr>
        <w:t>CONSIDERACIONES DE LA COMISIÓN DE REGULACIÓN DE ENERGÍA Y GAS - CREG</w:t>
      </w:r>
    </w:p>
    <w:p w:rsidR="0023309C" w:rsidRDefault="0023309C" w:rsidP="00637364">
      <w:pPr>
        <w:ind w:left="0"/>
        <w:jc w:val="both"/>
        <w:rPr>
          <w:rFonts w:ascii="Bookman Old Style" w:hAnsi="Bookman Old Style"/>
        </w:rPr>
      </w:pPr>
    </w:p>
    <w:p w:rsidR="00637364" w:rsidRDefault="00637364" w:rsidP="00FA15B4">
      <w:pPr>
        <w:ind w:left="170"/>
        <w:jc w:val="both"/>
        <w:rPr>
          <w:rFonts w:ascii="Bookman Old Style" w:hAnsi="Bookman Old Style" w:cs="Arial"/>
        </w:rPr>
      </w:pPr>
      <w:r>
        <w:rPr>
          <w:rFonts w:ascii="Bookman Old Style" w:hAnsi="Bookman Old Style"/>
        </w:rPr>
        <w:t xml:space="preserve">La resolución CREG-124 de 2010 </w:t>
      </w:r>
      <w:r w:rsidR="0023309C">
        <w:rPr>
          <w:rFonts w:ascii="Bookman Old Style" w:hAnsi="Bookman Old Style"/>
        </w:rPr>
        <w:t>señaló que el monto que deben pagar las empresas es del 0.00711404376935 del valor de los gastos de funcionamiento de la entidad sujeta a regulación, con exclusión de los factores establecidos en la ley</w:t>
      </w:r>
      <w:r>
        <w:rPr>
          <w:rFonts w:ascii="Bookman Old Style" w:hAnsi="Bookman Old Style"/>
        </w:rPr>
        <w:t xml:space="preserve">. Con base en este factor, la Comisión de Regulación de Energía y </w:t>
      </w:r>
      <w:r>
        <w:rPr>
          <w:rFonts w:ascii="Bookman Old Style" w:hAnsi="Bookman Old Style"/>
        </w:rPr>
        <w:lastRenderedPageBreak/>
        <w:t xml:space="preserve">Gas – CREG- profirió la resolución CREG- 125 de 2010 por medio de la cual se señaló </w:t>
      </w:r>
      <w:r w:rsidRPr="00637364">
        <w:rPr>
          <w:rFonts w:ascii="Bookman Old Style" w:hAnsi="Bookman Old Style" w:cs="Arial"/>
        </w:rPr>
        <w:t>la contribución que deb</w:t>
      </w:r>
      <w:r>
        <w:rPr>
          <w:rFonts w:ascii="Bookman Old Style" w:hAnsi="Bookman Old Style" w:cs="Arial"/>
        </w:rPr>
        <w:t>ían</w:t>
      </w:r>
      <w:r w:rsidRPr="00637364">
        <w:rPr>
          <w:rFonts w:ascii="Bookman Old Style" w:hAnsi="Bookman Old Style" w:cs="Arial"/>
        </w:rPr>
        <w:t xml:space="preserve"> pagar a la Comisión de Regulación de Energía y Gas cada una de las entidades reguladas por el año 2010.</w:t>
      </w:r>
    </w:p>
    <w:p w:rsidR="00637364" w:rsidRDefault="00637364" w:rsidP="00FA15B4">
      <w:pPr>
        <w:ind w:left="170"/>
        <w:jc w:val="both"/>
        <w:rPr>
          <w:rFonts w:ascii="Bookman Old Style" w:hAnsi="Bookman Old Style" w:cs="Arial"/>
        </w:rPr>
      </w:pPr>
    </w:p>
    <w:p w:rsidR="00637364" w:rsidRDefault="00637364" w:rsidP="00FA15B4">
      <w:pPr>
        <w:ind w:left="170"/>
        <w:jc w:val="both"/>
        <w:rPr>
          <w:rFonts w:ascii="Bookman Old Style" w:hAnsi="Bookman Old Style"/>
        </w:rPr>
      </w:pPr>
      <w:r>
        <w:rPr>
          <w:rFonts w:ascii="Bookman Old Style" w:hAnsi="Bookman Old Style"/>
        </w:rPr>
        <w:t>Como consecuencia de un error aritmético en el que incurrió la C</w:t>
      </w:r>
      <w:r w:rsidR="00BF2C63">
        <w:rPr>
          <w:rFonts w:ascii="Bookman Old Style" w:hAnsi="Bookman Old Style"/>
        </w:rPr>
        <w:t>omisión de Regulación de Energía y Gas –C</w:t>
      </w:r>
      <w:r>
        <w:rPr>
          <w:rFonts w:ascii="Bookman Old Style" w:hAnsi="Bookman Old Style"/>
        </w:rPr>
        <w:t>REG</w:t>
      </w:r>
      <w:r w:rsidR="00BF2C63">
        <w:rPr>
          <w:rFonts w:ascii="Bookman Old Style" w:hAnsi="Bookman Old Style"/>
        </w:rPr>
        <w:t>-</w:t>
      </w:r>
      <w:r>
        <w:rPr>
          <w:rFonts w:ascii="Bookman Old Style" w:hAnsi="Bookman Old Style"/>
        </w:rPr>
        <w:t xml:space="preserve"> en el momento proferirse la resolución CREG 125 de 2010 al dejarse de incluir seis (6) empresas, fue necesario recalcular el factor y por lo tanto, con sujeción a lo dispuesto en el artículo 73 del Código Contencioso Administrativo, se procedió a revocar parcialmente las resoluciones CREG 124 de 2010 y CREG 125 de 2010.</w:t>
      </w:r>
    </w:p>
    <w:p w:rsidR="00637364" w:rsidRDefault="00637364" w:rsidP="00FA15B4">
      <w:pPr>
        <w:ind w:left="170"/>
        <w:jc w:val="both"/>
        <w:rPr>
          <w:rFonts w:ascii="Bookman Old Style" w:hAnsi="Bookman Old Style"/>
        </w:rPr>
      </w:pPr>
    </w:p>
    <w:p w:rsidR="00B605FB" w:rsidRDefault="00637364" w:rsidP="00FA15B4">
      <w:pPr>
        <w:ind w:left="170"/>
        <w:jc w:val="both"/>
        <w:rPr>
          <w:rFonts w:ascii="Bookman Old Style" w:hAnsi="Bookman Old Style"/>
        </w:rPr>
      </w:pPr>
      <w:r>
        <w:rPr>
          <w:rFonts w:ascii="Bookman Old Style" w:hAnsi="Bookman Old Style"/>
        </w:rPr>
        <w:t>Como producto de lo anterior, la Comisión de Regulación de Energía y Gas –CREG- profirió la resolución CREG 156 del 10 de noviembre de 2010</w:t>
      </w:r>
      <w:r w:rsidR="00B605FB">
        <w:rPr>
          <w:rFonts w:ascii="Bookman Old Style" w:hAnsi="Bookman Old Style"/>
        </w:rPr>
        <w:t>. En dicha resolución se señaló lo siguiente:</w:t>
      </w:r>
    </w:p>
    <w:p w:rsidR="00B605FB" w:rsidRPr="00B605FB" w:rsidRDefault="00B605FB" w:rsidP="00FA15B4">
      <w:pPr>
        <w:ind w:left="170"/>
        <w:jc w:val="both"/>
        <w:rPr>
          <w:rFonts w:ascii="Bookman Old Style" w:hAnsi="Bookman Old Style"/>
        </w:rPr>
      </w:pPr>
    </w:p>
    <w:p w:rsidR="00B605FB" w:rsidRPr="00B605FB" w:rsidRDefault="00B605FB" w:rsidP="00B605FB">
      <w:pPr>
        <w:pStyle w:val="Prrafodelista"/>
        <w:numPr>
          <w:ilvl w:val="0"/>
          <w:numId w:val="18"/>
        </w:numPr>
        <w:jc w:val="both"/>
        <w:rPr>
          <w:rFonts w:ascii="Bookman Old Style" w:hAnsi="Bookman Old Style"/>
          <w:sz w:val="24"/>
          <w:szCs w:val="24"/>
        </w:rPr>
      </w:pPr>
      <w:r w:rsidRPr="00B605FB">
        <w:rPr>
          <w:rFonts w:ascii="Bookman Old Style" w:hAnsi="Bookman Old Style"/>
          <w:sz w:val="24"/>
          <w:szCs w:val="24"/>
          <w:lang w:val="es-ES"/>
        </w:rPr>
        <w:t xml:space="preserve"> (…)</w:t>
      </w:r>
      <w:r>
        <w:rPr>
          <w:rFonts w:ascii="Bookman Old Style" w:hAnsi="Bookman Old Style"/>
          <w:sz w:val="24"/>
          <w:szCs w:val="24"/>
          <w:lang w:val="es-ES"/>
        </w:rPr>
        <w:t xml:space="preserve"> </w:t>
      </w:r>
      <w:r w:rsidRPr="00B605FB">
        <w:rPr>
          <w:rFonts w:ascii="Bookman Old Style" w:hAnsi="Bookman Old Style" w:cs="Arial"/>
          <w:sz w:val="24"/>
          <w:szCs w:val="24"/>
        </w:rPr>
        <w:t xml:space="preserve">El monto total de la contribución que deben pagar las entidades sujetas a regulación de la Comisión de Regulación de Energía y Gas, en el año 2010, es del </w:t>
      </w:r>
      <w:r w:rsidRPr="00B605FB">
        <w:rPr>
          <w:rFonts w:ascii="Bookman Old Style" w:hAnsi="Bookman Old Style" w:cs="Arial"/>
          <w:b/>
          <w:bCs/>
          <w:sz w:val="24"/>
          <w:szCs w:val="24"/>
        </w:rPr>
        <w:t>0,00702997394724</w:t>
      </w:r>
      <w:r w:rsidRPr="00B605FB">
        <w:rPr>
          <w:rFonts w:ascii="Bookman Old Style" w:hAnsi="Bookman Old Style" w:cs="Arial"/>
          <w:sz w:val="24"/>
          <w:szCs w:val="24"/>
        </w:rPr>
        <w:t xml:space="preserve"> del valor de los gastos de funcionamiento de la entidad sujeta a regulación con exclusión de los factores establecidos en la Ley. El monto correspondiente a cada entidad será determinado con base en los estados financieros correspondientes al año de 2009, como lo ordenan las normas vigentes.”</w:t>
      </w:r>
    </w:p>
    <w:p w:rsidR="00B605FB" w:rsidRPr="00B605FB" w:rsidRDefault="00B605FB" w:rsidP="00B605FB">
      <w:pPr>
        <w:pStyle w:val="Prrafodelista"/>
        <w:ind w:left="530"/>
        <w:jc w:val="both"/>
        <w:rPr>
          <w:rFonts w:ascii="Bookman Old Style" w:hAnsi="Bookman Old Style"/>
          <w:sz w:val="24"/>
          <w:szCs w:val="24"/>
        </w:rPr>
      </w:pPr>
    </w:p>
    <w:p w:rsidR="00B605FB" w:rsidRPr="00B605FB" w:rsidRDefault="00B605FB" w:rsidP="00B605FB">
      <w:pPr>
        <w:pStyle w:val="Prrafodelista"/>
        <w:numPr>
          <w:ilvl w:val="0"/>
          <w:numId w:val="18"/>
        </w:numPr>
        <w:jc w:val="both"/>
        <w:rPr>
          <w:rFonts w:ascii="Bookman Old Style" w:hAnsi="Bookman Old Style"/>
          <w:sz w:val="24"/>
          <w:szCs w:val="24"/>
        </w:rPr>
      </w:pPr>
      <w:r w:rsidRPr="00B605FB">
        <w:rPr>
          <w:rFonts w:ascii="Bookman Old Style" w:hAnsi="Bookman Old Style" w:cs="Arial"/>
          <w:sz w:val="24"/>
          <w:szCs w:val="24"/>
        </w:rPr>
        <w:t>(…)</w:t>
      </w:r>
      <w:r w:rsidRPr="00B605FB">
        <w:rPr>
          <w:rFonts w:ascii="Bookman Old Style" w:hAnsi="Bookman Old Style" w:cs="Arial"/>
          <w:bCs/>
          <w:sz w:val="24"/>
          <w:szCs w:val="24"/>
        </w:rPr>
        <w:t>“</w:t>
      </w:r>
      <w:r w:rsidRPr="00B605FB">
        <w:rPr>
          <w:rFonts w:ascii="Bookman Old Style" w:hAnsi="Bookman Old Style" w:cs="Arial"/>
          <w:sz w:val="24"/>
          <w:szCs w:val="24"/>
        </w:rPr>
        <w:t>Las entidades del sector gas combustible sujetas a regulación, pagarán el monto de la contribución especial en el año 2010, así:</w:t>
      </w:r>
    </w:p>
    <w:p w:rsidR="00B605FB" w:rsidRPr="00B605FB" w:rsidRDefault="00B605FB" w:rsidP="00B605FB">
      <w:pPr>
        <w:pStyle w:val="Prrafodelista"/>
        <w:rPr>
          <w:rFonts w:ascii="Bookman Old Style" w:hAnsi="Bookman Old Style"/>
          <w:sz w:val="24"/>
          <w:szCs w:val="24"/>
        </w:rPr>
      </w:pPr>
    </w:p>
    <w:p w:rsidR="00B605FB" w:rsidRDefault="00B605FB" w:rsidP="00B605FB">
      <w:pPr>
        <w:pStyle w:val="Prrafodelista"/>
        <w:ind w:left="530"/>
        <w:jc w:val="both"/>
        <w:rPr>
          <w:rFonts w:ascii="Bookman Old Style" w:hAnsi="Bookman Old Style"/>
          <w:sz w:val="24"/>
          <w:szCs w:val="24"/>
        </w:rPr>
      </w:pPr>
      <w:r>
        <w:rPr>
          <w:rFonts w:ascii="Bookman Old Style" w:hAnsi="Bookman Old Style"/>
          <w:sz w:val="24"/>
          <w:szCs w:val="24"/>
        </w:rPr>
        <w:t>(…)</w:t>
      </w:r>
    </w:p>
    <w:p w:rsidR="00B605FB" w:rsidRPr="00466325" w:rsidRDefault="00B605FB" w:rsidP="00B605FB">
      <w:pPr>
        <w:pStyle w:val="Prrafodelista"/>
        <w:ind w:left="530"/>
        <w:jc w:val="both"/>
        <w:rPr>
          <w:rFonts w:ascii="Bookman Old Style" w:hAnsi="Bookman Old Style"/>
          <w:b/>
          <w:sz w:val="24"/>
          <w:szCs w:val="24"/>
        </w:rPr>
      </w:pPr>
    </w:p>
    <w:tbl>
      <w:tblPr>
        <w:tblW w:w="8698" w:type="dxa"/>
        <w:tblInd w:w="637" w:type="dxa"/>
        <w:tblCellMar>
          <w:left w:w="70" w:type="dxa"/>
          <w:right w:w="70" w:type="dxa"/>
        </w:tblCellMar>
        <w:tblLook w:val="04A0" w:firstRow="1" w:lastRow="0" w:firstColumn="1" w:lastColumn="0" w:noHBand="0" w:noVBand="1"/>
      </w:tblPr>
      <w:tblGrid>
        <w:gridCol w:w="1554"/>
        <w:gridCol w:w="1627"/>
        <w:gridCol w:w="2616"/>
        <w:gridCol w:w="2901"/>
      </w:tblGrid>
      <w:tr w:rsidR="00B605FB" w:rsidRPr="00466325" w:rsidTr="005522CB">
        <w:trPr>
          <w:trHeight w:val="259"/>
        </w:trPr>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5FB" w:rsidRPr="00466325" w:rsidRDefault="00B605FB" w:rsidP="00B605FB">
            <w:pPr>
              <w:ind w:left="0"/>
              <w:jc w:val="center"/>
              <w:rPr>
                <w:rFonts w:ascii="Arial" w:hAnsi="Arial" w:cs="Arial"/>
                <w:b/>
                <w:color w:val="000000"/>
                <w:sz w:val="18"/>
                <w:szCs w:val="18"/>
              </w:rPr>
            </w:pPr>
            <w:r w:rsidRPr="00466325">
              <w:rPr>
                <w:rFonts w:ascii="Arial" w:hAnsi="Arial" w:cs="Arial"/>
                <w:b/>
                <w:color w:val="000000"/>
                <w:sz w:val="18"/>
                <w:szCs w:val="18"/>
              </w:rPr>
              <w:t>#</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B605FB" w:rsidRPr="00466325" w:rsidRDefault="00B605FB" w:rsidP="00B605FB">
            <w:pPr>
              <w:ind w:left="0"/>
              <w:jc w:val="center"/>
              <w:rPr>
                <w:rFonts w:ascii="Arial" w:hAnsi="Arial" w:cs="Arial"/>
                <w:b/>
                <w:color w:val="000000"/>
                <w:sz w:val="18"/>
                <w:szCs w:val="18"/>
              </w:rPr>
            </w:pPr>
            <w:r w:rsidRPr="00466325">
              <w:rPr>
                <w:rFonts w:ascii="Arial" w:hAnsi="Arial" w:cs="Arial"/>
                <w:b/>
                <w:color w:val="000000"/>
                <w:sz w:val="18"/>
                <w:szCs w:val="18"/>
              </w:rPr>
              <w:t>NIT</w:t>
            </w:r>
          </w:p>
        </w:tc>
        <w:tc>
          <w:tcPr>
            <w:tcW w:w="2616" w:type="dxa"/>
            <w:tcBorders>
              <w:top w:val="single" w:sz="4" w:space="0" w:color="auto"/>
              <w:left w:val="nil"/>
              <w:bottom w:val="single" w:sz="4" w:space="0" w:color="auto"/>
              <w:right w:val="single" w:sz="4" w:space="0" w:color="auto"/>
            </w:tcBorders>
            <w:shd w:val="clear" w:color="auto" w:fill="auto"/>
            <w:noWrap/>
            <w:vAlign w:val="bottom"/>
            <w:hideMark/>
          </w:tcPr>
          <w:p w:rsidR="00B605FB" w:rsidRPr="00466325" w:rsidRDefault="00B605FB" w:rsidP="00B605FB">
            <w:pPr>
              <w:ind w:left="0"/>
              <w:jc w:val="center"/>
              <w:rPr>
                <w:rFonts w:ascii="Arial" w:hAnsi="Arial" w:cs="Arial"/>
                <w:b/>
                <w:color w:val="000000"/>
                <w:sz w:val="18"/>
                <w:szCs w:val="18"/>
              </w:rPr>
            </w:pPr>
            <w:r w:rsidRPr="00466325">
              <w:rPr>
                <w:rFonts w:ascii="Arial" w:hAnsi="Arial" w:cs="Arial"/>
                <w:b/>
                <w:color w:val="000000"/>
                <w:sz w:val="18"/>
                <w:szCs w:val="18"/>
              </w:rPr>
              <w:t>EMPRESA</w:t>
            </w:r>
          </w:p>
        </w:tc>
        <w:tc>
          <w:tcPr>
            <w:tcW w:w="2901" w:type="dxa"/>
            <w:tcBorders>
              <w:top w:val="single" w:sz="4" w:space="0" w:color="auto"/>
              <w:left w:val="nil"/>
              <w:bottom w:val="single" w:sz="4" w:space="0" w:color="auto"/>
              <w:right w:val="single" w:sz="4" w:space="0" w:color="auto"/>
            </w:tcBorders>
            <w:shd w:val="clear" w:color="auto" w:fill="auto"/>
            <w:noWrap/>
            <w:vAlign w:val="bottom"/>
            <w:hideMark/>
          </w:tcPr>
          <w:p w:rsidR="00B605FB" w:rsidRPr="00466325" w:rsidRDefault="00B605FB" w:rsidP="00B605FB">
            <w:pPr>
              <w:ind w:left="0"/>
              <w:jc w:val="center"/>
              <w:rPr>
                <w:rFonts w:ascii="Arial" w:hAnsi="Arial" w:cs="Arial"/>
                <w:b/>
                <w:color w:val="000000"/>
                <w:sz w:val="18"/>
                <w:szCs w:val="18"/>
              </w:rPr>
            </w:pPr>
            <w:r w:rsidRPr="00466325">
              <w:rPr>
                <w:rFonts w:ascii="Arial" w:hAnsi="Arial" w:cs="Arial"/>
                <w:b/>
                <w:color w:val="000000"/>
                <w:sz w:val="18"/>
                <w:szCs w:val="18"/>
              </w:rPr>
              <w:t>CONTRIBUCIÓN 2010</w:t>
            </w:r>
          </w:p>
        </w:tc>
      </w:tr>
      <w:tr w:rsidR="00B605FB" w:rsidRPr="00B605FB" w:rsidTr="005522CB">
        <w:trPr>
          <w:trHeight w:val="259"/>
        </w:trPr>
        <w:tc>
          <w:tcPr>
            <w:tcW w:w="155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B605FB" w:rsidRPr="00B605FB" w:rsidRDefault="00B605FB" w:rsidP="00B605FB">
            <w:pPr>
              <w:ind w:left="0"/>
              <w:jc w:val="center"/>
              <w:rPr>
                <w:rFonts w:ascii="Arial" w:hAnsi="Arial" w:cs="Arial"/>
                <w:color w:val="000000"/>
                <w:sz w:val="18"/>
                <w:szCs w:val="18"/>
              </w:rPr>
            </w:pPr>
            <w:r w:rsidRPr="00B605FB">
              <w:rPr>
                <w:rFonts w:ascii="Arial" w:hAnsi="Arial" w:cs="Arial"/>
                <w:color w:val="000000"/>
                <w:sz w:val="18"/>
                <w:szCs w:val="18"/>
              </w:rPr>
              <w:t>99</w:t>
            </w:r>
          </w:p>
        </w:tc>
        <w:tc>
          <w:tcPr>
            <w:tcW w:w="1627" w:type="dxa"/>
            <w:tcBorders>
              <w:top w:val="single" w:sz="4" w:space="0" w:color="auto"/>
              <w:left w:val="nil"/>
              <w:bottom w:val="single" w:sz="8" w:space="0" w:color="auto"/>
              <w:right w:val="single" w:sz="4" w:space="0" w:color="auto"/>
            </w:tcBorders>
            <w:shd w:val="clear" w:color="auto" w:fill="auto"/>
            <w:noWrap/>
            <w:vAlign w:val="bottom"/>
            <w:hideMark/>
          </w:tcPr>
          <w:p w:rsidR="00B605FB" w:rsidRPr="00B605FB" w:rsidRDefault="00B605FB" w:rsidP="00B605FB">
            <w:pPr>
              <w:ind w:left="0"/>
              <w:jc w:val="center"/>
              <w:rPr>
                <w:rFonts w:ascii="Arial" w:hAnsi="Arial" w:cs="Arial"/>
                <w:color w:val="000000"/>
                <w:sz w:val="18"/>
                <w:szCs w:val="18"/>
              </w:rPr>
            </w:pPr>
            <w:r w:rsidRPr="00B605FB">
              <w:rPr>
                <w:rFonts w:ascii="Arial" w:hAnsi="Arial" w:cs="Arial"/>
                <w:color w:val="000000"/>
                <w:sz w:val="18"/>
                <w:szCs w:val="18"/>
              </w:rPr>
              <w:t>8905039668</w:t>
            </w:r>
          </w:p>
        </w:tc>
        <w:tc>
          <w:tcPr>
            <w:tcW w:w="2616" w:type="dxa"/>
            <w:tcBorders>
              <w:top w:val="single" w:sz="4" w:space="0" w:color="auto"/>
              <w:left w:val="nil"/>
              <w:bottom w:val="single" w:sz="8" w:space="0" w:color="auto"/>
              <w:right w:val="single" w:sz="4" w:space="0" w:color="auto"/>
            </w:tcBorders>
            <w:shd w:val="clear" w:color="auto" w:fill="auto"/>
            <w:noWrap/>
            <w:vAlign w:val="bottom"/>
            <w:hideMark/>
          </w:tcPr>
          <w:p w:rsidR="00B605FB" w:rsidRPr="00B605FB" w:rsidRDefault="00B605FB" w:rsidP="00B605FB">
            <w:pPr>
              <w:ind w:left="0"/>
              <w:rPr>
                <w:rFonts w:ascii="Arial" w:hAnsi="Arial" w:cs="Arial"/>
                <w:color w:val="000000"/>
                <w:sz w:val="18"/>
                <w:szCs w:val="18"/>
              </w:rPr>
            </w:pPr>
            <w:r w:rsidRPr="00B605FB">
              <w:rPr>
                <w:rFonts w:ascii="Arial" w:hAnsi="Arial" w:cs="Arial"/>
                <w:color w:val="000000"/>
                <w:sz w:val="18"/>
                <w:szCs w:val="18"/>
              </w:rPr>
              <w:t>LUSTRIGAS S.A. E.S.P.</w:t>
            </w:r>
          </w:p>
        </w:tc>
        <w:tc>
          <w:tcPr>
            <w:tcW w:w="2901" w:type="dxa"/>
            <w:tcBorders>
              <w:top w:val="single" w:sz="4" w:space="0" w:color="auto"/>
              <w:left w:val="nil"/>
              <w:bottom w:val="single" w:sz="8" w:space="0" w:color="auto"/>
              <w:right w:val="single" w:sz="8" w:space="0" w:color="auto"/>
            </w:tcBorders>
            <w:shd w:val="clear" w:color="auto" w:fill="auto"/>
            <w:noWrap/>
            <w:vAlign w:val="bottom"/>
            <w:hideMark/>
          </w:tcPr>
          <w:p w:rsidR="00B605FB" w:rsidRPr="00B605FB" w:rsidRDefault="00B605FB" w:rsidP="00B605FB">
            <w:pPr>
              <w:ind w:left="0"/>
              <w:jc w:val="center"/>
              <w:rPr>
                <w:rFonts w:ascii="Arial" w:hAnsi="Arial" w:cs="Arial"/>
                <w:color w:val="000000"/>
                <w:sz w:val="18"/>
                <w:szCs w:val="18"/>
              </w:rPr>
            </w:pPr>
            <w:r w:rsidRPr="00B605FB">
              <w:rPr>
                <w:rFonts w:ascii="Arial" w:hAnsi="Arial" w:cs="Arial"/>
                <w:color w:val="000000"/>
                <w:sz w:val="18"/>
                <w:szCs w:val="18"/>
              </w:rPr>
              <w:t>7.821.721</w:t>
            </w:r>
          </w:p>
        </w:tc>
      </w:tr>
    </w:tbl>
    <w:p w:rsidR="00B605FB" w:rsidRPr="005522CB" w:rsidRDefault="00B605FB" w:rsidP="005522CB">
      <w:pPr>
        <w:ind w:left="0"/>
        <w:jc w:val="both"/>
        <w:rPr>
          <w:rFonts w:ascii="Bookman Old Style" w:hAnsi="Bookman Old Style"/>
        </w:rPr>
      </w:pPr>
    </w:p>
    <w:p w:rsidR="00637364" w:rsidRDefault="00637364" w:rsidP="005522CB">
      <w:pPr>
        <w:ind w:left="0"/>
        <w:jc w:val="both"/>
        <w:rPr>
          <w:rFonts w:ascii="Bookman Old Style" w:hAnsi="Bookman Old Style"/>
        </w:rPr>
      </w:pPr>
    </w:p>
    <w:p w:rsidR="00637364" w:rsidRDefault="00637364" w:rsidP="00637364">
      <w:pPr>
        <w:ind w:left="170"/>
        <w:jc w:val="both"/>
        <w:rPr>
          <w:rFonts w:ascii="Bookman Old Style" w:hAnsi="Bookman Old Style"/>
        </w:rPr>
      </w:pPr>
      <w:r w:rsidRPr="00CD5AF2">
        <w:rPr>
          <w:rFonts w:ascii="Bookman Old Style" w:hAnsi="Bookman Old Style"/>
        </w:rPr>
        <w:t>U</w:t>
      </w:r>
      <w:r>
        <w:rPr>
          <w:rFonts w:ascii="Bookman Old Style" w:hAnsi="Bookman Old Style"/>
        </w:rPr>
        <w:t xml:space="preserve">na vez analizadas las razones </w:t>
      </w:r>
      <w:r w:rsidR="00A1170D">
        <w:rPr>
          <w:rFonts w:ascii="Bookman Old Style" w:hAnsi="Bookman Old Style"/>
        </w:rPr>
        <w:t xml:space="preserve"> y las pruebas aportadas por el </w:t>
      </w:r>
      <w:r>
        <w:rPr>
          <w:rFonts w:ascii="Bookman Old Style" w:hAnsi="Bookman Old Style"/>
        </w:rPr>
        <w:t>recurrente</w:t>
      </w:r>
      <w:r w:rsidR="00A1170D">
        <w:rPr>
          <w:rFonts w:ascii="Bookman Old Style" w:hAnsi="Bookman Old Style"/>
        </w:rPr>
        <w:t>,</w:t>
      </w:r>
      <w:r>
        <w:rPr>
          <w:rFonts w:ascii="Bookman Old Style" w:hAnsi="Bookman Old Style"/>
        </w:rPr>
        <w:t xml:space="preserve"> la Comisión de Regulación de Energía y Gas -CREG- considera:</w:t>
      </w:r>
    </w:p>
    <w:p w:rsidR="00637364" w:rsidRDefault="00637364" w:rsidP="00D57C74">
      <w:pPr>
        <w:ind w:left="0"/>
        <w:jc w:val="both"/>
        <w:rPr>
          <w:rFonts w:ascii="Bookman Old Style" w:hAnsi="Bookman Old Style"/>
        </w:rPr>
      </w:pPr>
    </w:p>
    <w:p w:rsidR="005522CB" w:rsidRDefault="005522CB" w:rsidP="005522CB">
      <w:pPr>
        <w:pStyle w:val="Prrafodelista"/>
        <w:numPr>
          <w:ilvl w:val="0"/>
          <w:numId w:val="19"/>
        </w:numPr>
        <w:jc w:val="both"/>
        <w:rPr>
          <w:rFonts w:ascii="Bookman Old Style" w:hAnsi="Bookman Old Style"/>
          <w:sz w:val="24"/>
          <w:szCs w:val="24"/>
        </w:rPr>
      </w:pPr>
      <w:r w:rsidRPr="005522CB">
        <w:rPr>
          <w:rFonts w:ascii="Bookman Old Style" w:hAnsi="Bookman Old Style"/>
          <w:sz w:val="24"/>
          <w:szCs w:val="24"/>
          <w:lang w:val="es-ES"/>
        </w:rPr>
        <w:t>E</w:t>
      </w:r>
      <w:r w:rsidR="0023309C" w:rsidRPr="005522CB">
        <w:rPr>
          <w:rFonts w:ascii="Bookman Old Style" w:hAnsi="Bookman Old Style"/>
          <w:sz w:val="24"/>
          <w:szCs w:val="24"/>
        </w:rPr>
        <w:t>l valor que debía pagar cada entidad se determinó con base en los estados financieros con corte a diciembre 31 de 20</w:t>
      </w:r>
      <w:r w:rsidR="00B832C9" w:rsidRPr="005522CB">
        <w:rPr>
          <w:rFonts w:ascii="Bookman Old Style" w:hAnsi="Bookman Old Style"/>
          <w:sz w:val="24"/>
          <w:szCs w:val="24"/>
        </w:rPr>
        <w:t>09</w:t>
      </w:r>
      <w:r w:rsidR="0023309C" w:rsidRPr="005522CB">
        <w:rPr>
          <w:rFonts w:ascii="Bookman Old Style" w:hAnsi="Bookman Old Style"/>
          <w:sz w:val="24"/>
          <w:szCs w:val="24"/>
        </w:rPr>
        <w:t xml:space="preserve"> reportados en el SUI.</w:t>
      </w:r>
    </w:p>
    <w:p w:rsidR="005522CB" w:rsidRDefault="005522CB" w:rsidP="005522CB">
      <w:pPr>
        <w:pStyle w:val="Prrafodelista"/>
        <w:ind w:left="530"/>
        <w:jc w:val="both"/>
        <w:rPr>
          <w:rFonts w:ascii="Bookman Old Style" w:hAnsi="Bookman Old Style"/>
          <w:sz w:val="24"/>
          <w:szCs w:val="24"/>
        </w:rPr>
      </w:pPr>
    </w:p>
    <w:p w:rsidR="005522CB" w:rsidRDefault="00FA15B4" w:rsidP="005522CB">
      <w:pPr>
        <w:pStyle w:val="Prrafodelista"/>
        <w:ind w:left="530"/>
        <w:jc w:val="both"/>
        <w:rPr>
          <w:rFonts w:ascii="Bookman Old Style" w:hAnsi="Bookman Old Style"/>
          <w:sz w:val="24"/>
          <w:szCs w:val="24"/>
        </w:rPr>
      </w:pPr>
      <w:r w:rsidRPr="005522CB">
        <w:rPr>
          <w:rFonts w:ascii="Bookman Old Style" w:hAnsi="Bookman Old Style" w:cs="Arial"/>
          <w:color w:val="000000"/>
          <w:sz w:val="24"/>
          <w:szCs w:val="24"/>
        </w:rPr>
        <w:t xml:space="preserve">La </w:t>
      </w:r>
      <w:r w:rsidR="00B832C9" w:rsidRPr="005522CB">
        <w:rPr>
          <w:rFonts w:ascii="Bookman Old Style" w:hAnsi="Bookman Old Style" w:cs="Arial"/>
          <w:color w:val="000000"/>
          <w:sz w:val="24"/>
          <w:szCs w:val="24"/>
        </w:rPr>
        <w:t>Comisión de Regulación de Energía y Gas -CREG-</w:t>
      </w:r>
      <w:r w:rsidRPr="005522CB">
        <w:rPr>
          <w:rFonts w:ascii="Bookman Old Style" w:hAnsi="Bookman Old Style" w:cs="Arial"/>
          <w:color w:val="000000"/>
          <w:sz w:val="24"/>
          <w:szCs w:val="24"/>
        </w:rPr>
        <w:t>,  para efectuar la  liquidación y  el cálculo de la contribución que debían pagar las empresas reguladas por el año 2010, tomó como base la información reportada, a través del Sistema de Único de Información, SUI</w:t>
      </w:r>
      <w:r w:rsidR="00CE74EE" w:rsidRPr="005522CB">
        <w:rPr>
          <w:rFonts w:ascii="Bookman Old Style" w:hAnsi="Bookman Old Style" w:cs="Arial"/>
          <w:color w:val="000000"/>
          <w:sz w:val="24"/>
          <w:szCs w:val="24"/>
        </w:rPr>
        <w:t xml:space="preserve"> que para </w:t>
      </w:r>
      <w:r w:rsidR="00A81615" w:rsidRPr="005522CB">
        <w:rPr>
          <w:rFonts w:ascii="Bookman Old Style" w:hAnsi="Bookman Old Style" w:cs="Arial"/>
          <w:color w:val="000000"/>
          <w:sz w:val="24"/>
          <w:szCs w:val="24"/>
        </w:rPr>
        <w:t>e</w:t>
      </w:r>
      <w:r w:rsidR="00CE74EE" w:rsidRPr="005522CB">
        <w:rPr>
          <w:rFonts w:ascii="Bookman Old Style" w:hAnsi="Bookman Old Style" w:cs="Arial"/>
          <w:color w:val="000000"/>
          <w:sz w:val="24"/>
          <w:szCs w:val="24"/>
        </w:rPr>
        <w:t xml:space="preserve">l caso de la empresa </w:t>
      </w:r>
      <w:r w:rsidR="005522CB">
        <w:rPr>
          <w:rFonts w:ascii="Bookman Old Style" w:hAnsi="Bookman Old Style" w:cs="Arial"/>
          <w:sz w:val="24"/>
          <w:szCs w:val="24"/>
        </w:rPr>
        <w:t>LUSTRIGAS S.A E.S.P</w:t>
      </w:r>
      <w:r w:rsidR="00CE74EE" w:rsidRPr="005522CB">
        <w:rPr>
          <w:rFonts w:ascii="Bookman Old Style" w:hAnsi="Bookman Old Style" w:cs="Arial"/>
          <w:sz w:val="24"/>
          <w:szCs w:val="24"/>
        </w:rPr>
        <w:t xml:space="preserve"> equivalía a </w:t>
      </w:r>
      <w:r w:rsidR="00CE74EE" w:rsidRPr="005522CB">
        <w:rPr>
          <w:rFonts w:ascii="Bookman Old Style" w:hAnsi="Bookman Old Style"/>
          <w:sz w:val="24"/>
          <w:szCs w:val="24"/>
        </w:rPr>
        <w:t>$</w:t>
      </w:r>
      <w:r w:rsidR="005522CB">
        <w:rPr>
          <w:rFonts w:ascii="Bookman Old Style" w:hAnsi="Bookman Old Style"/>
          <w:sz w:val="24"/>
          <w:szCs w:val="24"/>
        </w:rPr>
        <w:t>1.112.624.507.</w:t>
      </w:r>
    </w:p>
    <w:p w:rsidR="005522CB" w:rsidRDefault="005522CB" w:rsidP="005522CB">
      <w:pPr>
        <w:pStyle w:val="Prrafodelista"/>
        <w:ind w:left="530"/>
        <w:jc w:val="both"/>
        <w:rPr>
          <w:rFonts w:ascii="Bookman Old Style" w:hAnsi="Bookman Old Style"/>
          <w:sz w:val="24"/>
          <w:szCs w:val="24"/>
        </w:rPr>
      </w:pPr>
    </w:p>
    <w:p w:rsidR="005522CB" w:rsidRDefault="00FA15B4" w:rsidP="00BE689D">
      <w:pPr>
        <w:pStyle w:val="Prrafodelista"/>
        <w:ind w:left="530"/>
        <w:jc w:val="both"/>
        <w:rPr>
          <w:rFonts w:ascii="Bookman Old Style" w:hAnsi="Bookman Old Style" w:cs="Arial"/>
          <w:sz w:val="24"/>
          <w:szCs w:val="24"/>
        </w:rPr>
      </w:pPr>
      <w:r w:rsidRPr="005522CB">
        <w:rPr>
          <w:rFonts w:ascii="Bookman Old Style" w:hAnsi="Bookman Old Style" w:cs="Arial"/>
          <w:sz w:val="24"/>
          <w:szCs w:val="24"/>
        </w:rPr>
        <w:t>La base de datos que se utilizó en el cálculo de la contribución se  fundamenta en la información</w:t>
      </w:r>
      <w:r w:rsidR="00B91EB4" w:rsidRPr="005522CB">
        <w:rPr>
          <w:rFonts w:ascii="Bookman Old Style" w:hAnsi="Bookman Old Style" w:cs="Arial"/>
          <w:sz w:val="24"/>
          <w:szCs w:val="24"/>
        </w:rPr>
        <w:t xml:space="preserve"> reportada en </w:t>
      </w:r>
      <w:r w:rsidRPr="005522CB">
        <w:rPr>
          <w:rFonts w:ascii="Bookman Old Style" w:hAnsi="Bookman Old Style" w:cs="Arial"/>
          <w:sz w:val="24"/>
          <w:szCs w:val="24"/>
        </w:rPr>
        <w:t xml:space="preserve">el </w:t>
      </w:r>
      <w:r w:rsidR="002E01C3">
        <w:rPr>
          <w:rFonts w:ascii="Bookman Old Style" w:hAnsi="Bookman Old Style" w:cs="Arial"/>
          <w:color w:val="000000"/>
          <w:sz w:val="24"/>
          <w:szCs w:val="24"/>
        </w:rPr>
        <w:t xml:space="preserve">Sistema </w:t>
      </w:r>
      <w:r w:rsidR="00B91EB4" w:rsidRPr="005522CB">
        <w:rPr>
          <w:rFonts w:ascii="Bookman Old Style" w:hAnsi="Bookman Old Style" w:cs="Arial"/>
          <w:color w:val="000000"/>
          <w:sz w:val="24"/>
          <w:szCs w:val="24"/>
        </w:rPr>
        <w:t>Único de Información – SUI-</w:t>
      </w:r>
      <w:r w:rsidRPr="005522CB">
        <w:rPr>
          <w:rFonts w:ascii="Bookman Old Style" w:hAnsi="Bookman Old Style" w:cs="Arial"/>
          <w:sz w:val="24"/>
          <w:szCs w:val="24"/>
        </w:rPr>
        <w:t>, actualizado por las empresas donde informaron su estado</w:t>
      </w:r>
      <w:r w:rsidR="00B832C9" w:rsidRPr="005522CB">
        <w:rPr>
          <w:rFonts w:ascii="Bookman Old Style" w:hAnsi="Bookman Old Style" w:cs="Arial"/>
          <w:sz w:val="24"/>
          <w:szCs w:val="24"/>
        </w:rPr>
        <w:t xml:space="preserve"> financiero a la </w:t>
      </w:r>
      <w:r w:rsidR="00B832C9" w:rsidRPr="005522CB">
        <w:rPr>
          <w:rFonts w:ascii="Bookman Old Style" w:hAnsi="Bookman Old Style"/>
          <w:sz w:val="24"/>
          <w:szCs w:val="24"/>
        </w:rPr>
        <w:t>Comisión de Regulación de Energía y Gas –CREG-</w:t>
      </w:r>
      <w:r w:rsidRPr="005522CB">
        <w:rPr>
          <w:rFonts w:ascii="Bookman Old Style" w:hAnsi="Bookman Old Style" w:cs="Arial"/>
          <w:sz w:val="24"/>
          <w:szCs w:val="24"/>
        </w:rPr>
        <w:t>.</w:t>
      </w:r>
    </w:p>
    <w:p w:rsidR="00BE689D" w:rsidRPr="00BE689D" w:rsidRDefault="00BE689D" w:rsidP="00BE689D">
      <w:pPr>
        <w:pStyle w:val="Prrafodelista"/>
        <w:ind w:left="530"/>
        <w:jc w:val="both"/>
        <w:rPr>
          <w:rFonts w:ascii="Bookman Old Style" w:hAnsi="Bookman Old Style" w:cs="Arial"/>
          <w:sz w:val="24"/>
          <w:szCs w:val="24"/>
        </w:rPr>
      </w:pPr>
    </w:p>
    <w:p w:rsidR="005522CB" w:rsidRDefault="00FA15B4" w:rsidP="00D57C74">
      <w:pPr>
        <w:pStyle w:val="Prrafodelista"/>
        <w:numPr>
          <w:ilvl w:val="0"/>
          <w:numId w:val="19"/>
        </w:numPr>
        <w:jc w:val="both"/>
        <w:rPr>
          <w:rFonts w:ascii="Bookman Old Style" w:hAnsi="Bookman Old Style" w:cs="Arial"/>
          <w:sz w:val="24"/>
          <w:szCs w:val="24"/>
        </w:rPr>
      </w:pPr>
      <w:r w:rsidRPr="005522CB">
        <w:rPr>
          <w:rFonts w:ascii="Bookman Old Style" w:hAnsi="Bookman Old Style" w:cs="Arial"/>
          <w:sz w:val="24"/>
          <w:szCs w:val="24"/>
        </w:rPr>
        <w:lastRenderedPageBreak/>
        <w:t>Para el caso que nos ocupa es necesario dilucidar la forma como se realizó la liquidación de la contribución especial señalada en la resolución CREG-1</w:t>
      </w:r>
      <w:r w:rsidR="005522CB">
        <w:rPr>
          <w:rFonts w:ascii="Bookman Old Style" w:hAnsi="Bookman Old Style" w:cs="Arial"/>
          <w:sz w:val="24"/>
          <w:szCs w:val="24"/>
        </w:rPr>
        <w:t>5</w:t>
      </w:r>
      <w:r w:rsidR="002E01C3">
        <w:rPr>
          <w:rFonts w:ascii="Bookman Old Style" w:hAnsi="Bookman Old Style" w:cs="Arial"/>
          <w:sz w:val="24"/>
          <w:szCs w:val="24"/>
        </w:rPr>
        <w:t>6</w:t>
      </w:r>
      <w:r w:rsidRPr="005522CB">
        <w:rPr>
          <w:rFonts w:ascii="Bookman Old Style" w:hAnsi="Bookman Old Style" w:cs="Arial"/>
          <w:sz w:val="24"/>
          <w:szCs w:val="24"/>
        </w:rPr>
        <w:t xml:space="preserve"> de 2010 para la empresa </w:t>
      </w:r>
      <w:r w:rsidR="005522CB">
        <w:rPr>
          <w:rFonts w:ascii="Bookman Old Style" w:hAnsi="Bookman Old Style" w:cs="Arial"/>
          <w:sz w:val="24"/>
          <w:szCs w:val="24"/>
        </w:rPr>
        <w:t>LUSTRIGAS S.A E.S.P</w:t>
      </w:r>
      <w:r w:rsidRPr="005522CB">
        <w:rPr>
          <w:rFonts w:ascii="Bookman Old Style" w:hAnsi="Bookman Old Style" w:cs="Arial"/>
          <w:sz w:val="24"/>
          <w:szCs w:val="24"/>
        </w:rPr>
        <w:t>.</w:t>
      </w:r>
    </w:p>
    <w:p w:rsidR="005522CB" w:rsidRDefault="005522CB" w:rsidP="005522CB">
      <w:pPr>
        <w:pStyle w:val="Prrafodelista"/>
        <w:ind w:left="530"/>
        <w:jc w:val="both"/>
        <w:rPr>
          <w:rFonts w:ascii="Bookman Old Style" w:hAnsi="Bookman Old Style" w:cs="Arial"/>
          <w:sz w:val="24"/>
          <w:szCs w:val="24"/>
        </w:rPr>
      </w:pPr>
    </w:p>
    <w:p w:rsidR="004A63E2" w:rsidRDefault="004A63E2" w:rsidP="005522CB">
      <w:pPr>
        <w:pStyle w:val="Prrafodelista"/>
        <w:ind w:left="530"/>
        <w:jc w:val="both"/>
        <w:rPr>
          <w:rFonts w:ascii="Bookman Old Style" w:hAnsi="Bookman Old Style" w:cs="Arial"/>
          <w:sz w:val="24"/>
          <w:szCs w:val="24"/>
        </w:rPr>
      </w:pPr>
      <w:r w:rsidRPr="005522CB">
        <w:rPr>
          <w:rFonts w:ascii="Bookman Old Style" w:hAnsi="Bookman Old Style" w:cs="Arial"/>
          <w:sz w:val="24"/>
          <w:szCs w:val="24"/>
        </w:rPr>
        <w:t xml:space="preserve">Como resultado de la revisión de la información y su comparación, se calculó el factor que se aplicó a los </w:t>
      </w:r>
      <w:r w:rsidR="00B91EB4" w:rsidRPr="005522CB">
        <w:rPr>
          <w:rFonts w:ascii="Bookman Old Style" w:hAnsi="Bookman Old Style" w:cs="Arial"/>
          <w:sz w:val="24"/>
          <w:szCs w:val="24"/>
        </w:rPr>
        <w:t>gastos de Funcionamiento -</w:t>
      </w:r>
      <w:r w:rsidRPr="005522CB">
        <w:rPr>
          <w:rFonts w:ascii="Bookman Old Style" w:hAnsi="Bookman Old Style" w:cs="Arial"/>
          <w:sz w:val="24"/>
          <w:szCs w:val="24"/>
        </w:rPr>
        <w:t xml:space="preserve"> </w:t>
      </w:r>
      <w:r w:rsidR="00B91EB4" w:rsidRPr="005522CB">
        <w:rPr>
          <w:rFonts w:ascii="Bookman Old Style" w:hAnsi="Bookman Old Style" w:cs="Arial"/>
          <w:sz w:val="24"/>
          <w:szCs w:val="24"/>
        </w:rPr>
        <w:t>A</w:t>
      </w:r>
      <w:r w:rsidRPr="005522CB">
        <w:rPr>
          <w:rFonts w:ascii="Bookman Old Style" w:hAnsi="Bookman Old Style" w:cs="Arial"/>
          <w:sz w:val="24"/>
          <w:szCs w:val="24"/>
        </w:rPr>
        <w:t>dministración reportados por las empresas para liquidar la contribución del año 2010:</w:t>
      </w:r>
    </w:p>
    <w:p w:rsidR="00D57C74" w:rsidRPr="005522CB" w:rsidRDefault="00D57C74" w:rsidP="005522CB">
      <w:pPr>
        <w:pStyle w:val="Prrafodelista"/>
        <w:ind w:left="530"/>
        <w:jc w:val="both"/>
        <w:rPr>
          <w:rFonts w:ascii="Bookman Old Style" w:hAnsi="Bookman Old Style"/>
          <w:sz w:val="24"/>
          <w:szCs w:val="24"/>
        </w:rPr>
      </w:pPr>
    </w:p>
    <w:tbl>
      <w:tblPr>
        <w:tblW w:w="8258" w:type="dxa"/>
        <w:tblInd w:w="699" w:type="dxa"/>
        <w:tblCellMar>
          <w:left w:w="70" w:type="dxa"/>
          <w:right w:w="70" w:type="dxa"/>
        </w:tblCellMar>
        <w:tblLook w:val="04A0" w:firstRow="1" w:lastRow="0" w:firstColumn="1" w:lastColumn="0" w:noHBand="0" w:noVBand="1"/>
      </w:tblPr>
      <w:tblGrid>
        <w:gridCol w:w="5172"/>
        <w:gridCol w:w="3086"/>
      </w:tblGrid>
      <w:tr w:rsidR="00D57C74" w:rsidRPr="00D57C74" w:rsidTr="00D57C74">
        <w:trPr>
          <w:trHeight w:val="388"/>
        </w:trPr>
        <w:tc>
          <w:tcPr>
            <w:tcW w:w="5172" w:type="dxa"/>
            <w:tcBorders>
              <w:top w:val="single" w:sz="8" w:space="0" w:color="auto"/>
              <w:left w:val="single" w:sz="8" w:space="0" w:color="auto"/>
              <w:bottom w:val="single" w:sz="4" w:space="0" w:color="auto"/>
              <w:right w:val="single" w:sz="4" w:space="0" w:color="auto"/>
            </w:tcBorders>
            <w:shd w:val="clear" w:color="000000" w:fill="FFFFFF"/>
            <w:hideMark/>
          </w:tcPr>
          <w:p w:rsidR="00D57C74" w:rsidRPr="00D57C74" w:rsidRDefault="00D57C74" w:rsidP="00D57C74">
            <w:pPr>
              <w:ind w:left="0"/>
              <w:rPr>
                <w:rFonts w:ascii="Bookman Old Style" w:hAnsi="Bookman Old Style"/>
                <w:b/>
                <w:bCs/>
                <w:sz w:val="22"/>
                <w:szCs w:val="22"/>
              </w:rPr>
            </w:pPr>
            <w:r w:rsidRPr="00D57C74">
              <w:rPr>
                <w:rFonts w:ascii="Bookman Old Style" w:hAnsi="Bookman Old Style"/>
                <w:b/>
                <w:bCs/>
                <w:sz w:val="22"/>
                <w:szCs w:val="22"/>
              </w:rPr>
              <w:t xml:space="preserve">CONCEPTO </w:t>
            </w:r>
          </w:p>
        </w:tc>
        <w:tc>
          <w:tcPr>
            <w:tcW w:w="3086" w:type="dxa"/>
            <w:tcBorders>
              <w:top w:val="single" w:sz="8" w:space="0" w:color="auto"/>
              <w:left w:val="nil"/>
              <w:bottom w:val="single" w:sz="4" w:space="0" w:color="auto"/>
              <w:right w:val="single" w:sz="8" w:space="0" w:color="auto"/>
            </w:tcBorders>
            <w:shd w:val="clear" w:color="000000" w:fill="FFFFFF"/>
            <w:hideMark/>
          </w:tcPr>
          <w:p w:rsidR="00D57C74" w:rsidRPr="00D57C74" w:rsidRDefault="00D57C74" w:rsidP="00D57C74">
            <w:pPr>
              <w:ind w:left="0"/>
              <w:rPr>
                <w:rFonts w:ascii="Bookman Old Style" w:hAnsi="Bookman Old Style"/>
                <w:b/>
                <w:bCs/>
                <w:sz w:val="22"/>
                <w:szCs w:val="22"/>
              </w:rPr>
            </w:pPr>
            <w:r w:rsidRPr="00D57C74">
              <w:rPr>
                <w:rFonts w:ascii="Bookman Old Style" w:hAnsi="Bookman Old Style"/>
                <w:b/>
                <w:bCs/>
                <w:sz w:val="22"/>
                <w:szCs w:val="22"/>
              </w:rPr>
              <w:t xml:space="preserve">VALOR </w:t>
            </w:r>
          </w:p>
        </w:tc>
      </w:tr>
      <w:tr w:rsidR="00D57C74" w:rsidRPr="00D57C74" w:rsidTr="00D57C74">
        <w:trPr>
          <w:trHeight w:val="309"/>
        </w:trPr>
        <w:tc>
          <w:tcPr>
            <w:tcW w:w="5172" w:type="dxa"/>
            <w:tcBorders>
              <w:top w:val="nil"/>
              <w:left w:val="single" w:sz="8" w:space="0" w:color="auto"/>
              <w:bottom w:val="single" w:sz="4" w:space="0" w:color="auto"/>
              <w:right w:val="single" w:sz="4" w:space="0" w:color="auto"/>
            </w:tcBorders>
            <w:shd w:val="clear" w:color="000000" w:fill="FFFFFF"/>
            <w:hideMark/>
          </w:tcPr>
          <w:p w:rsidR="00D57C74" w:rsidRPr="00D57C74" w:rsidRDefault="00D57C74" w:rsidP="00D57C74">
            <w:pPr>
              <w:ind w:left="0"/>
              <w:rPr>
                <w:rFonts w:ascii="Bookman Old Style" w:hAnsi="Bookman Old Style"/>
                <w:sz w:val="22"/>
                <w:szCs w:val="22"/>
              </w:rPr>
            </w:pPr>
            <w:r w:rsidRPr="00D57C74">
              <w:rPr>
                <w:rFonts w:ascii="Bookman Old Style" w:hAnsi="Bookman Old Style"/>
                <w:sz w:val="22"/>
                <w:szCs w:val="22"/>
              </w:rPr>
              <w:t xml:space="preserve">Gastos de Funcionamiento/Administración </w:t>
            </w:r>
          </w:p>
        </w:tc>
        <w:tc>
          <w:tcPr>
            <w:tcW w:w="3086" w:type="dxa"/>
            <w:tcBorders>
              <w:top w:val="nil"/>
              <w:left w:val="nil"/>
              <w:bottom w:val="single" w:sz="4" w:space="0" w:color="auto"/>
              <w:right w:val="single" w:sz="8" w:space="0" w:color="auto"/>
            </w:tcBorders>
            <w:shd w:val="clear" w:color="000000" w:fill="FFFFFF"/>
            <w:hideMark/>
          </w:tcPr>
          <w:p w:rsidR="00D57C74" w:rsidRPr="00D57C74" w:rsidRDefault="00D57C74" w:rsidP="00D57C74">
            <w:pPr>
              <w:ind w:left="0"/>
              <w:rPr>
                <w:rFonts w:ascii="Bookman Old Style" w:hAnsi="Bookman Old Style"/>
                <w:sz w:val="22"/>
                <w:szCs w:val="22"/>
              </w:rPr>
            </w:pPr>
            <w:r w:rsidRPr="00D57C74">
              <w:rPr>
                <w:rFonts w:ascii="Bookman Old Style" w:hAnsi="Bookman Old Style"/>
                <w:sz w:val="22"/>
                <w:szCs w:val="22"/>
              </w:rPr>
              <w:t xml:space="preserve">$ 12.129.600.000,00  </w:t>
            </w:r>
          </w:p>
        </w:tc>
      </w:tr>
      <w:tr w:rsidR="00D57C74" w:rsidRPr="00D57C74" w:rsidTr="00D57C74">
        <w:trPr>
          <w:trHeight w:val="418"/>
        </w:trPr>
        <w:tc>
          <w:tcPr>
            <w:tcW w:w="5172" w:type="dxa"/>
            <w:tcBorders>
              <w:top w:val="nil"/>
              <w:left w:val="single" w:sz="8" w:space="0" w:color="auto"/>
              <w:bottom w:val="single" w:sz="4" w:space="0" w:color="auto"/>
              <w:right w:val="single" w:sz="4" w:space="0" w:color="auto"/>
            </w:tcBorders>
            <w:shd w:val="clear" w:color="000000" w:fill="FFFFFF"/>
            <w:hideMark/>
          </w:tcPr>
          <w:p w:rsidR="00D57C74" w:rsidRPr="00D57C74" w:rsidRDefault="00D57C74" w:rsidP="00D57C74">
            <w:pPr>
              <w:ind w:left="0"/>
              <w:rPr>
                <w:rFonts w:ascii="Bookman Old Style" w:hAnsi="Bookman Old Style"/>
                <w:sz w:val="22"/>
                <w:szCs w:val="22"/>
              </w:rPr>
            </w:pPr>
            <w:r w:rsidRPr="00D57C74">
              <w:rPr>
                <w:rFonts w:ascii="Bookman Old Style" w:hAnsi="Bookman Old Style"/>
                <w:sz w:val="22"/>
                <w:szCs w:val="22"/>
              </w:rPr>
              <w:t xml:space="preserve">(+) Presupuesto Inversión  </w:t>
            </w:r>
          </w:p>
        </w:tc>
        <w:tc>
          <w:tcPr>
            <w:tcW w:w="3086" w:type="dxa"/>
            <w:tcBorders>
              <w:top w:val="nil"/>
              <w:left w:val="nil"/>
              <w:bottom w:val="single" w:sz="4" w:space="0" w:color="auto"/>
              <w:right w:val="single" w:sz="8" w:space="0" w:color="auto"/>
            </w:tcBorders>
            <w:shd w:val="clear" w:color="000000" w:fill="FFFFFF"/>
            <w:hideMark/>
          </w:tcPr>
          <w:p w:rsidR="00D57C74" w:rsidRPr="00D57C74" w:rsidRDefault="00D57C74" w:rsidP="00D57C74">
            <w:pPr>
              <w:ind w:left="0"/>
              <w:rPr>
                <w:rFonts w:ascii="Bookman Old Style" w:hAnsi="Bookman Old Style"/>
                <w:sz w:val="22"/>
                <w:szCs w:val="22"/>
              </w:rPr>
            </w:pPr>
            <w:r w:rsidRPr="00D57C74">
              <w:rPr>
                <w:rFonts w:ascii="Bookman Old Style" w:hAnsi="Bookman Old Style"/>
                <w:sz w:val="22"/>
                <w:szCs w:val="22"/>
              </w:rPr>
              <w:t xml:space="preserve">$ 4.874.000.000,00  </w:t>
            </w:r>
          </w:p>
        </w:tc>
      </w:tr>
      <w:tr w:rsidR="00D57C74" w:rsidRPr="00D57C74" w:rsidTr="00D57C74">
        <w:trPr>
          <w:trHeight w:val="372"/>
        </w:trPr>
        <w:tc>
          <w:tcPr>
            <w:tcW w:w="5172" w:type="dxa"/>
            <w:tcBorders>
              <w:top w:val="nil"/>
              <w:left w:val="single" w:sz="8" w:space="0" w:color="auto"/>
              <w:bottom w:val="single" w:sz="4" w:space="0" w:color="auto"/>
              <w:right w:val="single" w:sz="4" w:space="0" w:color="auto"/>
            </w:tcBorders>
            <w:shd w:val="clear" w:color="000000" w:fill="FFFFFF"/>
            <w:hideMark/>
          </w:tcPr>
          <w:p w:rsidR="00D57C74" w:rsidRPr="00D57C74" w:rsidRDefault="00D57C74" w:rsidP="00D57C74">
            <w:pPr>
              <w:ind w:left="0"/>
              <w:rPr>
                <w:rFonts w:ascii="Bookman Old Style" w:hAnsi="Bookman Old Style"/>
                <w:b/>
                <w:bCs/>
                <w:sz w:val="22"/>
                <w:szCs w:val="22"/>
              </w:rPr>
            </w:pPr>
            <w:r w:rsidRPr="00D57C74">
              <w:rPr>
                <w:rFonts w:ascii="Bookman Old Style" w:hAnsi="Bookman Old Style"/>
                <w:b/>
                <w:bCs/>
                <w:sz w:val="22"/>
                <w:szCs w:val="22"/>
              </w:rPr>
              <w:t>Total Presupuesto</w:t>
            </w:r>
            <w:r w:rsidRPr="00D57C74">
              <w:rPr>
                <w:rFonts w:ascii="Bookman Old Style" w:hAnsi="Bookman Old Style"/>
                <w:sz w:val="22"/>
                <w:szCs w:val="22"/>
              </w:rPr>
              <w:t xml:space="preserve"> </w:t>
            </w:r>
          </w:p>
        </w:tc>
        <w:tc>
          <w:tcPr>
            <w:tcW w:w="3086" w:type="dxa"/>
            <w:tcBorders>
              <w:top w:val="nil"/>
              <w:left w:val="nil"/>
              <w:bottom w:val="single" w:sz="4" w:space="0" w:color="auto"/>
              <w:right w:val="single" w:sz="8" w:space="0" w:color="auto"/>
            </w:tcBorders>
            <w:shd w:val="clear" w:color="000000" w:fill="FFFFFF"/>
            <w:hideMark/>
          </w:tcPr>
          <w:p w:rsidR="00D57C74" w:rsidRPr="00D57C74" w:rsidRDefault="00D57C74" w:rsidP="00D57C74">
            <w:pPr>
              <w:ind w:left="0"/>
              <w:rPr>
                <w:rFonts w:ascii="Bookman Old Style" w:hAnsi="Bookman Old Style"/>
                <w:b/>
                <w:bCs/>
                <w:sz w:val="22"/>
                <w:szCs w:val="22"/>
              </w:rPr>
            </w:pPr>
            <w:r w:rsidRPr="00D57C74">
              <w:rPr>
                <w:rFonts w:ascii="Bookman Old Style" w:hAnsi="Bookman Old Style"/>
                <w:b/>
                <w:bCs/>
                <w:sz w:val="22"/>
                <w:szCs w:val="22"/>
              </w:rPr>
              <w:t xml:space="preserve">$ 17.003.600.000,00 </w:t>
            </w:r>
            <w:r w:rsidRPr="00D57C74">
              <w:rPr>
                <w:rFonts w:ascii="Bookman Old Style" w:hAnsi="Bookman Old Style"/>
                <w:sz w:val="22"/>
                <w:szCs w:val="22"/>
              </w:rPr>
              <w:t xml:space="preserve"> </w:t>
            </w:r>
          </w:p>
        </w:tc>
      </w:tr>
      <w:tr w:rsidR="00D57C74" w:rsidRPr="00D57C74" w:rsidTr="00D57C74">
        <w:trPr>
          <w:trHeight w:val="636"/>
        </w:trPr>
        <w:tc>
          <w:tcPr>
            <w:tcW w:w="5172" w:type="dxa"/>
            <w:tcBorders>
              <w:top w:val="nil"/>
              <w:left w:val="single" w:sz="8" w:space="0" w:color="auto"/>
              <w:bottom w:val="single" w:sz="4" w:space="0" w:color="auto"/>
              <w:right w:val="single" w:sz="4" w:space="0" w:color="auto"/>
            </w:tcBorders>
            <w:shd w:val="clear" w:color="000000" w:fill="FFFFFF"/>
            <w:vAlign w:val="center"/>
            <w:hideMark/>
          </w:tcPr>
          <w:p w:rsidR="00D57C74" w:rsidRPr="00D57C74" w:rsidRDefault="00D57C74" w:rsidP="00D57C74">
            <w:pPr>
              <w:ind w:left="0"/>
              <w:rPr>
                <w:rFonts w:ascii="Bookman Old Style" w:hAnsi="Bookman Old Style"/>
                <w:sz w:val="22"/>
                <w:szCs w:val="22"/>
              </w:rPr>
            </w:pPr>
            <w:r w:rsidRPr="00D57C74">
              <w:rPr>
                <w:rFonts w:ascii="Bookman Old Style" w:hAnsi="Bookman Old Style"/>
                <w:sz w:val="22"/>
                <w:szCs w:val="22"/>
              </w:rPr>
              <w:t xml:space="preserve">(-) Traslado excedentes financieros SSPD </w:t>
            </w:r>
          </w:p>
        </w:tc>
        <w:tc>
          <w:tcPr>
            <w:tcW w:w="3086" w:type="dxa"/>
            <w:tcBorders>
              <w:top w:val="nil"/>
              <w:left w:val="nil"/>
              <w:bottom w:val="single" w:sz="4" w:space="0" w:color="auto"/>
              <w:right w:val="single" w:sz="8" w:space="0" w:color="auto"/>
            </w:tcBorders>
            <w:shd w:val="clear" w:color="000000" w:fill="FFFFFF"/>
            <w:hideMark/>
          </w:tcPr>
          <w:p w:rsidR="00D57C74" w:rsidRPr="00D57C74" w:rsidRDefault="00D57C74" w:rsidP="00D57C74">
            <w:pPr>
              <w:ind w:left="0"/>
              <w:rPr>
                <w:rFonts w:ascii="Bookman Old Style" w:hAnsi="Bookman Old Style"/>
                <w:sz w:val="22"/>
                <w:szCs w:val="22"/>
              </w:rPr>
            </w:pPr>
            <w:r w:rsidRPr="00D57C74">
              <w:rPr>
                <w:rFonts w:ascii="Bookman Old Style" w:hAnsi="Bookman Old Style"/>
                <w:sz w:val="22"/>
                <w:szCs w:val="22"/>
              </w:rPr>
              <w:t xml:space="preserve">$ 4.852.391.000,00  </w:t>
            </w:r>
          </w:p>
        </w:tc>
      </w:tr>
      <w:tr w:rsidR="00D57C74" w:rsidRPr="00D57C74" w:rsidTr="00D57C74">
        <w:trPr>
          <w:trHeight w:val="363"/>
        </w:trPr>
        <w:tc>
          <w:tcPr>
            <w:tcW w:w="5172" w:type="dxa"/>
            <w:tcBorders>
              <w:top w:val="nil"/>
              <w:left w:val="single" w:sz="8" w:space="0" w:color="auto"/>
              <w:bottom w:val="single" w:sz="4" w:space="0" w:color="auto"/>
              <w:right w:val="single" w:sz="4" w:space="0" w:color="auto"/>
            </w:tcBorders>
            <w:shd w:val="clear" w:color="000000" w:fill="FFFFFF"/>
            <w:hideMark/>
          </w:tcPr>
          <w:p w:rsidR="00D57C74" w:rsidRPr="00D57C74" w:rsidRDefault="00D57C74" w:rsidP="00D57C74">
            <w:pPr>
              <w:ind w:left="0"/>
              <w:rPr>
                <w:rFonts w:ascii="Bookman Old Style" w:hAnsi="Bookman Old Style"/>
                <w:b/>
                <w:bCs/>
                <w:sz w:val="22"/>
                <w:szCs w:val="22"/>
              </w:rPr>
            </w:pPr>
            <w:r w:rsidRPr="00D57C74">
              <w:rPr>
                <w:rFonts w:ascii="Bookman Old Style" w:hAnsi="Bookman Old Style"/>
                <w:b/>
                <w:bCs/>
                <w:sz w:val="22"/>
                <w:szCs w:val="22"/>
              </w:rPr>
              <w:t>Total Presupuesto Neto</w:t>
            </w:r>
            <w:r w:rsidRPr="00D57C74">
              <w:rPr>
                <w:rFonts w:ascii="Bookman Old Style" w:hAnsi="Bookman Old Style"/>
                <w:sz w:val="22"/>
                <w:szCs w:val="22"/>
              </w:rPr>
              <w:t xml:space="preserve"> </w:t>
            </w:r>
          </w:p>
        </w:tc>
        <w:tc>
          <w:tcPr>
            <w:tcW w:w="3086" w:type="dxa"/>
            <w:tcBorders>
              <w:top w:val="nil"/>
              <w:left w:val="nil"/>
              <w:bottom w:val="single" w:sz="4" w:space="0" w:color="auto"/>
              <w:right w:val="single" w:sz="8" w:space="0" w:color="auto"/>
            </w:tcBorders>
            <w:shd w:val="clear" w:color="000000" w:fill="FFFFFF"/>
            <w:hideMark/>
          </w:tcPr>
          <w:p w:rsidR="00D57C74" w:rsidRPr="00D57C74" w:rsidRDefault="00D57C74" w:rsidP="00D57C74">
            <w:pPr>
              <w:ind w:left="0"/>
              <w:rPr>
                <w:rFonts w:ascii="Bookman Old Style" w:hAnsi="Bookman Old Style"/>
                <w:b/>
                <w:bCs/>
                <w:sz w:val="22"/>
                <w:szCs w:val="22"/>
              </w:rPr>
            </w:pPr>
            <w:r w:rsidRPr="00D57C74">
              <w:rPr>
                <w:rFonts w:ascii="Bookman Old Style" w:hAnsi="Bookman Old Style"/>
                <w:b/>
                <w:bCs/>
                <w:sz w:val="22"/>
                <w:szCs w:val="22"/>
              </w:rPr>
              <w:t xml:space="preserve">$ 12.151.209.000,00 </w:t>
            </w:r>
            <w:r w:rsidRPr="00D57C74">
              <w:rPr>
                <w:rFonts w:ascii="Bookman Old Style" w:hAnsi="Bookman Old Style"/>
                <w:sz w:val="22"/>
                <w:szCs w:val="22"/>
              </w:rPr>
              <w:t xml:space="preserve"> </w:t>
            </w:r>
          </w:p>
        </w:tc>
      </w:tr>
      <w:tr w:rsidR="00D57C74" w:rsidRPr="00D57C74" w:rsidTr="00D57C74">
        <w:trPr>
          <w:trHeight w:val="204"/>
        </w:trPr>
        <w:tc>
          <w:tcPr>
            <w:tcW w:w="5172" w:type="dxa"/>
            <w:tcBorders>
              <w:top w:val="nil"/>
              <w:left w:val="single" w:sz="8" w:space="0" w:color="auto"/>
              <w:bottom w:val="single" w:sz="8" w:space="0" w:color="auto"/>
              <w:right w:val="single" w:sz="4" w:space="0" w:color="auto"/>
            </w:tcBorders>
            <w:shd w:val="clear" w:color="000000" w:fill="FFFFFF"/>
            <w:hideMark/>
          </w:tcPr>
          <w:p w:rsidR="00D57C74" w:rsidRPr="00D57C74" w:rsidRDefault="00D57C74" w:rsidP="00D57C74">
            <w:pPr>
              <w:ind w:left="0"/>
              <w:rPr>
                <w:rFonts w:ascii="Bookman Old Style" w:hAnsi="Bookman Old Style"/>
                <w:b/>
                <w:bCs/>
                <w:sz w:val="22"/>
                <w:szCs w:val="22"/>
              </w:rPr>
            </w:pPr>
            <w:r w:rsidRPr="00D57C74">
              <w:rPr>
                <w:rFonts w:ascii="Bookman Old Style" w:hAnsi="Bookman Old Style"/>
                <w:b/>
                <w:bCs/>
                <w:sz w:val="22"/>
                <w:szCs w:val="22"/>
              </w:rPr>
              <w:t>Factor</w:t>
            </w:r>
            <w:r w:rsidRPr="00D57C74">
              <w:rPr>
                <w:rFonts w:ascii="Bookman Old Style" w:hAnsi="Bookman Old Style"/>
                <w:sz w:val="22"/>
                <w:szCs w:val="22"/>
              </w:rPr>
              <w:t xml:space="preserve"> </w:t>
            </w:r>
          </w:p>
        </w:tc>
        <w:tc>
          <w:tcPr>
            <w:tcW w:w="3086" w:type="dxa"/>
            <w:tcBorders>
              <w:top w:val="nil"/>
              <w:left w:val="nil"/>
              <w:bottom w:val="single" w:sz="8" w:space="0" w:color="auto"/>
              <w:right w:val="single" w:sz="8" w:space="0" w:color="auto"/>
            </w:tcBorders>
            <w:shd w:val="clear" w:color="000000" w:fill="FFFFFF"/>
            <w:hideMark/>
          </w:tcPr>
          <w:p w:rsidR="00D57C74" w:rsidRPr="00D57C74" w:rsidRDefault="00D57C74" w:rsidP="002E01C3">
            <w:pPr>
              <w:ind w:left="0"/>
              <w:rPr>
                <w:rFonts w:ascii="Bookman Old Style" w:hAnsi="Bookman Old Style"/>
                <w:b/>
                <w:bCs/>
                <w:sz w:val="22"/>
                <w:szCs w:val="22"/>
              </w:rPr>
            </w:pPr>
            <w:r w:rsidRPr="00D57C74">
              <w:rPr>
                <w:rFonts w:ascii="Bookman Old Style" w:hAnsi="Bookman Old Style"/>
                <w:b/>
                <w:bCs/>
                <w:sz w:val="22"/>
                <w:szCs w:val="22"/>
              </w:rPr>
              <w:t>0.00702997</w:t>
            </w:r>
            <w:r w:rsidR="002E01C3">
              <w:rPr>
                <w:rFonts w:ascii="Bookman Old Style" w:hAnsi="Bookman Old Style"/>
                <w:b/>
                <w:bCs/>
                <w:sz w:val="22"/>
                <w:szCs w:val="22"/>
              </w:rPr>
              <w:t>394724</w:t>
            </w:r>
          </w:p>
        </w:tc>
      </w:tr>
    </w:tbl>
    <w:p w:rsidR="004A63E2" w:rsidRPr="00B84101" w:rsidRDefault="004A63E2" w:rsidP="004A63E2">
      <w:pPr>
        <w:ind w:left="0"/>
        <w:rPr>
          <w:rFonts w:ascii="Bookman Old Style" w:hAnsi="Bookman Old Style" w:cs="Arial"/>
        </w:rPr>
      </w:pPr>
    </w:p>
    <w:p w:rsidR="00A1170D" w:rsidRDefault="000170F4" w:rsidP="00E65BFE">
      <w:pPr>
        <w:jc w:val="both"/>
        <w:rPr>
          <w:rFonts w:ascii="Bookman Old Style" w:hAnsi="Bookman Old Style" w:cs="Arial"/>
        </w:rPr>
      </w:pPr>
      <w:r>
        <w:rPr>
          <w:rFonts w:ascii="Bookman Old Style" w:hAnsi="Bookman Old Style" w:cs="Arial"/>
        </w:rPr>
        <w:t xml:space="preserve">El siguiente es el </w:t>
      </w:r>
      <w:r w:rsidR="004A63E2" w:rsidRPr="00B84101">
        <w:rPr>
          <w:rFonts w:ascii="Bookman Old Style" w:hAnsi="Bookman Old Style" w:cs="Arial"/>
        </w:rPr>
        <w:t>resumen por sector</w:t>
      </w:r>
      <w:r w:rsidR="004A63E2">
        <w:rPr>
          <w:rFonts w:ascii="Bookman Old Style" w:hAnsi="Bookman Old Style" w:cs="Arial"/>
        </w:rPr>
        <w:t>,</w:t>
      </w:r>
      <w:r w:rsidR="004A63E2" w:rsidRPr="00B84101">
        <w:rPr>
          <w:rFonts w:ascii="Bookman Old Style" w:hAnsi="Bookman Old Style" w:cs="Arial"/>
        </w:rPr>
        <w:t xml:space="preserve"> de la información de Gastos de </w:t>
      </w:r>
      <w:r w:rsidR="00B91EB4">
        <w:rPr>
          <w:rFonts w:ascii="Bookman Old Style" w:hAnsi="Bookman Old Style" w:cs="Arial"/>
        </w:rPr>
        <w:t>Funcionamiento - A</w:t>
      </w:r>
      <w:r w:rsidR="004A63E2" w:rsidRPr="00B84101">
        <w:rPr>
          <w:rFonts w:ascii="Bookman Old Style" w:hAnsi="Bookman Old Style" w:cs="Arial"/>
        </w:rPr>
        <w:t>dministración y  el valor  estimado de la contribución para el año 2010:</w:t>
      </w:r>
    </w:p>
    <w:p w:rsidR="00E65BFE" w:rsidRDefault="00E65BFE" w:rsidP="00E65BFE">
      <w:pPr>
        <w:jc w:val="both"/>
        <w:rPr>
          <w:rFonts w:ascii="Bookman Old Style" w:hAnsi="Bookman Old Style" w:cs="Arial"/>
        </w:rPr>
      </w:pPr>
    </w:p>
    <w:tbl>
      <w:tblPr>
        <w:tblW w:w="8385" w:type="dxa"/>
        <w:tblInd w:w="744" w:type="dxa"/>
        <w:tblCellMar>
          <w:left w:w="0" w:type="dxa"/>
          <w:right w:w="0" w:type="dxa"/>
        </w:tblCellMar>
        <w:tblLook w:val="04A0" w:firstRow="1" w:lastRow="0" w:firstColumn="1" w:lastColumn="0" w:noHBand="0" w:noVBand="1"/>
      </w:tblPr>
      <w:tblGrid>
        <w:gridCol w:w="1910"/>
        <w:gridCol w:w="2834"/>
        <w:gridCol w:w="3641"/>
      </w:tblGrid>
      <w:tr w:rsidR="00A1170D" w:rsidRPr="00A1170D" w:rsidTr="00D57C74">
        <w:trPr>
          <w:trHeight w:val="524"/>
        </w:trPr>
        <w:tc>
          <w:tcPr>
            <w:tcW w:w="1910" w:type="dxa"/>
            <w:tcBorders>
              <w:top w:val="single" w:sz="8"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b/>
                <w:bCs/>
                <w:sz w:val="22"/>
                <w:szCs w:val="22"/>
              </w:rPr>
            </w:pPr>
            <w:r w:rsidRPr="00A1170D">
              <w:rPr>
                <w:rFonts w:ascii="Bookman Old Style" w:hAnsi="Bookman Old Style" w:cs="Tahoma"/>
                <w:b/>
                <w:bCs/>
                <w:sz w:val="22"/>
                <w:szCs w:val="22"/>
              </w:rPr>
              <w:t xml:space="preserve">SECTOR </w:t>
            </w:r>
          </w:p>
        </w:tc>
        <w:tc>
          <w:tcPr>
            <w:tcW w:w="2834"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b/>
                <w:bCs/>
                <w:sz w:val="22"/>
                <w:szCs w:val="22"/>
              </w:rPr>
            </w:pPr>
            <w:r w:rsidRPr="00A1170D">
              <w:rPr>
                <w:rFonts w:ascii="Bookman Old Style" w:hAnsi="Bookman Old Style" w:cs="Tahoma"/>
                <w:b/>
                <w:bCs/>
                <w:sz w:val="22"/>
                <w:szCs w:val="22"/>
              </w:rPr>
              <w:t xml:space="preserve">CONTRIBUCIÓN </w:t>
            </w:r>
          </w:p>
        </w:tc>
        <w:tc>
          <w:tcPr>
            <w:tcW w:w="3641"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b/>
                <w:bCs/>
                <w:sz w:val="22"/>
                <w:szCs w:val="22"/>
              </w:rPr>
            </w:pPr>
            <w:r w:rsidRPr="00A1170D">
              <w:rPr>
                <w:rFonts w:ascii="Bookman Old Style" w:hAnsi="Bookman Old Style" w:cs="Tahoma"/>
                <w:b/>
                <w:bCs/>
                <w:sz w:val="22"/>
                <w:szCs w:val="22"/>
              </w:rPr>
              <w:t xml:space="preserve">GASTOS DE ADMINISTRACIÓN (51) </w:t>
            </w:r>
          </w:p>
        </w:tc>
      </w:tr>
      <w:tr w:rsidR="00A1170D" w:rsidRPr="00A1170D" w:rsidTr="00D57C74">
        <w:trPr>
          <w:trHeight w:val="420"/>
        </w:trPr>
        <w:tc>
          <w:tcPr>
            <w:tcW w:w="191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ENERGÍA ELÉCTRIA </w:t>
            </w:r>
          </w:p>
        </w:tc>
        <w:tc>
          <w:tcPr>
            <w:tcW w:w="28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$9.459.422.950 </w:t>
            </w:r>
          </w:p>
        </w:tc>
        <w:tc>
          <w:tcPr>
            <w:tcW w:w="364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$ 1.345.584.352.785,23 </w:t>
            </w:r>
          </w:p>
        </w:tc>
      </w:tr>
      <w:tr w:rsidR="00A1170D" w:rsidRPr="00A1170D" w:rsidTr="00D57C74">
        <w:trPr>
          <w:trHeight w:val="314"/>
        </w:trPr>
        <w:tc>
          <w:tcPr>
            <w:tcW w:w="191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GAS NATURAL </w:t>
            </w:r>
          </w:p>
        </w:tc>
        <w:tc>
          <w:tcPr>
            <w:tcW w:w="28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$2.350.571.198 </w:t>
            </w:r>
          </w:p>
        </w:tc>
        <w:tc>
          <w:tcPr>
            <w:tcW w:w="364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$ 334.364.140.352,63 </w:t>
            </w:r>
          </w:p>
        </w:tc>
      </w:tr>
      <w:tr w:rsidR="00A1170D" w:rsidRPr="00A1170D" w:rsidTr="00D57C74">
        <w:trPr>
          <w:trHeight w:val="314"/>
        </w:trPr>
        <w:tc>
          <w:tcPr>
            <w:tcW w:w="191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GLP </w:t>
            </w:r>
          </w:p>
        </w:tc>
        <w:tc>
          <w:tcPr>
            <w:tcW w:w="28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$341.214.859 </w:t>
            </w:r>
          </w:p>
        </w:tc>
        <w:tc>
          <w:tcPr>
            <w:tcW w:w="364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sz w:val="22"/>
                <w:szCs w:val="22"/>
              </w:rPr>
            </w:pPr>
            <w:r w:rsidRPr="00A1170D">
              <w:rPr>
                <w:rFonts w:ascii="Bookman Old Style" w:hAnsi="Bookman Old Style" w:cs="Tahoma"/>
                <w:sz w:val="22"/>
                <w:szCs w:val="22"/>
              </w:rPr>
              <w:t xml:space="preserve">$ 48.537.144.389,72 </w:t>
            </w:r>
          </w:p>
        </w:tc>
      </w:tr>
      <w:tr w:rsidR="00A1170D" w:rsidRPr="00A1170D" w:rsidTr="00D57C74">
        <w:trPr>
          <w:trHeight w:val="320"/>
        </w:trPr>
        <w:tc>
          <w:tcPr>
            <w:tcW w:w="1910" w:type="dxa"/>
            <w:tcBorders>
              <w:top w:val="nil"/>
              <w:left w:val="single" w:sz="8" w:space="0" w:color="auto"/>
              <w:bottom w:val="single" w:sz="8" w:space="0" w:color="auto"/>
              <w:right w:val="single" w:sz="4" w:space="0" w:color="auto"/>
            </w:tcBorders>
            <w:shd w:val="clear" w:color="000000" w:fill="FFFFFF"/>
            <w:tcMar>
              <w:top w:w="15" w:type="dxa"/>
              <w:left w:w="15" w:type="dxa"/>
              <w:bottom w:w="0" w:type="dxa"/>
              <w:right w:w="15" w:type="dxa"/>
            </w:tcMar>
            <w:vAlign w:val="center"/>
            <w:hideMark/>
          </w:tcPr>
          <w:p w:rsidR="00A1170D" w:rsidRPr="00A1170D" w:rsidRDefault="00A1170D">
            <w:pPr>
              <w:rPr>
                <w:rFonts w:ascii="Bookman Old Style" w:hAnsi="Bookman Old Style" w:cs="Tahoma"/>
                <w:b/>
                <w:bCs/>
                <w:sz w:val="22"/>
                <w:szCs w:val="22"/>
              </w:rPr>
            </w:pPr>
            <w:r w:rsidRPr="00A1170D">
              <w:rPr>
                <w:rFonts w:ascii="Bookman Old Style" w:hAnsi="Bookman Old Style" w:cs="Tahoma"/>
                <w:b/>
                <w:bCs/>
                <w:sz w:val="22"/>
                <w:szCs w:val="22"/>
              </w:rPr>
              <w:t xml:space="preserve">TOTAL </w:t>
            </w:r>
          </w:p>
        </w:tc>
        <w:tc>
          <w:tcPr>
            <w:tcW w:w="2834"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b/>
                <w:bCs/>
                <w:sz w:val="22"/>
                <w:szCs w:val="22"/>
              </w:rPr>
            </w:pPr>
            <w:r w:rsidRPr="00A1170D">
              <w:rPr>
                <w:rFonts w:ascii="Bookman Old Style" w:hAnsi="Bookman Old Style" w:cs="Tahoma"/>
                <w:b/>
                <w:bCs/>
                <w:sz w:val="22"/>
                <w:szCs w:val="22"/>
              </w:rPr>
              <w:t xml:space="preserve">$12.151.209.007 </w:t>
            </w:r>
          </w:p>
        </w:tc>
        <w:tc>
          <w:tcPr>
            <w:tcW w:w="364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1170D" w:rsidRPr="00A1170D" w:rsidRDefault="00A1170D">
            <w:pPr>
              <w:rPr>
                <w:rFonts w:ascii="Bookman Old Style" w:hAnsi="Bookman Old Style" w:cs="Tahoma"/>
                <w:b/>
                <w:bCs/>
                <w:sz w:val="22"/>
                <w:szCs w:val="22"/>
              </w:rPr>
            </w:pPr>
            <w:r w:rsidRPr="00A1170D">
              <w:rPr>
                <w:rFonts w:ascii="Bookman Old Style" w:hAnsi="Bookman Old Style" w:cs="Tahoma"/>
                <w:b/>
                <w:bCs/>
                <w:sz w:val="22"/>
                <w:szCs w:val="22"/>
              </w:rPr>
              <w:t xml:space="preserve">$1.728.485.637.527,59 </w:t>
            </w:r>
          </w:p>
        </w:tc>
      </w:tr>
    </w:tbl>
    <w:p w:rsidR="004A63E2" w:rsidRPr="00B84101" w:rsidRDefault="00A1170D" w:rsidP="004A63E2">
      <w:pPr>
        <w:ind w:left="0"/>
        <w:rPr>
          <w:rFonts w:ascii="Bookman Old Style" w:hAnsi="Bookman Old Style" w:cs="Arial"/>
        </w:rPr>
      </w:pPr>
      <w:r>
        <w:rPr>
          <w:rFonts w:ascii="Bookman Old Style" w:hAnsi="Bookman Old Style" w:cs="Arial"/>
        </w:rPr>
        <w:t xml:space="preserve"> </w:t>
      </w:r>
    </w:p>
    <w:p w:rsidR="004A63E2" w:rsidRDefault="004A63E2" w:rsidP="00E65BFE">
      <w:pPr>
        <w:jc w:val="both"/>
        <w:rPr>
          <w:rFonts w:ascii="Bookman Old Style" w:hAnsi="Bookman Old Style" w:cs="Arial"/>
        </w:rPr>
      </w:pPr>
      <w:r w:rsidRPr="00B84101">
        <w:rPr>
          <w:rFonts w:ascii="Bookman Old Style" w:hAnsi="Bookman Old Style" w:cs="Arial"/>
        </w:rPr>
        <w:t xml:space="preserve">El número de empresas con las cuales se calculó la contribución por sector </w:t>
      </w:r>
      <w:r w:rsidR="000170F4">
        <w:rPr>
          <w:rFonts w:ascii="Bookman Old Style" w:hAnsi="Bookman Old Style" w:cs="Arial"/>
        </w:rPr>
        <w:t>es el siguiente</w:t>
      </w:r>
      <w:r w:rsidRPr="00B84101">
        <w:rPr>
          <w:rFonts w:ascii="Bookman Old Style" w:hAnsi="Bookman Old Style" w:cs="Arial"/>
        </w:rPr>
        <w:t>:</w:t>
      </w:r>
    </w:p>
    <w:tbl>
      <w:tblPr>
        <w:tblpPr w:leftFromText="141" w:rightFromText="141" w:vertAnchor="text" w:horzAnchor="page" w:tblpX="2421" w:tblpY="135"/>
        <w:tblW w:w="8498" w:type="dxa"/>
        <w:tblCellMar>
          <w:left w:w="70" w:type="dxa"/>
          <w:right w:w="70" w:type="dxa"/>
        </w:tblCellMar>
        <w:tblLook w:val="04A0" w:firstRow="1" w:lastRow="0" w:firstColumn="1" w:lastColumn="0" w:noHBand="0" w:noVBand="1"/>
      </w:tblPr>
      <w:tblGrid>
        <w:gridCol w:w="3542"/>
        <w:gridCol w:w="4956"/>
      </w:tblGrid>
      <w:tr w:rsidR="00D57C74" w:rsidRPr="00A1170D" w:rsidTr="00D57C74">
        <w:trPr>
          <w:trHeight w:val="161"/>
        </w:trPr>
        <w:tc>
          <w:tcPr>
            <w:tcW w:w="3542" w:type="dxa"/>
            <w:tcBorders>
              <w:top w:val="single" w:sz="8" w:space="0" w:color="auto"/>
              <w:left w:val="single" w:sz="8" w:space="0" w:color="auto"/>
              <w:bottom w:val="single" w:sz="4" w:space="0" w:color="auto"/>
              <w:right w:val="single" w:sz="4" w:space="0" w:color="auto"/>
            </w:tcBorders>
            <w:shd w:val="clear" w:color="000000" w:fill="FFFFFF"/>
            <w:hideMark/>
          </w:tcPr>
          <w:p w:rsidR="00D57C74" w:rsidRPr="00A1170D" w:rsidRDefault="00D57C74" w:rsidP="00D57C74">
            <w:pPr>
              <w:ind w:left="0"/>
              <w:jc w:val="center"/>
              <w:rPr>
                <w:rFonts w:ascii="Tahoma" w:hAnsi="Tahoma" w:cs="Tahoma"/>
                <w:b/>
                <w:bCs/>
                <w:sz w:val="22"/>
                <w:szCs w:val="22"/>
              </w:rPr>
            </w:pPr>
            <w:r w:rsidRPr="00A1170D">
              <w:rPr>
                <w:rFonts w:ascii="Tahoma" w:hAnsi="Tahoma" w:cs="Tahoma"/>
                <w:b/>
                <w:bCs/>
                <w:sz w:val="22"/>
                <w:szCs w:val="22"/>
              </w:rPr>
              <w:t xml:space="preserve">SECTOR </w:t>
            </w:r>
          </w:p>
        </w:tc>
        <w:tc>
          <w:tcPr>
            <w:tcW w:w="4956" w:type="dxa"/>
            <w:tcBorders>
              <w:top w:val="single" w:sz="8" w:space="0" w:color="auto"/>
              <w:left w:val="nil"/>
              <w:bottom w:val="single" w:sz="4" w:space="0" w:color="auto"/>
              <w:right w:val="single" w:sz="8" w:space="0" w:color="auto"/>
            </w:tcBorders>
            <w:shd w:val="clear" w:color="000000" w:fill="FFFFFF"/>
            <w:hideMark/>
          </w:tcPr>
          <w:p w:rsidR="00D57C74" w:rsidRPr="00A1170D" w:rsidRDefault="00D57C74" w:rsidP="00D57C74">
            <w:pPr>
              <w:ind w:left="0"/>
              <w:jc w:val="center"/>
              <w:rPr>
                <w:rFonts w:ascii="Tahoma" w:hAnsi="Tahoma" w:cs="Tahoma"/>
                <w:b/>
                <w:bCs/>
                <w:sz w:val="22"/>
                <w:szCs w:val="22"/>
              </w:rPr>
            </w:pPr>
            <w:r w:rsidRPr="00A1170D">
              <w:rPr>
                <w:rFonts w:ascii="Tahoma" w:hAnsi="Tahoma" w:cs="Tahoma"/>
                <w:b/>
                <w:bCs/>
                <w:sz w:val="22"/>
                <w:szCs w:val="22"/>
              </w:rPr>
              <w:t xml:space="preserve">TOTAL </w:t>
            </w:r>
          </w:p>
        </w:tc>
      </w:tr>
      <w:tr w:rsidR="00D57C74" w:rsidRPr="00A1170D" w:rsidTr="00D57C74">
        <w:trPr>
          <w:trHeight w:val="321"/>
        </w:trPr>
        <w:tc>
          <w:tcPr>
            <w:tcW w:w="3542" w:type="dxa"/>
            <w:tcBorders>
              <w:top w:val="nil"/>
              <w:left w:val="single" w:sz="8" w:space="0" w:color="auto"/>
              <w:bottom w:val="single" w:sz="4" w:space="0" w:color="auto"/>
              <w:right w:val="single" w:sz="4" w:space="0" w:color="auto"/>
            </w:tcBorders>
            <w:shd w:val="clear" w:color="000000" w:fill="FFFFFF"/>
            <w:hideMark/>
          </w:tcPr>
          <w:p w:rsidR="00D57C74" w:rsidRPr="00A1170D" w:rsidRDefault="00D57C74" w:rsidP="00D57C74">
            <w:pPr>
              <w:ind w:left="0"/>
              <w:rPr>
                <w:rFonts w:ascii="Tahoma" w:hAnsi="Tahoma" w:cs="Tahoma"/>
                <w:sz w:val="22"/>
                <w:szCs w:val="22"/>
              </w:rPr>
            </w:pPr>
            <w:r w:rsidRPr="00A1170D">
              <w:rPr>
                <w:rFonts w:ascii="Tahoma" w:hAnsi="Tahoma" w:cs="Tahoma"/>
                <w:sz w:val="22"/>
                <w:szCs w:val="22"/>
              </w:rPr>
              <w:t xml:space="preserve">ENERGÍA ELÉCTRIA </w:t>
            </w:r>
          </w:p>
        </w:tc>
        <w:tc>
          <w:tcPr>
            <w:tcW w:w="4956" w:type="dxa"/>
            <w:tcBorders>
              <w:top w:val="nil"/>
              <w:left w:val="nil"/>
              <w:bottom w:val="single" w:sz="4" w:space="0" w:color="auto"/>
              <w:right w:val="single" w:sz="8" w:space="0" w:color="auto"/>
            </w:tcBorders>
            <w:shd w:val="clear" w:color="000000" w:fill="FFFFFF"/>
            <w:hideMark/>
          </w:tcPr>
          <w:p w:rsidR="00D57C74" w:rsidRPr="00A1170D" w:rsidRDefault="00D57C74" w:rsidP="00D57C74">
            <w:pPr>
              <w:ind w:left="0" w:firstLineChars="100" w:firstLine="220"/>
              <w:jc w:val="right"/>
              <w:rPr>
                <w:rFonts w:ascii="Tahoma" w:hAnsi="Tahoma" w:cs="Tahoma"/>
                <w:sz w:val="22"/>
                <w:szCs w:val="22"/>
              </w:rPr>
            </w:pPr>
            <w:r w:rsidRPr="00A1170D">
              <w:rPr>
                <w:rFonts w:ascii="Tahoma" w:hAnsi="Tahoma" w:cs="Tahoma"/>
                <w:sz w:val="22"/>
                <w:szCs w:val="22"/>
              </w:rPr>
              <w:t>164</w:t>
            </w:r>
          </w:p>
        </w:tc>
      </w:tr>
      <w:tr w:rsidR="00D57C74" w:rsidRPr="00A1170D" w:rsidTr="00D57C74">
        <w:trPr>
          <w:trHeight w:val="228"/>
        </w:trPr>
        <w:tc>
          <w:tcPr>
            <w:tcW w:w="3542" w:type="dxa"/>
            <w:tcBorders>
              <w:top w:val="nil"/>
              <w:left w:val="single" w:sz="8" w:space="0" w:color="auto"/>
              <w:bottom w:val="single" w:sz="4" w:space="0" w:color="auto"/>
              <w:right w:val="single" w:sz="4" w:space="0" w:color="auto"/>
            </w:tcBorders>
            <w:shd w:val="clear" w:color="000000" w:fill="FFFFFF"/>
            <w:hideMark/>
          </w:tcPr>
          <w:p w:rsidR="00D57C74" w:rsidRPr="00A1170D" w:rsidRDefault="00D57C74" w:rsidP="00D57C74">
            <w:pPr>
              <w:ind w:left="0"/>
              <w:rPr>
                <w:rFonts w:ascii="Tahoma" w:hAnsi="Tahoma" w:cs="Tahoma"/>
                <w:sz w:val="22"/>
                <w:szCs w:val="22"/>
              </w:rPr>
            </w:pPr>
            <w:r w:rsidRPr="00A1170D">
              <w:rPr>
                <w:rFonts w:ascii="Tahoma" w:hAnsi="Tahoma" w:cs="Tahoma"/>
                <w:sz w:val="22"/>
                <w:szCs w:val="22"/>
              </w:rPr>
              <w:t xml:space="preserve">GAS COMBUSTIBLE </w:t>
            </w:r>
          </w:p>
        </w:tc>
        <w:tc>
          <w:tcPr>
            <w:tcW w:w="4956" w:type="dxa"/>
            <w:tcBorders>
              <w:top w:val="nil"/>
              <w:left w:val="nil"/>
              <w:bottom w:val="single" w:sz="4" w:space="0" w:color="auto"/>
              <w:right w:val="single" w:sz="8" w:space="0" w:color="auto"/>
            </w:tcBorders>
            <w:shd w:val="clear" w:color="000000" w:fill="FFFFFF"/>
            <w:hideMark/>
          </w:tcPr>
          <w:p w:rsidR="00D57C74" w:rsidRPr="00A1170D" w:rsidRDefault="00D57C74" w:rsidP="00D57C74">
            <w:pPr>
              <w:ind w:left="0" w:firstLineChars="100" w:firstLine="220"/>
              <w:jc w:val="right"/>
              <w:rPr>
                <w:rFonts w:ascii="Tahoma" w:hAnsi="Tahoma" w:cs="Tahoma"/>
                <w:sz w:val="22"/>
                <w:szCs w:val="22"/>
              </w:rPr>
            </w:pPr>
            <w:r w:rsidRPr="00A1170D">
              <w:rPr>
                <w:rFonts w:ascii="Tahoma" w:hAnsi="Tahoma" w:cs="Tahoma"/>
                <w:sz w:val="22"/>
                <w:szCs w:val="22"/>
              </w:rPr>
              <w:t>145</w:t>
            </w:r>
          </w:p>
        </w:tc>
      </w:tr>
      <w:tr w:rsidR="00D57C74" w:rsidRPr="00A1170D" w:rsidTr="00D57C74">
        <w:trPr>
          <w:trHeight w:val="170"/>
        </w:trPr>
        <w:tc>
          <w:tcPr>
            <w:tcW w:w="3542" w:type="dxa"/>
            <w:tcBorders>
              <w:top w:val="nil"/>
              <w:left w:val="single" w:sz="8" w:space="0" w:color="auto"/>
              <w:bottom w:val="single" w:sz="8" w:space="0" w:color="auto"/>
              <w:right w:val="single" w:sz="4" w:space="0" w:color="auto"/>
            </w:tcBorders>
            <w:shd w:val="clear" w:color="000000" w:fill="FFFFFF"/>
            <w:vAlign w:val="center"/>
            <w:hideMark/>
          </w:tcPr>
          <w:p w:rsidR="00D57C74" w:rsidRPr="00A1170D" w:rsidRDefault="00D57C74" w:rsidP="00D57C74">
            <w:pPr>
              <w:ind w:left="0"/>
              <w:rPr>
                <w:rFonts w:ascii="Tahoma" w:hAnsi="Tahoma" w:cs="Tahoma"/>
                <w:b/>
                <w:bCs/>
                <w:sz w:val="22"/>
                <w:szCs w:val="22"/>
              </w:rPr>
            </w:pPr>
            <w:r w:rsidRPr="00A1170D">
              <w:rPr>
                <w:rFonts w:ascii="Tahoma" w:hAnsi="Tahoma" w:cs="Tahoma"/>
                <w:b/>
                <w:bCs/>
                <w:sz w:val="22"/>
                <w:szCs w:val="22"/>
              </w:rPr>
              <w:t xml:space="preserve">TOTAL </w:t>
            </w:r>
          </w:p>
        </w:tc>
        <w:tc>
          <w:tcPr>
            <w:tcW w:w="4956" w:type="dxa"/>
            <w:tcBorders>
              <w:top w:val="nil"/>
              <w:left w:val="nil"/>
              <w:bottom w:val="single" w:sz="8" w:space="0" w:color="auto"/>
              <w:right w:val="single" w:sz="8" w:space="0" w:color="auto"/>
            </w:tcBorders>
            <w:shd w:val="clear" w:color="000000" w:fill="FFFFFF"/>
            <w:hideMark/>
          </w:tcPr>
          <w:p w:rsidR="00D57C74" w:rsidRPr="00A1170D" w:rsidRDefault="00D57C74" w:rsidP="00D57C74">
            <w:pPr>
              <w:ind w:left="0" w:firstLineChars="100" w:firstLine="221"/>
              <w:jc w:val="right"/>
              <w:rPr>
                <w:rFonts w:ascii="Tahoma" w:hAnsi="Tahoma" w:cs="Tahoma"/>
                <w:b/>
                <w:bCs/>
                <w:sz w:val="22"/>
                <w:szCs w:val="22"/>
              </w:rPr>
            </w:pPr>
            <w:r w:rsidRPr="00A1170D">
              <w:rPr>
                <w:rFonts w:ascii="Tahoma" w:hAnsi="Tahoma" w:cs="Tahoma"/>
                <w:b/>
                <w:bCs/>
                <w:sz w:val="22"/>
                <w:szCs w:val="22"/>
              </w:rPr>
              <w:t>309</w:t>
            </w:r>
          </w:p>
        </w:tc>
      </w:tr>
    </w:tbl>
    <w:p w:rsidR="00A1170D" w:rsidRDefault="00A1170D" w:rsidP="004A63E2">
      <w:pPr>
        <w:ind w:left="15"/>
        <w:rPr>
          <w:rFonts w:ascii="Bookman Old Style" w:hAnsi="Bookman Old Style" w:cs="Arial"/>
        </w:rPr>
      </w:pPr>
    </w:p>
    <w:p w:rsidR="00FA15B4" w:rsidRPr="00FA15B4" w:rsidRDefault="00FA15B4" w:rsidP="00A1170D">
      <w:pPr>
        <w:ind w:left="0"/>
        <w:jc w:val="both"/>
        <w:rPr>
          <w:rFonts w:ascii="Bookman Old Style" w:hAnsi="Bookman Old Style"/>
        </w:rPr>
      </w:pPr>
    </w:p>
    <w:p w:rsidR="00D57C74" w:rsidRDefault="00D57C74" w:rsidP="00F763C8">
      <w:pPr>
        <w:ind w:left="0"/>
        <w:jc w:val="both"/>
        <w:rPr>
          <w:rFonts w:ascii="Bookman Old Style" w:hAnsi="Bookman Old Style"/>
        </w:rPr>
      </w:pPr>
    </w:p>
    <w:p w:rsidR="00D57C74" w:rsidRDefault="00D57C74" w:rsidP="00F763C8">
      <w:pPr>
        <w:ind w:left="0"/>
        <w:jc w:val="both"/>
        <w:rPr>
          <w:rFonts w:ascii="Bookman Old Style" w:hAnsi="Bookman Old Style"/>
        </w:rPr>
      </w:pPr>
    </w:p>
    <w:p w:rsidR="00D57C74" w:rsidRDefault="00D57C74" w:rsidP="00F763C8">
      <w:pPr>
        <w:ind w:left="0"/>
        <w:jc w:val="both"/>
        <w:rPr>
          <w:rFonts w:ascii="Bookman Old Style" w:hAnsi="Bookman Old Style"/>
        </w:rPr>
      </w:pPr>
    </w:p>
    <w:p w:rsidR="00D57C74" w:rsidRPr="00D57C74" w:rsidRDefault="00D57C74" w:rsidP="00F763C8">
      <w:pPr>
        <w:ind w:left="0"/>
        <w:jc w:val="both"/>
        <w:rPr>
          <w:rFonts w:ascii="Bookman Old Style" w:hAnsi="Bookman Old Style"/>
        </w:rPr>
      </w:pPr>
    </w:p>
    <w:p w:rsidR="00076A51" w:rsidRPr="00076A51" w:rsidRDefault="004A63E2" w:rsidP="00076A51">
      <w:pPr>
        <w:pStyle w:val="Prrafodelista"/>
        <w:numPr>
          <w:ilvl w:val="0"/>
          <w:numId w:val="19"/>
        </w:numPr>
        <w:jc w:val="both"/>
        <w:rPr>
          <w:rFonts w:ascii="Bookman Old Style" w:hAnsi="Bookman Old Style"/>
          <w:sz w:val="24"/>
          <w:szCs w:val="24"/>
        </w:rPr>
      </w:pPr>
      <w:r w:rsidRPr="00D57C74">
        <w:rPr>
          <w:rFonts w:ascii="Bookman Old Style" w:hAnsi="Bookman Old Style"/>
          <w:sz w:val="24"/>
          <w:szCs w:val="24"/>
        </w:rPr>
        <w:t xml:space="preserve">La Empresa </w:t>
      </w:r>
      <w:r w:rsidR="00D57C74">
        <w:rPr>
          <w:rFonts w:ascii="Bookman Old Style" w:hAnsi="Bookman Old Style"/>
          <w:sz w:val="24"/>
          <w:szCs w:val="24"/>
        </w:rPr>
        <w:t>LUSTRIGAS S.A E.S.P</w:t>
      </w:r>
      <w:r w:rsidR="00CE74EE" w:rsidRPr="00D57C74">
        <w:rPr>
          <w:rFonts w:ascii="Bookman Old Style" w:hAnsi="Bookman Old Style"/>
          <w:sz w:val="24"/>
          <w:szCs w:val="24"/>
        </w:rPr>
        <w:t xml:space="preserve">, </w:t>
      </w:r>
      <w:r w:rsidR="00D57C74">
        <w:rPr>
          <w:rFonts w:ascii="Bookman Old Style" w:hAnsi="Bookman Old Style"/>
          <w:sz w:val="24"/>
          <w:szCs w:val="24"/>
        </w:rPr>
        <w:t>mediante oficio radicado bajo el Nº 2010-529-066787-2 el 17 de diciembre de 2010, le solicitó a la Superintendencia de Servicios Públicos Domiciliarios permitirle modificar la información reportada en el Sistema Único de Información –SUI- ,</w:t>
      </w:r>
      <w:r w:rsidR="00076A51">
        <w:rPr>
          <w:rFonts w:ascii="Bookman Old Style" w:hAnsi="Bookman Old Style"/>
          <w:sz w:val="24"/>
          <w:szCs w:val="24"/>
        </w:rPr>
        <w:t xml:space="preserve"> en el sentido de corregir la información financiera</w:t>
      </w:r>
      <w:r w:rsidR="00D57C74">
        <w:rPr>
          <w:rFonts w:ascii="Bookman Old Style" w:hAnsi="Bookman Old Style"/>
          <w:sz w:val="24"/>
          <w:szCs w:val="24"/>
        </w:rPr>
        <w:t xml:space="preserve"> ya que por una inadecuada interpretación de la Resolución CREG 023 de 2008</w:t>
      </w:r>
      <w:r w:rsidR="00076A51">
        <w:rPr>
          <w:rFonts w:ascii="Bookman Old Style" w:hAnsi="Bookman Old Style"/>
          <w:sz w:val="24"/>
          <w:szCs w:val="24"/>
        </w:rPr>
        <w:t>, la empresa desmontó los centros de costos de Almacenamiento, Mercadeo y Administración –Atención al Cliente, siendo lo correcto no tener en cuenta el Centro de Costo de envasado, que era la única operación que no se realizaría dentro del ciclo operativo de LUSTRIGAS S.A E.S.P.</w:t>
      </w:r>
    </w:p>
    <w:p w:rsidR="00B03F3A" w:rsidRDefault="00C826DC" w:rsidP="00D57C74">
      <w:pPr>
        <w:pStyle w:val="Prrafodelista"/>
        <w:numPr>
          <w:ilvl w:val="0"/>
          <w:numId w:val="19"/>
        </w:numPr>
        <w:jc w:val="both"/>
        <w:rPr>
          <w:rFonts w:ascii="Bookman Old Style" w:hAnsi="Bookman Old Style"/>
          <w:sz w:val="24"/>
          <w:szCs w:val="24"/>
        </w:rPr>
      </w:pPr>
      <w:r>
        <w:rPr>
          <w:rFonts w:ascii="Bookman Old Style" w:hAnsi="Bookman Old Style"/>
          <w:sz w:val="24"/>
          <w:szCs w:val="24"/>
        </w:rPr>
        <w:lastRenderedPageBreak/>
        <w:t>Una vez se verificó en el Sistema Único de Información que la empresa LUSTRUGAS S.A E.S.P corrigió los estados financieros, lo que únicamente es posible con el aval de la Superintendencia de Servicios Públicos Domiciliarios, se procederá a realizar el cálculo nuevamente para determinar el valor real que debe pagar la empresa por concepto de la contribución especial señalada en la Resolución Creg-156 de 2010</w:t>
      </w:r>
    </w:p>
    <w:p w:rsidR="00C826DC" w:rsidRDefault="00C826DC" w:rsidP="00C826DC">
      <w:pPr>
        <w:pStyle w:val="Prrafodelista"/>
        <w:ind w:left="530"/>
        <w:jc w:val="both"/>
        <w:rPr>
          <w:rFonts w:ascii="Bookman Old Style" w:hAnsi="Bookman Old Style"/>
          <w:sz w:val="24"/>
          <w:szCs w:val="24"/>
        </w:rPr>
      </w:pPr>
    </w:p>
    <w:p w:rsidR="00C826DC" w:rsidRDefault="00483093" w:rsidP="00C826DC">
      <w:pPr>
        <w:pStyle w:val="Prrafodelista"/>
        <w:numPr>
          <w:ilvl w:val="0"/>
          <w:numId w:val="19"/>
        </w:numPr>
        <w:jc w:val="both"/>
        <w:rPr>
          <w:rFonts w:ascii="Bookman Old Style" w:hAnsi="Bookman Old Style"/>
          <w:sz w:val="24"/>
          <w:szCs w:val="24"/>
        </w:rPr>
      </w:pPr>
      <w:r w:rsidRPr="00C826DC">
        <w:rPr>
          <w:rFonts w:ascii="Bookman Old Style" w:hAnsi="Bookman Old Style"/>
          <w:sz w:val="24"/>
          <w:szCs w:val="24"/>
        </w:rPr>
        <w:t>Al realizar la operación aritmética, consistente en tomar el valor de los gastos de</w:t>
      </w:r>
      <w:r w:rsidR="00B91EB4" w:rsidRPr="00C826DC">
        <w:rPr>
          <w:rFonts w:ascii="Bookman Old Style" w:hAnsi="Bookman Old Style"/>
          <w:sz w:val="24"/>
          <w:szCs w:val="24"/>
        </w:rPr>
        <w:t xml:space="preserve"> Funcionamiento -</w:t>
      </w:r>
      <w:r w:rsidRPr="00C826DC">
        <w:rPr>
          <w:rFonts w:ascii="Bookman Old Style" w:hAnsi="Bookman Old Style"/>
          <w:sz w:val="24"/>
          <w:szCs w:val="24"/>
        </w:rPr>
        <w:t xml:space="preserve"> </w:t>
      </w:r>
      <w:r w:rsidR="00B91EB4" w:rsidRPr="00C826DC">
        <w:rPr>
          <w:rFonts w:ascii="Bookman Old Style" w:hAnsi="Bookman Old Style"/>
          <w:sz w:val="24"/>
          <w:szCs w:val="24"/>
        </w:rPr>
        <w:t>A</w:t>
      </w:r>
      <w:r w:rsidRPr="00C826DC">
        <w:rPr>
          <w:rFonts w:ascii="Bookman Old Style" w:hAnsi="Bookman Old Style"/>
          <w:sz w:val="24"/>
          <w:szCs w:val="24"/>
        </w:rPr>
        <w:t>dministración con corte a 31 de diciembre de 20</w:t>
      </w:r>
      <w:r w:rsidR="00CF1096" w:rsidRPr="00C826DC">
        <w:rPr>
          <w:rFonts w:ascii="Bookman Old Style" w:hAnsi="Bookman Old Style"/>
          <w:sz w:val="24"/>
          <w:szCs w:val="24"/>
        </w:rPr>
        <w:t>09</w:t>
      </w:r>
      <w:r w:rsidRPr="00C826DC">
        <w:rPr>
          <w:rFonts w:ascii="Bookman Old Style" w:hAnsi="Bookman Old Style"/>
          <w:sz w:val="24"/>
          <w:szCs w:val="24"/>
        </w:rPr>
        <w:t xml:space="preserve"> reportados por la empresa y multiplicarlos por el factor</w:t>
      </w:r>
      <w:r w:rsidR="00CF1096" w:rsidRPr="00C826DC">
        <w:rPr>
          <w:rFonts w:ascii="Bookman Old Style" w:hAnsi="Bookman Old Style"/>
          <w:sz w:val="24"/>
          <w:szCs w:val="24"/>
        </w:rPr>
        <w:t>,</w:t>
      </w:r>
      <w:r w:rsidRPr="00C826DC">
        <w:rPr>
          <w:rFonts w:ascii="Bookman Old Style" w:hAnsi="Bookman Old Style"/>
          <w:sz w:val="24"/>
          <w:szCs w:val="24"/>
        </w:rPr>
        <w:t xml:space="preserve"> nos da como resultado el valor que la empresa debe pagar por concepto de contribución.</w:t>
      </w:r>
    </w:p>
    <w:p w:rsidR="00C826DC" w:rsidRPr="00C826DC" w:rsidRDefault="00C826DC" w:rsidP="00C826DC">
      <w:pPr>
        <w:pStyle w:val="Prrafodelista"/>
        <w:rPr>
          <w:rFonts w:ascii="Bookman Old Style" w:hAnsi="Bookman Old Style"/>
        </w:rPr>
      </w:pPr>
    </w:p>
    <w:p w:rsidR="00483093" w:rsidRPr="00C826DC" w:rsidRDefault="00483093" w:rsidP="00C826DC">
      <w:pPr>
        <w:pStyle w:val="Prrafodelista"/>
        <w:ind w:left="530"/>
        <w:jc w:val="both"/>
        <w:rPr>
          <w:rFonts w:ascii="Bookman Old Style" w:hAnsi="Bookman Old Style"/>
          <w:sz w:val="24"/>
          <w:szCs w:val="24"/>
        </w:rPr>
      </w:pPr>
      <w:r w:rsidRPr="00C826DC">
        <w:rPr>
          <w:rFonts w:ascii="Bookman Old Style" w:hAnsi="Bookman Old Style"/>
          <w:sz w:val="24"/>
          <w:szCs w:val="24"/>
        </w:rPr>
        <w:t>Es así como:</w:t>
      </w:r>
    </w:p>
    <w:p w:rsidR="00077A2B" w:rsidRPr="00CF1096" w:rsidRDefault="00077A2B" w:rsidP="00077A2B">
      <w:pPr>
        <w:ind w:left="0"/>
        <w:jc w:val="both"/>
        <w:rPr>
          <w:rFonts w:ascii="Bookman Old Style" w:hAnsi="Bookman Old Style"/>
          <w:sz w:val="20"/>
          <w:szCs w:val="20"/>
        </w:rPr>
      </w:pPr>
    </w:p>
    <w:p w:rsidR="00BA4817" w:rsidRPr="00CF1096" w:rsidRDefault="00C826DC" w:rsidP="000D5E22">
      <w:pPr>
        <w:ind w:left="0"/>
        <w:rPr>
          <w:rFonts w:ascii="Bookman Old Style" w:hAnsi="Bookman Old Style"/>
          <w:b/>
          <w:sz w:val="20"/>
          <w:szCs w:val="20"/>
        </w:rPr>
      </w:pPr>
      <w:r>
        <w:rPr>
          <w:rFonts w:ascii="Bookman Old Style" w:hAnsi="Bookman Old Style"/>
          <w:b/>
          <w:sz w:val="20"/>
          <w:szCs w:val="20"/>
        </w:rPr>
        <w:t xml:space="preserve">       </w:t>
      </w:r>
      <w:r w:rsidR="00BA4817" w:rsidRPr="00CF1096">
        <w:rPr>
          <w:rFonts w:ascii="Bookman Old Style" w:hAnsi="Bookman Old Style"/>
          <w:b/>
          <w:sz w:val="20"/>
          <w:szCs w:val="20"/>
        </w:rPr>
        <w:t>GASTOS DE</w:t>
      </w:r>
    </w:p>
    <w:p w:rsidR="00BA4817" w:rsidRPr="00CF1096" w:rsidRDefault="00C826DC" w:rsidP="000D5E22">
      <w:pPr>
        <w:ind w:left="0"/>
        <w:rPr>
          <w:rFonts w:ascii="Bookman Old Style" w:hAnsi="Bookman Old Style"/>
          <w:b/>
          <w:sz w:val="20"/>
          <w:szCs w:val="20"/>
        </w:rPr>
      </w:pPr>
      <w:r>
        <w:rPr>
          <w:rFonts w:ascii="Bookman Old Style" w:hAnsi="Bookman Old Style"/>
          <w:b/>
          <w:sz w:val="20"/>
          <w:szCs w:val="20"/>
        </w:rPr>
        <w:t xml:space="preserve">       </w:t>
      </w:r>
      <w:r w:rsidR="00BA4817" w:rsidRPr="00CF1096">
        <w:rPr>
          <w:rFonts w:ascii="Bookman Old Style" w:hAnsi="Bookman Old Style"/>
          <w:b/>
          <w:sz w:val="20"/>
          <w:szCs w:val="20"/>
        </w:rPr>
        <w:t xml:space="preserve">ADMINISTRACIÓN   </w:t>
      </w:r>
      <w:r w:rsidR="00077A2B" w:rsidRPr="00CF1096">
        <w:rPr>
          <w:rFonts w:ascii="Bookman Old Style" w:hAnsi="Bookman Old Style"/>
          <w:b/>
          <w:sz w:val="20"/>
          <w:szCs w:val="20"/>
        </w:rPr>
        <w:t xml:space="preserve">    </w:t>
      </w:r>
      <w:r w:rsidR="00BA4817" w:rsidRPr="00CF1096">
        <w:rPr>
          <w:rFonts w:ascii="Bookman Old Style" w:hAnsi="Bookman Old Style"/>
          <w:b/>
          <w:sz w:val="20"/>
          <w:szCs w:val="20"/>
        </w:rPr>
        <w:t xml:space="preserve">X              FACTOR            </w:t>
      </w:r>
      <w:r w:rsidR="00BA4817" w:rsidRPr="002F768A">
        <w:rPr>
          <w:rFonts w:ascii="Bookman Old Style" w:hAnsi="Bookman Old Style"/>
          <w:b/>
          <w:sz w:val="22"/>
          <w:szCs w:val="22"/>
        </w:rPr>
        <w:t>=</w:t>
      </w:r>
      <w:r w:rsidR="00BA4817" w:rsidRPr="00CF1096">
        <w:rPr>
          <w:rFonts w:ascii="Bookman Old Style" w:hAnsi="Bookman Old Style"/>
          <w:b/>
          <w:sz w:val="20"/>
          <w:szCs w:val="20"/>
        </w:rPr>
        <w:t xml:space="preserve">                VALOR CONTRIBUCIÓN</w:t>
      </w:r>
    </w:p>
    <w:p w:rsidR="00483093" w:rsidRPr="00CF1096" w:rsidRDefault="00BA4817" w:rsidP="00CD5AF2">
      <w:pPr>
        <w:ind w:left="170"/>
        <w:jc w:val="both"/>
        <w:rPr>
          <w:rFonts w:ascii="Bookman Old Style" w:hAnsi="Bookman Old Style"/>
          <w:b/>
          <w:sz w:val="20"/>
          <w:szCs w:val="20"/>
        </w:rPr>
      </w:pPr>
      <w:r w:rsidRPr="00CF1096">
        <w:rPr>
          <w:rFonts w:ascii="Bookman Old Style" w:hAnsi="Bookman Old Style"/>
          <w:b/>
          <w:sz w:val="20"/>
          <w:szCs w:val="20"/>
        </w:rPr>
        <w:t xml:space="preserve">                                                                                                     AÑO 2010</w:t>
      </w:r>
    </w:p>
    <w:p w:rsidR="008F3D28" w:rsidRPr="00CF1096" w:rsidRDefault="00C826DC" w:rsidP="00401AB2">
      <w:pPr>
        <w:ind w:left="0"/>
        <w:rPr>
          <w:rFonts w:ascii="Bookman Old Style" w:hAnsi="Bookman Old Style"/>
          <w:sz w:val="20"/>
          <w:szCs w:val="20"/>
        </w:rPr>
      </w:pPr>
      <w:r>
        <w:rPr>
          <w:rFonts w:ascii="Bookman Old Style" w:hAnsi="Bookman Old Style"/>
          <w:sz w:val="20"/>
          <w:szCs w:val="20"/>
        </w:rPr>
        <w:t xml:space="preserve">       </w:t>
      </w:r>
      <w:r w:rsidR="00BA4817" w:rsidRPr="00CF1096">
        <w:rPr>
          <w:rFonts w:ascii="Bookman Old Style" w:hAnsi="Bookman Old Style"/>
          <w:sz w:val="20"/>
          <w:szCs w:val="20"/>
        </w:rPr>
        <w:t>(</w:t>
      </w:r>
      <w:r w:rsidR="00BA4817" w:rsidRPr="00CF1096">
        <w:rPr>
          <w:rFonts w:ascii="Bookman Old Style" w:hAnsi="Bookman Old Style"/>
          <w:color w:val="000000"/>
          <w:sz w:val="20"/>
          <w:szCs w:val="20"/>
        </w:rPr>
        <w:t>$</w:t>
      </w:r>
      <w:r>
        <w:rPr>
          <w:rFonts w:ascii="Bookman Old Style" w:hAnsi="Bookman Old Style"/>
          <w:color w:val="000000"/>
          <w:sz w:val="20"/>
          <w:szCs w:val="20"/>
        </w:rPr>
        <w:t>165.063.596</w:t>
      </w:r>
      <w:r w:rsidR="00BA4817" w:rsidRPr="00CF1096">
        <w:rPr>
          <w:rFonts w:ascii="Bookman Old Style" w:hAnsi="Bookman Old Style"/>
          <w:sz w:val="20"/>
          <w:szCs w:val="20"/>
        </w:rPr>
        <w:t xml:space="preserve">)           </w:t>
      </w:r>
      <w:r w:rsidR="00401AB2" w:rsidRPr="00CF1096">
        <w:rPr>
          <w:rFonts w:ascii="Bookman Old Style" w:hAnsi="Bookman Old Style"/>
          <w:sz w:val="20"/>
          <w:szCs w:val="20"/>
        </w:rPr>
        <w:t xml:space="preserve"> </w:t>
      </w:r>
      <w:r w:rsidR="00BA4817" w:rsidRPr="00CF1096">
        <w:rPr>
          <w:rFonts w:ascii="Bookman Old Style" w:hAnsi="Bookman Old Style"/>
          <w:sz w:val="20"/>
          <w:szCs w:val="20"/>
        </w:rPr>
        <w:t xml:space="preserve"> </w:t>
      </w:r>
      <w:r w:rsidR="00A81615">
        <w:rPr>
          <w:rFonts w:ascii="Bookman Old Style" w:hAnsi="Bookman Old Style"/>
          <w:sz w:val="20"/>
          <w:szCs w:val="20"/>
        </w:rPr>
        <w:t xml:space="preserve">   </w:t>
      </w:r>
      <w:r>
        <w:rPr>
          <w:rFonts w:ascii="Bookman Old Style" w:hAnsi="Bookman Old Style"/>
          <w:sz w:val="20"/>
          <w:szCs w:val="20"/>
        </w:rPr>
        <w:t xml:space="preserve">           </w:t>
      </w:r>
      <w:r w:rsidR="00BA4817" w:rsidRPr="002E01C3">
        <w:rPr>
          <w:rFonts w:ascii="Bookman Old Style" w:hAnsi="Bookman Old Style"/>
          <w:sz w:val="20"/>
          <w:szCs w:val="20"/>
        </w:rPr>
        <w:t>(</w:t>
      </w:r>
      <w:r w:rsidR="002E01C3" w:rsidRPr="002E01C3">
        <w:rPr>
          <w:rFonts w:ascii="Bookman Old Style" w:hAnsi="Bookman Old Style"/>
          <w:bCs/>
          <w:sz w:val="20"/>
          <w:szCs w:val="20"/>
        </w:rPr>
        <w:t>0.00702997394724</w:t>
      </w:r>
      <w:r w:rsidR="00BA4817" w:rsidRPr="00CF1096">
        <w:rPr>
          <w:rFonts w:ascii="Bookman Old Style" w:hAnsi="Bookman Old Style"/>
          <w:sz w:val="20"/>
          <w:szCs w:val="20"/>
        </w:rPr>
        <w:t xml:space="preserve">)                </w:t>
      </w:r>
      <w:r w:rsidR="00401AB2" w:rsidRPr="00CF1096">
        <w:rPr>
          <w:rFonts w:ascii="Bookman Old Style" w:hAnsi="Bookman Old Style"/>
          <w:sz w:val="20"/>
          <w:szCs w:val="20"/>
        </w:rPr>
        <w:t xml:space="preserve">  </w:t>
      </w:r>
      <w:r w:rsidR="00A81615">
        <w:rPr>
          <w:rFonts w:ascii="Bookman Old Style" w:hAnsi="Bookman Old Style"/>
          <w:sz w:val="20"/>
          <w:szCs w:val="20"/>
        </w:rPr>
        <w:t xml:space="preserve">  </w:t>
      </w:r>
      <w:r w:rsidR="00401AB2" w:rsidRPr="00CF1096">
        <w:rPr>
          <w:rFonts w:ascii="Bookman Old Style" w:hAnsi="Bookman Old Style"/>
          <w:sz w:val="20"/>
          <w:szCs w:val="20"/>
        </w:rPr>
        <w:t xml:space="preserve"> </w:t>
      </w:r>
      <w:r w:rsidR="002E01C3" w:rsidRPr="00CF1096">
        <w:rPr>
          <w:rFonts w:ascii="Bookman Old Style" w:hAnsi="Bookman Old Style"/>
          <w:sz w:val="20"/>
          <w:szCs w:val="20"/>
        </w:rPr>
        <w:t>(</w:t>
      </w:r>
      <w:r w:rsidR="002E01C3">
        <w:rPr>
          <w:rFonts w:ascii="Bookman Old Style" w:hAnsi="Bookman Old Style"/>
          <w:sz w:val="20"/>
          <w:szCs w:val="20"/>
        </w:rPr>
        <w:t>$</w:t>
      </w:r>
      <w:r>
        <w:rPr>
          <w:rFonts w:ascii="Bookman Old Style" w:hAnsi="Bookman Old Style"/>
          <w:color w:val="000000"/>
          <w:sz w:val="20"/>
          <w:szCs w:val="20"/>
        </w:rPr>
        <w:t>1.160.39</w:t>
      </w:r>
      <w:r w:rsidR="002E01C3">
        <w:rPr>
          <w:rFonts w:ascii="Bookman Old Style" w:hAnsi="Bookman Old Style"/>
          <w:color w:val="000000"/>
          <w:sz w:val="20"/>
          <w:szCs w:val="20"/>
        </w:rPr>
        <w:t>3</w:t>
      </w:r>
      <w:r w:rsidR="00BA4817" w:rsidRPr="00CF1096">
        <w:rPr>
          <w:rFonts w:ascii="Bookman Old Style" w:hAnsi="Bookman Old Style"/>
          <w:sz w:val="20"/>
          <w:szCs w:val="20"/>
        </w:rPr>
        <w:t xml:space="preserve">)  </w:t>
      </w:r>
    </w:p>
    <w:p w:rsidR="00077A2B" w:rsidRPr="00077A2B" w:rsidRDefault="00077A2B" w:rsidP="008D469B">
      <w:pPr>
        <w:ind w:left="0"/>
        <w:jc w:val="both"/>
        <w:rPr>
          <w:rFonts w:ascii="Bookman Old Style" w:hAnsi="Bookman Old Style"/>
        </w:rPr>
      </w:pPr>
    </w:p>
    <w:p w:rsidR="00077A2B" w:rsidRPr="00077A2B" w:rsidRDefault="00077A2B" w:rsidP="00077A2B">
      <w:pPr>
        <w:ind w:left="170"/>
        <w:rPr>
          <w:rFonts w:ascii="Bookman Old Style" w:hAnsi="Bookman Old Style"/>
          <w:sz w:val="22"/>
          <w:szCs w:val="22"/>
        </w:rPr>
      </w:pPr>
    </w:p>
    <w:p w:rsidR="00C826DC" w:rsidRDefault="00C16B95" w:rsidP="004A63E2">
      <w:pPr>
        <w:ind w:left="0"/>
        <w:jc w:val="both"/>
        <w:rPr>
          <w:rFonts w:ascii="Bookman Old Style" w:hAnsi="Bookman Old Style"/>
        </w:rPr>
      </w:pPr>
      <w:r>
        <w:rPr>
          <w:rFonts w:ascii="Bookman Old Style" w:hAnsi="Bookman Old Style"/>
        </w:rPr>
        <w:t xml:space="preserve">Efectuado el anterior análisis, la </w:t>
      </w:r>
      <w:r w:rsidR="00B832C9">
        <w:rPr>
          <w:rFonts w:ascii="Bookman Old Style" w:hAnsi="Bookman Old Style"/>
        </w:rPr>
        <w:t>Comisión de Regulación de Energía y Gas -CREG-</w:t>
      </w:r>
      <w:r>
        <w:rPr>
          <w:rFonts w:ascii="Bookman Old Style" w:hAnsi="Bookman Old Style"/>
        </w:rPr>
        <w:t xml:space="preserve">, </w:t>
      </w:r>
      <w:r w:rsidR="00C826DC">
        <w:rPr>
          <w:rFonts w:ascii="Bookman Old Style" w:hAnsi="Bookman Old Style"/>
        </w:rPr>
        <w:t xml:space="preserve">modificará </w:t>
      </w:r>
      <w:r>
        <w:rPr>
          <w:rFonts w:ascii="Bookman Old Style" w:hAnsi="Bookman Old Style"/>
        </w:rPr>
        <w:t>la resolución CREG-1</w:t>
      </w:r>
      <w:r w:rsidR="00C826DC">
        <w:rPr>
          <w:rFonts w:ascii="Bookman Old Style" w:hAnsi="Bookman Old Style"/>
        </w:rPr>
        <w:t>56</w:t>
      </w:r>
      <w:r>
        <w:rPr>
          <w:rFonts w:ascii="Bookman Old Style" w:hAnsi="Bookman Old Style"/>
        </w:rPr>
        <w:t xml:space="preserve"> de 2010</w:t>
      </w:r>
      <w:r w:rsidR="00BF2C63">
        <w:rPr>
          <w:rFonts w:ascii="Bookman Old Style" w:hAnsi="Bookman Old Style"/>
        </w:rPr>
        <w:t xml:space="preserve"> en lo pertinente a la empresa LUSTRIGAS S.A E.S.P.</w:t>
      </w:r>
      <w:r>
        <w:rPr>
          <w:rFonts w:ascii="Bookman Old Style" w:hAnsi="Bookman Old Style"/>
        </w:rPr>
        <w:t xml:space="preserve">, </w:t>
      </w:r>
      <w:r w:rsidR="00C826DC">
        <w:rPr>
          <w:rFonts w:ascii="Bookman Old Style" w:hAnsi="Bookman Old Style"/>
        </w:rPr>
        <w:t xml:space="preserve">haciendo claridad, que esta situación se presentó debido a la mala interpretación que la empresa realizó de la norma, lo que </w:t>
      </w:r>
      <w:r w:rsidR="00BF2C63">
        <w:rPr>
          <w:rFonts w:ascii="Bookman Old Style" w:hAnsi="Bookman Old Style"/>
        </w:rPr>
        <w:t>conllevó a</w:t>
      </w:r>
      <w:r w:rsidR="00C826DC">
        <w:rPr>
          <w:rFonts w:ascii="Bookman Old Style" w:hAnsi="Bookman Old Style"/>
        </w:rPr>
        <w:t xml:space="preserve"> que los estados financieros reportados no fueran los debidos.</w:t>
      </w:r>
    </w:p>
    <w:p w:rsidR="00C826DC" w:rsidRDefault="00C826DC" w:rsidP="004A63E2">
      <w:pPr>
        <w:ind w:left="0"/>
        <w:jc w:val="both"/>
        <w:rPr>
          <w:rFonts w:ascii="Bookman Old Style" w:hAnsi="Bookman Old Style"/>
        </w:rPr>
      </w:pPr>
    </w:p>
    <w:p w:rsidR="00A1170D" w:rsidRDefault="00C826DC" w:rsidP="004A63E2">
      <w:pPr>
        <w:ind w:left="0"/>
        <w:jc w:val="both"/>
        <w:rPr>
          <w:rFonts w:ascii="Bookman Old Style" w:hAnsi="Bookman Old Style" w:cs="Arial"/>
        </w:rPr>
      </w:pPr>
      <w:r>
        <w:rPr>
          <w:rFonts w:ascii="Bookman Old Style" w:hAnsi="Bookman Old Style"/>
        </w:rPr>
        <w:t>D</w:t>
      </w:r>
      <w:r w:rsidR="00C16B95">
        <w:rPr>
          <w:rFonts w:ascii="Bookman Old Style" w:hAnsi="Bookman Old Style"/>
        </w:rPr>
        <w:t xml:space="preserve">ebe tenerse en cuenta que la empresa </w:t>
      </w:r>
      <w:r>
        <w:rPr>
          <w:rFonts w:ascii="Bookman Old Style" w:hAnsi="Bookman Old Style"/>
        </w:rPr>
        <w:t>LUSTRIGAS S.A E.S.P</w:t>
      </w:r>
      <w:r w:rsidR="00C16B95">
        <w:rPr>
          <w:rFonts w:ascii="Bookman Old Style" w:hAnsi="Bookman Old Style" w:cs="Arial"/>
        </w:rPr>
        <w:t xml:space="preserve">, </w:t>
      </w:r>
      <w:r>
        <w:rPr>
          <w:rFonts w:ascii="Bookman Old Style" w:hAnsi="Bookman Old Style" w:cs="Arial"/>
        </w:rPr>
        <w:t xml:space="preserve">pagó la suma de CUATROCIENTOS TRES MIL CUATROCIENTOS OCHENTA Y NUEVE PESOS CON CINCUENTA Y </w:t>
      </w:r>
      <w:r w:rsidRPr="008E7F39">
        <w:rPr>
          <w:rFonts w:ascii="Bookman Old Style" w:hAnsi="Bookman Old Style" w:cs="Arial"/>
        </w:rPr>
        <w:t>NUEVE CENTAVOS M/CTE ($403.489,59) el día</w:t>
      </w:r>
      <w:r>
        <w:rPr>
          <w:rFonts w:ascii="Bookman Old Style" w:hAnsi="Bookman Old Style" w:cs="Arial"/>
        </w:rPr>
        <w:t xml:space="preserve"> 9 de febrero de 2010, en la cuenta No</w:t>
      </w:r>
      <w:r w:rsidRPr="00A1170D">
        <w:rPr>
          <w:rFonts w:ascii="Bookman Old Style" w:hAnsi="Bookman Old Style" w:cs="Arial"/>
        </w:rPr>
        <w:t xml:space="preserve"> 256</w:t>
      </w:r>
      <w:r>
        <w:rPr>
          <w:rFonts w:ascii="Bookman Old Style" w:hAnsi="Bookman Old Style" w:cs="Arial"/>
        </w:rPr>
        <w:t>-</w:t>
      </w:r>
      <w:r w:rsidRPr="00A1170D">
        <w:rPr>
          <w:rFonts w:ascii="Bookman Old Style" w:hAnsi="Bookman Old Style" w:cs="Arial"/>
        </w:rPr>
        <w:t>8804</w:t>
      </w:r>
      <w:r>
        <w:rPr>
          <w:rFonts w:ascii="Bookman Old Style" w:hAnsi="Bookman Old Style" w:cs="Arial"/>
        </w:rPr>
        <w:t>-</w:t>
      </w:r>
      <w:r w:rsidRPr="00A1170D">
        <w:rPr>
          <w:rFonts w:ascii="Bookman Old Style" w:hAnsi="Bookman Old Style" w:cs="Arial"/>
        </w:rPr>
        <w:t>28</w:t>
      </w:r>
      <w:r>
        <w:rPr>
          <w:rFonts w:ascii="Bookman Old Style" w:hAnsi="Bookman Old Style" w:cs="Arial"/>
        </w:rPr>
        <w:t xml:space="preserve"> del Banco de Occidente, por concepto del anticipo señalado en el artículo 21 del decreto 2461 de 1999</w:t>
      </w:r>
      <w:r w:rsidR="008F3D28">
        <w:rPr>
          <w:rFonts w:ascii="Bookman Old Style" w:hAnsi="Bookman Old Style" w:cs="Arial"/>
        </w:rPr>
        <w:t>, lo que significa que</w:t>
      </w:r>
      <w:r>
        <w:rPr>
          <w:rFonts w:ascii="Bookman Old Style" w:hAnsi="Bookman Old Style" w:cs="Arial"/>
        </w:rPr>
        <w:t xml:space="preserve"> actualmente</w:t>
      </w:r>
      <w:r w:rsidR="008F3D28">
        <w:rPr>
          <w:rFonts w:ascii="Bookman Old Style" w:hAnsi="Bookman Old Style" w:cs="Arial"/>
        </w:rPr>
        <w:t xml:space="preserve"> presenta un saldo por valor de </w:t>
      </w:r>
      <w:r w:rsidR="00BF2C63">
        <w:rPr>
          <w:rFonts w:ascii="Bookman Old Style" w:hAnsi="Bookman Old Style" w:cs="Arial"/>
        </w:rPr>
        <w:t xml:space="preserve">SETECIENTOS CINCUENTA Y SEIS </w:t>
      </w:r>
      <w:r w:rsidR="008F3D28">
        <w:rPr>
          <w:rFonts w:ascii="Bookman Old Style" w:hAnsi="Bookman Old Style" w:cs="Arial"/>
        </w:rPr>
        <w:t>MIL NOVECIENTOS TRES PESOS</w:t>
      </w:r>
      <w:r w:rsidR="00BF2C63">
        <w:rPr>
          <w:rFonts w:ascii="Bookman Old Style" w:hAnsi="Bookman Old Style" w:cs="Arial"/>
        </w:rPr>
        <w:t xml:space="preserve"> CON </w:t>
      </w:r>
      <w:r w:rsidR="008E7F39">
        <w:rPr>
          <w:rFonts w:ascii="Bookman Old Style" w:hAnsi="Bookman Old Style" w:cs="Arial"/>
        </w:rPr>
        <w:t xml:space="preserve">CUARENTA Y UN CENTAVOS </w:t>
      </w:r>
      <w:r w:rsidR="008F3D28">
        <w:rPr>
          <w:rFonts w:ascii="Bookman Old Style" w:hAnsi="Bookman Old Style" w:cs="Arial"/>
        </w:rPr>
        <w:t>($</w:t>
      </w:r>
      <w:r w:rsidR="00BF2C63">
        <w:rPr>
          <w:rFonts w:ascii="Bookman Old Style" w:hAnsi="Bookman Old Style" w:cs="Arial"/>
        </w:rPr>
        <w:t>756.</w:t>
      </w:r>
      <w:r w:rsidR="00BF2C63" w:rsidRPr="008E7F39">
        <w:rPr>
          <w:rFonts w:ascii="Bookman Old Style" w:hAnsi="Bookman Old Style" w:cs="Arial"/>
        </w:rPr>
        <w:t>903,</w:t>
      </w:r>
      <w:r w:rsidR="008E7F39" w:rsidRPr="008E7F39">
        <w:rPr>
          <w:rFonts w:ascii="Bookman Old Style" w:hAnsi="Bookman Old Style" w:cs="Arial"/>
        </w:rPr>
        <w:t>41</w:t>
      </w:r>
      <w:r w:rsidR="008F3D28" w:rsidRPr="008E7F39">
        <w:rPr>
          <w:rFonts w:ascii="Bookman Old Style" w:hAnsi="Bookman Old Style" w:cs="Arial"/>
        </w:rPr>
        <w:t>)</w:t>
      </w:r>
      <w:r w:rsidR="008E7F39">
        <w:rPr>
          <w:rFonts w:ascii="Bookman Old Style" w:hAnsi="Bookman Old Style" w:cs="Arial"/>
        </w:rPr>
        <w:t xml:space="preserve"> M/CTE</w:t>
      </w:r>
      <w:r w:rsidR="00BF2C63" w:rsidRPr="008E7F39">
        <w:rPr>
          <w:rFonts w:ascii="Bookman Old Style" w:hAnsi="Bookman Old Style" w:cs="Arial"/>
        </w:rPr>
        <w:t>.</w:t>
      </w:r>
    </w:p>
    <w:p w:rsidR="00077A2B" w:rsidRDefault="00077A2B" w:rsidP="008F3D28">
      <w:pPr>
        <w:tabs>
          <w:tab w:val="center" w:pos="4512"/>
        </w:tabs>
        <w:suppressAutoHyphens/>
        <w:ind w:left="0"/>
        <w:jc w:val="both"/>
        <w:rPr>
          <w:rFonts w:ascii="Bookman Old Style" w:hAnsi="Bookman Old Style"/>
        </w:rPr>
      </w:pPr>
    </w:p>
    <w:p w:rsidR="00BC1C11" w:rsidRDefault="00BC1C11" w:rsidP="00BC1C11">
      <w:pPr>
        <w:pStyle w:val="Textonotapie"/>
        <w:tabs>
          <w:tab w:val="left" w:pos="1080"/>
          <w:tab w:val="right" w:pos="8820"/>
        </w:tabs>
        <w:rPr>
          <w:rFonts w:ascii="Bookman Old Style" w:hAnsi="Bookman Old Style" w:cs="Arial"/>
          <w:sz w:val="24"/>
          <w:szCs w:val="24"/>
          <w:lang w:val="es-CO"/>
        </w:rPr>
      </w:pPr>
      <w:r w:rsidRPr="00767393">
        <w:rPr>
          <w:rFonts w:ascii="Bookman Old Style" w:hAnsi="Bookman Old Style" w:cs="Arial"/>
          <w:sz w:val="24"/>
          <w:szCs w:val="24"/>
          <w:lang w:val="es-ES"/>
        </w:rPr>
        <w:t>La Comisión, en sesión No.</w:t>
      </w:r>
      <w:r>
        <w:rPr>
          <w:rFonts w:ascii="Bookman Old Style" w:hAnsi="Bookman Old Style" w:cs="Arial"/>
          <w:sz w:val="24"/>
          <w:szCs w:val="24"/>
          <w:lang w:val="es-ES"/>
        </w:rPr>
        <w:t>490</w:t>
      </w:r>
      <w:r w:rsidRPr="00015AA1">
        <w:rPr>
          <w:rFonts w:ascii="Bookman Old Style" w:hAnsi="Bookman Old Style" w:cs="Arial"/>
          <w:sz w:val="24"/>
          <w:szCs w:val="24"/>
          <w:lang w:val="es-ES"/>
        </w:rPr>
        <w:t xml:space="preserve"> del día </w:t>
      </w:r>
      <w:r>
        <w:rPr>
          <w:rFonts w:ascii="Bookman Old Style" w:hAnsi="Bookman Old Style" w:cs="Arial"/>
          <w:sz w:val="24"/>
          <w:szCs w:val="24"/>
          <w:lang w:val="es-ES"/>
        </w:rPr>
        <w:t>21</w:t>
      </w:r>
      <w:r w:rsidRPr="00015AA1">
        <w:rPr>
          <w:rFonts w:ascii="Bookman Old Style" w:hAnsi="Bookman Old Style" w:cs="Arial"/>
          <w:sz w:val="24"/>
          <w:szCs w:val="24"/>
          <w:lang w:val="es-ES"/>
        </w:rPr>
        <w:t xml:space="preserve"> de </w:t>
      </w:r>
      <w:r>
        <w:rPr>
          <w:rFonts w:ascii="Bookman Old Style" w:hAnsi="Bookman Old Style" w:cs="Arial"/>
          <w:sz w:val="24"/>
          <w:szCs w:val="24"/>
          <w:lang w:val="es-ES"/>
        </w:rPr>
        <w:t>junio</w:t>
      </w:r>
      <w:r w:rsidRPr="00015AA1">
        <w:rPr>
          <w:rFonts w:ascii="Bookman Old Style" w:hAnsi="Bookman Old Style" w:cs="Arial"/>
          <w:sz w:val="24"/>
          <w:szCs w:val="24"/>
          <w:lang w:val="es-ES"/>
        </w:rPr>
        <w:t xml:space="preserve"> de 2011</w:t>
      </w:r>
      <w:r w:rsidRPr="00767393">
        <w:rPr>
          <w:rFonts w:ascii="Bookman Old Style" w:hAnsi="Bookman Old Style" w:cs="Arial"/>
          <w:sz w:val="24"/>
          <w:szCs w:val="24"/>
          <w:lang w:val="es-ES"/>
        </w:rPr>
        <w:t xml:space="preserve">, </w:t>
      </w:r>
      <w:r>
        <w:rPr>
          <w:rFonts w:ascii="Bookman Old Style" w:hAnsi="Bookman Old Style" w:cs="Arial"/>
          <w:sz w:val="24"/>
          <w:szCs w:val="24"/>
          <w:lang w:val="es-ES"/>
        </w:rPr>
        <w:t>acordó expedir la presente Resolución.</w:t>
      </w:r>
    </w:p>
    <w:p w:rsidR="00C051A8" w:rsidRPr="00BC1C11" w:rsidRDefault="00C051A8" w:rsidP="008F3D28">
      <w:pPr>
        <w:tabs>
          <w:tab w:val="center" w:pos="4512"/>
        </w:tabs>
        <w:suppressAutoHyphens/>
        <w:ind w:left="0"/>
        <w:jc w:val="both"/>
        <w:rPr>
          <w:rFonts w:ascii="Bookman Old Style" w:hAnsi="Bookman Old Style"/>
          <w:spacing w:val="-3"/>
          <w:lang w:val="es-CO"/>
        </w:rPr>
      </w:pPr>
    </w:p>
    <w:p w:rsidR="00BC1C11" w:rsidRDefault="00BC1C11" w:rsidP="000C7AD8">
      <w:pPr>
        <w:tabs>
          <w:tab w:val="center" w:pos="4512"/>
        </w:tabs>
        <w:suppressAutoHyphens/>
        <w:ind w:left="170"/>
        <w:jc w:val="center"/>
        <w:rPr>
          <w:rFonts w:ascii="Bookman Old Style" w:hAnsi="Bookman Old Style"/>
          <w:b/>
          <w:spacing w:val="-3"/>
        </w:rPr>
      </w:pPr>
    </w:p>
    <w:p w:rsidR="00C051A8" w:rsidRPr="000C7AD8" w:rsidRDefault="00C051A8" w:rsidP="000C7AD8">
      <w:pPr>
        <w:tabs>
          <w:tab w:val="center" w:pos="4512"/>
        </w:tabs>
        <w:suppressAutoHyphens/>
        <w:ind w:left="170"/>
        <w:jc w:val="center"/>
        <w:rPr>
          <w:rFonts w:ascii="Bookman Old Style" w:hAnsi="Bookman Old Style"/>
          <w:b/>
          <w:spacing w:val="-3"/>
        </w:rPr>
      </w:pPr>
      <w:r w:rsidRPr="00C051A8">
        <w:rPr>
          <w:rFonts w:ascii="Bookman Old Style" w:hAnsi="Bookman Old Style"/>
          <w:b/>
          <w:spacing w:val="-3"/>
        </w:rPr>
        <w:t>R E S U E L V E:</w:t>
      </w:r>
    </w:p>
    <w:p w:rsidR="00CF1096" w:rsidRDefault="00CF1096" w:rsidP="00CF1096">
      <w:pPr>
        <w:ind w:left="0"/>
        <w:jc w:val="both"/>
        <w:rPr>
          <w:rFonts w:ascii="Bookman Old Style" w:hAnsi="Bookman Old Style"/>
          <w:b/>
        </w:rPr>
      </w:pPr>
    </w:p>
    <w:p w:rsidR="00E65BFE" w:rsidRPr="00C051A8" w:rsidRDefault="00E65BFE" w:rsidP="00CF1096">
      <w:pPr>
        <w:ind w:left="0"/>
        <w:jc w:val="both"/>
        <w:rPr>
          <w:rFonts w:ascii="Bookman Old Style" w:hAnsi="Bookman Old Style"/>
          <w:b/>
        </w:rPr>
      </w:pPr>
    </w:p>
    <w:p w:rsidR="00C051A8" w:rsidRDefault="00C051A8" w:rsidP="00C051A8">
      <w:pPr>
        <w:ind w:left="170"/>
        <w:jc w:val="both"/>
        <w:rPr>
          <w:rFonts w:ascii="Bookman Old Style" w:hAnsi="Bookman Old Style"/>
        </w:rPr>
      </w:pPr>
      <w:r w:rsidRPr="00C051A8">
        <w:rPr>
          <w:rFonts w:ascii="Bookman Old Style" w:hAnsi="Bookman Old Style"/>
          <w:b/>
        </w:rPr>
        <w:t>ARTÍCULO 1.</w:t>
      </w:r>
      <w:r w:rsidRPr="00C051A8">
        <w:rPr>
          <w:rFonts w:ascii="Bookman Old Style" w:hAnsi="Bookman Old Style"/>
        </w:rPr>
        <w:t xml:space="preserve"> </w:t>
      </w:r>
      <w:r w:rsidRPr="00C051A8">
        <w:rPr>
          <w:rFonts w:ascii="Bookman Old Style" w:hAnsi="Bookman Old Style"/>
        </w:rPr>
        <w:tab/>
      </w:r>
      <w:r w:rsidR="00087F5F">
        <w:rPr>
          <w:rFonts w:ascii="Bookman Old Style" w:hAnsi="Bookman Old Style"/>
          <w:b/>
        </w:rPr>
        <w:t xml:space="preserve">REPONER </w:t>
      </w:r>
      <w:r w:rsidR="00087F5F">
        <w:rPr>
          <w:rFonts w:ascii="Bookman Old Style" w:hAnsi="Bookman Old Style"/>
        </w:rPr>
        <w:t>la resolución CREG-1</w:t>
      </w:r>
      <w:r w:rsidR="005522CB">
        <w:rPr>
          <w:rFonts w:ascii="Bookman Old Style" w:hAnsi="Bookman Old Style"/>
        </w:rPr>
        <w:t>56</w:t>
      </w:r>
      <w:r w:rsidR="00087F5F">
        <w:rPr>
          <w:rFonts w:ascii="Bookman Old Style" w:hAnsi="Bookman Old Style"/>
        </w:rPr>
        <w:t xml:space="preserve"> de 2010, con fundamento en las razones expuestas en la parte motiva de este proveído.</w:t>
      </w:r>
    </w:p>
    <w:p w:rsidR="00087F5F" w:rsidRDefault="00087F5F" w:rsidP="00087F5F">
      <w:pPr>
        <w:ind w:left="0"/>
        <w:jc w:val="both"/>
        <w:rPr>
          <w:rFonts w:ascii="Bookman Old Style" w:hAnsi="Bookman Old Style"/>
        </w:rPr>
      </w:pPr>
    </w:p>
    <w:p w:rsidR="00E65BFE" w:rsidRPr="00C051A8" w:rsidRDefault="00E65BFE" w:rsidP="00087F5F">
      <w:pPr>
        <w:ind w:left="0"/>
        <w:jc w:val="both"/>
        <w:rPr>
          <w:rFonts w:ascii="Bookman Old Style" w:hAnsi="Bookman Old Style"/>
        </w:rPr>
      </w:pPr>
    </w:p>
    <w:p w:rsidR="00C051A8" w:rsidRDefault="00087F5F" w:rsidP="00C051A8">
      <w:pPr>
        <w:ind w:left="170"/>
        <w:jc w:val="both"/>
        <w:rPr>
          <w:rFonts w:ascii="Bookman Old Style" w:hAnsi="Bookman Old Style"/>
        </w:rPr>
      </w:pPr>
      <w:r w:rsidRPr="00C051A8">
        <w:rPr>
          <w:rFonts w:ascii="Bookman Old Style" w:hAnsi="Bookman Old Style"/>
          <w:b/>
        </w:rPr>
        <w:t xml:space="preserve">ARTÍCULO </w:t>
      </w:r>
      <w:r>
        <w:rPr>
          <w:rFonts w:ascii="Bookman Old Style" w:hAnsi="Bookman Old Style"/>
          <w:b/>
        </w:rPr>
        <w:t>2</w:t>
      </w:r>
      <w:r w:rsidRPr="00C051A8">
        <w:rPr>
          <w:rFonts w:ascii="Bookman Old Style" w:hAnsi="Bookman Old Style"/>
          <w:b/>
        </w:rPr>
        <w:t>.</w:t>
      </w:r>
      <w:r w:rsidRPr="00C051A8">
        <w:rPr>
          <w:rFonts w:ascii="Bookman Old Style" w:hAnsi="Bookman Old Style"/>
        </w:rPr>
        <w:t xml:space="preserve"> </w:t>
      </w:r>
      <w:r w:rsidRPr="00C051A8">
        <w:rPr>
          <w:rFonts w:ascii="Bookman Old Style" w:hAnsi="Bookman Old Style"/>
        </w:rPr>
        <w:tab/>
      </w:r>
      <w:r>
        <w:rPr>
          <w:rFonts w:ascii="Bookman Old Style" w:hAnsi="Bookman Old Style"/>
        </w:rPr>
        <w:t xml:space="preserve">En virtud de lo anterior </w:t>
      </w:r>
      <w:r w:rsidR="005522CB">
        <w:rPr>
          <w:rFonts w:ascii="Bookman Old Style" w:hAnsi="Bookman Old Style"/>
          <w:b/>
        </w:rPr>
        <w:t>MODIFICAR</w:t>
      </w:r>
      <w:r>
        <w:rPr>
          <w:rFonts w:ascii="Bookman Old Style" w:hAnsi="Bookman Old Style"/>
          <w:b/>
        </w:rPr>
        <w:t xml:space="preserve"> </w:t>
      </w:r>
      <w:r>
        <w:rPr>
          <w:rFonts w:ascii="Bookman Old Style" w:hAnsi="Bookman Old Style"/>
        </w:rPr>
        <w:t>la resolución CREG-1</w:t>
      </w:r>
      <w:r w:rsidR="005522CB">
        <w:rPr>
          <w:rFonts w:ascii="Bookman Old Style" w:hAnsi="Bookman Old Style"/>
        </w:rPr>
        <w:t>56</w:t>
      </w:r>
      <w:r>
        <w:rPr>
          <w:rFonts w:ascii="Bookman Old Style" w:hAnsi="Bookman Old Style"/>
        </w:rPr>
        <w:t xml:space="preserve"> de 2010</w:t>
      </w:r>
      <w:r w:rsidR="005522CB">
        <w:rPr>
          <w:rFonts w:ascii="Bookman Old Style" w:hAnsi="Bookman Old Style"/>
        </w:rPr>
        <w:t xml:space="preserve"> en lo pertinente a la empresa LUSTRIGAS S.A E.S.P</w:t>
      </w:r>
      <w:r>
        <w:rPr>
          <w:rFonts w:ascii="Bookman Old Style" w:hAnsi="Bookman Old Style"/>
        </w:rPr>
        <w:t>.</w:t>
      </w:r>
      <w:r w:rsidR="00E41B00">
        <w:rPr>
          <w:rFonts w:ascii="Bookman Old Style" w:hAnsi="Bookman Old Style"/>
        </w:rPr>
        <w:t xml:space="preserve">, señalándole el valor a pagar por concepto de contribución, en la suma de </w:t>
      </w:r>
      <w:r w:rsidR="00E41B00">
        <w:rPr>
          <w:rFonts w:ascii="Bookman Old Style" w:hAnsi="Bookman Old Style" w:cs="Arial"/>
        </w:rPr>
        <w:t>UN MILLÓN CIENTO SESENTA MIL TRESCIENTOS NOVENTA Y TRES PESOS M/C</w:t>
      </w:r>
      <w:r w:rsidR="00814B9D">
        <w:rPr>
          <w:rFonts w:ascii="Bookman Old Style" w:hAnsi="Bookman Old Style" w:cs="Arial"/>
        </w:rPr>
        <w:t>TE ($1.160.393).</w:t>
      </w:r>
      <w:r w:rsidR="00E41B00">
        <w:rPr>
          <w:rFonts w:ascii="Bookman Old Style" w:hAnsi="Bookman Old Style"/>
        </w:rPr>
        <w:t xml:space="preserve"> </w:t>
      </w:r>
    </w:p>
    <w:p w:rsidR="00E41B00" w:rsidRDefault="00087F5F" w:rsidP="00E41B00">
      <w:pPr>
        <w:ind w:left="170"/>
        <w:jc w:val="both"/>
        <w:rPr>
          <w:rFonts w:ascii="Bookman Old Style" w:hAnsi="Bookman Old Style" w:cs="Arial"/>
        </w:rPr>
      </w:pPr>
      <w:r w:rsidRPr="00C051A8">
        <w:rPr>
          <w:rFonts w:ascii="Bookman Old Style" w:hAnsi="Bookman Old Style"/>
          <w:b/>
        </w:rPr>
        <w:lastRenderedPageBreak/>
        <w:t xml:space="preserve">ARTÍCULO </w:t>
      </w:r>
      <w:r>
        <w:rPr>
          <w:rFonts w:ascii="Bookman Old Style" w:hAnsi="Bookman Old Style"/>
          <w:b/>
        </w:rPr>
        <w:t>3</w:t>
      </w:r>
      <w:r w:rsidRPr="00C051A8">
        <w:rPr>
          <w:rFonts w:ascii="Bookman Old Style" w:hAnsi="Bookman Old Style"/>
          <w:b/>
        </w:rPr>
        <w:t>.</w:t>
      </w:r>
      <w:r>
        <w:rPr>
          <w:rFonts w:ascii="Bookman Old Style" w:hAnsi="Bookman Old Style"/>
          <w:b/>
        </w:rPr>
        <w:t xml:space="preserve"> </w:t>
      </w:r>
      <w:r w:rsidR="00E8432B">
        <w:rPr>
          <w:rFonts w:ascii="Bookman Old Style" w:hAnsi="Bookman Old Style"/>
          <w:b/>
        </w:rPr>
        <w:t xml:space="preserve">DECLARAR </w:t>
      </w:r>
      <w:r w:rsidR="00E8432B">
        <w:rPr>
          <w:rFonts w:ascii="Bookman Old Style" w:hAnsi="Bookman Old Style"/>
        </w:rPr>
        <w:t xml:space="preserve">que la </w:t>
      </w:r>
      <w:r w:rsidR="00BF2C63">
        <w:rPr>
          <w:rFonts w:ascii="Bookman Old Style" w:hAnsi="Bookman Old Style"/>
        </w:rPr>
        <w:t xml:space="preserve">empresa </w:t>
      </w:r>
      <w:r w:rsidR="005522CB">
        <w:rPr>
          <w:rFonts w:ascii="Bookman Old Style" w:hAnsi="Bookman Old Style"/>
        </w:rPr>
        <w:t>LUSTRIGAS S.A E.S.P.,</w:t>
      </w:r>
      <w:r w:rsidR="00E8432B">
        <w:rPr>
          <w:rFonts w:ascii="Bookman Old Style" w:hAnsi="Bookman Old Style" w:cs="Arial"/>
        </w:rPr>
        <w:t xml:space="preserve"> deberá pagar la suma de</w:t>
      </w:r>
      <w:r w:rsidR="005522CB">
        <w:rPr>
          <w:rFonts w:ascii="Bookman Old Style" w:hAnsi="Bookman Old Style" w:cs="Arial"/>
        </w:rPr>
        <w:t xml:space="preserve"> </w:t>
      </w:r>
      <w:r w:rsidR="00E41B00">
        <w:rPr>
          <w:rFonts w:ascii="Bookman Old Style" w:hAnsi="Bookman Old Style" w:cs="Arial"/>
        </w:rPr>
        <w:t xml:space="preserve">SETECIENTOS CINCUENTA Y SEIS MIL NOVECIENTOS TRES PESOS </w:t>
      </w:r>
      <w:r w:rsidR="00E41B00" w:rsidRPr="008E7F39">
        <w:rPr>
          <w:rFonts w:ascii="Bookman Old Style" w:hAnsi="Bookman Old Style" w:cs="Arial"/>
        </w:rPr>
        <w:t xml:space="preserve">CON </w:t>
      </w:r>
      <w:r w:rsidR="008E7F39" w:rsidRPr="008E7F39">
        <w:rPr>
          <w:rFonts w:ascii="Bookman Old Style" w:hAnsi="Bookman Old Style" w:cs="Arial"/>
        </w:rPr>
        <w:t xml:space="preserve">CUARENTA Y UN </w:t>
      </w:r>
      <w:r w:rsidR="002E01C3" w:rsidRPr="008E7F39">
        <w:rPr>
          <w:rFonts w:ascii="Bookman Old Style" w:hAnsi="Bookman Old Style" w:cs="Arial"/>
        </w:rPr>
        <w:t>CENTAVOS</w:t>
      </w:r>
      <w:r w:rsidR="002E01C3">
        <w:rPr>
          <w:rFonts w:ascii="Bookman Old Style" w:hAnsi="Bookman Old Style" w:cs="Arial"/>
        </w:rPr>
        <w:t xml:space="preserve"> M/CTE ($756.903</w:t>
      </w:r>
      <w:r w:rsidR="008E7F39">
        <w:rPr>
          <w:rFonts w:ascii="Bookman Old Style" w:hAnsi="Bookman Old Style" w:cs="Arial"/>
        </w:rPr>
        <w:t>.41</w:t>
      </w:r>
      <w:r w:rsidR="00E41B00">
        <w:rPr>
          <w:rFonts w:ascii="Bookman Old Style" w:hAnsi="Bookman Old Style" w:cs="Arial"/>
        </w:rPr>
        <w:t xml:space="preserve">) </w:t>
      </w:r>
      <w:r w:rsidR="00E8432B">
        <w:rPr>
          <w:rFonts w:ascii="Bookman Old Style" w:hAnsi="Bookman Old Style" w:cs="Arial"/>
        </w:rPr>
        <w:t>por concepto de</w:t>
      </w:r>
      <w:r w:rsidR="008F3D28">
        <w:rPr>
          <w:rFonts w:ascii="Bookman Old Style" w:hAnsi="Bookman Old Style" w:cs="Arial"/>
        </w:rPr>
        <w:t xml:space="preserve">l saldo pendiente de </w:t>
      </w:r>
      <w:r w:rsidR="00E8432B">
        <w:rPr>
          <w:rFonts w:ascii="Bookman Old Style" w:hAnsi="Bookman Old Style" w:cs="Arial"/>
        </w:rPr>
        <w:t>la contribución especial a que está obligada por el año 2010</w:t>
      </w:r>
      <w:r w:rsidR="00E41B00">
        <w:rPr>
          <w:rFonts w:ascii="Bookman Old Style" w:hAnsi="Bookman Old Style" w:cs="Arial"/>
        </w:rPr>
        <w:t xml:space="preserve"> </w:t>
      </w:r>
      <w:r w:rsidR="00E41B00" w:rsidRPr="00E41B00">
        <w:rPr>
          <w:rFonts w:ascii="Bookman Old Style" w:hAnsi="Bookman Old Style" w:cs="Arial"/>
        </w:rPr>
        <w:t>dentro de los treinta (30) días calendario siguientes a la fecha en que este acto se encuentre en firme</w:t>
      </w:r>
      <w:r w:rsidR="00814B9D">
        <w:rPr>
          <w:rFonts w:ascii="Bookman Old Style" w:hAnsi="Bookman Old Style" w:cs="Arial"/>
        </w:rPr>
        <w:t>.</w:t>
      </w:r>
    </w:p>
    <w:p w:rsidR="00E8432B" w:rsidRPr="00BC1C11" w:rsidRDefault="00E8432B" w:rsidP="00E41B00">
      <w:pPr>
        <w:ind w:left="0"/>
        <w:jc w:val="both"/>
        <w:rPr>
          <w:rFonts w:ascii="Bookman Old Style" w:hAnsi="Bookman Old Style" w:cs="Arial"/>
          <w:sz w:val="36"/>
        </w:rPr>
      </w:pPr>
    </w:p>
    <w:p w:rsidR="00E8432B" w:rsidRDefault="00E8432B" w:rsidP="00C051A8">
      <w:pPr>
        <w:ind w:left="170"/>
        <w:jc w:val="both"/>
        <w:rPr>
          <w:rFonts w:ascii="Bookman Old Style" w:hAnsi="Bookman Old Style" w:cs="Arial"/>
        </w:rPr>
      </w:pPr>
      <w:r w:rsidRPr="00C051A8">
        <w:rPr>
          <w:rFonts w:ascii="Bookman Old Style" w:hAnsi="Bookman Old Style"/>
          <w:b/>
        </w:rPr>
        <w:t xml:space="preserve">ARTÍCULO </w:t>
      </w:r>
      <w:r>
        <w:rPr>
          <w:rFonts w:ascii="Bookman Old Style" w:hAnsi="Bookman Old Style"/>
          <w:b/>
        </w:rPr>
        <w:t>4</w:t>
      </w:r>
      <w:r w:rsidRPr="00C051A8">
        <w:rPr>
          <w:rFonts w:ascii="Bookman Old Style" w:hAnsi="Bookman Old Style"/>
          <w:b/>
        </w:rPr>
        <w:t>.</w:t>
      </w:r>
      <w:r>
        <w:rPr>
          <w:rFonts w:ascii="Bookman Old Style" w:hAnsi="Bookman Old Style"/>
          <w:b/>
        </w:rPr>
        <w:t xml:space="preserve"> NOTIFICAR </w:t>
      </w:r>
      <w:r>
        <w:rPr>
          <w:rFonts w:ascii="Bookman Old Style" w:hAnsi="Bookman Old Style"/>
        </w:rPr>
        <w:t xml:space="preserve">al representante legal de la empresa </w:t>
      </w:r>
      <w:r w:rsidR="005522CB">
        <w:rPr>
          <w:rFonts w:ascii="Bookman Old Style" w:hAnsi="Bookman Old Style"/>
        </w:rPr>
        <w:t>LUSTRIGAS S.A E.S.P.</w:t>
      </w:r>
      <w:r w:rsidR="00E41B00">
        <w:rPr>
          <w:rFonts w:ascii="Bookman Old Style" w:hAnsi="Bookman Old Style"/>
        </w:rPr>
        <w:t xml:space="preserve"> </w:t>
      </w:r>
      <w:r>
        <w:rPr>
          <w:rFonts w:ascii="Bookman Old Style" w:hAnsi="Bookman Old Style" w:cs="Arial"/>
        </w:rPr>
        <w:t>el contenido de la presente resolución, conforme con lo establecido en los artículos 44 y 45 del Código Contencioso Administrativo.</w:t>
      </w:r>
    </w:p>
    <w:p w:rsidR="00E8432B" w:rsidRPr="00BC1C11" w:rsidRDefault="00E8432B" w:rsidP="00C051A8">
      <w:pPr>
        <w:ind w:left="170"/>
        <w:jc w:val="both"/>
        <w:rPr>
          <w:rFonts w:ascii="Bookman Old Style" w:hAnsi="Bookman Old Style" w:cs="Arial"/>
          <w:sz w:val="36"/>
        </w:rPr>
      </w:pPr>
    </w:p>
    <w:p w:rsidR="00E8432B" w:rsidRDefault="00E8432B" w:rsidP="00C051A8">
      <w:pPr>
        <w:ind w:left="170"/>
        <w:jc w:val="both"/>
        <w:rPr>
          <w:rFonts w:ascii="Bookman Old Style" w:hAnsi="Bookman Old Style"/>
        </w:rPr>
      </w:pPr>
      <w:r w:rsidRPr="00C051A8">
        <w:rPr>
          <w:rFonts w:ascii="Bookman Old Style" w:hAnsi="Bookman Old Style"/>
          <w:b/>
        </w:rPr>
        <w:t xml:space="preserve">ARTÍCULO </w:t>
      </w:r>
      <w:r>
        <w:rPr>
          <w:rFonts w:ascii="Bookman Old Style" w:hAnsi="Bookman Old Style"/>
          <w:b/>
        </w:rPr>
        <w:t>5</w:t>
      </w:r>
      <w:r w:rsidRPr="00C051A8">
        <w:rPr>
          <w:rFonts w:ascii="Bookman Old Style" w:hAnsi="Bookman Old Style"/>
          <w:b/>
        </w:rPr>
        <w:t>.</w:t>
      </w:r>
      <w:r>
        <w:rPr>
          <w:rFonts w:ascii="Bookman Old Style" w:hAnsi="Bookman Old Style"/>
          <w:b/>
        </w:rPr>
        <w:t xml:space="preserve"> </w:t>
      </w:r>
      <w:r w:rsidRPr="00E8432B">
        <w:rPr>
          <w:rFonts w:ascii="Bookman Old Style" w:hAnsi="Bookman Old Style"/>
        </w:rPr>
        <w:t>Contra la presente resolución no procede recurso alguno</w:t>
      </w:r>
      <w:r w:rsidR="00443E1F">
        <w:rPr>
          <w:rFonts w:ascii="Bookman Old Style" w:hAnsi="Bookman Old Style"/>
        </w:rPr>
        <w:t xml:space="preserve">, quedando por </w:t>
      </w:r>
      <w:r w:rsidR="00401AB2">
        <w:rPr>
          <w:rFonts w:ascii="Bookman Old Style" w:hAnsi="Bookman Old Style"/>
        </w:rPr>
        <w:t xml:space="preserve">lo </w:t>
      </w:r>
      <w:r w:rsidR="00443E1F">
        <w:rPr>
          <w:rFonts w:ascii="Bookman Old Style" w:hAnsi="Bookman Old Style"/>
        </w:rPr>
        <w:t>tanto agotada la vía gubernativa</w:t>
      </w:r>
      <w:r w:rsidR="006A6322">
        <w:rPr>
          <w:rFonts w:ascii="Bookman Old Style" w:hAnsi="Bookman Old Style"/>
        </w:rPr>
        <w:t>.</w:t>
      </w:r>
    </w:p>
    <w:p w:rsidR="00E8432B" w:rsidRDefault="00E8432B" w:rsidP="00C051A8">
      <w:pPr>
        <w:ind w:left="170"/>
        <w:jc w:val="both"/>
        <w:rPr>
          <w:rFonts w:ascii="Bookman Old Style" w:hAnsi="Bookman Old Style" w:cs="Arial"/>
        </w:rPr>
      </w:pPr>
    </w:p>
    <w:p w:rsidR="00E8432B" w:rsidRDefault="00E8432B" w:rsidP="00C051A8">
      <w:pPr>
        <w:ind w:left="170"/>
        <w:jc w:val="both"/>
        <w:rPr>
          <w:rFonts w:ascii="Bookman Old Style" w:hAnsi="Bookman Old Style" w:cs="Arial"/>
        </w:rPr>
      </w:pPr>
    </w:p>
    <w:p w:rsidR="00E8432B" w:rsidRDefault="00E8432B" w:rsidP="00E8432B">
      <w:pPr>
        <w:ind w:left="170"/>
        <w:jc w:val="center"/>
        <w:rPr>
          <w:rFonts w:ascii="Bookman Old Style" w:hAnsi="Bookman Old Style" w:cs="Arial"/>
          <w:b/>
        </w:rPr>
      </w:pPr>
      <w:r w:rsidRPr="00E8432B">
        <w:rPr>
          <w:rFonts w:ascii="Bookman Old Style" w:hAnsi="Bookman Old Style" w:cs="Arial"/>
          <w:b/>
        </w:rPr>
        <w:t>NOTIFÍQUESE Y CÚMPLASE</w:t>
      </w:r>
    </w:p>
    <w:p w:rsidR="00E8432B" w:rsidRDefault="00E8432B" w:rsidP="00E8432B">
      <w:pPr>
        <w:ind w:left="170"/>
        <w:jc w:val="center"/>
        <w:rPr>
          <w:rFonts w:ascii="Bookman Old Style" w:hAnsi="Bookman Old Style" w:cs="Arial"/>
          <w:b/>
        </w:rPr>
      </w:pPr>
    </w:p>
    <w:p w:rsidR="00E65BFE" w:rsidRDefault="00E65BFE" w:rsidP="00E8432B">
      <w:pPr>
        <w:ind w:left="170"/>
        <w:jc w:val="center"/>
        <w:rPr>
          <w:rFonts w:ascii="Bookman Old Style" w:hAnsi="Bookman Old Style" w:cs="Arial"/>
          <w:b/>
        </w:rPr>
      </w:pPr>
    </w:p>
    <w:p w:rsidR="00E8432B" w:rsidRPr="00E65BFE" w:rsidRDefault="00E8432B" w:rsidP="00E65BFE">
      <w:pPr>
        <w:ind w:left="170"/>
        <w:rPr>
          <w:rFonts w:ascii="Bookman Old Style" w:hAnsi="Bookman Old Style" w:cs="Arial"/>
        </w:rPr>
      </w:pPr>
      <w:r w:rsidRPr="00E65BFE">
        <w:rPr>
          <w:rFonts w:ascii="Bookman Old Style" w:hAnsi="Bookman Old Style" w:cs="Arial"/>
        </w:rPr>
        <w:t>Dada en Bogotá D.C, a los</w:t>
      </w:r>
    </w:p>
    <w:p w:rsidR="00087F5F" w:rsidRPr="00E8432B" w:rsidRDefault="00E8432B" w:rsidP="00C051A8">
      <w:pPr>
        <w:ind w:left="170"/>
        <w:jc w:val="both"/>
        <w:rPr>
          <w:rFonts w:ascii="Bookman Old Style" w:hAnsi="Bookman Old Style" w:cs="Arial"/>
          <w:b/>
          <w:color w:val="000000"/>
        </w:rPr>
      </w:pPr>
      <w:r w:rsidRPr="00E8432B">
        <w:rPr>
          <w:rFonts w:ascii="Bookman Old Style" w:hAnsi="Bookman Old Style" w:cs="Arial"/>
          <w:b/>
        </w:rPr>
        <w:t xml:space="preserve"> </w:t>
      </w:r>
    </w:p>
    <w:p w:rsidR="00C051A8" w:rsidRDefault="00C051A8" w:rsidP="00C051A8">
      <w:pPr>
        <w:ind w:left="170"/>
        <w:jc w:val="both"/>
        <w:rPr>
          <w:rFonts w:ascii="Bookman Old Style" w:hAnsi="Bookman Old Style" w:cs="Arial"/>
          <w:color w:val="000000"/>
        </w:rPr>
      </w:pPr>
    </w:p>
    <w:p w:rsidR="00401AB2" w:rsidRDefault="00401AB2" w:rsidP="00C051A8">
      <w:pPr>
        <w:ind w:left="170"/>
        <w:jc w:val="both"/>
        <w:rPr>
          <w:rFonts w:ascii="Bookman Old Style" w:hAnsi="Bookman Old Style" w:cs="Arial"/>
          <w:color w:val="000000"/>
        </w:rPr>
      </w:pPr>
    </w:p>
    <w:p w:rsidR="00E65BFE" w:rsidRPr="00C051A8" w:rsidRDefault="00E65BFE" w:rsidP="00C051A8">
      <w:pPr>
        <w:ind w:left="170"/>
        <w:jc w:val="both"/>
        <w:rPr>
          <w:rFonts w:ascii="Bookman Old Style" w:hAnsi="Bookman Old Style" w:cs="Arial"/>
          <w:color w:val="000000"/>
        </w:rPr>
      </w:pPr>
    </w:p>
    <w:p w:rsidR="00C051A8" w:rsidRPr="00C051A8" w:rsidRDefault="00C051A8" w:rsidP="00C051A8">
      <w:pPr>
        <w:ind w:left="170"/>
        <w:jc w:val="both"/>
        <w:rPr>
          <w:rFonts w:ascii="Bookman Old Style" w:hAnsi="Bookman Old Style" w:cs="Arial"/>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4830"/>
        <w:gridCol w:w="4526"/>
      </w:tblGrid>
      <w:tr w:rsidR="00C051A8" w:rsidRPr="00C051A8" w:rsidTr="008F3D28">
        <w:trPr>
          <w:tblCellSpacing w:w="0" w:type="dxa"/>
          <w:jc w:val="center"/>
        </w:trPr>
        <w:tc>
          <w:tcPr>
            <w:tcW w:w="4962" w:type="dxa"/>
            <w:hideMark/>
          </w:tcPr>
          <w:p w:rsidR="00C051A8" w:rsidRPr="00C051A8" w:rsidRDefault="008F3D28" w:rsidP="00C051A8">
            <w:pPr>
              <w:ind w:left="170"/>
              <w:jc w:val="center"/>
              <w:rPr>
                <w:rFonts w:ascii="Bookman Old Style" w:hAnsi="Bookman Old Style" w:cs="Arial"/>
                <w:color w:val="000000"/>
              </w:rPr>
            </w:pPr>
            <w:r>
              <w:rPr>
                <w:rFonts w:ascii="Bookman Old Style" w:hAnsi="Bookman Old Style" w:cs="Arial"/>
                <w:b/>
                <w:bCs/>
              </w:rPr>
              <w:t>TOMÁS GONZÁLEZ ESTRADA</w:t>
            </w:r>
          </w:p>
        </w:tc>
        <w:tc>
          <w:tcPr>
            <w:tcW w:w="4655" w:type="dxa"/>
            <w:hideMark/>
          </w:tcPr>
          <w:p w:rsidR="00C051A8" w:rsidRPr="00C051A8" w:rsidRDefault="00C051A8" w:rsidP="00C051A8">
            <w:pPr>
              <w:ind w:left="170"/>
              <w:jc w:val="center"/>
              <w:rPr>
                <w:rFonts w:ascii="Bookman Old Style" w:hAnsi="Bookman Old Style" w:cs="Arial"/>
                <w:color w:val="000000"/>
              </w:rPr>
            </w:pPr>
            <w:r w:rsidRPr="00C051A8">
              <w:rPr>
                <w:rFonts w:ascii="Bookman Old Style" w:hAnsi="Bookman Old Style" w:cs="Arial"/>
                <w:b/>
                <w:bCs/>
                <w:color w:val="000000"/>
              </w:rPr>
              <w:t>JAVIER AUGUSTO DÍAZ VELASCO</w:t>
            </w:r>
          </w:p>
        </w:tc>
      </w:tr>
      <w:tr w:rsidR="00C051A8" w:rsidRPr="00C051A8" w:rsidTr="008F3D28">
        <w:trPr>
          <w:tblCellSpacing w:w="0" w:type="dxa"/>
          <w:jc w:val="center"/>
        </w:trPr>
        <w:tc>
          <w:tcPr>
            <w:tcW w:w="4962" w:type="dxa"/>
            <w:hideMark/>
          </w:tcPr>
          <w:p w:rsidR="00C051A8" w:rsidRPr="00C051A8" w:rsidRDefault="00C051A8" w:rsidP="00796B49">
            <w:pPr>
              <w:ind w:left="170"/>
              <w:jc w:val="center"/>
              <w:rPr>
                <w:rFonts w:ascii="Bookman Old Style" w:hAnsi="Bookman Old Style" w:cs="Arial"/>
                <w:color w:val="000000"/>
              </w:rPr>
            </w:pPr>
            <w:r w:rsidRPr="00C051A8">
              <w:rPr>
                <w:rFonts w:ascii="Bookman Old Style" w:hAnsi="Bookman Old Style" w:cs="Arial"/>
              </w:rPr>
              <w:t>Viceministr</w:t>
            </w:r>
            <w:r w:rsidR="00796B49">
              <w:rPr>
                <w:rFonts w:ascii="Bookman Old Style" w:hAnsi="Bookman Old Style" w:cs="Arial"/>
              </w:rPr>
              <w:t>o</w:t>
            </w:r>
            <w:r w:rsidRPr="00C051A8">
              <w:rPr>
                <w:rFonts w:ascii="Bookman Old Style" w:hAnsi="Bookman Old Style" w:cs="Arial"/>
              </w:rPr>
              <w:t xml:space="preserve"> de Minas y Energía</w:t>
            </w:r>
          </w:p>
        </w:tc>
        <w:tc>
          <w:tcPr>
            <w:tcW w:w="4655" w:type="dxa"/>
            <w:hideMark/>
          </w:tcPr>
          <w:p w:rsidR="00C051A8" w:rsidRPr="00C051A8" w:rsidRDefault="00C051A8" w:rsidP="00C051A8">
            <w:pPr>
              <w:ind w:left="170"/>
              <w:jc w:val="center"/>
              <w:rPr>
                <w:rFonts w:ascii="Bookman Old Style" w:hAnsi="Bookman Old Style" w:cs="Arial"/>
                <w:color w:val="000000"/>
              </w:rPr>
            </w:pPr>
            <w:r w:rsidRPr="00C051A8">
              <w:rPr>
                <w:rFonts w:ascii="Bookman Old Style" w:hAnsi="Bookman Old Style" w:cs="Arial"/>
                <w:color w:val="000000"/>
              </w:rPr>
              <w:t>Director Ejecutivo</w:t>
            </w:r>
          </w:p>
        </w:tc>
      </w:tr>
      <w:tr w:rsidR="00C051A8" w:rsidRPr="00C051A8" w:rsidTr="008F3D28">
        <w:trPr>
          <w:tblCellSpacing w:w="0" w:type="dxa"/>
          <w:jc w:val="center"/>
        </w:trPr>
        <w:tc>
          <w:tcPr>
            <w:tcW w:w="4962" w:type="dxa"/>
            <w:hideMark/>
          </w:tcPr>
          <w:p w:rsidR="00C051A8" w:rsidRPr="00C051A8" w:rsidRDefault="00C051A8" w:rsidP="00796B49">
            <w:pPr>
              <w:ind w:left="170"/>
              <w:jc w:val="center"/>
              <w:rPr>
                <w:rFonts w:ascii="Bookman Old Style" w:hAnsi="Bookman Old Style" w:cs="Arial"/>
                <w:color w:val="000000"/>
              </w:rPr>
            </w:pPr>
            <w:r w:rsidRPr="00C051A8">
              <w:rPr>
                <w:rFonts w:ascii="Bookman Old Style" w:hAnsi="Bookman Old Style" w:cs="Arial"/>
                <w:color w:val="000000"/>
              </w:rPr>
              <w:t>Delegad</w:t>
            </w:r>
            <w:r w:rsidR="00796B49">
              <w:rPr>
                <w:rFonts w:ascii="Bookman Old Style" w:hAnsi="Bookman Old Style" w:cs="Arial"/>
                <w:color w:val="000000"/>
              </w:rPr>
              <w:t>o</w:t>
            </w:r>
            <w:r w:rsidRPr="00C051A8">
              <w:rPr>
                <w:rFonts w:ascii="Bookman Old Style" w:hAnsi="Bookman Old Style" w:cs="Arial"/>
                <w:color w:val="000000"/>
              </w:rPr>
              <w:t xml:space="preserve"> del Ministro de Minas y Energía</w:t>
            </w:r>
            <w:r w:rsidRPr="00C051A8">
              <w:rPr>
                <w:rFonts w:ascii="Bookman Old Style" w:hAnsi="Bookman Old Style" w:cs="Arial"/>
                <w:color w:val="000000"/>
              </w:rPr>
              <w:br/>
              <w:t>Presidente</w:t>
            </w:r>
          </w:p>
        </w:tc>
        <w:tc>
          <w:tcPr>
            <w:tcW w:w="4655" w:type="dxa"/>
            <w:hideMark/>
          </w:tcPr>
          <w:p w:rsidR="00C051A8" w:rsidRPr="00C051A8" w:rsidRDefault="00C051A8" w:rsidP="00C051A8">
            <w:pPr>
              <w:ind w:left="170"/>
              <w:jc w:val="center"/>
              <w:rPr>
                <w:rFonts w:ascii="Bookman Old Style" w:hAnsi="Bookman Old Style" w:cs="Arial"/>
                <w:color w:val="000000"/>
              </w:rPr>
            </w:pPr>
            <w:r w:rsidRPr="00C051A8">
              <w:rPr>
                <w:rFonts w:ascii="Bookman Old Style" w:hAnsi="Bookman Old Style" w:cs="Arial"/>
                <w:noProof/>
                <w:color w:val="000000"/>
                <w:lang w:val="es-CO" w:eastAsia="es-CO"/>
              </w:rPr>
              <w:drawing>
                <wp:inline distT="0" distB="0" distL="0" distR="0">
                  <wp:extent cx="152400" cy="952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srcRect/>
                          <a:stretch>
                            <a:fillRect/>
                          </a:stretch>
                        </pic:blipFill>
                        <pic:spPr bwMode="auto">
                          <a:xfrm>
                            <a:off x="0" y="0"/>
                            <a:ext cx="152400" cy="9525"/>
                          </a:xfrm>
                          <a:prstGeom prst="rect">
                            <a:avLst/>
                          </a:prstGeom>
                          <a:noFill/>
                          <a:ln w="9525">
                            <a:noFill/>
                            <a:miter lim="800000"/>
                            <a:headEnd/>
                            <a:tailEnd/>
                          </a:ln>
                        </pic:spPr>
                      </pic:pic>
                    </a:graphicData>
                  </a:graphic>
                </wp:inline>
              </w:drawing>
            </w:r>
          </w:p>
        </w:tc>
      </w:tr>
    </w:tbl>
    <w:p w:rsidR="006675CD" w:rsidRDefault="006675CD" w:rsidP="00C051A8">
      <w:pPr>
        <w:pStyle w:val="Sinespaciado"/>
        <w:jc w:val="both"/>
        <w:rPr>
          <w:rFonts w:ascii="Bookman Old Style" w:hAnsi="Bookman Old Style" w:cs="Arial"/>
          <w:sz w:val="24"/>
          <w:szCs w:val="24"/>
        </w:rPr>
      </w:pPr>
    </w:p>
    <w:p w:rsidR="006675CD" w:rsidRPr="00C051A8" w:rsidRDefault="006675CD" w:rsidP="00C051A8">
      <w:pPr>
        <w:pStyle w:val="Sinespaciado"/>
        <w:jc w:val="both"/>
        <w:rPr>
          <w:rFonts w:ascii="Bookman Old Style" w:hAnsi="Bookman Old Style" w:cs="Arial"/>
          <w:sz w:val="24"/>
          <w:szCs w:val="24"/>
        </w:rPr>
      </w:pPr>
    </w:p>
    <w:sectPr w:rsidR="006675CD" w:rsidRPr="00C051A8"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27" w:rsidRDefault="00185727">
      <w:r>
        <w:separator/>
      </w:r>
    </w:p>
  </w:endnote>
  <w:endnote w:type="continuationSeparator" w:id="0">
    <w:p w:rsidR="00185727" w:rsidRDefault="0018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27" w:rsidRDefault="00185727">
      <w:r>
        <w:separator/>
      </w:r>
    </w:p>
  </w:footnote>
  <w:footnote w:type="continuationSeparator" w:id="0">
    <w:p w:rsidR="00185727" w:rsidRDefault="00185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727" w:rsidRDefault="00185727" w:rsidP="00951F79">
    <w:pPr>
      <w:pStyle w:val="Ttulo1"/>
      <w:ind w:right="6"/>
      <w:jc w:val="left"/>
      <w:rPr>
        <w:rFonts w:ascii="Bookman Old Style" w:hAnsi="Bookman Old Style" w:cs="Arial"/>
        <w:b w:val="0"/>
        <w:sz w:val="22"/>
        <w:szCs w:val="22"/>
      </w:rPr>
    </w:pPr>
  </w:p>
  <w:p w:rsidR="00185727" w:rsidRPr="00951F79" w:rsidRDefault="0018572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54517">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54517">
      <w:fldChar w:fldCharType="begin"/>
    </w:r>
    <w:r w:rsidR="00054517">
      <w:instrText xml:space="preserve"> NUMPAGES  \* MERGEFORMAT </w:instrText>
    </w:r>
    <w:r w:rsidR="00054517">
      <w:fldChar w:fldCharType="separate"/>
    </w:r>
    <w:r w:rsidR="00054517" w:rsidRPr="00054517">
      <w:rPr>
        <w:rFonts w:ascii="Bookman Old Style" w:hAnsi="Bookman Old Style" w:cs="Arial"/>
        <w:b w:val="0"/>
        <w:noProof/>
        <w:sz w:val="22"/>
        <w:szCs w:val="22"/>
      </w:rPr>
      <w:t>7</w:t>
    </w:r>
    <w:r w:rsidR="00054517">
      <w:rPr>
        <w:rFonts w:ascii="Bookman Old Style" w:hAnsi="Bookman Old Style" w:cs="Arial"/>
        <w:b w:val="0"/>
        <w:noProof/>
        <w:sz w:val="22"/>
        <w:szCs w:val="22"/>
      </w:rPr>
      <w:fldChar w:fldCharType="end"/>
    </w:r>
  </w:p>
  <w:p w:rsidR="00185727" w:rsidRDefault="0005451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185727" w:rsidRPr="00CD5AF2" w:rsidRDefault="00185727" w:rsidP="00CD5AF2">
    <w:pPr>
      <w:pBdr>
        <w:bottom w:val="single" w:sz="4" w:space="1" w:color="auto"/>
      </w:pBdr>
      <w:ind w:left="142" w:right="148"/>
      <w:jc w:val="center"/>
      <w:rPr>
        <w:rFonts w:ascii="Bookman Old Style" w:hAnsi="Bookman Old Style" w:cs="Arial"/>
        <w:color w:val="000000"/>
        <w:sz w:val="23"/>
        <w:szCs w:val="23"/>
      </w:rPr>
    </w:pPr>
    <w:r w:rsidRPr="00CD5AF2">
      <w:rPr>
        <w:rFonts w:ascii="Bookman Old Style" w:hAnsi="Bookman Old Style" w:cs="Arial"/>
        <w:color w:val="000000"/>
        <w:sz w:val="23"/>
        <w:szCs w:val="23"/>
      </w:rPr>
      <w:t>Por medio de la cual se resuelve un recurso de reposición</w:t>
    </w:r>
  </w:p>
  <w:p w:rsidR="00185727" w:rsidRPr="00CB5DD0" w:rsidRDefault="00185727"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727" w:rsidRDefault="0018572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85727" w:rsidRDefault="00185727">
    <w:pPr>
      <w:pStyle w:val="Encabezado"/>
      <w:jc w:val="center"/>
      <w:rPr>
        <w:rFonts w:ascii="Arial" w:hAnsi="Arial" w:cs="Arial"/>
        <w:spacing w:val="20"/>
        <w:sz w:val="20"/>
      </w:rPr>
    </w:pPr>
  </w:p>
  <w:p w:rsidR="00185727" w:rsidRDefault="0005451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8B7B9F"/>
    <w:multiLevelType w:val="hybridMultilevel"/>
    <w:tmpl w:val="381024E2"/>
    <w:lvl w:ilvl="0" w:tplc="8B34ABCC">
      <w:start w:val="1"/>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4">
    <w:nsid w:val="15C96404"/>
    <w:multiLevelType w:val="hybridMultilevel"/>
    <w:tmpl w:val="D40A1D7E"/>
    <w:lvl w:ilvl="0" w:tplc="58E84DD8">
      <w:start w:val="1"/>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5">
    <w:nsid w:val="2178213F"/>
    <w:multiLevelType w:val="hybridMultilevel"/>
    <w:tmpl w:val="CD9C77C2"/>
    <w:lvl w:ilvl="0" w:tplc="EDFEC6A6">
      <w:start w:val="1"/>
      <w:numFmt w:val="decimal"/>
      <w:lvlText w:val="%1."/>
      <w:lvlJc w:val="left"/>
      <w:pPr>
        <w:ind w:left="530" w:hanging="360"/>
      </w:pPr>
      <w:rPr>
        <w:rFonts w:hint="default"/>
        <w:sz w:val="24"/>
        <w:szCs w:val="24"/>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6">
    <w:nsid w:val="23831E60"/>
    <w:multiLevelType w:val="hybridMultilevel"/>
    <w:tmpl w:val="0882C4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5F9C38BF"/>
    <w:multiLevelType w:val="hybridMultilevel"/>
    <w:tmpl w:val="E80CBB08"/>
    <w:lvl w:ilvl="0" w:tplc="A9A8344A">
      <w:start w:val="1"/>
      <w:numFmt w:val="decimal"/>
      <w:lvlText w:val="%1."/>
      <w:lvlJc w:val="left"/>
      <w:pPr>
        <w:ind w:left="530" w:hanging="360"/>
      </w:pPr>
      <w:rPr>
        <w:rFonts w:hint="default"/>
        <w:sz w:val="24"/>
        <w:szCs w:val="24"/>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5">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7"/>
  </w:num>
  <w:num w:numId="4">
    <w:abstractNumId w:val="7"/>
  </w:num>
  <w:num w:numId="5">
    <w:abstractNumId w:val="12"/>
  </w:num>
  <w:num w:numId="6">
    <w:abstractNumId w:val="1"/>
  </w:num>
  <w:num w:numId="7">
    <w:abstractNumId w:val="0"/>
  </w:num>
  <w:num w:numId="8">
    <w:abstractNumId w:val="15"/>
  </w:num>
  <w:num w:numId="9">
    <w:abstractNumId w:val="13"/>
  </w:num>
  <w:num w:numId="10">
    <w:abstractNumId w:val="11"/>
  </w:num>
  <w:num w:numId="11">
    <w:abstractNumId w:val="18"/>
  </w:num>
  <w:num w:numId="12">
    <w:abstractNumId w:val="16"/>
  </w:num>
  <w:num w:numId="13">
    <w:abstractNumId w:val="8"/>
  </w:num>
  <w:num w:numId="14">
    <w:abstractNumId w:val="4"/>
  </w:num>
  <w:num w:numId="15">
    <w:abstractNumId w:val="6"/>
  </w:num>
  <w:num w:numId="16">
    <w:abstractNumId w:val="5"/>
  </w:num>
  <w:num w:numId="17">
    <w:abstractNumId w:val="9"/>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70F4"/>
    <w:rsid w:val="00025383"/>
    <w:rsid w:val="00054517"/>
    <w:rsid w:val="00063657"/>
    <w:rsid w:val="00075B75"/>
    <w:rsid w:val="00076643"/>
    <w:rsid w:val="00076680"/>
    <w:rsid w:val="00076A51"/>
    <w:rsid w:val="00077A2B"/>
    <w:rsid w:val="0008073E"/>
    <w:rsid w:val="00087F5F"/>
    <w:rsid w:val="00091CDB"/>
    <w:rsid w:val="000A19AC"/>
    <w:rsid w:val="000C7AD8"/>
    <w:rsid w:val="000D26F8"/>
    <w:rsid w:val="000D5E22"/>
    <w:rsid w:val="00117EE2"/>
    <w:rsid w:val="001405C6"/>
    <w:rsid w:val="00141013"/>
    <w:rsid w:val="00185727"/>
    <w:rsid w:val="00190880"/>
    <w:rsid w:val="00192CBF"/>
    <w:rsid w:val="00192FF1"/>
    <w:rsid w:val="001A5F1B"/>
    <w:rsid w:val="001B1C22"/>
    <w:rsid w:val="001B34C6"/>
    <w:rsid w:val="001D7832"/>
    <w:rsid w:val="001F17FF"/>
    <w:rsid w:val="001F780F"/>
    <w:rsid w:val="00211D34"/>
    <w:rsid w:val="00214F04"/>
    <w:rsid w:val="0023309C"/>
    <w:rsid w:val="0025652B"/>
    <w:rsid w:val="00266CD6"/>
    <w:rsid w:val="002B11E2"/>
    <w:rsid w:val="002B24B8"/>
    <w:rsid w:val="002C24A8"/>
    <w:rsid w:val="002D3AE9"/>
    <w:rsid w:val="002D5E14"/>
    <w:rsid w:val="002E01C3"/>
    <w:rsid w:val="002E572E"/>
    <w:rsid w:val="002F0734"/>
    <w:rsid w:val="002F46E7"/>
    <w:rsid w:val="002F768A"/>
    <w:rsid w:val="003101DA"/>
    <w:rsid w:val="00314757"/>
    <w:rsid w:val="003211CE"/>
    <w:rsid w:val="00336D06"/>
    <w:rsid w:val="0036394B"/>
    <w:rsid w:val="003709B5"/>
    <w:rsid w:val="003759C2"/>
    <w:rsid w:val="00397365"/>
    <w:rsid w:val="003A31F6"/>
    <w:rsid w:val="003C3447"/>
    <w:rsid w:val="003D076C"/>
    <w:rsid w:val="00401AB2"/>
    <w:rsid w:val="00415BAB"/>
    <w:rsid w:val="00415ED2"/>
    <w:rsid w:val="0042375C"/>
    <w:rsid w:val="00443E1F"/>
    <w:rsid w:val="00464EF6"/>
    <w:rsid w:val="00465A28"/>
    <w:rsid w:val="00466325"/>
    <w:rsid w:val="0047122B"/>
    <w:rsid w:val="00473B7A"/>
    <w:rsid w:val="00483093"/>
    <w:rsid w:val="0048739F"/>
    <w:rsid w:val="004975CB"/>
    <w:rsid w:val="004A2E88"/>
    <w:rsid w:val="004A5305"/>
    <w:rsid w:val="004A63E2"/>
    <w:rsid w:val="004D7634"/>
    <w:rsid w:val="005300D3"/>
    <w:rsid w:val="00540876"/>
    <w:rsid w:val="00544F82"/>
    <w:rsid w:val="00545797"/>
    <w:rsid w:val="005522CB"/>
    <w:rsid w:val="00552B00"/>
    <w:rsid w:val="00577312"/>
    <w:rsid w:val="005874AF"/>
    <w:rsid w:val="00593C4F"/>
    <w:rsid w:val="005946A8"/>
    <w:rsid w:val="005A4407"/>
    <w:rsid w:val="005A59EF"/>
    <w:rsid w:val="005B37B0"/>
    <w:rsid w:val="005B5BE4"/>
    <w:rsid w:val="005C0F94"/>
    <w:rsid w:val="005C6128"/>
    <w:rsid w:val="00625DC6"/>
    <w:rsid w:val="00637364"/>
    <w:rsid w:val="00651821"/>
    <w:rsid w:val="00654384"/>
    <w:rsid w:val="006675CD"/>
    <w:rsid w:val="00684D9B"/>
    <w:rsid w:val="00687C56"/>
    <w:rsid w:val="00697556"/>
    <w:rsid w:val="006A6322"/>
    <w:rsid w:val="006B4C2B"/>
    <w:rsid w:val="006B6D47"/>
    <w:rsid w:val="006C3E12"/>
    <w:rsid w:val="006D0BCB"/>
    <w:rsid w:val="006F08E2"/>
    <w:rsid w:val="006F6D95"/>
    <w:rsid w:val="0070302C"/>
    <w:rsid w:val="00706F13"/>
    <w:rsid w:val="007072E8"/>
    <w:rsid w:val="0071618D"/>
    <w:rsid w:val="00725FA4"/>
    <w:rsid w:val="00734AB1"/>
    <w:rsid w:val="00740446"/>
    <w:rsid w:val="007438A9"/>
    <w:rsid w:val="0074491E"/>
    <w:rsid w:val="00775964"/>
    <w:rsid w:val="00795BFB"/>
    <w:rsid w:val="00796B49"/>
    <w:rsid w:val="007B2760"/>
    <w:rsid w:val="007E379B"/>
    <w:rsid w:val="00806C01"/>
    <w:rsid w:val="008148CC"/>
    <w:rsid w:val="00814B9D"/>
    <w:rsid w:val="008211A4"/>
    <w:rsid w:val="00842572"/>
    <w:rsid w:val="00873150"/>
    <w:rsid w:val="0087657D"/>
    <w:rsid w:val="008807D5"/>
    <w:rsid w:val="00880832"/>
    <w:rsid w:val="00886EE1"/>
    <w:rsid w:val="0088727D"/>
    <w:rsid w:val="00897C75"/>
    <w:rsid w:val="008C3A93"/>
    <w:rsid w:val="008D18E6"/>
    <w:rsid w:val="008D469B"/>
    <w:rsid w:val="008D7A9B"/>
    <w:rsid w:val="008E7F39"/>
    <w:rsid w:val="008F21F6"/>
    <w:rsid w:val="008F3D28"/>
    <w:rsid w:val="00951F79"/>
    <w:rsid w:val="00974AB5"/>
    <w:rsid w:val="0098706D"/>
    <w:rsid w:val="009935FB"/>
    <w:rsid w:val="009A0489"/>
    <w:rsid w:val="009D0419"/>
    <w:rsid w:val="009D1513"/>
    <w:rsid w:val="009F2C51"/>
    <w:rsid w:val="009F4A54"/>
    <w:rsid w:val="009F4BEC"/>
    <w:rsid w:val="00A05AB4"/>
    <w:rsid w:val="00A10C85"/>
    <w:rsid w:val="00A1170D"/>
    <w:rsid w:val="00A23EFD"/>
    <w:rsid w:val="00A25FD7"/>
    <w:rsid w:val="00A408B5"/>
    <w:rsid w:val="00A43AFF"/>
    <w:rsid w:val="00A44DA9"/>
    <w:rsid w:val="00A7793A"/>
    <w:rsid w:val="00A81615"/>
    <w:rsid w:val="00A91BB2"/>
    <w:rsid w:val="00AC1E91"/>
    <w:rsid w:val="00AD01E4"/>
    <w:rsid w:val="00AD0858"/>
    <w:rsid w:val="00AE7340"/>
    <w:rsid w:val="00AF1BBD"/>
    <w:rsid w:val="00B03F3A"/>
    <w:rsid w:val="00B10207"/>
    <w:rsid w:val="00B117CD"/>
    <w:rsid w:val="00B141E7"/>
    <w:rsid w:val="00B16C6D"/>
    <w:rsid w:val="00B46BCA"/>
    <w:rsid w:val="00B605FB"/>
    <w:rsid w:val="00B6218D"/>
    <w:rsid w:val="00B832C9"/>
    <w:rsid w:val="00B87806"/>
    <w:rsid w:val="00B87EC9"/>
    <w:rsid w:val="00B91EB4"/>
    <w:rsid w:val="00BA4817"/>
    <w:rsid w:val="00BB54BD"/>
    <w:rsid w:val="00BC1C11"/>
    <w:rsid w:val="00BC38FD"/>
    <w:rsid w:val="00BD2623"/>
    <w:rsid w:val="00BE689D"/>
    <w:rsid w:val="00BF2C63"/>
    <w:rsid w:val="00C034CB"/>
    <w:rsid w:val="00C051A8"/>
    <w:rsid w:val="00C054BC"/>
    <w:rsid w:val="00C16B95"/>
    <w:rsid w:val="00C17897"/>
    <w:rsid w:val="00C214A2"/>
    <w:rsid w:val="00C32782"/>
    <w:rsid w:val="00C409D5"/>
    <w:rsid w:val="00C6234B"/>
    <w:rsid w:val="00C63EAE"/>
    <w:rsid w:val="00C7629F"/>
    <w:rsid w:val="00C76CBA"/>
    <w:rsid w:val="00C826DC"/>
    <w:rsid w:val="00C8661B"/>
    <w:rsid w:val="00CA139A"/>
    <w:rsid w:val="00CA2899"/>
    <w:rsid w:val="00CA77FB"/>
    <w:rsid w:val="00CB26E6"/>
    <w:rsid w:val="00CB379B"/>
    <w:rsid w:val="00CB5DD0"/>
    <w:rsid w:val="00CB755D"/>
    <w:rsid w:val="00CC51D4"/>
    <w:rsid w:val="00CC5A42"/>
    <w:rsid w:val="00CC65DA"/>
    <w:rsid w:val="00CD5AF2"/>
    <w:rsid w:val="00CE74EE"/>
    <w:rsid w:val="00CF1096"/>
    <w:rsid w:val="00CF21B9"/>
    <w:rsid w:val="00CF57CB"/>
    <w:rsid w:val="00CF6BF9"/>
    <w:rsid w:val="00D03800"/>
    <w:rsid w:val="00D065D3"/>
    <w:rsid w:val="00D1448E"/>
    <w:rsid w:val="00D14C94"/>
    <w:rsid w:val="00D342A6"/>
    <w:rsid w:val="00D44FF2"/>
    <w:rsid w:val="00D464BF"/>
    <w:rsid w:val="00D53E26"/>
    <w:rsid w:val="00D57B58"/>
    <w:rsid w:val="00D57C74"/>
    <w:rsid w:val="00D96083"/>
    <w:rsid w:val="00D97BAD"/>
    <w:rsid w:val="00DA2764"/>
    <w:rsid w:val="00DB4EF6"/>
    <w:rsid w:val="00DD4F0E"/>
    <w:rsid w:val="00E001DA"/>
    <w:rsid w:val="00E05E0A"/>
    <w:rsid w:val="00E36613"/>
    <w:rsid w:val="00E41B00"/>
    <w:rsid w:val="00E534CF"/>
    <w:rsid w:val="00E65BFE"/>
    <w:rsid w:val="00E7170E"/>
    <w:rsid w:val="00E81CB4"/>
    <w:rsid w:val="00E8432B"/>
    <w:rsid w:val="00E8585B"/>
    <w:rsid w:val="00E85A74"/>
    <w:rsid w:val="00EA3F15"/>
    <w:rsid w:val="00EA7847"/>
    <w:rsid w:val="00EE2E6E"/>
    <w:rsid w:val="00F0759E"/>
    <w:rsid w:val="00F171C4"/>
    <w:rsid w:val="00F763C8"/>
    <w:rsid w:val="00F81DA2"/>
    <w:rsid w:val="00F821A3"/>
    <w:rsid w:val="00F9314A"/>
    <w:rsid w:val="00FA15B4"/>
    <w:rsid w:val="00FC58EF"/>
    <w:rsid w:val="00FD33DF"/>
    <w:rsid w:val="00FE2A94"/>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basedOn w:val="Normal"/>
    <w:link w:val="TextonotapieCar"/>
    <w:uiPriority w:val="99"/>
    <w:semiHidden/>
    <w:rsid w:val="00BC1C11"/>
    <w:pPr>
      <w:ind w:left="0"/>
      <w:jc w:val="both"/>
    </w:pPr>
    <w:rPr>
      <w:rFonts w:ascii="CG Times (W1)" w:hAnsi="CG Times (W1)"/>
      <w:sz w:val="20"/>
      <w:szCs w:val="20"/>
      <w:lang w:val="es-ES_tradnl"/>
    </w:rPr>
  </w:style>
  <w:style w:type="character" w:customStyle="1" w:styleId="TextonotapieCar">
    <w:name w:val="Texto nota pie Car"/>
    <w:basedOn w:val="Fuentedeprrafopredeter"/>
    <w:link w:val="Textonotapie"/>
    <w:uiPriority w:val="99"/>
    <w:semiHidden/>
    <w:rsid w:val="00BC1C11"/>
    <w:rPr>
      <w:rFonts w:ascii="CG Times (W1)" w:hAnsi="CG Times (W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basedOn w:val="Normal"/>
    <w:link w:val="TextonotapieCar"/>
    <w:uiPriority w:val="99"/>
    <w:semiHidden/>
    <w:rsid w:val="00BC1C11"/>
    <w:pPr>
      <w:ind w:left="0"/>
      <w:jc w:val="both"/>
    </w:pPr>
    <w:rPr>
      <w:rFonts w:ascii="CG Times (W1)" w:hAnsi="CG Times (W1)"/>
      <w:sz w:val="20"/>
      <w:szCs w:val="20"/>
      <w:lang w:val="es-ES_tradnl"/>
    </w:rPr>
  </w:style>
  <w:style w:type="character" w:customStyle="1" w:styleId="TextonotapieCar">
    <w:name w:val="Texto nota pie Car"/>
    <w:basedOn w:val="Fuentedeprrafopredeter"/>
    <w:link w:val="Textonotapie"/>
    <w:uiPriority w:val="99"/>
    <w:semiHidden/>
    <w:rsid w:val="00BC1C11"/>
    <w:rPr>
      <w:rFonts w:ascii="CG Times (W1)" w:hAnsi="CG Times (W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09736">
      <w:bodyDiv w:val="1"/>
      <w:marLeft w:val="0"/>
      <w:marRight w:val="0"/>
      <w:marTop w:val="0"/>
      <w:marBottom w:val="0"/>
      <w:divBdr>
        <w:top w:val="none" w:sz="0" w:space="0" w:color="auto"/>
        <w:left w:val="none" w:sz="0" w:space="0" w:color="auto"/>
        <w:bottom w:val="none" w:sz="0" w:space="0" w:color="auto"/>
        <w:right w:val="none" w:sz="0" w:space="0" w:color="auto"/>
      </w:divBdr>
    </w:div>
    <w:div w:id="578710492">
      <w:bodyDiv w:val="1"/>
      <w:marLeft w:val="0"/>
      <w:marRight w:val="0"/>
      <w:marTop w:val="0"/>
      <w:marBottom w:val="0"/>
      <w:divBdr>
        <w:top w:val="none" w:sz="0" w:space="0" w:color="auto"/>
        <w:left w:val="none" w:sz="0" w:space="0" w:color="auto"/>
        <w:bottom w:val="none" w:sz="0" w:space="0" w:color="auto"/>
        <w:right w:val="none" w:sz="0" w:space="0" w:color="auto"/>
      </w:divBdr>
    </w:div>
    <w:div w:id="806824143">
      <w:bodyDiv w:val="1"/>
      <w:marLeft w:val="0"/>
      <w:marRight w:val="0"/>
      <w:marTop w:val="0"/>
      <w:marBottom w:val="0"/>
      <w:divBdr>
        <w:top w:val="none" w:sz="0" w:space="0" w:color="auto"/>
        <w:left w:val="none" w:sz="0" w:space="0" w:color="auto"/>
        <w:bottom w:val="none" w:sz="0" w:space="0" w:color="auto"/>
        <w:right w:val="none" w:sz="0" w:space="0" w:color="auto"/>
      </w:divBdr>
    </w:div>
    <w:div w:id="1114790012">
      <w:bodyDiv w:val="1"/>
      <w:marLeft w:val="0"/>
      <w:marRight w:val="0"/>
      <w:marTop w:val="0"/>
      <w:marBottom w:val="0"/>
      <w:divBdr>
        <w:top w:val="none" w:sz="0" w:space="0" w:color="auto"/>
        <w:left w:val="none" w:sz="0" w:space="0" w:color="auto"/>
        <w:bottom w:val="none" w:sz="0" w:space="0" w:color="auto"/>
        <w:right w:val="none" w:sz="0" w:space="0" w:color="auto"/>
      </w:divBdr>
    </w:div>
    <w:div w:id="1138492989">
      <w:bodyDiv w:val="1"/>
      <w:marLeft w:val="0"/>
      <w:marRight w:val="0"/>
      <w:marTop w:val="0"/>
      <w:marBottom w:val="0"/>
      <w:divBdr>
        <w:top w:val="none" w:sz="0" w:space="0" w:color="auto"/>
        <w:left w:val="none" w:sz="0" w:space="0" w:color="auto"/>
        <w:bottom w:val="none" w:sz="0" w:space="0" w:color="auto"/>
        <w:right w:val="none" w:sz="0" w:space="0" w:color="auto"/>
      </w:divBdr>
    </w:div>
    <w:div w:id="16107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Escritorio\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4F2D-2A2F-4F13-AD5B-F9BB123B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2285</Words>
  <Characters>12570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2011-06-24T14:53:00Z</cp:lastPrinted>
  <dcterms:created xsi:type="dcterms:W3CDTF">2011-07-05T20:21:00Z</dcterms:created>
  <dcterms:modified xsi:type="dcterms:W3CDTF">2011-07-05T20:21:00Z</dcterms:modified>
</cp:coreProperties>
</file>