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3B187B" w:rsidRDefault="00870380"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216" fillcolor="#0c9">
            <v:imagedata r:id="rId8" o:title=""/>
          </v:shape>
          <o:OLEObject Type="Embed" ProgID="PBrush" ShapeID="_x0000_s1026" DrawAspect="Content" ObjectID="_1594024598" r:id="rId9"/>
        </w:object>
      </w:r>
    </w:p>
    <w:p w:rsidR="00CA77FB" w:rsidRPr="001A11B2" w:rsidRDefault="00CA77FB" w:rsidP="00012259">
      <w:pPr>
        <w:pStyle w:val="Ttulo4"/>
        <w:tabs>
          <w:tab w:val="left" w:pos="0"/>
          <w:tab w:val="right" w:pos="9356"/>
        </w:tabs>
        <w:ind w:left="0"/>
        <w:rPr>
          <w:rFonts w:ascii="Bookman Old Style" w:hAnsi="Bookman Old Style"/>
          <w:b w:val="0"/>
          <w:bCs/>
          <w:noProof/>
          <w:sz w:val="24"/>
          <w:szCs w:val="24"/>
          <w:lang w:val="es-ES"/>
        </w:rPr>
      </w:pPr>
      <w:r w:rsidRPr="001A11B2">
        <w:rPr>
          <w:rFonts w:ascii="Bookman Old Style" w:hAnsi="Bookman Old Style"/>
          <w:b w:val="0"/>
          <w:bCs/>
          <w:sz w:val="24"/>
          <w:szCs w:val="24"/>
        </w:rPr>
        <w:t>Ministerio de Minas y Energía</w:t>
      </w:r>
    </w:p>
    <w:p w:rsidR="00CA77FB" w:rsidRPr="001A11B2" w:rsidRDefault="00CA77FB" w:rsidP="00012259">
      <w:pPr>
        <w:pStyle w:val="Ttulo4"/>
        <w:tabs>
          <w:tab w:val="left" w:pos="0"/>
          <w:tab w:val="right" w:pos="9356"/>
        </w:tabs>
        <w:ind w:left="0"/>
        <w:rPr>
          <w:rFonts w:ascii="Bookman Old Style" w:hAnsi="Bookman Old Style"/>
          <w:b w:val="0"/>
          <w:bCs/>
          <w:sz w:val="24"/>
          <w:szCs w:val="24"/>
        </w:rPr>
      </w:pPr>
    </w:p>
    <w:p w:rsidR="00C8069E" w:rsidRPr="001A11B2" w:rsidRDefault="00C8069E" w:rsidP="00012259">
      <w:pPr>
        <w:pStyle w:val="Ttulo3"/>
        <w:tabs>
          <w:tab w:val="left" w:pos="0"/>
          <w:tab w:val="right" w:pos="9356"/>
        </w:tabs>
        <w:ind w:left="0"/>
        <w:rPr>
          <w:rFonts w:ascii="Bookman Old Style" w:hAnsi="Bookman Old Style" w:cs="Arial"/>
          <w:spacing w:val="20"/>
          <w:szCs w:val="24"/>
        </w:rPr>
      </w:pPr>
    </w:p>
    <w:p w:rsidR="001F350D" w:rsidRPr="001A11B2" w:rsidRDefault="001F350D" w:rsidP="001F350D">
      <w:pPr>
        <w:pStyle w:val="Ttulo3"/>
        <w:ind w:left="0"/>
        <w:rPr>
          <w:rFonts w:ascii="Bookman Old Style" w:hAnsi="Bookman Old Style"/>
        </w:rPr>
      </w:pPr>
      <w:r w:rsidRPr="001A11B2">
        <w:rPr>
          <w:rFonts w:ascii="Bookman Old Style" w:hAnsi="Bookman Old Style"/>
        </w:rPr>
        <w:t>COMISIÓN DE REGULACIÓN DE ENERGÍA Y GAS</w:t>
      </w:r>
    </w:p>
    <w:p w:rsidR="001F350D" w:rsidRPr="001A11B2" w:rsidRDefault="001F350D" w:rsidP="001F350D">
      <w:pPr>
        <w:pStyle w:val="Ttulo5"/>
        <w:tabs>
          <w:tab w:val="left" w:pos="0"/>
          <w:tab w:val="right" w:pos="9356"/>
        </w:tabs>
        <w:ind w:left="0"/>
        <w:rPr>
          <w:rFonts w:ascii="Bookman Old Style" w:hAnsi="Bookman Old Style"/>
          <w:sz w:val="24"/>
          <w:szCs w:val="24"/>
        </w:rPr>
      </w:pPr>
    </w:p>
    <w:p w:rsidR="001F350D" w:rsidRPr="001A11B2" w:rsidRDefault="001F350D" w:rsidP="001F350D">
      <w:pPr>
        <w:pStyle w:val="Ttulo5"/>
        <w:tabs>
          <w:tab w:val="left" w:pos="0"/>
          <w:tab w:val="right" w:pos="9356"/>
        </w:tabs>
        <w:ind w:left="0"/>
        <w:rPr>
          <w:rFonts w:ascii="Bookman Old Style" w:hAnsi="Bookman Old Style"/>
          <w:sz w:val="24"/>
          <w:szCs w:val="24"/>
        </w:rPr>
      </w:pPr>
    </w:p>
    <w:p w:rsidR="001F350D" w:rsidRPr="001A11B2" w:rsidRDefault="001F350D" w:rsidP="001F350D">
      <w:pPr>
        <w:pStyle w:val="Ttulo5"/>
        <w:tabs>
          <w:tab w:val="left" w:pos="0"/>
          <w:tab w:val="right" w:pos="9356"/>
        </w:tabs>
        <w:ind w:left="0"/>
        <w:rPr>
          <w:rFonts w:ascii="Bookman Old Style" w:hAnsi="Bookman Old Style"/>
          <w:sz w:val="24"/>
          <w:szCs w:val="24"/>
        </w:rPr>
      </w:pPr>
      <w:r w:rsidRPr="001A11B2">
        <w:rPr>
          <w:rFonts w:ascii="Bookman Old Style" w:hAnsi="Bookman Old Style"/>
          <w:sz w:val="24"/>
          <w:szCs w:val="24"/>
        </w:rPr>
        <w:t>RESOLUCIÓN No.                    DE 2018</w:t>
      </w:r>
    </w:p>
    <w:p w:rsidR="001F350D" w:rsidRPr="001A11B2" w:rsidRDefault="001F350D" w:rsidP="001F350D">
      <w:pPr>
        <w:tabs>
          <w:tab w:val="left" w:pos="0"/>
          <w:tab w:val="right" w:pos="9356"/>
        </w:tabs>
        <w:ind w:left="0"/>
        <w:jc w:val="center"/>
        <w:rPr>
          <w:rFonts w:ascii="Bookman Old Style" w:hAnsi="Bookman Old Style" w:cs="Arial"/>
          <w:b/>
          <w:snapToGrid w:val="0"/>
          <w:color w:val="000000"/>
          <w:lang w:val="es-ES_tradnl"/>
        </w:rPr>
      </w:pPr>
    </w:p>
    <w:p w:rsidR="001F350D" w:rsidRPr="001A11B2" w:rsidRDefault="001F350D" w:rsidP="001F350D">
      <w:pPr>
        <w:tabs>
          <w:tab w:val="left" w:pos="0"/>
          <w:tab w:val="right" w:pos="9356"/>
        </w:tabs>
        <w:ind w:left="0"/>
        <w:jc w:val="center"/>
        <w:rPr>
          <w:rFonts w:ascii="Bookman Old Style" w:hAnsi="Bookman Old Style" w:cs="Arial"/>
          <w:b/>
          <w:snapToGrid w:val="0"/>
          <w:color w:val="000000"/>
          <w:lang w:val="es-ES_tradnl"/>
        </w:rPr>
      </w:pPr>
    </w:p>
    <w:p w:rsidR="001F350D" w:rsidRPr="001A11B2" w:rsidRDefault="001F350D" w:rsidP="001F350D">
      <w:pPr>
        <w:pStyle w:val="Ttulo3"/>
        <w:ind w:left="0"/>
      </w:pPr>
      <w:r w:rsidRPr="001A11B2">
        <w:t>(                                           )</w:t>
      </w:r>
    </w:p>
    <w:p w:rsidR="001F350D" w:rsidRPr="001A11B2" w:rsidRDefault="001F350D" w:rsidP="001F350D">
      <w:pPr>
        <w:tabs>
          <w:tab w:val="left" w:pos="0"/>
          <w:tab w:val="right" w:pos="9356"/>
        </w:tabs>
        <w:ind w:left="0"/>
        <w:jc w:val="center"/>
        <w:rPr>
          <w:rFonts w:ascii="Bookman Old Style" w:hAnsi="Bookman Old Style"/>
          <w:lang w:val="es-ES_tradnl"/>
        </w:rPr>
      </w:pPr>
    </w:p>
    <w:p w:rsidR="001F350D" w:rsidRPr="001A11B2" w:rsidRDefault="001F350D" w:rsidP="001F350D">
      <w:pPr>
        <w:ind w:left="0"/>
        <w:jc w:val="center"/>
        <w:rPr>
          <w:rFonts w:ascii="Bookman Old Style" w:hAnsi="Bookman Old Style" w:cs="Arial"/>
        </w:rPr>
      </w:pPr>
    </w:p>
    <w:p w:rsidR="00B10C54" w:rsidRPr="001A11B2" w:rsidRDefault="00B10C54" w:rsidP="00B10C54">
      <w:pPr>
        <w:ind w:left="0"/>
        <w:jc w:val="center"/>
        <w:rPr>
          <w:rFonts w:ascii="Bookman Old Style" w:hAnsi="Bookman Old Style" w:cs="Arial"/>
        </w:rPr>
      </w:pPr>
      <w:r w:rsidRPr="001A11B2">
        <w:rPr>
          <w:rFonts w:ascii="Bookman Old Style" w:hAnsi="Bookman Old Style" w:cs="Arial"/>
        </w:rPr>
        <w:t xml:space="preserve">Por la cual se fija la oportunidad </w:t>
      </w:r>
      <w:r w:rsidR="005D14EA">
        <w:rPr>
          <w:rFonts w:ascii="Bookman Old Style" w:hAnsi="Bookman Old Style" w:cs="Arial"/>
        </w:rPr>
        <w:t>para asignar</w:t>
      </w:r>
      <w:r w:rsidRPr="001A11B2">
        <w:rPr>
          <w:rFonts w:ascii="Bookman Old Style" w:hAnsi="Bookman Old Style" w:cs="Arial"/>
        </w:rPr>
        <w:t xml:space="preserve"> las Obligaciones de Energía Firme del Cargo por Confiabilidad para los períodos comprendidos entre</w:t>
      </w:r>
      <w:r w:rsidR="0028318B">
        <w:rPr>
          <w:rFonts w:ascii="Bookman Old Style" w:hAnsi="Bookman Old Style" w:cs="Arial"/>
        </w:rPr>
        <w:t>:</w:t>
      </w:r>
      <w:r w:rsidRPr="001A11B2">
        <w:rPr>
          <w:rFonts w:ascii="Bookman Old Style" w:hAnsi="Bookman Old Style" w:cs="Arial"/>
        </w:rPr>
        <w:t xml:space="preserve"> diciembre 1 de 2019 a noviembre 30 de 2020, diciembre 1 de 2020 a noviembre 30 de 2021 y diciembre 1 de 2021 a noviembre 30 de 2022 </w:t>
      </w:r>
      <w:r w:rsidRPr="001A11B2">
        <w:rPr>
          <w:rFonts w:ascii="Bookman Old Style" w:hAnsi="Bookman Old Style"/>
        </w:rPr>
        <w:t>a quienes representen plantas existentes</w:t>
      </w:r>
      <w:r w:rsidRPr="001A11B2">
        <w:rPr>
          <w:rFonts w:ascii="Bookman Old Style" w:hAnsi="Bookman Old Style" w:cs="Arial"/>
        </w:rPr>
        <w:t>.</w:t>
      </w:r>
    </w:p>
    <w:p w:rsidR="001F350D" w:rsidRPr="001A11B2" w:rsidRDefault="001F350D" w:rsidP="001F350D">
      <w:pPr>
        <w:pStyle w:val="Textodebloque"/>
        <w:ind w:left="0" w:right="51"/>
        <w:jc w:val="center"/>
        <w:rPr>
          <w:rFonts w:ascii="Bookman Old Style" w:hAnsi="Bookman Old Style" w:cs="Arial"/>
          <w:lang w:val="es-ES"/>
        </w:rPr>
      </w:pPr>
    </w:p>
    <w:p w:rsidR="001F350D" w:rsidRPr="001A11B2" w:rsidRDefault="001F350D" w:rsidP="001F350D">
      <w:pPr>
        <w:ind w:right="51"/>
        <w:jc w:val="center"/>
        <w:rPr>
          <w:rFonts w:ascii="Bookman Old Style" w:hAnsi="Bookman Old Style"/>
          <w:b/>
        </w:rPr>
      </w:pPr>
      <w:r w:rsidRPr="001A11B2">
        <w:rPr>
          <w:rFonts w:ascii="Bookman Old Style" w:hAnsi="Bookman Old Style"/>
          <w:b/>
        </w:rPr>
        <w:t>LA COMISIÓN DE REGULACIÓN DE ENERGÍA Y GAS</w:t>
      </w:r>
    </w:p>
    <w:p w:rsidR="001F350D" w:rsidRPr="001A11B2" w:rsidRDefault="001F350D" w:rsidP="001F350D">
      <w:pPr>
        <w:ind w:left="0" w:right="51"/>
        <w:rPr>
          <w:rFonts w:ascii="Bookman Old Style" w:hAnsi="Bookman Old Style"/>
        </w:rPr>
      </w:pPr>
    </w:p>
    <w:p w:rsidR="001F350D" w:rsidRPr="001A11B2" w:rsidRDefault="001F350D" w:rsidP="001F350D">
      <w:pPr>
        <w:pStyle w:val="Textoindependiente3"/>
        <w:ind w:left="0"/>
        <w:rPr>
          <w:rFonts w:ascii="Bookman Old Style" w:hAnsi="Bookman Old Style"/>
          <w:b w:val="0"/>
        </w:rPr>
      </w:pPr>
      <w:r w:rsidRPr="001A11B2">
        <w:rPr>
          <w:rFonts w:ascii="Bookman Old Style" w:hAnsi="Bookman Old Style"/>
          <w:b w:val="0"/>
        </w:rPr>
        <w:t>En ejercicio de sus atribuciones constitucionales y legales, en especial las conferidas por las Leyes 142 y 143 de 1994, y en desarrollo de los Decretos 1524, 2253 de 1994 y 1260 de 2013.</w:t>
      </w:r>
    </w:p>
    <w:p w:rsidR="001F350D" w:rsidRPr="001A11B2" w:rsidRDefault="001F350D" w:rsidP="001F350D">
      <w:pPr>
        <w:ind w:right="51"/>
        <w:rPr>
          <w:rFonts w:ascii="Bookman Old Style" w:hAnsi="Bookman Old Style"/>
        </w:rPr>
      </w:pPr>
    </w:p>
    <w:p w:rsidR="001F350D" w:rsidRPr="001A11B2" w:rsidRDefault="001F350D" w:rsidP="001F350D">
      <w:pPr>
        <w:ind w:right="51"/>
        <w:rPr>
          <w:rFonts w:ascii="Bookman Old Style" w:hAnsi="Bookman Old Style"/>
        </w:rPr>
      </w:pPr>
    </w:p>
    <w:p w:rsidR="009D4A5A" w:rsidRPr="001A11B2" w:rsidRDefault="009D4A5A" w:rsidP="009D4A5A">
      <w:pPr>
        <w:jc w:val="center"/>
        <w:outlineLvl w:val="0"/>
        <w:rPr>
          <w:rFonts w:ascii="Bookman Old Style" w:hAnsi="Bookman Old Style"/>
          <w:b/>
        </w:rPr>
      </w:pPr>
      <w:r w:rsidRPr="001A11B2">
        <w:rPr>
          <w:rFonts w:ascii="Bookman Old Style" w:hAnsi="Bookman Old Style"/>
          <w:b/>
        </w:rPr>
        <w:t xml:space="preserve">C O N S I D E R A N D </w:t>
      </w:r>
      <w:proofErr w:type="gramStart"/>
      <w:r w:rsidRPr="001A11B2">
        <w:rPr>
          <w:rFonts w:ascii="Bookman Old Style" w:hAnsi="Bookman Old Style"/>
          <w:b/>
        </w:rPr>
        <w:t>O  Q</w:t>
      </w:r>
      <w:proofErr w:type="gramEnd"/>
      <w:r w:rsidRPr="001A11B2">
        <w:rPr>
          <w:rFonts w:ascii="Bookman Old Style" w:hAnsi="Bookman Old Style"/>
          <w:b/>
        </w:rPr>
        <w:t xml:space="preserve"> U E:</w:t>
      </w:r>
    </w:p>
    <w:p w:rsidR="009D4A5A" w:rsidRPr="001A11B2" w:rsidRDefault="009D4A5A" w:rsidP="009D4A5A">
      <w:pPr>
        <w:jc w:val="center"/>
        <w:rPr>
          <w:rFonts w:ascii="Bookman Old Style" w:hAnsi="Bookman Old Style"/>
        </w:rPr>
      </w:pPr>
    </w:p>
    <w:p w:rsidR="008A1AE5" w:rsidRPr="001A11B2" w:rsidRDefault="008A1AE5" w:rsidP="009D4A5A">
      <w:pPr>
        <w:jc w:val="center"/>
        <w:rPr>
          <w:rFonts w:ascii="Bookman Old Style" w:hAnsi="Bookman Old Style"/>
        </w:rPr>
      </w:pPr>
    </w:p>
    <w:p w:rsidR="004341E9" w:rsidRPr="001A11B2" w:rsidRDefault="0028318B" w:rsidP="004341E9">
      <w:pPr>
        <w:ind w:left="0"/>
        <w:jc w:val="both"/>
        <w:rPr>
          <w:rFonts w:ascii="Bookman Old Style" w:hAnsi="Bookman Old Style" w:cs="Arial"/>
        </w:rPr>
      </w:pPr>
      <w:r>
        <w:rPr>
          <w:rFonts w:ascii="Bookman Old Style" w:hAnsi="Bookman Old Style" w:cs="Arial"/>
        </w:rPr>
        <w:t>En el artículo 4 de</w:t>
      </w:r>
      <w:r w:rsidR="004341E9" w:rsidRPr="001A11B2">
        <w:rPr>
          <w:rFonts w:ascii="Bookman Old Style" w:hAnsi="Bookman Old Style" w:cs="Arial"/>
        </w:rPr>
        <w:t xml:space="preserve"> la Ley 143 de 1994,</w:t>
      </w:r>
      <w:r w:rsidR="00337365">
        <w:rPr>
          <w:rFonts w:ascii="Bookman Old Style" w:hAnsi="Bookman Old Style" w:cs="Arial"/>
        </w:rPr>
        <w:t xml:space="preserve"> </w:t>
      </w:r>
      <w:r>
        <w:rPr>
          <w:rFonts w:ascii="Bookman Old Style" w:hAnsi="Bookman Old Style" w:cs="Arial"/>
        </w:rPr>
        <w:t xml:space="preserve">se establece que </w:t>
      </w:r>
      <w:r w:rsidR="004341E9" w:rsidRPr="001A11B2">
        <w:rPr>
          <w:rFonts w:ascii="Bookman Old Style" w:hAnsi="Bookman Old Style" w:cs="Arial"/>
        </w:rPr>
        <w:t>el Estado en relación con el servicio de electricidad, tendrá como objetivos</w:t>
      </w:r>
      <w:r>
        <w:rPr>
          <w:rFonts w:ascii="Bookman Old Style" w:hAnsi="Bookman Old Style" w:cs="Arial"/>
        </w:rPr>
        <w:t>:</w:t>
      </w:r>
      <w:r w:rsidR="004341E9" w:rsidRPr="001A11B2">
        <w:rPr>
          <w:rFonts w:ascii="Bookman Old Style" w:hAnsi="Bookman Old Style" w:cs="Arial"/>
        </w:rPr>
        <w:t xml:space="preserve"> abastecer la demanda de electricidad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4341E9" w:rsidRPr="001A11B2" w:rsidRDefault="004341E9" w:rsidP="004341E9">
      <w:pPr>
        <w:rPr>
          <w:rFonts w:ascii="Bookman Old Style" w:hAnsi="Bookman Old Style" w:cs="Arial"/>
        </w:rPr>
      </w:pPr>
    </w:p>
    <w:p w:rsidR="004341E9" w:rsidRPr="001A11B2" w:rsidRDefault="0028318B" w:rsidP="004341E9">
      <w:pPr>
        <w:ind w:left="0"/>
        <w:jc w:val="both"/>
        <w:rPr>
          <w:rFonts w:ascii="Bookman Old Style" w:hAnsi="Bookman Old Style" w:cs="Arial"/>
        </w:rPr>
      </w:pPr>
      <w:r>
        <w:rPr>
          <w:rFonts w:ascii="Bookman Old Style" w:hAnsi="Bookman Old Style" w:cs="Arial"/>
        </w:rPr>
        <w:t>En el artículo 20 de l</w:t>
      </w:r>
      <w:r w:rsidR="004341E9" w:rsidRPr="001A11B2">
        <w:rPr>
          <w:rFonts w:ascii="Bookman Old Style" w:hAnsi="Bookman Old Style" w:cs="Arial"/>
        </w:rPr>
        <w:t xml:space="preserve">a Ley 143 de 1994, </w:t>
      </w:r>
      <w:r>
        <w:rPr>
          <w:rFonts w:ascii="Bookman Old Style" w:hAnsi="Bookman Old Style" w:cs="Arial"/>
        </w:rPr>
        <w:t xml:space="preserve">se </w:t>
      </w:r>
      <w:r w:rsidR="004341E9" w:rsidRPr="001A11B2">
        <w:rPr>
          <w:rFonts w:ascii="Bookman Old Style" w:hAnsi="Bookman Old Style" w:cs="Arial"/>
        </w:rPr>
        <w:t>definió c</w:t>
      </w:r>
      <w:r>
        <w:rPr>
          <w:rFonts w:ascii="Bookman Old Style" w:hAnsi="Bookman Old Style" w:cs="Arial"/>
        </w:rPr>
        <w:t>omo objetivo fundamental de la r</w:t>
      </w:r>
      <w:r w:rsidR="004341E9" w:rsidRPr="001A11B2">
        <w:rPr>
          <w:rFonts w:ascii="Bookman Old Style" w:hAnsi="Bookman Old Style" w:cs="Arial"/>
        </w:rPr>
        <w:t xml:space="preserve">egulación en el sector eléctrico, asegurar una adecuada prestación del servicio mediante el aprovechamiento eficiente de los diferentes recursos energéticos, en beneficio del usuario en términos de calidad, oportunidad y costo del servicio. </w:t>
      </w:r>
    </w:p>
    <w:p w:rsidR="004341E9" w:rsidRPr="001A11B2" w:rsidRDefault="004341E9" w:rsidP="004341E9">
      <w:pPr>
        <w:rPr>
          <w:rFonts w:ascii="Bookman Old Style" w:hAnsi="Bookman Old Style" w:cs="Arial"/>
        </w:rPr>
      </w:pPr>
    </w:p>
    <w:p w:rsidR="00E02EB9" w:rsidRPr="001A11B2" w:rsidRDefault="004341E9" w:rsidP="0028318B">
      <w:pPr>
        <w:ind w:left="0"/>
        <w:jc w:val="both"/>
        <w:rPr>
          <w:rFonts w:ascii="Bookman Old Style" w:hAnsi="Bookman Old Style" w:cs="Arial"/>
        </w:rPr>
      </w:pPr>
      <w:r w:rsidRPr="001A11B2">
        <w:rPr>
          <w:rFonts w:ascii="Bookman Old Style" w:hAnsi="Bookman Old Style" w:cs="Arial"/>
        </w:rPr>
        <w:t xml:space="preserve">Para el cumplimiento del objetivo señalado, </w:t>
      </w:r>
      <w:r w:rsidR="0028318B">
        <w:rPr>
          <w:rFonts w:ascii="Bookman Old Style" w:hAnsi="Bookman Old Style" w:cs="Arial"/>
        </w:rPr>
        <w:t xml:space="preserve">en el artículo 23 de </w:t>
      </w:r>
      <w:r w:rsidRPr="001A11B2">
        <w:rPr>
          <w:rFonts w:ascii="Bookman Old Style" w:hAnsi="Bookman Old Style" w:cs="Arial"/>
        </w:rPr>
        <w:t xml:space="preserve">la Ley 143 </w:t>
      </w:r>
      <w:r w:rsidR="0028318B">
        <w:rPr>
          <w:rFonts w:ascii="Bookman Old Style" w:hAnsi="Bookman Old Style" w:cs="Arial"/>
        </w:rPr>
        <w:t>se</w:t>
      </w:r>
      <w:r w:rsidRPr="001A11B2">
        <w:rPr>
          <w:rFonts w:ascii="Bookman Old Style" w:hAnsi="Bookman Old Style" w:cs="Arial"/>
        </w:rPr>
        <w:t xml:space="preserve"> le atribuyó a la Comisión de Regulación de Energía y Gas</w:t>
      </w:r>
      <w:r w:rsidR="0028318B">
        <w:rPr>
          <w:rFonts w:ascii="Bookman Old Style" w:hAnsi="Bookman Old Style" w:cs="Arial"/>
        </w:rPr>
        <w:t xml:space="preserve"> CREG</w:t>
      </w:r>
      <w:r w:rsidRPr="001A11B2">
        <w:rPr>
          <w:rFonts w:ascii="Bookman Old Style" w:hAnsi="Bookman Old Style" w:cs="Arial"/>
        </w:rPr>
        <w:t>, entre otras, las siguientes funciones:</w:t>
      </w:r>
    </w:p>
    <w:p w:rsidR="00E77ECD" w:rsidRPr="001A11B2" w:rsidRDefault="00E77ECD" w:rsidP="00E02EB9">
      <w:pPr>
        <w:ind w:left="0"/>
        <w:rPr>
          <w:rFonts w:ascii="Bookman Old Style" w:hAnsi="Bookman Old Style" w:cs="Arial"/>
        </w:rPr>
      </w:pPr>
    </w:p>
    <w:p w:rsidR="004341E9" w:rsidRPr="001A11B2" w:rsidRDefault="004341E9" w:rsidP="00E778D2">
      <w:pPr>
        <w:ind w:left="426"/>
        <w:jc w:val="both"/>
        <w:rPr>
          <w:rFonts w:ascii="Bookman Old Style" w:hAnsi="Bookman Old Style"/>
        </w:rPr>
      </w:pPr>
      <w:r w:rsidRPr="001A11B2">
        <w:rPr>
          <w:rFonts w:ascii="Bookman Old Style" w:hAnsi="Bookman Old Style"/>
        </w:rPr>
        <w:t>- 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r w:rsidR="00E54CB7">
        <w:rPr>
          <w:rFonts w:ascii="Bookman Old Style" w:hAnsi="Bookman Old Style"/>
        </w:rPr>
        <w:t>.</w:t>
      </w:r>
    </w:p>
    <w:p w:rsidR="004341E9" w:rsidRPr="001A11B2" w:rsidRDefault="004341E9" w:rsidP="00E778D2">
      <w:pPr>
        <w:ind w:left="426"/>
        <w:jc w:val="both"/>
        <w:rPr>
          <w:rFonts w:ascii="Bookman Old Style" w:hAnsi="Bookman Old Style" w:cs="Arial"/>
        </w:rPr>
      </w:pPr>
      <w:r w:rsidRPr="001A11B2">
        <w:rPr>
          <w:rFonts w:ascii="Bookman Old Style" w:hAnsi="Bookman Old Style" w:cs="Arial"/>
        </w:rPr>
        <w:lastRenderedPageBreak/>
        <w:t>- Valorar la capacidad de generación de respaldo de la oferta eficiente</w:t>
      </w:r>
      <w:r w:rsidR="00E54CB7">
        <w:rPr>
          <w:rFonts w:ascii="Bookman Old Style" w:hAnsi="Bookman Old Style" w:cs="Arial"/>
        </w:rPr>
        <w:t>.</w:t>
      </w:r>
    </w:p>
    <w:p w:rsidR="004341E9" w:rsidRPr="001A11B2" w:rsidRDefault="004341E9" w:rsidP="00E778D2">
      <w:pPr>
        <w:ind w:left="426"/>
        <w:jc w:val="both"/>
        <w:rPr>
          <w:rFonts w:ascii="Bookman Old Style" w:hAnsi="Bookman Old Style" w:cs="Arial"/>
        </w:rPr>
      </w:pPr>
    </w:p>
    <w:p w:rsidR="004341E9" w:rsidRPr="001A11B2" w:rsidRDefault="004341E9" w:rsidP="00E778D2">
      <w:pPr>
        <w:ind w:left="426"/>
        <w:jc w:val="both"/>
        <w:rPr>
          <w:rFonts w:ascii="Bookman Old Style" w:hAnsi="Bookman Old Style" w:cs="Arial"/>
        </w:rPr>
      </w:pPr>
      <w:r w:rsidRPr="001A11B2">
        <w:rPr>
          <w:rFonts w:ascii="Bookman Old Style" w:hAnsi="Bookman Old Style" w:cs="Arial"/>
        </w:rPr>
        <w:t>- Definir y hacer operativos los criterios técnicos de calidad, confiabilidad y seguridad del servicio de energía</w:t>
      </w:r>
      <w:r w:rsidR="00E54CB7">
        <w:rPr>
          <w:rFonts w:ascii="Bookman Old Style" w:hAnsi="Bookman Old Style" w:cs="Arial"/>
        </w:rPr>
        <w:t>.</w:t>
      </w:r>
    </w:p>
    <w:p w:rsidR="004341E9" w:rsidRPr="001A11B2" w:rsidRDefault="004341E9" w:rsidP="00E778D2">
      <w:pPr>
        <w:ind w:left="426"/>
        <w:jc w:val="both"/>
        <w:rPr>
          <w:rFonts w:ascii="Bookman Old Style" w:hAnsi="Bookman Old Style" w:cs="Arial"/>
        </w:rPr>
      </w:pPr>
    </w:p>
    <w:p w:rsidR="004341E9" w:rsidRPr="001A11B2" w:rsidRDefault="004341E9" w:rsidP="00E778D2">
      <w:pPr>
        <w:ind w:left="426"/>
        <w:jc w:val="both"/>
        <w:rPr>
          <w:rFonts w:ascii="Bookman Old Style" w:hAnsi="Bookman Old Style" w:cs="Arial"/>
        </w:rPr>
      </w:pPr>
      <w:r w:rsidRPr="001A11B2">
        <w:rPr>
          <w:rFonts w:ascii="Bookman Old Style" w:hAnsi="Bookman Old Style" w:cs="Arial"/>
        </w:rPr>
        <w:t>- Determinar las condiciones para la liberación gradual del mercado hacia la libre competencia.</w:t>
      </w:r>
    </w:p>
    <w:p w:rsidR="004341E9" w:rsidRPr="001A11B2" w:rsidRDefault="004341E9" w:rsidP="004341E9">
      <w:pPr>
        <w:rPr>
          <w:rFonts w:ascii="Bookman Old Style" w:hAnsi="Bookman Old Style" w:cs="Arial"/>
          <w:b/>
        </w:rPr>
      </w:pPr>
    </w:p>
    <w:p w:rsidR="004341E9" w:rsidRPr="001A11B2" w:rsidRDefault="004341E9" w:rsidP="0028318B">
      <w:pPr>
        <w:ind w:left="0"/>
        <w:jc w:val="both"/>
        <w:rPr>
          <w:rFonts w:ascii="Bookman Old Style" w:hAnsi="Bookman Old Style" w:cs="Arial"/>
        </w:rPr>
      </w:pPr>
      <w:r w:rsidRPr="001A11B2">
        <w:rPr>
          <w:rFonts w:ascii="Bookman Old Style" w:hAnsi="Bookman Old Style" w:cs="Arial"/>
        </w:rPr>
        <w:t>De acuerdo con lo establecido en el lite</w:t>
      </w:r>
      <w:r w:rsidR="0028318B">
        <w:rPr>
          <w:rFonts w:ascii="Bookman Old Style" w:hAnsi="Bookman Old Style" w:cs="Arial"/>
        </w:rPr>
        <w:t>ral c) del artículo 74.1 de la L</w:t>
      </w:r>
      <w:r w:rsidRPr="001A11B2">
        <w:rPr>
          <w:rFonts w:ascii="Bookman Old Style" w:hAnsi="Bookman Old Style" w:cs="Arial"/>
        </w:rPr>
        <w:t>ey 142 de 1994, le corresponde a la CREG establecer el Reglamento de Operación, para regular el funcionamiento del Mercado</w:t>
      </w:r>
      <w:r w:rsidR="0028318B">
        <w:rPr>
          <w:rFonts w:ascii="Bookman Old Style" w:hAnsi="Bookman Old Style" w:cs="Arial"/>
        </w:rPr>
        <w:t xml:space="preserve"> de Energía </w:t>
      </w:r>
      <w:r w:rsidRPr="001A11B2">
        <w:rPr>
          <w:rFonts w:ascii="Bookman Old Style" w:hAnsi="Bookman Old Style" w:cs="Arial"/>
        </w:rPr>
        <w:t>Mayorista.</w:t>
      </w:r>
    </w:p>
    <w:p w:rsidR="004341E9" w:rsidRPr="001A11B2" w:rsidRDefault="004341E9"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rsidR="004341E9" w:rsidRPr="001A11B2" w:rsidRDefault="004341E9"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1A11B2">
        <w:rPr>
          <w:rFonts w:ascii="Bookman Old Style" w:hAnsi="Bookman Old Style" w:cs="Arial"/>
          <w:bCs/>
          <w:szCs w:val="24"/>
          <w:lang w:val="es-CO" w:eastAsia="es-ES"/>
        </w:rPr>
        <w:t xml:space="preserve">La CREG mediante Resolución CREG 071 de 2006, adoptó la metodología para la remuneración del Cargo por Confiabilidad </w:t>
      </w:r>
      <w:r w:rsidR="0028318B">
        <w:rPr>
          <w:rFonts w:ascii="Bookman Old Style" w:hAnsi="Bookman Old Style" w:cs="Arial"/>
          <w:bCs/>
          <w:szCs w:val="24"/>
          <w:lang w:val="es-CO" w:eastAsia="es-ES"/>
        </w:rPr>
        <w:t>como parte del Reglamento de Operación d</w:t>
      </w:r>
      <w:r w:rsidRPr="001A11B2">
        <w:rPr>
          <w:rFonts w:ascii="Bookman Old Style" w:hAnsi="Bookman Old Style" w:cs="Arial"/>
          <w:bCs/>
          <w:szCs w:val="24"/>
          <w:lang w:val="es-CO" w:eastAsia="es-ES"/>
        </w:rPr>
        <w:t>el Mercado de Energía</w:t>
      </w:r>
      <w:r w:rsidR="0028318B">
        <w:rPr>
          <w:rFonts w:ascii="Bookman Old Style" w:hAnsi="Bookman Old Style" w:cs="Arial"/>
          <w:bCs/>
          <w:szCs w:val="24"/>
          <w:lang w:val="es-CO" w:eastAsia="es-ES"/>
        </w:rPr>
        <w:t xml:space="preserve"> Mayorista</w:t>
      </w:r>
      <w:r w:rsidRPr="001A11B2">
        <w:rPr>
          <w:rFonts w:ascii="Bookman Old Style" w:hAnsi="Bookman Old Style" w:cs="Arial"/>
          <w:bCs/>
          <w:szCs w:val="24"/>
          <w:lang w:val="es-CO" w:eastAsia="es-ES"/>
        </w:rPr>
        <w:t>, en la cual se estableció que con el fin de garantizar la confiabilidad del servicio de energía eléctrica en el Sistema Interconectado Nacional se definirá una Demanda Objetivo que se debe cubrir mediante Obligaciones de Energía Firme</w:t>
      </w:r>
      <w:r w:rsidR="009A4AF6">
        <w:rPr>
          <w:rFonts w:ascii="Bookman Old Style" w:hAnsi="Bookman Old Style" w:cs="Arial"/>
          <w:bCs/>
          <w:szCs w:val="24"/>
          <w:lang w:val="es-CO" w:eastAsia="es-ES"/>
        </w:rPr>
        <w:t>,</w:t>
      </w:r>
      <w:r w:rsidR="0028318B">
        <w:rPr>
          <w:rFonts w:ascii="Bookman Old Style" w:hAnsi="Bookman Old Style" w:cs="Arial"/>
          <w:bCs/>
          <w:szCs w:val="24"/>
          <w:lang w:val="es-CO" w:eastAsia="es-ES"/>
        </w:rPr>
        <w:t xml:space="preserve"> OEF</w:t>
      </w:r>
      <w:r w:rsidRPr="001A11B2">
        <w:rPr>
          <w:rFonts w:ascii="Bookman Old Style" w:hAnsi="Bookman Old Style" w:cs="Arial"/>
          <w:bCs/>
          <w:szCs w:val="24"/>
          <w:lang w:val="es-CO" w:eastAsia="es-ES"/>
        </w:rPr>
        <w:t>.</w:t>
      </w:r>
    </w:p>
    <w:p w:rsidR="004341E9" w:rsidRPr="001A11B2" w:rsidRDefault="004341E9" w:rsidP="004341E9">
      <w:pPr>
        <w:rPr>
          <w:rFonts w:ascii="Bookman Old Style" w:hAnsi="Bookman Old Style" w:cs="Arial"/>
          <w:bCs/>
          <w:sz w:val="22"/>
        </w:rPr>
      </w:pPr>
    </w:p>
    <w:p w:rsidR="004341E9" w:rsidRDefault="004341E9"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1A11B2">
        <w:rPr>
          <w:rFonts w:ascii="Bookman Old Style" w:hAnsi="Bookman Old Style" w:cs="Arial"/>
          <w:bCs/>
          <w:szCs w:val="24"/>
          <w:lang w:val="es-CO" w:eastAsia="es-ES"/>
        </w:rPr>
        <w:t xml:space="preserve">En el artículo 2 de la Resolución CREG 071 de 2006, se definió la Demanda Objetivo como aquella que </w:t>
      </w:r>
      <w:r w:rsidRPr="00902F06">
        <w:rPr>
          <w:rFonts w:ascii="Bookman Old Style" w:hAnsi="Bookman Old Style" w:cs="Arial"/>
          <w:bCs/>
          <w:i/>
          <w:szCs w:val="24"/>
          <w:lang w:val="es-CO" w:eastAsia="es-ES"/>
        </w:rPr>
        <w:t xml:space="preserve">“equivale a la Demanda Total Doméstica de Energía para cada uno de los meses comprendidos entre el 1º de Diciembre y el 30 de noviembre del año siguiente al Período de Planeación, más un porcentaje que fijará la CREG…”; </w:t>
      </w:r>
      <w:r w:rsidRPr="00902F06">
        <w:rPr>
          <w:rFonts w:ascii="Bookman Old Style" w:hAnsi="Bookman Old Style" w:cs="Arial"/>
          <w:bCs/>
          <w:szCs w:val="24"/>
          <w:lang w:val="es-CO" w:eastAsia="es-ES"/>
        </w:rPr>
        <w:t>y se estableció que</w:t>
      </w:r>
      <w:r w:rsidRPr="00902F06">
        <w:rPr>
          <w:rFonts w:ascii="Bookman Old Style" w:hAnsi="Bookman Old Style" w:cs="Arial"/>
          <w:bCs/>
          <w:i/>
          <w:szCs w:val="24"/>
          <w:lang w:val="es-CO" w:eastAsia="es-ES"/>
        </w:rPr>
        <w:t xml:space="preserve"> “la Demanda Total Doméstica de Energía corresponderá a la proyección más reciente elaborada por la UPME para el escenario de proyección seleccionado por la CRE</w:t>
      </w:r>
      <w:r w:rsidRPr="001A11B2">
        <w:rPr>
          <w:rFonts w:ascii="Bookman Old Style" w:hAnsi="Bookman Old Style" w:cs="Arial"/>
          <w:bCs/>
          <w:szCs w:val="24"/>
          <w:lang w:val="es-CO" w:eastAsia="es-ES"/>
        </w:rPr>
        <w:t>G”.</w:t>
      </w:r>
    </w:p>
    <w:p w:rsidR="0028318B" w:rsidRPr="0028318B" w:rsidRDefault="0028318B" w:rsidP="0028318B">
      <w:pPr>
        <w:rPr>
          <w:lang w:val="es-CO"/>
        </w:rPr>
      </w:pPr>
    </w:p>
    <w:p w:rsidR="0028318B" w:rsidRPr="0028318B" w:rsidRDefault="0028318B" w:rsidP="0028318B">
      <w:pPr>
        <w:ind w:left="0"/>
        <w:jc w:val="both"/>
        <w:rPr>
          <w:rFonts w:ascii="Bookman Old Style" w:hAnsi="Bookman Old Style" w:cs="Arial"/>
          <w:bCs/>
          <w:i/>
        </w:rPr>
      </w:pPr>
      <w:r w:rsidRPr="0028318B">
        <w:rPr>
          <w:rFonts w:ascii="Bookman Old Style" w:hAnsi="Bookman Old Style" w:cs="Arial"/>
          <w:bCs/>
        </w:rPr>
        <w:t xml:space="preserve">Según lo dispuesto en el artículo 18 de la Resolución CREG 071 de 2006, </w:t>
      </w:r>
      <w:r w:rsidRPr="0028318B">
        <w:rPr>
          <w:rFonts w:ascii="Bookman Old Style" w:hAnsi="Bookman Old Style" w:cs="Arial"/>
          <w:bCs/>
          <w:i/>
        </w:rPr>
        <w:t xml:space="preserve">“Durante el primer semestre de cada año la CREG verificará si la suma de la ENFICC de cada una de las plantas y/o unidades de generación es mayor o igual a la Demanda Objetivo calculada para el año que inicia el 1º de diciembre del año </w:t>
      </w:r>
      <w:proofErr w:type="spellStart"/>
      <w:r w:rsidRPr="0028318B">
        <w:rPr>
          <w:rFonts w:ascii="Bookman Old Style" w:hAnsi="Bookman Old Style" w:cs="Arial"/>
          <w:bCs/>
          <w:i/>
        </w:rPr>
        <w:t>t+p</w:t>
      </w:r>
      <w:proofErr w:type="spellEnd"/>
      <w:r w:rsidRPr="0028318B">
        <w:rPr>
          <w:rFonts w:ascii="Bookman Old Style" w:hAnsi="Bookman Old Style" w:cs="Arial"/>
          <w:bCs/>
          <w:i/>
        </w:rPr>
        <w:t>, de acuerdo con lo establecido en el Artículo 19 de esta resolución”.</w:t>
      </w:r>
    </w:p>
    <w:p w:rsidR="004341E9" w:rsidRPr="0028318B" w:rsidRDefault="004341E9" w:rsidP="004341E9">
      <w:pPr>
        <w:rPr>
          <w:rFonts w:ascii="Bookman Old Style" w:hAnsi="Bookman Old Style" w:cs="Arial"/>
          <w:bCs/>
          <w:i/>
          <w:sz w:val="22"/>
        </w:rPr>
      </w:pPr>
    </w:p>
    <w:p w:rsidR="004341E9" w:rsidRPr="0028318B" w:rsidRDefault="004341E9" w:rsidP="004341E9">
      <w:pPr>
        <w:ind w:left="0"/>
        <w:jc w:val="both"/>
        <w:rPr>
          <w:rFonts w:ascii="Bookman Old Style" w:hAnsi="Bookman Old Style" w:cs="Arial"/>
          <w:i/>
        </w:rPr>
      </w:pPr>
      <w:r w:rsidRPr="0028318B">
        <w:rPr>
          <w:rFonts w:ascii="Bookman Old Style" w:hAnsi="Bookman Old Style" w:cs="Arial"/>
          <w:bCs/>
        </w:rPr>
        <w:t>En el citado artículo 18 de la Resolución CREG</w:t>
      </w:r>
      <w:r w:rsidR="00E54CB7">
        <w:rPr>
          <w:rFonts w:ascii="Bookman Old Style" w:hAnsi="Bookman Old Style" w:cs="Arial"/>
          <w:bCs/>
        </w:rPr>
        <w:t xml:space="preserve"> </w:t>
      </w:r>
      <w:r w:rsidRPr="0028318B">
        <w:rPr>
          <w:rFonts w:ascii="Bookman Old Style" w:hAnsi="Bookman Old Style" w:cs="Arial"/>
          <w:bCs/>
        </w:rPr>
        <w:t xml:space="preserve">071 de 2006 se estableció que </w:t>
      </w:r>
      <w:r w:rsidRPr="0028318B">
        <w:rPr>
          <w:rFonts w:ascii="Bookman Old Style" w:hAnsi="Bookman Old Style" w:cs="Arial"/>
          <w:bCs/>
          <w:i/>
        </w:rPr>
        <w:t>“l</w:t>
      </w:r>
      <w:r w:rsidRPr="0028318B">
        <w:rPr>
          <w:rFonts w:ascii="Bookman Old Style" w:hAnsi="Bookman Old Style" w:cs="Arial"/>
          <w:i/>
        </w:rPr>
        <w:t>a CREG fijará, mediante resolución, la oportunidad en que el ASIC debe llevar a cabo la Subasta o el mecanismo de asignación que haga sus veces; así como el cronograma de las actividades que deben ejecutarse durante los Períodos de Precalificación y de Planeación de la Subasta, o las fechas máximas de ejecución de las actividades asociadas al mecanismo de asignación, según sea el caso”.</w:t>
      </w:r>
    </w:p>
    <w:p w:rsidR="006D6DB2" w:rsidRPr="0028318B" w:rsidRDefault="006D6DB2" w:rsidP="004341E9">
      <w:pPr>
        <w:ind w:left="0"/>
        <w:jc w:val="both"/>
        <w:rPr>
          <w:rFonts w:ascii="Bookman Old Style" w:hAnsi="Bookman Old Style"/>
          <w:bCs/>
        </w:rPr>
      </w:pPr>
    </w:p>
    <w:p w:rsidR="0028318B" w:rsidRPr="0028318B" w:rsidRDefault="0028318B" w:rsidP="0028318B">
      <w:pPr>
        <w:ind w:left="0"/>
        <w:jc w:val="both"/>
        <w:rPr>
          <w:rFonts w:ascii="Bookman Old Style" w:hAnsi="Bookman Old Style" w:cs="Arial"/>
          <w:bCs/>
        </w:rPr>
      </w:pPr>
      <w:r w:rsidRPr="0028318B">
        <w:rPr>
          <w:rFonts w:ascii="Bookman Old Style" w:hAnsi="Bookman Old Style" w:cs="Arial"/>
          <w:bCs/>
        </w:rPr>
        <w:t>El 12 de abril de 2018, con radicado CREG E-2018-003447, la Unidad de Planeación Minero Energética UPME remitió a la CREG, el documento titulado como “</w:t>
      </w:r>
      <w:r w:rsidRPr="0028318B">
        <w:rPr>
          <w:rFonts w:ascii="Bookman Old Style" w:hAnsi="Bookman Old Style" w:cs="Arial"/>
          <w:bCs/>
          <w:i/>
        </w:rPr>
        <w:t>Proyección de la Demanda de Energía Eléctrica y Potencia Máxima en Colombia, revisión abril de 2018</w:t>
      </w:r>
      <w:r w:rsidRPr="0028318B">
        <w:rPr>
          <w:rFonts w:ascii="Bookman Old Style" w:hAnsi="Bookman Old Style" w:cs="Arial"/>
          <w:bCs/>
        </w:rPr>
        <w:t>”.</w:t>
      </w:r>
    </w:p>
    <w:p w:rsidR="0028318B" w:rsidRPr="0028318B" w:rsidRDefault="0028318B" w:rsidP="0028318B">
      <w:pPr>
        <w:ind w:left="0"/>
        <w:jc w:val="both"/>
        <w:rPr>
          <w:rFonts w:ascii="Bookman Old Style" w:hAnsi="Bookman Old Style"/>
          <w:color w:val="000000"/>
          <w:sz w:val="22"/>
          <w:szCs w:val="22"/>
          <w:lang w:val="es-CO" w:eastAsia="es-CO"/>
        </w:rPr>
      </w:pPr>
    </w:p>
    <w:p w:rsidR="0028318B" w:rsidRDefault="0028318B" w:rsidP="0028318B">
      <w:pPr>
        <w:ind w:left="0"/>
        <w:jc w:val="both"/>
        <w:rPr>
          <w:rFonts w:ascii="Bookman Old Style" w:hAnsi="Bookman Old Style" w:cs="Arial"/>
          <w:bCs/>
        </w:rPr>
      </w:pPr>
      <w:r w:rsidRPr="0028318B">
        <w:rPr>
          <w:rFonts w:ascii="Bookman Old Style" w:hAnsi="Bookman Old Style"/>
          <w:bCs/>
        </w:rPr>
        <w:t xml:space="preserve">En cumplimiento del artículo 18 de la Resolución CREG 071 de 2006, se analizó la información reportada oportunamente por los agentes y se verificó si la suma de las ENFICC de cada una de las plantas es mayor o igual a la demanda objetivo. El análisis de escenarios entre la oferta de energía firme disponible para abastecer a la demanda en condición crítica en el corto y mediano plazo </w:t>
      </w:r>
      <w:r w:rsidR="00E54CB7">
        <w:rPr>
          <w:rFonts w:ascii="Bookman Old Style" w:hAnsi="Bookman Old Style"/>
          <w:bCs/>
        </w:rPr>
        <w:t xml:space="preserve">se </w:t>
      </w:r>
      <w:r w:rsidR="00E54CB7">
        <w:rPr>
          <w:rFonts w:ascii="Bookman Old Style" w:hAnsi="Bookman Old Style"/>
          <w:bCs/>
        </w:rPr>
        <w:lastRenderedPageBreak/>
        <w:t xml:space="preserve">presentó </w:t>
      </w:r>
      <w:r w:rsidRPr="0028318B">
        <w:rPr>
          <w:rFonts w:ascii="Bookman Old Style" w:hAnsi="Bookman Old Style"/>
          <w:bCs/>
        </w:rPr>
        <w:t>en el Documento CREG 049 de 2018.</w:t>
      </w:r>
      <w:r>
        <w:rPr>
          <w:rFonts w:ascii="Bookman Old Style" w:hAnsi="Bookman Old Style"/>
          <w:bCs/>
        </w:rPr>
        <w:t xml:space="preserve"> </w:t>
      </w:r>
      <w:r w:rsidR="00337365">
        <w:rPr>
          <w:rFonts w:ascii="Bookman Old Style" w:hAnsi="Bookman Old Style"/>
          <w:bCs/>
        </w:rPr>
        <w:t xml:space="preserve"> </w:t>
      </w:r>
      <w:r>
        <w:rPr>
          <w:rFonts w:ascii="Bookman Old Style" w:hAnsi="Bookman Old Style"/>
          <w:bCs/>
        </w:rPr>
        <w:t xml:space="preserve">Como resultado de dichos análisis se </w:t>
      </w:r>
      <w:r>
        <w:rPr>
          <w:rFonts w:ascii="Bookman Old Style" w:hAnsi="Bookman Old Style" w:cs="Arial"/>
          <w:bCs/>
        </w:rPr>
        <w:t xml:space="preserve">expidió a consulta la Resolución CREG 065 de 2018, en donde se propone </w:t>
      </w:r>
      <w:r w:rsidR="00337365">
        <w:rPr>
          <w:rFonts w:ascii="Bookman Old Style" w:hAnsi="Bookman Old Style" w:cs="Arial"/>
          <w:bCs/>
        </w:rPr>
        <w:t xml:space="preserve">la </w:t>
      </w:r>
      <w:r>
        <w:rPr>
          <w:rFonts w:ascii="Bookman Old Style" w:hAnsi="Bookman Old Style" w:cs="Arial"/>
          <w:bCs/>
        </w:rPr>
        <w:t>asignación de OEF a prorrata para generadores existentes para los periodos 2019-2020, 2020-2021 y 2021</w:t>
      </w:r>
      <w:r w:rsidR="009A4AF6">
        <w:rPr>
          <w:rFonts w:ascii="Bookman Old Style" w:hAnsi="Bookman Old Style" w:cs="Arial"/>
          <w:bCs/>
        </w:rPr>
        <w:t>-</w:t>
      </w:r>
      <w:r>
        <w:rPr>
          <w:rFonts w:ascii="Bookman Old Style" w:hAnsi="Bookman Old Style" w:cs="Arial"/>
          <w:bCs/>
        </w:rPr>
        <w:t xml:space="preserve">2022. </w:t>
      </w:r>
    </w:p>
    <w:p w:rsidR="0028318B" w:rsidRDefault="0028318B" w:rsidP="0028318B">
      <w:pPr>
        <w:ind w:left="0"/>
        <w:jc w:val="both"/>
        <w:rPr>
          <w:rFonts w:ascii="Bookman Old Style" w:hAnsi="Bookman Old Style" w:cs="Arial"/>
          <w:bCs/>
        </w:rPr>
      </w:pPr>
    </w:p>
    <w:p w:rsidR="0028318B" w:rsidRPr="001A11B2" w:rsidRDefault="0028318B" w:rsidP="0028318B">
      <w:pPr>
        <w:ind w:left="0"/>
        <w:jc w:val="both"/>
        <w:rPr>
          <w:rFonts w:ascii="Bookman Old Style" w:hAnsi="Bookman Old Style"/>
          <w:szCs w:val="20"/>
          <w:lang w:val="es-CO"/>
        </w:rPr>
      </w:pPr>
      <w:r>
        <w:rPr>
          <w:rFonts w:ascii="Bookman Old Style" w:hAnsi="Bookman Old Style" w:cs="Arial"/>
          <w:bCs/>
        </w:rPr>
        <w:t xml:space="preserve">Adicionalmente, en la misma resolución se propone </w:t>
      </w:r>
      <w:r w:rsidRPr="001A11B2">
        <w:rPr>
          <w:rFonts w:ascii="Bookman Old Style" w:hAnsi="Bookman Old Style"/>
          <w:szCs w:val="20"/>
          <w:lang w:val="es-CO"/>
        </w:rPr>
        <w:t xml:space="preserve">extender </w:t>
      </w:r>
      <w:r>
        <w:rPr>
          <w:rFonts w:ascii="Bookman Old Style" w:hAnsi="Bookman Old Style"/>
          <w:szCs w:val="20"/>
          <w:lang w:val="es-CO"/>
        </w:rPr>
        <w:t>el</w:t>
      </w:r>
      <w:r w:rsidRPr="001A11B2">
        <w:rPr>
          <w:rFonts w:ascii="Bookman Old Style" w:hAnsi="Bookman Old Style"/>
          <w:szCs w:val="20"/>
          <w:lang w:val="es-CO"/>
        </w:rPr>
        <w:t xml:space="preserve"> plazo</w:t>
      </w:r>
      <w:r>
        <w:rPr>
          <w:rFonts w:ascii="Bookman Old Style" w:hAnsi="Bookman Old Style"/>
          <w:szCs w:val="20"/>
          <w:lang w:val="es-CO"/>
        </w:rPr>
        <w:t xml:space="preserve"> </w:t>
      </w:r>
      <w:r>
        <w:rPr>
          <w:rFonts w:ascii="Bookman Old Style" w:hAnsi="Bookman Old Style" w:cs="Arial"/>
          <w:bCs/>
        </w:rPr>
        <w:t>de</w:t>
      </w:r>
      <w:r w:rsidRPr="001A11B2">
        <w:rPr>
          <w:rFonts w:ascii="Bookman Old Style" w:hAnsi="Bookman Old Style" w:cs="Arial"/>
          <w:bCs/>
        </w:rPr>
        <w:t xml:space="preserve"> los periodos previstos para la entrega de documentación referente a los contratos </w:t>
      </w:r>
      <w:r w:rsidRPr="001A11B2">
        <w:rPr>
          <w:rFonts w:ascii="Bookman Old Style" w:hAnsi="Bookman Old Style"/>
          <w:szCs w:val="20"/>
          <w:lang w:val="es-CO"/>
        </w:rPr>
        <w:t>de combustible, los contratos de servicios con terceros y el documento de logística de abastecimiento,</w:t>
      </w:r>
      <w:r>
        <w:rPr>
          <w:rFonts w:ascii="Bookman Old Style" w:hAnsi="Bookman Old Style"/>
          <w:szCs w:val="20"/>
          <w:lang w:val="es-CO"/>
        </w:rPr>
        <w:t xml:space="preserve"> para los generadores que operan con combustibles líquidos, ya que los plazos establecidos originalmente,</w:t>
      </w:r>
      <w:r w:rsidRPr="001A11B2">
        <w:rPr>
          <w:rFonts w:ascii="Bookman Old Style" w:hAnsi="Bookman Old Style"/>
          <w:szCs w:val="20"/>
          <w:lang w:val="es-CO"/>
        </w:rPr>
        <w:t xml:space="preserve"> no se ajustan para la asignación </w:t>
      </w:r>
      <w:r w:rsidR="00337365">
        <w:rPr>
          <w:rFonts w:ascii="Bookman Old Style" w:hAnsi="Bookman Old Style"/>
          <w:szCs w:val="20"/>
          <w:lang w:val="es-CO"/>
        </w:rPr>
        <w:t>propuesta</w:t>
      </w:r>
      <w:r w:rsidR="004E339E">
        <w:rPr>
          <w:rFonts w:ascii="Bookman Old Style" w:hAnsi="Bookman Old Style"/>
          <w:szCs w:val="20"/>
          <w:lang w:val="es-CO"/>
        </w:rPr>
        <w:t xml:space="preserve"> en </w:t>
      </w:r>
      <w:r>
        <w:rPr>
          <w:rFonts w:ascii="Bookman Old Style" w:hAnsi="Bookman Old Style"/>
          <w:szCs w:val="20"/>
          <w:lang w:val="es-CO"/>
        </w:rPr>
        <w:t xml:space="preserve">la mencionada </w:t>
      </w:r>
      <w:r w:rsidRPr="001A11B2">
        <w:rPr>
          <w:rFonts w:ascii="Bookman Old Style" w:hAnsi="Bookman Old Style"/>
          <w:szCs w:val="20"/>
          <w:lang w:val="es-CO"/>
        </w:rPr>
        <w:t>resolución.</w:t>
      </w:r>
    </w:p>
    <w:p w:rsidR="0028318B" w:rsidRDefault="0028318B" w:rsidP="0028318B">
      <w:pPr>
        <w:ind w:left="0"/>
        <w:jc w:val="both"/>
        <w:rPr>
          <w:rFonts w:ascii="Bookman Old Style" w:hAnsi="Bookman Old Style" w:cs="Arial"/>
          <w:bCs/>
        </w:rPr>
      </w:pPr>
    </w:p>
    <w:p w:rsidR="0028318B" w:rsidRPr="00BD5696" w:rsidRDefault="004E339E" w:rsidP="0028318B">
      <w:pPr>
        <w:ind w:left="0"/>
        <w:jc w:val="both"/>
        <w:rPr>
          <w:rFonts w:ascii="Bookman Old Style" w:hAnsi="Bookman Old Style"/>
          <w:szCs w:val="20"/>
          <w:lang w:val="es-CO"/>
        </w:rPr>
      </w:pPr>
      <w:r>
        <w:rPr>
          <w:rFonts w:ascii="Bookman Old Style" w:hAnsi="Bookman Old Style"/>
          <w:szCs w:val="20"/>
          <w:lang w:val="es-CO"/>
        </w:rPr>
        <w:t xml:space="preserve">Durante </w:t>
      </w:r>
      <w:r w:rsidR="0028318B" w:rsidRPr="00BD5696">
        <w:rPr>
          <w:rFonts w:ascii="Bookman Old Style" w:hAnsi="Bookman Old Style"/>
          <w:szCs w:val="20"/>
          <w:lang w:val="es-CO"/>
        </w:rPr>
        <w:t>el periodo de comentarios, se recibieron y radicaron en la CREG l</w:t>
      </w:r>
      <w:r>
        <w:rPr>
          <w:rFonts w:ascii="Bookman Old Style" w:hAnsi="Bookman Old Style"/>
          <w:szCs w:val="20"/>
          <w:lang w:val="es-CO"/>
        </w:rPr>
        <w:t>a</w:t>
      </w:r>
      <w:r w:rsidR="0028318B" w:rsidRPr="00BD5696">
        <w:rPr>
          <w:rFonts w:ascii="Bookman Old Style" w:hAnsi="Bookman Old Style"/>
          <w:szCs w:val="20"/>
          <w:lang w:val="es-CO"/>
        </w:rPr>
        <w:t xml:space="preserve">s siguientes </w:t>
      </w:r>
      <w:r>
        <w:rPr>
          <w:rFonts w:ascii="Bookman Old Style" w:hAnsi="Bookman Old Style"/>
          <w:szCs w:val="20"/>
          <w:lang w:val="es-CO"/>
        </w:rPr>
        <w:t>comunicaciones</w:t>
      </w:r>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E-2018-005577</w:t>
      </w:r>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Argos</w:t>
      </w:r>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E-2018-005672</w:t>
      </w:r>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USAENE</w:t>
      </w:r>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E-2018-005810</w:t>
      </w:r>
      <w:r w:rsidR="0028318B" w:rsidRPr="00BD5696">
        <w:rPr>
          <w:rFonts w:ascii="Bookman Old Style" w:hAnsi="Bookman Old Style"/>
          <w:szCs w:val="20"/>
          <w:lang w:val="es-CO"/>
        </w:rPr>
        <w:t xml:space="preserve"> </w:t>
      </w:r>
      <w:proofErr w:type="spellStart"/>
      <w:r w:rsidR="0028318B" w:rsidRPr="00BD5696">
        <w:rPr>
          <w:rFonts w:ascii="Bookman Old Style" w:hAnsi="Bookman Old Style"/>
          <w:szCs w:val="20"/>
          <w:lang w:val="es-CO"/>
        </w:rPr>
        <w:t>Isagen</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E-2018-005763</w:t>
      </w:r>
      <w:r w:rsidR="0028318B" w:rsidRPr="00BD5696">
        <w:rPr>
          <w:rFonts w:ascii="Bookman Old Style" w:hAnsi="Bookman Old Style"/>
          <w:szCs w:val="20"/>
          <w:lang w:val="es-CO"/>
        </w:rPr>
        <w:t xml:space="preserve"> </w:t>
      </w:r>
      <w:proofErr w:type="spellStart"/>
      <w:r w:rsidR="0028318B" w:rsidRPr="00BD5696">
        <w:rPr>
          <w:rFonts w:ascii="Bookman Old Style" w:hAnsi="Bookman Old Style"/>
          <w:szCs w:val="20"/>
          <w:lang w:val="es-CO"/>
        </w:rPr>
        <w:t>Peldar</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E-2018-005756</w:t>
      </w:r>
      <w:r w:rsidR="0028318B" w:rsidRPr="00BD5696">
        <w:rPr>
          <w:rFonts w:ascii="Bookman Old Style" w:hAnsi="Bookman Old Style"/>
          <w:szCs w:val="20"/>
          <w:lang w:val="es-CO"/>
        </w:rPr>
        <w:t xml:space="preserve"> </w:t>
      </w:r>
      <w:proofErr w:type="spellStart"/>
      <w:r w:rsidR="0028318B" w:rsidRPr="00BD5696">
        <w:rPr>
          <w:rFonts w:ascii="Bookman Old Style" w:hAnsi="Bookman Old Style"/>
          <w:szCs w:val="20"/>
          <w:lang w:val="es-CO"/>
        </w:rPr>
        <w:t>Ingredion</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E-2018- 005751</w:t>
      </w:r>
      <w:r w:rsidR="0028318B" w:rsidRPr="00BD5696">
        <w:rPr>
          <w:rFonts w:ascii="Bookman Old Style" w:hAnsi="Bookman Old Style"/>
          <w:szCs w:val="20"/>
          <w:lang w:val="es-CO"/>
        </w:rPr>
        <w:t xml:space="preserve"> </w:t>
      </w:r>
      <w:proofErr w:type="spellStart"/>
      <w:r w:rsidR="0028318B" w:rsidRPr="00602FCA">
        <w:rPr>
          <w:rFonts w:ascii="Bookman Old Style" w:hAnsi="Bookman Old Style"/>
          <w:szCs w:val="20"/>
          <w:lang w:val="es-CO"/>
        </w:rPr>
        <w:t>Asoenergía</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E-2018-005758</w:t>
      </w:r>
      <w:r w:rsidR="0028318B" w:rsidRPr="00BD5696">
        <w:rPr>
          <w:rFonts w:ascii="Bookman Old Style" w:hAnsi="Bookman Old Style"/>
          <w:szCs w:val="20"/>
          <w:lang w:val="es-CO"/>
        </w:rPr>
        <w:t xml:space="preserve"> </w:t>
      </w:r>
      <w:proofErr w:type="spellStart"/>
      <w:r w:rsidR="0028318B" w:rsidRPr="00BD5696">
        <w:rPr>
          <w:rFonts w:ascii="Bookman Old Style" w:hAnsi="Bookman Old Style"/>
          <w:szCs w:val="20"/>
          <w:lang w:val="es-CO"/>
        </w:rPr>
        <w:t>Oil</w:t>
      </w:r>
      <w:proofErr w:type="spellEnd"/>
      <w:r w:rsidR="0028318B" w:rsidRPr="00BD5696">
        <w:rPr>
          <w:rFonts w:ascii="Bookman Old Style" w:hAnsi="Bookman Old Style"/>
          <w:szCs w:val="20"/>
          <w:lang w:val="es-CO"/>
        </w:rPr>
        <w:t xml:space="preserve">, Gas &amp; </w:t>
      </w:r>
      <w:proofErr w:type="spellStart"/>
      <w:r w:rsidR="0028318B" w:rsidRPr="00BD5696">
        <w:rPr>
          <w:rFonts w:ascii="Bookman Old Style" w:hAnsi="Bookman Old Style"/>
          <w:szCs w:val="20"/>
          <w:lang w:val="es-CO"/>
        </w:rPr>
        <w:t>Energy</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E-2018-005757</w:t>
      </w:r>
      <w:r w:rsidR="0028318B" w:rsidRPr="00BD5696">
        <w:rPr>
          <w:rFonts w:ascii="Bookman Old Style" w:hAnsi="Bookman Old Style"/>
          <w:szCs w:val="20"/>
          <w:lang w:val="es-CO"/>
        </w:rPr>
        <w:t xml:space="preserve"> </w:t>
      </w:r>
      <w:proofErr w:type="spellStart"/>
      <w:r w:rsidR="0028318B" w:rsidRPr="00602FCA">
        <w:rPr>
          <w:rFonts w:ascii="Bookman Old Style" w:hAnsi="Bookman Old Style"/>
          <w:szCs w:val="20"/>
          <w:lang w:val="es-CO"/>
        </w:rPr>
        <w:t>Newgen</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E-2018-005755</w:t>
      </w:r>
      <w:r w:rsidR="0028318B" w:rsidRPr="00BD5696">
        <w:rPr>
          <w:rFonts w:ascii="Bookman Old Style" w:hAnsi="Bookman Old Style"/>
          <w:szCs w:val="20"/>
          <w:lang w:val="es-CO"/>
        </w:rPr>
        <w:t xml:space="preserve"> </w:t>
      </w:r>
      <w:proofErr w:type="spellStart"/>
      <w:r w:rsidR="0028318B" w:rsidRPr="00602FCA">
        <w:rPr>
          <w:rFonts w:ascii="Bookman Old Style" w:hAnsi="Bookman Old Style"/>
          <w:szCs w:val="20"/>
          <w:lang w:val="es-CO"/>
        </w:rPr>
        <w:t>Celsia</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E-2018-005754</w:t>
      </w:r>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 xml:space="preserve">Juan </w:t>
      </w:r>
      <w:proofErr w:type="spellStart"/>
      <w:r w:rsidR="0028318B" w:rsidRPr="00602FCA">
        <w:rPr>
          <w:rFonts w:ascii="Bookman Old Style" w:hAnsi="Bookman Old Style"/>
          <w:szCs w:val="20"/>
          <w:lang w:val="es-CO"/>
        </w:rPr>
        <w:t>Sebastian</w:t>
      </w:r>
      <w:proofErr w:type="spellEnd"/>
      <w:r w:rsidR="0028318B" w:rsidRPr="00602FCA">
        <w:rPr>
          <w:rFonts w:ascii="Bookman Old Style" w:hAnsi="Bookman Old Style"/>
          <w:szCs w:val="20"/>
          <w:lang w:val="es-CO"/>
        </w:rPr>
        <w:t xml:space="preserve"> Restrepo</w:t>
      </w:r>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E-2018-005752</w:t>
      </w:r>
      <w:r w:rsidR="0028318B" w:rsidRPr="00BD5696">
        <w:rPr>
          <w:rFonts w:ascii="Bookman Old Style" w:hAnsi="Bookman Old Style"/>
          <w:szCs w:val="20"/>
          <w:lang w:val="es-CO"/>
        </w:rPr>
        <w:t xml:space="preserve"> </w:t>
      </w:r>
      <w:proofErr w:type="spellStart"/>
      <w:r w:rsidR="0028318B" w:rsidRPr="00602FCA">
        <w:rPr>
          <w:rFonts w:ascii="Bookman Old Style" w:hAnsi="Bookman Old Style"/>
          <w:szCs w:val="20"/>
          <w:lang w:val="es-CO"/>
        </w:rPr>
        <w:t>Gecelca</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E-2018-005749</w:t>
      </w:r>
      <w:r w:rsidR="0028318B" w:rsidRPr="00BD5696">
        <w:rPr>
          <w:rFonts w:ascii="Bookman Old Style" w:hAnsi="Bookman Old Style"/>
          <w:szCs w:val="20"/>
          <w:lang w:val="es-CO"/>
        </w:rPr>
        <w:t xml:space="preserve"> </w:t>
      </w:r>
      <w:proofErr w:type="spellStart"/>
      <w:r w:rsidR="0028318B" w:rsidRPr="00602FCA">
        <w:rPr>
          <w:rFonts w:ascii="Bookman Old Style" w:hAnsi="Bookman Old Style"/>
          <w:szCs w:val="20"/>
          <w:lang w:val="es-CO"/>
        </w:rPr>
        <w:t>Tebsa</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E-2018-005746</w:t>
      </w:r>
      <w:r w:rsidR="0028318B" w:rsidRPr="00BD5696">
        <w:rPr>
          <w:rFonts w:ascii="Bookman Old Style" w:hAnsi="Bookman Old Style"/>
          <w:szCs w:val="20"/>
          <w:lang w:val="es-CO"/>
        </w:rPr>
        <w:t xml:space="preserve"> </w:t>
      </w:r>
      <w:proofErr w:type="spellStart"/>
      <w:r w:rsidR="0028318B" w:rsidRPr="00BD5696">
        <w:rPr>
          <w:rFonts w:ascii="Bookman Old Style" w:hAnsi="Bookman Old Style"/>
          <w:szCs w:val="20"/>
          <w:lang w:val="es-CO"/>
        </w:rPr>
        <w:t>Emgesa</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E-2018-005737</w:t>
      </w:r>
      <w:r w:rsidR="0028318B" w:rsidRPr="00BD5696">
        <w:rPr>
          <w:rFonts w:ascii="Bookman Old Style" w:hAnsi="Bookman Old Style"/>
          <w:szCs w:val="20"/>
          <w:lang w:val="es-CO"/>
        </w:rPr>
        <w:t xml:space="preserve"> </w:t>
      </w:r>
      <w:proofErr w:type="spellStart"/>
      <w:r w:rsidR="0028318B" w:rsidRPr="00602FCA">
        <w:rPr>
          <w:rFonts w:ascii="Bookman Old Style" w:hAnsi="Bookman Old Style"/>
          <w:szCs w:val="20"/>
          <w:lang w:val="es-CO"/>
        </w:rPr>
        <w:t>Andesco</w:t>
      </w:r>
      <w:proofErr w:type="spellEnd"/>
      <w:r w:rsidR="0028318B" w:rsidRPr="00BD5696">
        <w:rPr>
          <w:rFonts w:ascii="Bookman Old Style" w:hAnsi="Bookman Old Style"/>
          <w:szCs w:val="20"/>
          <w:lang w:val="es-CO"/>
        </w:rPr>
        <w:t xml:space="preserve">; </w:t>
      </w:r>
      <w:r w:rsidR="0028318B" w:rsidRPr="00602FCA">
        <w:rPr>
          <w:rFonts w:ascii="Bookman Old Style" w:hAnsi="Bookman Old Style"/>
          <w:szCs w:val="20"/>
          <w:lang w:val="es-CO"/>
        </w:rPr>
        <w:t>E-2018-005736</w:t>
      </w:r>
      <w:r w:rsidR="0028318B">
        <w:rPr>
          <w:rFonts w:ascii="Bookman Old Style" w:hAnsi="Bookman Old Style"/>
          <w:szCs w:val="20"/>
          <w:lang w:val="es-CO"/>
        </w:rPr>
        <w:t xml:space="preserve"> </w:t>
      </w:r>
      <w:proofErr w:type="spellStart"/>
      <w:r w:rsidR="0028318B">
        <w:rPr>
          <w:rFonts w:ascii="Bookman Old Style" w:hAnsi="Bookman Old Style"/>
          <w:szCs w:val="20"/>
          <w:lang w:val="es-CO"/>
        </w:rPr>
        <w:t>Andeg</w:t>
      </w:r>
      <w:proofErr w:type="spellEnd"/>
      <w:r w:rsidR="0028318B">
        <w:rPr>
          <w:rFonts w:ascii="Bookman Old Style" w:hAnsi="Bookman Old Style"/>
          <w:szCs w:val="20"/>
          <w:lang w:val="es-CO"/>
        </w:rPr>
        <w:t xml:space="preserve">; </w:t>
      </w:r>
      <w:r w:rsidR="0028318B" w:rsidRPr="0028318B">
        <w:rPr>
          <w:rFonts w:ascii="Bookman Old Style" w:hAnsi="Bookman Old Style"/>
          <w:bCs/>
          <w:lang w:val="es-CO"/>
        </w:rPr>
        <w:t>E-2018-005730</w:t>
      </w:r>
      <w:r w:rsidR="0028318B">
        <w:rPr>
          <w:rFonts w:ascii="Bookman Old Style" w:hAnsi="Bookman Old Style"/>
          <w:bCs/>
          <w:lang w:val="es-CO"/>
        </w:rPr>
        <w:t xml:space="preserve"> </w:t>
      </w:r>
      <w:proofErr w:type="spellStart"/>
      <w:r w:rsidR="0028318B" w:rsidRPr="0028318B">
        <w:rPr>
          <w:rFonts w:ascii="Bookman Old Style" w:hAnsi="Bookman Old Style"/>
          <w:bCs/>
          <w:lang w:val="es-CO"/>
        </w:rPr>
        <w:t>Termoemcali</w:t>
      </w:r>
      <w:proofErr w:type="spellEnd"/>
      <w:r w:rsidR="0028318B">
        <w:rPr>
          <w:rFonts w:ascii="Bookman Old Style" w:hAnsi="Bookman Old Style"/>
          <w:bCs/>
          <w:lang w:val="es-CO"/>
        </w:rPr>
        <w:t xml:space="preserve">; </w:t>
      </w:r>
      <w:r w:rsidR="0028318B" w:rsidRPr="0028318B">
        <w:rPr>
          <w:rFonts w:ascii="Bookman Old Style" w:hAnsi="Bookman Old Style"/>
          <w:bCs/>
          <w:lang w:val="es-CO"/>
        </w:rPr>
        <w:t>E-2018-005729</w:t>
      </w:r>
      <w:r w:rsidR="0028318B">
        <w:rPr>
          <w:rFonts w:ascii="Bookman Old Style" w:hAnsi="Bookman Old Style"/>
          <w:bCs/>
          <w:lang w:val="es-CO"/>
        </w:rPr>
        <w:t xml:space="preserve"> XM, </w:t>
      </w:r>
      <w:r w:rsidR="0028318B" w:rsidRPr="0028318B">
        <w:rPr>
          <w:rFonts w:ascii="Bookman Old Style" w:hAnsi="Bookman Old Style"/>
          <w:bCs/>
          <w:lang w:val="es-CO"/>
        </w:rPr>
        <w:t>E-2018-005709</w:t>
      </w:r>
      <w:r w:rsidR="0028318B">
        <w:rPr>
          <w:rFonts w:ascii="Bookman Old Style" w:hAnsi="Bookman Old Style"/>
          <w:bCs/>
          <w:lang w:val="es-CO"/>
        </w:rPr>
        <w:t xml:space="preserve"> </w:t>
      </w:r>
      <w:proofErr w:type="spellStart"/>
      <w:r w:rsidR="0028318B" w:rsidRPr="0028318B">
        <w:rPr>
          <w:rFonts w:ascii="Bookman Old Style" w:hAnsi="Bookman Old Style"/>
          <w:bCs/>
          <w:lang w:val="es-CO"/>
        </w:rPr>
        <w:t>Termotasajero</w:t>
      </w:r>
      <w:proofErr w:type="spellEnd"/>
      <w:r w:rsidR="0028318B">
        <w:rPr>
          <w:rFonts w:ascii="Bookman Old Style" w:hAnsi="Bookman Old Style"/>
          <w:bCs/>
          <w:lang w:val="es-CO"/>
        </w:rPr>
        <w:t xml:space="preserve">; </w:t>
      </w:r>
      <w:r w:rsidR="0028318B" w:rsidRPr="0028318B">
        <w:rPr>
          <w:rFonts w:ascii="Bookman Old Style" w:hAnsi="Bookman Old Style"/>
          <w:bCs/>
          <w:lang w:val="es-CO"/>
        </w:rPr>
        <w:t>E-2018-005702</w:t>
      </w:r>
      <w:r w:rsidR="0028318B">
        <w:rPr>
          <w:rFonts w:ascii="Bookman Old Style" w:hAnsi="Bookman Old Style"/>
          <w:bCs/>
          <w:lang w:val="es-CO"/>
        </w:rPr>
        <w:t xml:space="preserve"> </w:t>
      </w:r>
      <w:r w:rsidR="0028318B" w:rsidRPr="0028318B">
        <w:rPr>
          <w:rFonts w:ascii="Bookman Old Style" w:hAnsi="Bookman Old Style"/>
          <w:bCs/>
          <w:lang w:val="es-CO"/>
        </w:rPr>
        <w:t>Innovación Energía</w:t>
      </w:r>
      <w:r w:rsidR="0028318B">
        <w:rPr>
          <w:rFonts w:ascii="Bookman Old Style" w:hAnsi="Bookman Old Style"/>
          <w:bCs/>
          <w:lang w:val="es-CO"/>
        </w:rPr>
        <w:t xml:space="preserve">; </w:t>
      </w:r>
      <w:r w:rsidR="0028318B" w:rsidRPr="0028318B">
        <w:rPr>
          <w:rFonts w:ascii="Bookman Old Style" w:hAnsi="Bookman Old Style"/>
          <w:bCs/>
          <w:lang w:val="es-CO"/>
        </w:rPr>
        <w:t>E-2018-005753</w:t>
      </w:r>
      <w:r w:rsidR="0028318B">
        <w:rPr>
          <w:rFonts w:ascii="Bookman Old Style" w:hAnsi="Bookman Old Style"/>
          <w:bCs/>
          <w:lang w:val="es-CO"/>
        </w:rPr>
        <w:t xml:space="preserve"> </w:t>
      </w:r>
      <w:r w:rsidR="0028318B" w:rsidRPr="0028318B">
        <w:rPr>
          <w:rFonts w:ascii="Bookman Old Style" w:hAnsi="Bookman Old Style"/>
          <w:bCs/>
          <w:lang w:val="es-CO"/>
        </w:rPr>
        <w:t>Grupo de Energía de Bogotá</w:t>
      </w:r>
      <w:r w:rsidR="00E35648">
        <w:rPr>
          <w:rFonts w:ascii="Bookman Old Style" w:hAnsi="Bookman Old Style"/>
          <w:bCs/>
          <w:lang w:val="es-CO"/>
        </w:rPr>
        <w:t xml:space="preserve"> y</w:t>
      </w:r>
      <w:r w:rsidR="0028318B">
        <w:rPr>
          <w:rFonts w:ascii="Bookman Old Style" w:hAnsi="Bookman Old Style"/>
          <w:bCs/>
          <w:lang w:val="es-CO"/>
        </w:rPr>
        <w:t xml:space="preserve"> </w:t>
      </w:r>
      <w:r w:rsidR="0028318B" w:rsidRPr="0028318B">
        <w:rPr>
          <w:rFonts w:ascii="Bookman Old Style" w:hAnsi="Bookman Old Style"/>
          <w:bCs/>
          <w:lang w:val="es-CO"/>
        </w:rPr>
        <w:t>E-2018-005733</w:t>
      </w:r>
      <w:r w:rsidR="0028318B">
        <w:rPr>
          <w:rFonts w:ascii="Bookman Old Style" w:hAnsi="Bookman Old Style"/>
          <w:bCs/>
          <w:lang w:val="es-CO"/>
        </w:rPr>
        <w:t xml:space="preserve"> </w:t>
      </w:r>
      <w:proofErr w:type="spellStart"/>
      <w:r w:rsidR="0028318B">
        <w:rPr>
          <w:rFonts w:ascii="Bookman Old Style" w:hAnsi="Bookman Old Style"/>
          <w:bCs/>
          <w:lang w:val="es-CO"/>
        </w:rPr>
        <w:t>Acolgen</w:t>
      </w:r>
      <w:proofErr w:type="spellEnd"/>
      <w:r w:rsidR="0028318B">
        <w:rPr>
          <w:rFonts w:ascii="Bookman Old Style" w:hAnsi="Bookman Old Style"/>
          <w:bCs/>
          <w:lang w:val="es-CO"/>
        </w:rPr>
        <w:t>.</w:t>
      </w:r>
    </w:p>
    <w:p w:rsidR="004D1803" w:rsidRDefault="004D1803" w:rsidP="00C912C4">
      <w:pPr>
        <w:ind w:left="0"/>
        <w:jc w:val="both"/>
        <w:rPr>
          <w:rFonts w:ascii="Bookman Old Style" w:hAnsi="Bookman Old Style"/>
        </w:rPr>
      </w:pPr>
    </w:p>
    <w:p w:rsidR="00DC3A1C" w:rsidRDefault="00337365" w:rsidP="00DC3A1C">
      <w:pPr>
        <w:ind w:left="0"/>
        <w:jc w:val="both"/>
        <w:rPr>
          <w:rFonts w:ascii="Bookman Old Style" w:hAnsi="Bookman Old Style"/>
        </w:rPr>
      </w:pPr>
      <w:r>
        <w:rPr>
          <w:rFonts w:ascii="Bookman Old Style" w:hAnsi="Bookman Old Style"/>
        </w:rPr>
        <w:t xml:space="preserve">Los comentarios </w:t>
      </w:r>
      <w:r w:rsidR="00224601">
        <w:rPr>
          <w:rFonts w:ascii="Bookman Old Style" w:hAnsi="Bookman Old Style"/>
        </w:rPr>
        <w:t>recibidos, los análisis de la CREG y l</w:t>
      </w:r>
      <w:r w:rsidR="0028318B">
        <w:rPr>
          <w:rFonts w:ascii="Bookman Old Style" w:hAnsi="Bookman Old Style"/>
        </w:rPr>
        <w:t>as respuestas a l</w:t>
      </w:r>
      <w:r w:rsidR="00224601">
        <w:rPr>
          <w:rFonts w:ascii="Bookman Old Style" w:hAnsi="Bookman Old Style"/>
        </w:rPr>
        <w:t xml:space="preserve">os mismos </w:t>
      </w:r>
      <w:r w:rsidR="0028318B">
        <w:rPr>
          <w:rFonts w:ascii="Bookman Old Style" w:hAnsi="Bookman Old Style"/>
        </w:rPr>
        <w:t xml:space="preserve">se presentan en </w:t>
      </w:r>
      <w:r w:rsidR="0028318B" w:rsidRPr="00614B01">
        <w:rPr>
          <w:rFonts w:ascii="Bookman Old Style" w:hAnsi="Bookman Old Style"/>
        </w:rPr>
        <w:t xml:space="preserve">el Documento CREG </w:t>
      </w:r>
      <w:r w:rsidR="00614B01">
        <w:rPr>
          <w:rFonts w:ascii="Bookman Old Style" w:hAnsi="Bookman Old Style"/>
        </w:rPr>
        <w:t>060</w:t>
      </w:r>
      <w:r w:rsidR="0028318B" w:rsidRPr="00614B01">
        <w:rPr>
          <w:rFonts w:ascii="Bookman Old Style" w:hAnsi="Bookman Old Style"/>
        </w:rPr>
        <w:t xml:space="preserve"> de 2018 que</w:t>
      </w:r>
      <w:r w:rsidR="0028318B">
        <w:rPr>
          <w:rFonts w:ascii="Bookman Old Style" w:hAnsi="Bookman Old Style"/>
        </w:rPr>
        <w:t xml:space="preserve"> acompaña esta resolución. De igual forma, se presenta el análisis que sustenta las medidas adoptadas.</w:t>
      </w:r>
      <w:r w:rsidR="00DC3A1C">
        <w:rPr>
          <w:rFonts w:ascii="Bookman Old Style" w:hAnsi="Bookman Old Style"/>
        </w:rPr>
        <w:t xml:space="preserve"> </w:t>
      </w:r>
    </w:p>
    <w:p w:rsidR="00DC3A1C" w:rsidRDefault="00DC3A1C" w:rsidP="00DC3A1C">
      <w:pPr>
        <w:ind w:left="0"/>
        <w:jc w:val="both"/>
        <w:rPr>
          <w:rFonts w:ascii="Bookman Old Style" w:hAnsi="Bookman Old Style"/>
        </w:rPr>
      </w:pPr>
    </w:p>
    <w:p w:rsidR="00DC3A1C" w:rsidRDefault="00B6402E" w:rsidP="00DC3A1C">
      <w:pPr>
        <w:ind w:left="0"/>
        <w:jc w:val="both"/>
        <w:rPr>
          <w:rFonts w:ascii="Bookman Old Style" w:hAnsi="Bookman Old Style"/>
        </w:rPr>
      </w:pPr>
      <w:r w:rsidRPr="00614B01">
        <w:rPr>
          <w:rFonts w:ascii="Bookman Old Style" w:hAnsi="Bookman Old Style"/>
        </w:rPr>
        <w:t>No se inform</w:t>
      </w:r>
      <w:r w:rsidR="00197865">
        <w:rPr>
          <w:rFonts w:ascii="Bookman Old Style" w:hAnsi="Bookman Old Style"/>
        </w:rPr>
        <w:t>ó</w:t>
      </w:r>
      <w:r w:rsidRPr="00614B01">
        <w:rPr>
          <w:rFonts w:ascii="Bookman Old Style" w:hAnsi="Bookman Old Style"/>
        </w:rPr>
        <w:t xml:space="preserve"> a la Superintendencia de Industria y Comercio sobre este proyecto de regulación</w:t>
      </w:r>
      <w:r w:rsidRPr="00B6402E">
        <w:rPr>
          <w:rFonts w:ascii="Bookman Old Style" w:hAnsi="Bookman Old Style"/>
        </w:rPr>
        <w:t xml:space="preserve"> por cuanto </w:t>
      </w:r>
      <w:r w:rsidR="00197865">
        <w:rPr>
          <w:rFonts w:ascii="Bookman Old Style" w:hAnsi="Bookman Old Style"/>
        </w:rPr>
        <w:t xml:space="preserve">se determinó que </w:t>
      </w:r>
      <w:r w:rsidRPr="00B6402E">
        <w:rPr>
          <w:rFonts w:ascii="Bookman Old Style" w:hAnsi="Bookman Old Style"/>
        </w:rPr>
        <w:t xml:space="preserve">no plantea una restricción </w:t>
      </w:r>
      <w:r w:rsidR="00197865">
        <w:rPr>
          <w:rFonts w:ascii="Bookman Old Style" w:hAnsi="Bookman Old Style"/>
        </w:rPr>
        <w:t xml:space="preserve">indebida a la libre competencia, en los términos </w:t>
      </w:r>
      <w:r w:rsidR="00DC3A1C" w:rsidRPr="00B6402E">
        <w:rPr>
          <w:rFonts w:ascii="Bookman Old Style" w:hAnsi="Bookman Old Style"/>
        </w:rPr>
        <w:t>previsto</w:t>
      </w:r>
      <w:r w:rsidR="00197865">
        <w:rPr>
          <w:rFonts w:ascii="Bookman Old Style" w:hAnsi="Bookman Old Style"/>
        </w:rPr>
        <w:t>s</w:t>
      </w:r>
      <w:r w:rsidR="00DC3A1C" w:rsidRPr="00B6402E">
        <w:rPr>
          <w:rFonts w:ascii="Bookman Old Style" w:hAnsi="Bookman Old Style"/>
        </w:rPr>
        <w:t xml:space="preserve"> en el artículo 2.2.2.30.</w:t>
      </w:r>
      <w:r w:rsidRPr="00614B01">
        <w:rPr>
          <w:rFonts w:ascii="Bookman Old Style" w:hAnsi="Bookman Old Style"/>
        </w:rPr>
        <w:t>6</w:t>
      </w:r>
      <w:r w:rsidR="00BA7F4B">
        <w:rPr>
          <w:rFonts w:ascii="Bookman Old Style" w:hAnsi="Bookman Old Style"/>
        </w:rPr>
        <w:t>,</w:t>
      </w:r>
      <w:r w:rsidR="00DC3A1C" w:rsidRPr="00B6402E">
        <w:rPr>
          <w:rFonts w:ascii="Bookman Old Style" w:hAnsi="Bookman Old Style"/>
        </w:rPr>
        <w:t xml:space="preserve"> numeral 2</w:t>
      </w:r>
      <w:r w:rsidR="00BA7F4B">
        <w:rPr>
          <w:rFonts w:ascii="Bookman Old Style" w:hAnsi="Bookman Old Style"/>
        </w:rPr>
        <w:t>,</w:t>
      </w:r>
      <w:r w:rsidR="00DC3A1C" w:rsidRPr="00B6402E">
        <w:rPr>
          <w:rFonts w:ascii="Bookman Old Style" w:hAnsi="Bookman Old Style"/>
        </w:rPr>
        <w:t xml:space="preserve"> </w:t>
      </w:r>
      <w:r w:rsidR="00250C68" w:rsidRPr="00B6402E">
        <w:rPr>
          <w:rFonts w:ascii="Bookman Old Style" w:hAnsi="Bookman Old Style"/>
        </w:rPr>
        <w:t>del Decreto 107</w:t>
      </w:r>
      <w:r w:rsidRPr="00614B01">
        <w:rPr>
          <w:rFonts w:ascii="Bookman Old Style" w:hAnsi="Bookman Old Style"/>
        </w:rPr>
        <w:t>4</w:t>
      </w:r>
      <w:r w:rsidR="00250C68" w:rsidRPr="00B6402E">
        <w:rPr>
          <w:rFonts w:ascii="Bookman Old Style" w:hAnsi="Bookman Old Style"/>
        </w:rPr>
        <w:t xml:space="preserve"> de 2015</w:t>
      </w:r>
      <w:r w:rsidR="00DC3A1C" w:rsidRPr="00B6402E">
        <w:rPr>
          <w:rFonts w:ascii="Bookman Old Style" w:hAnsi="Bookman Old Style"/>
        </w:rPr>
        <w:t>.</w:t>
      </w:r>
    </w:p>
    <w:p w:rsidR="00DC3A1C" w:rsidRDefault="00DC3A1C" w:rsidP="00DC3A1C">
      <w:pPr>
        <w:ind w:left="0"/>
        <w:jc w:val="both"/>
        <w:rPr>
          <w:rFonts w:ascii="Bookman Old Style" w:hAnsi="Bookman Old Style"/>
        </w:rPr>
      </w:pPr>
    </w:p>
    <w:p w:rsidR="00DC3A1C" w:rsidRPr="00CF2A22" w:rsidRDefault="00DC3A1C" w:rsidP="00DC3A1C">
      <w:pPr>
        <w:ind w:left="0"/>
        <w:jc w:val="both"/>
        <w:rPr>
          <w:rFonts w:ascii="Bookman Old Style" w:hAnsi="Bookman Old Style" w:cs="Arial"/>
          <w:lang w:val="es-ES_tradnl"/>
        </w:rPr>
      </w:pPr>
      <w:r w:rsidRPr="00CF2A22">
        <w:rPr>
          <w:rFonts w:ascii="Bookman Old Style" w:hAnsi="Bookman Old Style" w:cs="Arial"/>
          <w:lang w:val="es-ES_tradnl"/>
        </w:rPr>
        <w:t xml:space="preserve">La Comisión de Regulación de Energía y Gas, en su sesión </w:t>
      </w:r>
      <w:r w:rsidR="00FF75A4">
        <w:rPr>
          <w:rFonts w:ascii="Bookman Old Style" w:hAnsi="Bookman Old Style" w:cs="Arial"/>
          <w:lang w:val="es-ES_tradnl"/>
        </w:rPr>
        <w:t>862</w:t>
      </w:r>
      <w:r w:rsidR="00FF75A4" w:rsidRPr="00CF2A22">
        <w:rPr>
          <w:rFonts w:ascii="Bookman Old Style" w:hAnsi="Bookman Old Style" w:cs="Arial"/>
          <w:lang w:val="es-ES_tradnl"/>
        </w:rPr>
        <w:t xml:space="preserve"> </w:t>
      </w:r>
      <w:r w:rsidRPr="00CF2A22">
        <w:rPr>
          <w:rFonts w:ascii="Bookman Old Style" w:hAnsi="Bookman Old Style" w:cs="Arial"/>
          <w:lang w:val="es-ES_tradnl"/>
        </w:rPr>
        <w:t xml:space="preserve">del </w:t>
      </w:r>
      <w:r>
        <w:rPr>
          <w:rFonts w:ascii="Bookman Old Style" w:hAnsi="Bookman Old Style" w:cs="Arial"/>
          <w:lang w:val="es-ES_tradnl"/>
        </w:rPr>
        <w:t>09</w:t>
      </w:r>
      <w:r w:rsidRPr="00CF2A22">
        <w:rPr>
          <w:rFonts w:ascii="Bookman Old Style" w:hAnsi="Bookman Old Style" w:cs="Arial"/>
          <w:lang w:val="es-ES_tradnl"/>
        </w:rPr>
        <w:t xml:space="preserve"> de </w:t>
      </w:r>
      <w:r>
        <w:rPr>
          <w:rFonts w:ascii="Bookman Old Style" w:hAnsi="Bookman Old Style" w:cs="Arial"/>
          <w:lang w:val="es-ES_tradnl"/>
        </w:rPr>
        <w:t xml:space="preserve">julio </w:t>
      </w:r>
      <w:r w:rsidRPr="00CF2A22">
        <w:rPr>
          <w:rFonts w:ascii="Bookman Old Style" w:hAnsi="Bookman Old Style" w:cs="Arial"/>
          <w:lang w:val="es-ES_tradnl"/>
        </w:rPr>
        <w:t>de 201</w:t>
      </w:r>
      <w:r>
        <w:rPr>
          <w:rFonts w:ascii="Bookman Old Style" w:hAnsi="Bookman Old Style" w:cs="Arial"/>
          <w:lang w:val="es-ES_tradnl"/>
        </w:rPr>
        <w:t>8</w:t>
      </w:r>
      <w:r w:rsidRPr="00CF2A22">
        <w:rPr>
          <w:rFonts w:ascii="Bookman Old Style" w:hAnsi="Bookman Old Style" w:cs="Arial"/>
          <w:lang w:val="es-ES_tradnl"/>
        </w:rPr>
        <w:t>, acordó expedir la presente resolución.</w:t>
      </w:r>
    </w:p>
    <w:p w:rsidR="0028318B" w:rsidRDefault="0028318B" w:rsidP="00C912C4">
      <w:pPr>
        <w:ind w:left="0"/>
        <w:jc w:val="both"/>
        <w:rPr>
          <w:rFonts w:ascii="Bookman Old Style" w:hAnsi="Bookman Old Style"/>
        </w:rPr>
      </w:pPr>
    </w:p>
    <w:p w:rsidR="009A26F0" w:rsidRPr="001A11B2" w:rsidRDefault="009A26F0" w:rsidP="00C912C4">
      <w:pPr>
        <w:ind w:left="0"/>
        <w:jc w:val="both"/>
        <w:rPr>
          <w:rFonts w:ascii="Bookman Old Style" w:hAnsi="Bookman Old Style"/>
        </w:rPr>
      </w:pPr>
    </w:p>
    <w:p w:rsidR="00F420E6" w:rsidRPr="001A11B2" w:rsidRDefault="009D4A5A" w:rsidP="00E02EB9">
      <w:pPr>
        <w:widowControl w:val="0"/>
        <w:ind w:left="0"/>
        <w:jc w:val="center"/>
        <w:rPr>
          <w:rFonts w:ascii="Bookman Old Style" w:hAnsi="Bookman Old Style"/>
          <w:b/>
        </w:rPr>
      </w:pPr>
      <w:r w:rsidRPr="001A11B2">
        <w:rPr>
          <w:rFonts w:ascii="Bookman Old Style" w:hAnsi="Bookman Old Style"/>
          <w:b/>
        </w:rPr>
        <w:t>R E S U E L V E:</w:t>
      </w:r>
    </w:p>
    <w:p w:rsidR="004341E9" w:rsidRPr="001A11B2" w:rsidRDefault="004341E9" w:rsidP="00E02EB9">
      <w:pPr>
        <w:widowControl w:val="0"/>
        <w:ind w:left="0"/>
        <w:jc w:val="center"/>
        <w:rPr>
          <w:rFonts w:ascii="Bookman Old Style" w:hAnsi="Bookman Old Style"/>
          <w:b/>
        </w:rPr>
      </w:pPr>
    </w:p>
    <w:p w:rsidR="00AC705E" w:rsidRDefault="00AC705E" w:rsidP="00AC705E">
      <w:pPr>
        <w:pStyle w:val="Ttulo1"/>
        <w:numPr>
          <w:ilvl w:val="0"/>
          <w:numId w:val="37"/>
        </w:numPr>
        <w:ind w:left="0" w:firstLine="0"/>
        <w:jc w:val="both"/>
        <w:rPr>
          <w:rFonts w:ascii="Bookman Old Style" w:hAnsi="Bookman Old Style"/>
          <w:b w:val="0"/>
        </w:rPr>
      </w:pPr>
      <w:r>
        <w:rPr>
          <w:rFonts w:ascii="Bookman Old Style" w:hAnsi="Bookman Old Style"/>
        </w:rPr>
        <w:t xml:space="preserve">Objeto. </w:t>
      </w:r>
      <w:r>
        <w:rPr>
          <w:rFonts w:ascii="Bookman Old Style" w:hAnsi="Bookman Old Style"/>
          <w:b w:val="0"/>
        </w:rPr>
        <w:t xml:space="preserve">Mediante esta resolución </w:t>
      </w:r>
      <w:r w:rsidRPr="004B3125">
        <w:rPr>
          <w:rFonts w:ascii="Bookman Old Style" w:hAnsi="Bookman Old Style"/>
          <w:b w:val="0"/>
        </w:rPr>
        <w:t>se establece la fecha en que el Administrador del Sistema d</w:t>
      </w:r>
      <w:r w:rsidR="00C54A22">
        <w:rPr>
          <w:rFonts w:ascii="Bookman Old Style" w:hAnsi="Bookman Old Style"/>
          <w:b w:val="0"/>
        </w:rPr>
        <w:t>e Intercambios Comerciales del mercado de energía m</w:t>
      </w:r>
      <w:r w:rsidRPr="004B3125">
        <w:rPr>
          <w:rFonts w:ascii="Bookman Old Style" w:hAnsi="Bookman Old Style"/>
          <w:b w:val="0"/>
        </w:rPr>
        <w:t>ayorista</w:t>
      </w:r>
      <w:r>
        <w:rPr>
          <w:rFonts w:ascii="Bookman Old Style" w:hAnsi="Bookman Old Style"/>
          <w:b w:val="0"/>
        </w:rPr>
        <w:t xml:space="preserve">, </w:t>
      </w:r>
      <w:r w:rsidRPr="004B3125">
        <w:rPr>
          <w:rFonts w:ascii="Bookman Old Style" w:hAnsi="Bookman Old Style"/>
          <w:b w:val="0"/>
        </w:rPr>
        <w:t>ASIC debe llevar a cabo la asignación de Obligaciones de Energía Firme</w:t>
      </w:r>
      <w:r>
        <w:rPr>
          <w:rFonts w:ascii="Bookman Old Style" w:hAnsi="Bookman Old Style"/>
          <w:b w:val="0"/>
        </w:rPr>
        <w:t>, OEF,</w:t>
      </w:r>
      <w:r w:rsidRPr="004B3125">
        <w:rPr>
          <w:rFonts w:ascii="Bookman Old Style" w:hAnsi="Bookman Old Style"/>
          <w:b w:val="0"/>
        </w:rPr>
        <w:t xml:space="preserve"> del Cargo por Confiabilidad</w:t>
      </w:r>
      <w:r>
        <w:rPr>
          <w:rFonts w:ascii="Bookman Old Style" w:hAnsi="Bookman Old Style"/>
          <w:b w:val="0"/>
        </w:rPr>
        <w:t xml:space="preserve"> para los períodos comprendidos entre: el 1 de diciembre de 2019 y el 30 de noviembre de 2020, el 1 de diciembre de 2020 y el 30 de noviembre de 2021 y el 1 de diciembre de 2021 y el 30 de noviembre de 2022. </w:t>
      </w:r>
    </w:p>
    <w:p w:rsidR="00AC705E" w:rsidRDefault="00AC705E" w:rsidP="00AC705E">
      <w:pPr>
        <w:pStyle w:val="Ttulo1"/>
        <w:keepNext w:val="0"/>
        <w:widowControl w:val="0"/>
        <w:ind w:left="0"/>
        <w:jc w:val="both"/>
        <w:rPr>
          <w:rFonts w:ascii="Bookman Old Style" w:hAnsi="Bookman Old Style"/>
        </w:rPr>
      </w:pPr>
    </w:p>
    <w:p w:rsidR="001D73EC" w:rsidRPr="001A11B2" w:rsidRDefault="004341E9" w:rsidP="00C54A22">
      <w:pPr>
        <w:pStyle w:val="Ttulo1"/>
        <w:keepNext w:val="0"/>
        <w:widowControl w:val="0"/>
        <w:numPr>
          <w:ilvl w:val="0"/>
          <w:numId w:val="37"/>
        </w:numPr>
        <w:ind w:left="0" w:firstLine="0"/>
        <w:jc w:val="both"/>
        <w:rPr>
          <w:rFonts w:ascii="Bookman Old Style" w:hAnsi="Bookman Old Style"/>
        </w:rPr>
      </w:pPr>
      <w:r w:rsidRPr="001A11B2">
        <w:rPr>
          <w:rFonts w:ascii="Bookman Old Style" w:hAnsi="Bookman Old Style"/>
        </w:rPr>
        <w:t>Oportunidad para la Asignación de Obligaciones de Energía Firme, OEF, correspondientes a</w:t>
      </w:r>
      <w:r w:rsidR="009F486C" w:rsidRPr="001A11B2">
        <w:rPr>
          <w:rFonts w:ascii="Bookman Old Style" w:hAnsi="Bookman Old Style"/>
        </w:rPr>
        <w:t xml:space="preserve"> </w:t>
      </w:r>
      <w:r w:rsidRPr="001A11B2">
        <w:rPr>
          <w:rFonts w:ascii="Bookman Old Style" w:hAnsi="Bookman Old Style"/>
        </w:rPr>
        <w:t>l</w:t>
      </w:r>
      <w:r w:rsidR="009F486C" w:rsidRPr="001A11B2">
        <w:rPr>
          <w:rFonts w:ascii="Bookman Old Style" w:hAnsi="Bookman Old Style"/>
        </w:rPr>
        <w:t>os</w:t>
      </w:r>
      <w:r w:rsidRPr="001A11B2">
        <w:rPr>
          <w:rFonts w:ascii="Bookman Old Style" w:hAnsi="Bookman Old Style"/>
        </w:rPr>
        <w:t xml:space="preserve"> período</w:t>
      </w:r>
      <w:r w:rsidR="009F486C" w:rsidRPr="001A11B2">
        <w:rPr>
          <w:rFonts w:ascii="Bookman Old Style" w:hAnsi="Bookman Old Style"/>
        </w:rPr>
        <w:t>s</w:t>
      </w:r>
      <w:r w:rsidR="007562D6" w:rsidRPr="001A11B2">
        <w:rPr>
          <w:rFonts w:ascii="Bookman Old Style" w:hAnsi="Bookman Old Style"/>
        </w:rPr>
        <w:t>:</w:t>
      </w:r>
      <w:r w:rsidRPr="001A11B2">
        <w:rPr>
          <w:rFonts w:ascii="Bookman Old Style" w:hAnsi="Bookman Old Style"/>
        </w:rPr>
        <w:t xml:space="preserve"> 201</w:t>
      </w:r>
      <w:r w:rsidR="00107BB0" w:rsidRPr="001A11B2">
        <w:rPr>
          <w:rFonts w:ascii="Bookman Old Style" w:hAnsi="Bookman Old Style"/>
        </w:rPr>
        <w:t>9</w:t>
      </w:r>
      <w:r w:rsidRPr="001A11B2">
        <w:rPr>
          <w:rFonts w:ascii="Bookman Old Style" w:hAnsi="Bookman Old Style"/>
        </w:rPr>
        <w:t>-20</w:t>
      </w:r>
      <w:r w:rsidR="00107BB0" w:rsidRPr="001A11B2">
        <w:rPr>
          <w:rFonts w:ascii="Bookman Old Style" w:hAnsi="Bookman Old Style"/>
        </w:rPr>
        <w:t>20</w:t>
      </w:r>
      <w:r w:rsidR="009F486C" w:rsidRPr="001A11B2">
        <w:rPr>
          <w:rFonts w:ascii="Bookman Old Style" w:hAnsi="Bookman Old Style"/>
        </w:rPr>
        <w:t>, 20</w:t>
      </w:r>
      <w:r w:rsidR="00107BB0" w:rsidRPr="001A11B2">
        <w:rPr>
          <w:rFonts w:ascii="Bookman Old Style" w:hAnsi="Bookman Old Style"/>
        </w:rPr>
        <w:t>20</w:t>
      </w:r>
      <w:r w:rsidR="009F486C" w:rsidRPr="001A11B2">
        <w:rPr>
          <w:rFonts w:ascii="Bookman Old Style" w:hAnsi="Bookman Old Style"/>
        </w:rPr>
        <w:t>-20</w:t>
      </w:r>
      <w:r w:rsidR="00107BB0" w:rsidRPr="001A11B2">
        <w:rPr>
          <w:rFonts w:ascii="Bookman Old Style" w:hAnsi="Bookman Old Style"/>
        </w:rPr>
        <w:t>21</w:t>
      </w:r>
      <w:r w:rsidR="009F2EA2" w:rsidRPr="001A11B2">
        <w:rPr>
          <w:rFonts w:ascii="Bookman Old Style" w:hAnsi="Bookman Old Style"/>
        </w:rPr>
        <w:t xml:space="preserve"> y</w:t>
      </w:r>
      <w:r w:rsidR="009F486C" w:rsidRPr="001A11B2">
        <w:rPr>
          <w:rFonts w:ascii="Bookman Old Style" w:hAnsi="Bookman Old Style"/>
        </w:rPr>
        <w:t xml:space="preserve"> 20</w:t>
      </w:r>
      <w:r w:rsidR="00107BB0" w:rsidRPr="001A11B2">
        <w:rPr>
          <w:rFonts w:ascii="Bookman Old Style" w:hAnsi="Bookman Old Style"/>
        </w:rPr>
        <w:t>21</w:t>
      </w:r>
      <w:r w:rsidR="009F486C" w:rsidRPr="001A11B2">
        <w:rPr>
          <w:rFonts w:ascii="Bookman Old Style" w:hAnsi="Bookman Old Style"/>
        </w:rPr>
        <w:t>-20</w:t>
      </w:r>
      <w:r w:rsidR="00107BB0" w:rsidRPr="001A11B2">
        <w:rPr>
          <w:rFonts w:ascii="Bookman Old Style" w:hAnsi="Bookman Old Style"/>
        </w:rPr>
        <w:t>22</w:t>
      </w:r>
      <w:r w:rsidRPr="001A11B2">
        <w:rPr>
          <w:rFonts w:ascii="Bookman Old Style" w:hAnsi="Bookman Old Style"/>
        </w:rPr>
        <w:t xml:space="preserve">. </w:t>
      </w:r>
      <w:r w:rsidR="00C54A22">
        <w:rPr>
          <w:rFonts w:ascii="Bookman Old Style" w:hAnsi="Bookman Old Style"/>
          <w:b w:val="0"/>
        </w:rPr>
        <w:t>El ASIC</w:t>
      </w:r>
      <w:r w:rsidRPr="001A11B2">
        <w:rPr>
          <w:rFonts w:ascii="Bookman Old Style" w:hAnsi="Bookman Old Style"/>
          <w:b w:val="0"/>
        </w:rPr>
        <w:t xml:space="preserve"> asignará la</w:t>
      </w:r>
      <w:r w:rsidR="009471C8" w:rsidRPr="001A11B2">
        <w:rPr>
          <w:rFonts w:ascii="Bookman Old Style" w:hAnsi="Bookman Old Style"/>
          <w:b w:val="0"/>
        </w:rPr>
        <w:t xml:space="preserve">s </w:t>
      </w:r>
      <w:r w:rsidR="00C54A22">
        <w:rPr>
          <w:rFonts w:ascii="Bookman Old Style" w:hAnsi="Bookman Old Style"/>
          <w:b w:val="0"/>
        </w:rPr>
        <w:t>OEF</w:t>
      </w:r>
      <w:r w:rsidRPr="001A11B2">
        <w:rPr>
          <w:rFonts w:ascii="Bookman Old Style" w:hAnsi="Bookman Old Style"/>
          <w:b w:val="0"/>
        </w:rPr>
        <w:t xml:space="preserve"> del Cargo por Confiabilidad </w:t>
      </w:r>
      <w:r w:rsidR="003F615F" w:rsidRPr="001A11B2">
        <w:rPr>
          <w:rFonts w:ascii="Bookman Old Style" w:hAnsi="Bookman Old Style"/>
          <w:b w:val="0"/>
        </w:rPr>
        <w:t xml:space="preserve">a quienes representen plantas existentes, </w:t>
      </w:r>
      <w:r w:rsidRPr="001A11B2">
        <w:rPr>
          <w:rFonts w:ascii="Bookman Old Style" w:hAnsi="Bookman Old Style"/>
          <w:b w:val="0"/>
        </w:rPr>
        <w:t xml:space="preserve">para </w:t>
      </w:r>
      <w:r w:rsidR="009F486C" w:rsidRPr="001A11B2">
        <w:rPr>
          <w:rFonts w:ascii="Bookman Old Style" w:hAnsi="Bookman Old Style"/>
          <w:b w:val="0"/>
        </w:rPr>
        <w:t xml:space="preserve">los </w:t>
      </w:r>
      <w:r w:rsidRPr="001A11B2">
        <w:rPr>
          <w:rFonts w:ascii="Bookman Old Style" w:hAnsi="Bookman Old Style"/>
          <w:b w:val="0"/>
        </w:rPr>
        <w:t>período</w:t>
      </w:r>
      <w:r w:rsidR="009F486C" w:rsidRPr="001A11B2">
        <w:rPr>
          <w:rFonts w:ascii="Bookman Old Style" w:hAnsi="Bookman Old Style"/>
          <w:b w:val="0"/>
        </w:rPr>
        <w:t>s</w:t>
      </w:r>
      <w:r w:rsidRPr="001A11B2">
        <w:rPr>
          <w:rFonts w:ascii="Bookman Old Style" w:hAnsi="Bookman Old Style"/>
          <w:b w:val="0"/>
        </w:rPr>
        <w:t xml:space="preserve"> comprendido</w:t>
      </w:r>
      <w:r w:rsidR="00814C92" w:rsidRPr="001A11B2">
        <w:rPr>
          <w:rFonts w:ascii="Bookman Old Style" w:hAnsi="Bookman Old Style"/>
          <w:b w:val="0"/>
        </w:rPr>
        <w:t>s</w:t>
      </w:r>
      <w:r w:rsidRPr="001A11B2">
        <w:rPr>
          <w:rFonts w:ascii="Bookman Old Style" w:hAnsi="Bookman Old Style"/>
          <w:b w:val="0"/>
        </w:rPr>
        <w:t xml:space="preserve"> entre</w:t>
      </w:r>
      <w:r w:rsidR="00107BB0" w:rsidRPr="001A11B2">
        <w:rPr>
          <w:rFonts w:ascii="Bookman Old Style" w:hAnsi="Bookman Old Style"/>
          <w:b w:val="0"/>
        </w:rPr>
        <w:t>:</w:t>
      </w:r>
      <w:r w:rsidRPr="001A11B2">
        <w:rPr>
          <w:rFonts w:ascii="Bookman Old Style" w:hAnsi="Bookman Old Style"/>
          <w:b w:val="0"/>
        </w:rPr>
        <w:t xml:space="preserve"> </w:t>
      </w:r>
    </w:p>
    <w:p w:rsidR="001D73EC" w:rsidRPr="001A11B2" w:rsidRDefault="001D73EC" w:rsidP="001D73EC">
      <w:pPr>
        <w:pStyle w:val="Ttulo1"/>
        <w:keepNext w:val="0"/>
        <w:widowControl w:val="0"/>
        <w:numPr>
          <w:ilvl w:val="0"/>
          <w:numId w:val="32"/>
        </w:numPr>
        <w:jc w:val="both"/>
        <w:rPr>
          <w:rFonts w:ascii="Bookman Old Style" w:hAnsi="Bookman Old Style"/>
        </w:rPr>
      </w:pPr>
      <w:r w:rsidRPr="001A11B2">
        <w:rPr>
          <w:rFonts w:ascii="Bookman Old Style" w:hAnsi="Bookman Old Style"/>
          <w:b w:val="0"/>
        </w:rPr>
        <w:lastRenderedPageBreak/>
        <w:t>D</w:t>
      </w:r>
      <w:r w:rsidR="004341E9" w:rsidRPr="001A11B2">
        <w:rPr>
          <w:rFonts w:ascii="Bookman Old Style" w:hAnsi="Bookman Old Style"/>
          <w:b w:val="0"/>
        </w:rPr>
        <w:t xml:space="preserve">iciembre </w:t>
      </w:r>
      <w:r w:rsidR="003C542C" w:rsidRPr="001A11B2">
        <w:rPr>
          <w:rFonts w:ascii="Bookman Old Style" w:hAnsi="Bookman Old Style"/>
          <w:b w:val="0"/>
        </w:rPr>
        <w:t xml:space="preserve">1 </w:t>
      </w:r>
      <w:r w:rsidR="004341E9" w:rsidRPr="001A11B2">
        <w:rPr>
          <w:rFonts w:ascii="Bookman Old Style" w:hAnsi="Bookman Old Style"/>
          <w:b w:val="0"/>
        </w:rPr>
        <w:t>de 201</w:t>
      </w:r>
      <w:r w:rsidR="00107BB0" w:rsidRPr="001A11B2">
        <w:rPr>
          <w:rFonts w:ascii="Bookman Old Style" w:hAnsi="Bookman Old Style"/>
          <w:b w:val="0"/>
        </w:rPr>
        <w:t>9</w:t>
      </w:r>
      <w:r w:rsidR="004341E9" w:rsidRPr="001A11B2">
        <w:rPr>
          <w:rFonts w:ascii="Bookman Old Style" w:hAnsi="Bookman Old Style"/>
          <w:b w:val="0"/>
        </w:rPr>
        <w:t xml:space="preserve"> </w:t>
      </w:r>
      <w:r w:rsidR="003C542C" w:rsidRPr="001A11B2">
        <w:rPr>
          <w:rFonts w:ascii="Bookman Old Style" w:hAnsi="Bookman Old Style"/>
          <w:b w:val="0"/>
        </w:rPr>
        <w:t xml:space="preserve">a </w:t>
      </w:r>
      <w:r w:rsidR="004341E9" w:rsidRPr="001A11B2">
        <w:rPr>
          <w:rFonts w:ascii="Bookman Old Style" w:hAnsi="Bookman Old Style"/>
          <w:b w:val="0"/>
        </w:rPr>
        <w:t xml:space="preserve">noviembre </w:t>
      </w:r>
      <w:r w:rsidR="003C542C" w:rsidRPr="001A11B2">
        <w:rPr>
          <w:rFonts w:ascii="Bookman Old Style" w:hAnsi="Bookman Old Style"/>
          <w:b w:val="0"/>
        </w:rPr>
        <w:t xml:space="preserve">30 </w:t>
      </w:r>
      <w:r w:rsidR="004341E9" w:rsidRPr="001A11B2">
        <w:rPr>
          <w:rFonts w:ascii="Bookman Old Style" w:hAnsi="Bookman Old Style"/>
          <w:b w:val="0"/>
        </w:rPr>
        <w:t>de 20</w:t>
      </w:r>
      <w:r w:rsidR="00107BB0" w:rsidRPr="001A11B2">
        <w:rPr>
          <w:rFonts w:ascii="Bookman Old Style" w:hAnsi="Bookman Old Style"/>
          <w:b w:val="0"/>
        </w:rPr>
        <w:t>20</w:t>
      </w:r>
      <w:r w:rsidRPr="001A11B2">
        <w:rPr>
          <w:rFonts w:ascii="Bookman Old Style" w:hAnsi="Bookman Old Style"/>
          <w:b w:val="0"/>
        </w:rPr>
        <w:t>,</w:t>
      </w:r>
    </w:p>
    <w:p w:rsidR="001D73EC" w:rsidRPr="001A11B2" w:rsidRDefault="001D73EC" w:rsidP="001D73EC">
      <w:pPr>
        <w:pStyle w:val="Ttulo1"/>
        <w:keepNext w:val="0"/>
        <w:widowControl w:val="0"/>
        <w:numPr>
          <w:ilvl w:val="0"/>
          <w:numId w:val="32"/>
        </w:numPr>
        <w:jc w:val="both"/>
        <w:rPr>
          <w:rFonts w:ascii="Bookman Old Style" w:hAnsi="Bookman Old Style"/>
        </w:rPr>
      </w:pPr>
      <w:r w:rsidRPr="001A11B2">
        <w:rPr>
          <w:rFonts w:ascii="Bookman Old Style" w:hAnsi="Bookman Old Style"/>
          <w:b w:val="0"/>
        </w:rPr>
        <w:t>D</w:t>
      </w:r>
      <w:r w:rsidR="003C542C" w:rsidRPr="001A11B2">
        <w:rPr>
          <w:rFonts w:ascii="Bookman Old Style" w:hAnsi="Bookman Old Style"/>
          <w:b w:val="0"/>
        </w:rPr>
        <w:t>iciembre 1 de 20</w:t>
      </w:r>
      <w:r w:rsidR="00107BB0" w:rsidRPr="001A11B2">
        <w:rPr>
          <w:rFonts w:ascii="Bookman Old Style" w:hAnsi="Bookman Old Style"/>
          <w:b w:val="0"/>
        </w:rPr>
        <w:t>20</w:t>
      </w:r>
      <w:r w:rsidR="003C542C" w:rsidRPr="001A11B2">
        <w:rPr>
          <w:rFonts w:ascii="Bookman Old Style" w:hAnsi="Bookman Old Style"/>
          <w:b w:val="0"/>
        </w:rPr>
        <w:t xml:space="preserve"> a noviembre 30 de 20</w:t>
      </w:r>
      <w:r w:rsidR="00107BB0" w:rsidRPr="001A11B2">
        <w:rPr>
          <w:rFonts w:ascii="Bookman Old Style" w:hAnsi="Bookman Old Style"/>
          <w:b w:val="0"/>
        </w:rPr>
        <w:t>21</w:t>
      </w:r>
      <w:r w:rsidR="003F615F" w:rsidRPr="001A11B2">
        <w:rPr>
          <w:rFonts w:ascii="Bookman Old Style" w:hAnsi="Bookman Old Style"/>
          <w:b w:val="0"/>
        </w:rPr>
        <w:t xml:space="preserve"> </w:t>
      </w:r>
      <w:r w:rsidR="009F2EA2" w:rsidRPr="001A11B2">
        <w:rPr>
          <w:rFonts w:ascii="Bookman Old Style" w:hAnsi="Bookman Old Style"/>
          <w:b w:val="0"/>
        </w:rPr>
        <w:t>y</w:t>
      </w:r>
    </w:p>
    <w:p w:rsidR="003F615F" w:rsidRPr="001A11B2" w:rsidRDefault="001D73EC" w:rsidP="00CF5565">
      <w:pPr>
        <w:pStyle w:val="Ttulo1"/>
        <w:keepNext w:val="0"/>
        <w:widowControl w:val="0"/>
        <w:numPr>
          <w:ilvl w:val="0"/>
          <w:numId w:val="32"/>
        </w:numPr>
        <w:jc w:val="both"/>
        <w:rPr>
          <w:rFonts w:ascii="Bookman Old Style" w:hAnsi="Bookman Old Style"/>
          <w:b w:val="0"/>
        </w:rPr>
      </w:pPr>
      <w:r w:rsidRPr="001A11B2">
        <w:rPr>
          <w:rFonts w:ascii="Bookman Old Style" w:hAnsi="Bookman Old Style"/>
          <w:b w:val="0"/>
        </w:rPr>
        <w:t>D</w:t>
      </w:r>
      <w:r w:rsidR="003C542C" w:rsidRPr="001A11B2">
        <w:rPr>
          <w:rFonts w:ascii="Bookman Old Style" w:hAnsi="Bookman Old Style"/>
          <w:b w:val="0"/>
        </w:rPr>
        <w:t>iciembre 1 de 20</w:t>
      </w:r>
      <w:r w:rsidR="00107BB0" w:rsidRPr="001A11B2">
        <w:rPr>
          <w:rFonts w:ascii="Bookman Old Style" w:hAnsi="Bookman Old Style"/>
          <w:b w:val="0"/>
        </w:rPr>
        <w:t>21</w:t>
      </w:r>
      <w:r w:rsidR="003C542C" w:rsidRPr="001A11B2">
        <w:rPr>
          <w:rFonts w:ascii="Bookman Old Style" w:hAnsi="Bookman Old Style"/>
          <w:b w:val="0"/>
        </w:rPr>
        <w:t xml:space="preserve"> a noviembre 30 de 20</w:t>
      </w:r>
      <w:r w:rsidR="00107BB0" w:rsidRPr="001A11B2">
        <w:rPr>
          <w:rFonts w:ascii="Bookman Old Style" w:hAnsi="Bookman Old Style"/>
          <w:b w:val="0"/>
        </w:rPr>
        <w:t>22</w:t>
      </w:r>
      <w:r w:rsidR="003F615F" w:rsidRPr="001A11B2">
        <w:rPr>
          <w:rFonts w:ascii="Bookman Old Style" w:hAnsi="Bookman Old Style"/>
          <w:b w:val="0"/>
        </w:rPr>
        <w:t>.</w:t>
      </w:r>
    </w:p>
    <w:p w:rsidR="00107BB0" w:rsidRPr="001A11B2" w:rsidRDefault="00107BB0" w:rsidP="00E02EB9">
      <w:pPr>
        <w:pStyle w:val="Ttulo1"/>
        <w:keepNext w:val="0"/>
        <w:widowControl w:val="0"/>
        <w:ind w:left="0"/>
        <w:jc w:val="both"/>
        <w:rPr>
          <w:rFonts w:ascii="Bookman Old Style" w:hAnsi="Bookman Old Style"/>
          <w:b w:val="0"/>
        </w:rPr>
      </w:pPr>
    </w:p>
    <w:p w:rsidR="004341E9" w:rsidRPr="001A11B2" w:rsidRDefault="004341E9" w:rsidP="00E02EB9">
      <w:pPr>
        <w:pStyle w:val="Ttulo1"/>
        <w:keepNext w:val="0"/>
        <w:widowControl w:val="0"/>
        <w:ind w:left="0"/>
        <w:jc w:val="both"/>
        <w:rPr>
          <w:rFonts w:ascii="Bookman Old Style" w:hAnsi="Bookman Old Style"/>
          <w:b w:val="0"/>
        </w:rPr>
      </w:pPr>
      <w:r w:rsidRPr="001A11B2">
        <w:rPr>
          <w:rFonts w:ascii="Bookman Old Style" w:hAnsi="Bookman Old Style"/>
          <w:b w:val="0"/>
        </w:rPr>
        <w:t xml:space="preserve">Esta asignación la </w:t>
      </w:r>
      <w:r w:rsidR="00107BB0" w:rsidRPr="001A11B2">
        <w:rPr>
          <w:rFonts w:ascii="Bookman Old Style" w:hAnsi="Bookman Old Style"/>
          <w:b w:val="0"/>
        </w:rPr>
        <w:t xml:space="preserve">realizará </w:t>
      </w:r>
      <w:r w:rsidRPr="001A11B2">
        <w:rPr>
          <w:rFonts w:ascii="Bookman Old Style" w:hAnsi="Bookman Old Style"/>
          <w:b w:val="0"/>
        </w:rPr>
        <w:t xml:space="preserve">el ASIC </w:t>
      </w:r>
      <w:r w:rsidR="00107BB0" w:rsidRPr="001A11B2">
        <w:rPr>
          <w:rFonts w:ascii="Bookman Old Style" w:hAnsi="Bookman Old Style"/>
          <w:b w:val="0"/>
        </w:rPr>
        <w:t xml:space="preserve">conforme al procedimiento </w:t>
      </w:r>
      <w:r w:rsidRPr="001A11B2">
        <w:rPr>
          <w:rFonts w:ascii="Bookman Old Style" w:hAnsi="Bookman Old Style"/>
          <w:b w:val="0"/>
        </w:rPr>
        <w:t>establecid</w:t>
      </w:r>
      <w:r w:rsidR="00107BB0" w:rsidRPr="001A11B2">
        <w:rPr>
          <w:rFonts w:ascii="Bookman Old Style" w:hAnsi="Bookman Old Style"/>
          <w:b w:val="0"/>
        </w:rPr>
        <w:t>o</w:t>
      </w:r>
      <w:r w:rsidRPr="001A11B2">
        <w:rPr>
          <w:rFonts w:ascii="Bookman Old Style" w:hAnsi="Bookman Old Style"/>
          <w:b w:val="0"/>
        </w:rPr>
        <w:t xml:space="preserve"> en el artículo 25 de la Resolución CREG 071 de 2006</w:t>
      </w:r>
      <w:r w:rsidR="00AC705E">
        <w:rPr>
          <w:rFonts w:ascii="Bookman Old Style" w:hAnsi="Bookman Old Style"/>
          <w:b w:val="0"/>
        </w:rPr>
        <w:t xml:space="preserve"> y los p</w:t>
      </w:r>
      <w:r w:rsidR="00C54A22">
        <w:rPr>
          <w:rFonts w:ascii="Bookman Old Style" w:hAnsi="Bookman Old Style"/>
          <w:b w:val="0"/>
        </w:rPr>
        <w:t>lazos establecidos en el anexo</w:t>
      </w:r>
      <w:r w:rsidR="00AC705E">
        <w:rPr>
          <w:rFonts w:ascii="Bookman Old Style" w:hAnsi="Bookman Old Style"/>
          <w:b w:val="0"/>
        </w:rPr>
        <w:t xml:space="preserve"> de esta resolución</w:t>
      </w:r>
      <w:r w:rsidRPr="001A11B2">
        <w:rPr>
          <w:rFonts w:ascii="Bookman Old Style" w:hAnsi="Bookman Old Style"/>
          <w:b w:val="0"/>
        </w:rPr>
        <w:t>.</w:t>
      </w:r>
    </w:p>
    <w:p w:rsidR="009471C8" w:rsidRPr="001A11B2" w:rsidRDefault="009471C8" w:rsidP="009471C8">
      <w:pPr>
        <w:rPr>
          <w:lang w:val="es-CO"/>
        </w:rPr>
      </w:pPr>
    </w:p>
    <w:p w:rsidR="00E74C30" w:rsidRPr="003530F6" w:rsidRDefault="004341E9" w:rsidP="00CF5565">
      <w:pPr>
        <w:pStyle w:val="Ttulo1"/>
        <w:keepNext w:val="0"/>
        <w:widowControl w:val="0"/>
        <w:numPr>
          <w:ilvl w:val="0"/>
          <w:numId w:val="37"/>
        </w:numPr>
        <w:tabs>
          <w:tab w:val="left" w:pos="0"/>
        </w:tabs>
        <w:ind w:left="0" w:firstLine="0"/>
        <w:jc w:val="both"/>
        <w:rPr>
          <w:rFonts w:ascii="Bookman Old Style" w:hAnsi="Bookman Old Style"/>
          <w:b w:val="0"/>
        </w:rPr>
      </w:pPr>
      <w:r w:rsidRPr="003530F6">
        <w:rPr>
          <w:rFonts w:ascii="Bookman Old Style" w:hAnsi="Bookman Old Style"/>
          <w:iCs/>
        </w:rPr>
        <w:t xml:space="preserve">Escenario de proyección de demanda para efectos de determinar la Demanda Objetivo.  </w:t>
      </w:r>
      <w:r w:rsidR="003530F6" w:rsidRPr="003530F6">
        <w:rPr>
          <w:rFonts w:ascii="Bookman Old Style" w:hAnsi="Bookman Old Style"/>
          <w:b w:val="0"/>
        </w:rPr>
        <w:t>L</w:t>
      </w:r>
      <w:r w:rsidR="00C54A22" w:rsidRPr="003530F6">
        <w:rPr>
          <w:rFonts w:ascii="Bookman Old Style" w:hAnsi="Bookman Old Style"/>
          <w:b w:val="0"/>
        </w:rPr>
        <w:t>a</w:t>
      </w:r>
      <w:r w:rsidR="003C0786" w:rsidRPr="003530F6">
        <w:rPr>
          <w:rFonts w:ascii="Bookman Old Style" w:hAnsi="Bookman Old Style"/>
          <w:b w:val="0"/>
        </w:rPr>
        <w:t xml:space="preserve"> demanda o</w:t>
      </w:r>
      <w:r w:rsidR="00AC705E" w:rsidRPr="003530F6">
        <w:rPr>
          <w:rFonts w:ascii="Bookman Old Style" w:hAnsi="Bookman Old Style"/>
          <w:b w:val="0"/>
        </w:rPr>
        <w:t xml:space="preserve">bjetivo </w:t>
      </w:r>
      <w:r w:rsidR="003530F6" w:rsidRPr="003530F6">
        <w:rPr>
          <w:rFonts w:ascii="Bookman Old Style" w:hAnsi="Bookman Old Style"/>
          <w:b w:val="0"/>
        </w:rPr>
        <w:t>a la que hace referencia la</w:t>
      </w:r>
      <w:r w:rsidR="00AC705E" w:rsidRPr="003530F6">
        <w:rPr>
          <w:rFonts w:ascii="Bookman Old Style" w:hAnsi="Bookman Old Style"/>
          <w:b w:val="0"/>
        </w:rPr>
        <w:t xml:space="preserve"> presente resolución y la Resolución CREG 071 de 2006</w:t>
      </w:r>
      <w:r w:rsidR="003530F6" w:rsidRPr="003530F6">
        <w:rPr>
          <w:rFonts w:ascii="Bookman Old Style" w:hAnsi="Bookman Old Style"/>
          <w:b w:val="0"/>
        </w:rPr>
        <w:t>,</w:t>
      </w:r>
      <w:r w:rsidRPr="003530F6">
        <w:rPr>
          <w:rFonts w:ascii="Bookman Old Style" w:hAnsi="Bookman Old Style"/>
          <w:b w:val="0"/>
        </w:rPr>
        <w:t xml:space="preserve"> </w:t>
      </w:r>
      <w:r w:rsidR="003530F6" w:rsidRPr="003530F6">
        <w:rPr>
          <w:rFonts w:ascii="Bookman Old Style" w:hAnsi="Bookman Old Style"/>
          <w:b w:val="0"/>
        </w:rPr>
        <w:t>se basa en el</w:t>
      </w:r>
      <w:r w:rsidR="0028318B" w:rsidRPr="003530F6">
        <w:rPr>
          <w:rFonts w:ascii="Bookman Old Style" w:hAnsi="Bookman Old Style"/>
          <w:b w:val="0"/>
        </w:rPr>
        <w:t xml:space="preserve"> escenario alto de la proyección de la d</w:t>
      </w:r>
      <w:r w:rsidR="004B618A">
        <w:rPr>
          <w:rFonts w:ascii="Bookman Old Style" w:hAnsi="Bookman Old Style"/>
          <w:b w:val="0"/>
        </w:rPr>
        <w:t xml:space="preserve">emanda de energía eléctrica, revisión </w:t>
      </w:r>
      <w:r w:rsidR="003D35E6" w:rsidRPr="003530F6">
        <w:rPr>
          <w:rFonts w:ascii="Bookman Old Style" w:hAnsi="Bookman Old Style"/>
          <w:b w:val="0"/>
        </w:rPr>
        <w:t>abril de 2018</w:t>
      </w:r>
      <w:r w:rsidR="004B618A">
        <w:rPr>
          <w:rFonts w:ascii="Bookman Old Style" w:hAnsi="Bookman Old Style"/>
          <w:b w:val="0"/>
        </w:rPr>
        <w:t>, elaborada por la UPME</w:t>
      </w:r>
      <w:r w:rsidR="0028318B" w:rsidRPr="003530F6">
        <w:rPr>
          <w:rFonts w:ascii="Bookman Old Style" w:hAnsi="Bookman Old Style"/>
          <w:b w:val="0"/>
        </w:rPr>
        <w:t xml:space="preserve">. </w:t>
      </w:r>
    </w:p>
    <w:p w:rsidR="003530F6" w:rsidRPr="003530F6" w:rsidRDefault="004B618A" w:rsidP="003530F6">
      <w:pPr>
        <w:rPr>
          <w:lang w:val="es-CO"/>
        </w:rPr>
      </w:pPr>
      <w:r>
        <w:rPr>
          <w:lang w:val="es-CO"/>
        </w:rPr>
        <w:t xml:space="preserve"> </w:t>
      </w:r>
      <w:r>
        <w:rPr>
          <w:lang w:val="es-CO"/>
        </w:rPr>
        <w:tab/>
      </w:r>
    </w:p>
    <w:p w:rsidR="004341E9" w:rsidRPr="001A11B2" w:rsidRDefault="004341E9" w:rsidP="00C54A22">
      <w:pPr>
        <w:pStyle w:val="Ttulo1"/>
        <w:keepNext w:val="0"/>
        <w:widowControl w:val="0"/>
        <w:numPr>
          <w:ilvl w:val="0"/>
          <w:numId w:val="37"/>
        </w:numPr>
        <w:tabs>
          <w:tab w:val="left" w:pos="0"/>
        </w:tabs>
        <w:ind w:left="0" w:firstLine="0"/>
        <w:jc w:val="both"/>
        <w:rPr>
          <w:rFonts w:ascii="Bookman Old Style" w:hAnsi="Bookman Old Style"/>
          <w:b w:val="0"/>
          <w:iCs/>
        </w:rPr>
      </w:pPr>
      <w:r w:rsidRPr="001A11B2">
        <w:rPr>
          <w:rFonts w:ascii="Bookman Old Style" w:hAnsi="Bookman Old Style"/>
          <w:iCs/>
        </w:rPr>
        <w:t xml:space="preserve">Demanda Objetivo. </w:t>
      </w:r>
      <w:r w:rsidRPr="001A11B2">
        <w:rPr>
          <w:rFonts w:ascii="Bookman Old Style" w:hAnsi="Bookman Old Style"/>
          <w:b w:val="0"/>
          <w:iCs/>
        </w:rPr>
        <w:t xml:space="preserve">Para la asignación de </w:t>
      </w:r>
      <w:r w:rsidR="001D73EC" w:rsidRPr="001A11B2">
        <w:rPr>
          <w:rFonts w:ascii="Bookman Old Style" w:hAnsi="Bookman Old Style"/>
          <w:b w:val="0"/>
          <w:iCs/>
        </w:rPr>
        <w:t>las OEF de la que trata la presente resolución,</w:t>
      </w:r>
      <w:r w:rsidRPr="001A11B2">
        <w:rPr>
          <w:rFonts w:ascii="Bookman Old Style" w:hAnsi="Bookman Old Style"/>
          <w:b w:val="0"/>
          <w:iCs/>
        </w:rPr>
        <w:t xml:space="preserve"> la </w:t>
      </w:r>
      <w:r w:rsidR="00AC705E">
        <w:rPr>
          <w:rFonts w:ascii="Bookman Old Style" w:hAnsi="Bookman Old Style"/>
          <w:b w:val="0"/>
          <w:iCs/>
        </w:rPr>
        <w:t>d</w:t>
      </w:r>
      <w:r w:rsidRPr="001A11B2">
        <w:rPr>
          <w:rFonts w:ascii="Bookman Old Style" w:hAnsi="Bookman Old Style"/>
          <w:b w:val="0"/>
          <w:iCs/>
        </w:rPr>
        <w:t xml:space="preserve">emanda </w:t>
      </w:r>
      <w:r w:rsidR="00AC705E">
        <w:rPr>
          <w:rFonts w:ascii="Bookman Old Style" w:hAnsi="Bookman Old Style"/>
          <w:b w:val="0"/>
          <w:iCs/>
        </w:rPr>
        <w:t>o</w:t>
      </w:r>
      <w:r w:rsidRPr="001A11B2">
        <w:rPr>
          <w:rFonts w:ascii="Bookman Old Style" w:hAnsi="Bookman Old Style"/>
          <w:b w:val="0"/>
          <w:iCs/>
        </w:rPr>
        <w:t>bjetivo para cada uno de los meses comprendidos entre</w:t>
      </w:r>
      <w:r w:rsidR="0044568F" w:rsidRPr="001A11B2">
        <w:rPr>
          <w:rFonts w:ascii="Bookman Old Style" w:hAnsi="Bookman Old Style"/>
          <w:b w:val="0"/>
          <w:iCs/>
        </w:rPr>
        <w:t>: d</w:t>
      </w:r>
      <w:r w:rsidRPr="001A11B2">
        <w:rPr>
          <w:rFonts w:ascii="Bookman Old Style" w:hAnsi="Bookman Old Style"/>
          <w:b w:val="0"/>
          <w:iCs/>
        </w:rPr>
        <w:t xml:space="preserve">iciembre </w:t>
      </w:r>
      <w:r w:rsidR="0044568F" w:rsidRPr="001A11B2">
        <w:rPr>
          <w:rFonts w:ascii="Bookman Old Style" w:hAnsi="Bookman Old Style"/>
          <w:b w:val="0"/>
          <w:iCs/>
        </w:rPr>
        <w:t xml:space="preserve">1 </w:t>
      </w:r>
      <w:r w:rsidR="00C86494" w:rsidRPr="001A11B2">
        <w:rPr>
          <w:rFonts w:ascii="Bookman Old Style" w:hAnsi="Bookman Old Style"/>
          <w:b w:val="0"/>
          <w:iCs/>
        </w:rPr>
        <w:t>de 201</w:t>
      </w:r>
      <w:r w:rsidR="0044568F" w:rsidRPr="001A11B2">
        <w:rPr>
          <w:rFonts w:ascii="Bookman Old Style" w:hAnsi="Bookman Old Style"/>
          <w:b w:val="0"/>
          <w:iCs/>
        </w:rPr>
        <w:t>9</w:t>
      </w:r>
      <w:r w:rsidR="00C86494" w:rsidRPr="001A11B2">
        <w:rPr>
          <w:rFonts w:ascii="Bookman Old Style" w:hAnsi="Bookman Old Style"/>
          <w:b w:val="0"/>
          <w:iCs/>
        </w:rPr>
        <w:t xml:space="preserve"> a </w:t>
      </w:r>
      <w:r w:rsidR="0044568F" w:rsidRPr="001A11B2">
        <w:rPr>
          <w:rFonts w:ascii="Bookman Old Style" w:hAnsi="Bookman Old Style"/>
          <w:b w:val="0"/>
          <w:iCs/>
        </w:rPr>
        <w:t>n</w:t>
      </w:r>
      <w:r w:rsidR="00C86494" w:rsidRPr="001A11B2">
        <w:rPr>
          <w:rFonts w:ascii="Bookman Old Style" w:hAnsi="Bookman Old Style"/>
          <w:b w:val="0"/>
          <w:iCs/>
        </w:rPr>
        <w:t>oviembre 30 de 20</w:t>
      </w:r>
      <w:r w:rsidR="0044568F" w:rsidRPr="001A11B2">
        <w:rPr>
          <w:rFonts w:ascii="Bookman Old Style" w:hAnsi="Bookman Old Style"/>
          <w:b w:val="0"/>
          <w:iCs/>
        </w:rPr>
        <w:t>20</w:t>
      </w:r>
      <w:r w:rsidR="00C86494" w:rsidRPr="001A11B2">
        <w:rPr>
          <w:rFonts w:ascii="Bookman Old Style" w:hAnsi="Bookman Old Style"/>
          <w:b w:val="0"/>
          <w:iCs/>
        </w:rPr>
        <w:t>,</w:t>
      </w:r>
      <w:r w:rsidR="0044568F" w:rsidRPr="001A11B2">
        <w:rPr>
          <w:rFonts w:ascii="Bookman Old Style" w:hAnsi="Bookman Old Style"/>
          <w:b w:val="0"/>
          <w:iCs/>
        </w:rPr>
        <w:t xml:space="preserve"> diciembre 1 de 2020</w:t>
      </w:r>
      <w:r w:rsidR="00C86494" w:rsidRPr="001A11B2">
        <w:rPr>
          <w:rFonts w:ascii="Bookman Old Style" w:hAnsi="Bookman Old Style"/>
          <w:b w:val="0"/>
          <w:iCs/>
        </w:rPr>
        <w:t xml:space="preserve"> a </w:t>
      </w:r>
      <w:r w:rsidR="0044568F" w:rsidRPr="001A11B2">
        <w:rPr>
          <w:rFonts w:ascii="Bookman Old Style" w:hAnsi="Bookman Old Style"/>
          <w:b w:val="0"/>
          <w:iCs/>
        </w:rPr>
        <w:t>n</w:t>
      </w:r>
      <w:r w:rsidR="00C86494" w:rsidRPr="001A11B2">
        <w:rPr>
          <w:rFonts w:ascii="Bookman Old Style" w:hAnsi="Bookman Old Style"/>
          <w:b w:val="0"/>
          <w:iCs/>
        </w:rPr>
        <w:t xml:space="preserve">oviembre </w:t>
      </w:r>
      <w:r w:rsidR="0044568F" w:rsidRPr="001A11B2">
        <w:rPr>
          <w:rFonts w:ascii="Bookman Old Style" w:hAnsi="Bookman Old Style"/>
          <w:b w:val="0"/>
          <w:iCs/>
        </w:rPr>
        <w:t xml:space="preserve">30 </w:t>
      </w:r>
      <w:r w:rsidR="00C86494" w:rsidRPr="001A11B2">
        <w:rPr>
          <w:rFonts w:ascii="Bookman Old Style" w:hAnsi="Bookman Old Style"/>
          <w:b w:val="0"/>
          <w:iCs/>
        </w:rPr>
        <w:t>de 20</w:t>
      </w:r>
      <w:r w:rsidR="0044568F" w:rsidRPr="001A11B2">
        <w:rPr>
          <w:rFonts w:ascii="Bookman Old Style" w:hAnsi="Bookman Old Style"/>
          <w:b w:val="0"/>
          <w:iCs/>
        </w:rPr>
        <w:t>21</w:t>
      </w:r>
      <w:r w:rsidR="009F2EA2" w:rsidRPr="001A11B2">
        <w:rPr>
          <w:rFonts w:ascii="Bookman Old Style" w:hAnsi="Bookman Old Style"/>
          <w:b w:val="0"/>
          <w:iCs/>
        </w:rPr>
        <w:t xml:space="preserve"> y</w:t>
      </w:r>
      <w:r w:rsidR="00C86494" w:rsidRPr="001A11B2">
        <w:rPr>
          <w:rFonts w:ascii="Bookman Old Style" w:hAnsi="Bookman Old Style"/>
          <w:b w:val="0"/>
          <w:iCs/>
        </w:rPr>
        <w:t xml:space="preserve"> </w:t>
      </w:r>
      <w:r w:rsidR="0044568F" w:rsidRPr="001A11B2">
        <w:rPr>
          <w:rFonts w:ascii="Bookman Old Style" w:hAnsi="Bookman Old Style"/>
          <w:b w:val="0"/>
          <w:iCs/>
        </w:rPr>
        <w:t>d</w:t>
      </w:r>
      <w:r w:rsidR="00C86494" w:rsidRPr="001A11B2">
        <w:rPr>
          <w:rFonts w:ascii="Bookman Old Style" w:hAnsi="Bookman Old Style"/>
          <w:b w:val="0"/>
          <w:iCs/>
        </w:rPr>
        <w:t xml:space="preserve">iciembre </w:t>
      </w:r>
      <w:r w:rsidR="001D73EC" w:rsidRPr="001A11B2">
        <w:rPr>
          <w:rFonts w:ascii="Bookman Old Style" w:hAnsi="Bookman Old Style"/>
          <w:b w:val="0"/>
          <w:iCs/>
        </w:rPr>
        <w:t>1</w:t>
      </w:r>
      <w:r w:rsidR="0044568F" w:rsidRPr="001A11B2">
        <w:rPr>
          <w:rFonts w:ascii="Bookman Old Style" w:hAnsi="Bookman Old Style"/>
          <w:b w:val="0"/>
          <w:iCs/>
        </w:rPr>
        <w:t xml:space="preserve"> </w:t>
      </w:r>
      <w:r w:rsidR="00C86494" w:rsidRPr="001A11B2">
        <w:rPr>
          <w:rFonts w:ascii="Bookman Old Style" w:hAnsi="Bookman Old Style"/>
          <w:b w:val="0"/>
          <w:iCs/>
        </w:rPr>
        <w:t>de 20</w:t>
      </w:r>
      <w:r w:rsidR="0044568F" w:rsidRPr="001A11B2">
        <w:rPr>
          <w:rFonts w:ascii="Bookman Old Style" w:hAnsi="Bookman Old Style"/>
          <w:b w:val="0"/>
          <w:iCs/>
        </w:rPr>
        <w:t>21</w:t>
      </w:r>
      <w:r w:rsidR="00C86494" w:rsidRPr="001A11B2">
        <w:rPr>
          <w:rFonts w:ascii="Bookman Old Style" w:hAnsi="Bookman Old Style"/>
          <w:b w:val="0"/>
          <w:iCs/>
        </w:rPr>
        <w:t xml:space="preserve"> a </w:t>
      </w:r>
      <w:r w:rsidR="0044568F" w:rsidRPr="001A11B2">
        <w:rPr>
          <w:rFonts w:ascii="Bookman Old Style" w:hAnsi="Bookman Old Style"/>
          <w:b w:val="0"/>
          <w:iCs/>
        </w:rPr>
        <w:t>n</w:t>
      </w:r>
      <w:r w:rsidR="00C86494" w:rsidRPr="001A11B2">
        <w:rPr>
          <w:rFonts w:ascii="Bookman Old Style" w:hAnsi="Bookman Old Style"/>
          <w:b w:val="0"/>
          <w:iCs/>
        </w:rPr>
        <w:t xml:space="preserve">oviembre </w:t>
      </w:r>
      <w:r w:rsidR="0044568F" w:rsidRPr="001A11B2">
        <w:rPr>
          <w:rFonts w:ascii="Bookman Old Style" w:hAnsi="Bookman Old Style"/>
          <w:b w:val="0"/>
          <w:iCs/>
        </w:rPr>
        <w:t xml:space="preserve">30 </w:t>
      </w:r>
      <w:r w:rsidR="00C86494" w:rsidRPr="001A11B2">
        <w:rPr>
          <w:rFonts w:ascii="Bookman Old Style" w:hAnsi="Bookman Old Style"/>
          <w:b w:val="0"/>
          <w:iCs/>
        </w:rPr>
        <w:t>de 20</w:t>
      </w:r>
      <w:r w:rsidR="0044568F" w:rsidRPr="001A11B2">
        <w:rPr>
          <w:rFonts w:ascii="Bookman Old Style" w:hAnsi="Bookman Old Style"/>
          <w:b w:val="0"/>
          <w:iCs/>
        </w:rPr>
        <w:t>22</w:t>
      </w:r>
      <w:r w:rsidR="00F30992">
        <w:rPr>
          <w:rFonts w:ascii="Bookman Old Style" w:hAnsi="Bookman Old Style"/>
          <w:b w:val="0"/>
          <w:iCs/>
        </w:rPr>
        <w:t>,</w:t>
      </w:r>
      <w:r w:rsidR="00C86494" w:rsidRPr="001A11B2">
        <w:rPr>
          <w:rFonts w:ascii="Bookman Old Style" w:hAnsi="Bookman Old Style"/>
          <w:b w:val="0"/>
          <w:iCs/>
        </w:rPr>
        <w:t xml:space="preserve"> </w:t>
      </w:r>
      <w:r w:rsidRPr="001A11B2">
        <w:rPr>
          <w:rFonts w:ascii="Bookman Old Style" w:hAnsi="Bookman Old Style"/>
          <w:b w:val="0"/>
          <w:iCs/>
        </w:rPr>
        <w:t xml:space="preserve">será la que se </w:t>
      </w:r>
      <w:r w:rsidR="001D73EC" w:rsidRPr="001A11B2">
        <w:rPr>
          <w:rFonts w:ascii="Bookman Old Style" w:hAnsi="Bookman Old Style"/>
          <w:b w:val="0"/>
          <w:iCs/>
        </w:rPr>
        <w:t>presenta</w:t>
      </w:r>
      <w:r w:rsidRPr="001A11B2">
        <w:rPr>
          <w:rFonts w:ascii="Bookman Old Style" w:hAnsi="Bookman Old Style"/>
          <w:b w:val="0"/>
          <w:iCs/>
        </w:rPr>
        <w:t xml:space="preserve"> en la siguiente tabla.</w:t>
      </w:r>
    </w:p>
    <w:p w:rsidR="0044568F" w:rsidRPr="001A11B2" w:rsidRDefault="0044568F" w:rsidP="0044568F">
      <w:pPr>
        <w:rPr>
          <w:lang w:val="es-CO"/>
        </w:rPr>
      </w:pPr>
    </w:p>
    <w:tbl>
      <w:tblPr>
        <w:tblStyle w:val="Tablaconcuadrcula"/>
        <w:tblW w:w="8359" w:type="dxa"/>
        <w:jc w:val="center"/>
        <w:tblLayout w:type="fixed"/>
        <w:tblLook w:val="04A0" w:firstRow="1" w:lastRow="0" w:firstColumn="1" w:lastColumn="0" w:noHBand="0" w:noVBand="1"/>
      </w:tblPr>
      <w:tblGrid>
        <w:gridCol w:w="1271"/>
        <w:gridCol w:w="1418"/>
        <w:gridCol w:w="1275"/>
        <w:gridCol w:w="1418"/>
        <w:gridCol w:w="1276"/>
        <w:gridCol w:w="1701"/>
      </w:tblGrid>
      <w:tr w:rsidR="009F2EA2" w:rsidRPr="001A11B2" w:rsidTr="009F2EA2">
        <w:trPr>
          <w:jc w:val="center"/>
        </w:trPr>
        <w:tc>
          <w:tcPr>
            <w:tcW w:w="2689" w:type="dxa"/>
            <w:gridSpan w:val="2"/>
          </w:tcPr>
          <w:p w:rsidR="009F2EA2" w:rsidRPr="001A11B2" w:rsidRDefault="009F2EA2" w:rsidP="0044568F">
            <w:pPr>
              <w:ind w:left="0"/>
              <w:jc w:val="center"/>
              <w:rPr>
                <w:rFonts w:ascii="Bookman Old Style" w:hAnsi="Bookman Old Style"/>
                <w:b/>
                <w:iCs/>
                <w:sz w:val="20"/>
                <w:szCs w:val="20"/>
                <w:lang w:val="es-CO"/>
              </w:rPr>
            </w:pPr>
            <w:r w:rsidRPr="001A11B2">
              <w:rPr>
                <w:rFonts w:ascii="Bookman Old Style" w:hAnsi="Bookman Old Style"/>
                <w:b/>
                <w:iCs/>
                <w:sz w:val="20"/>
                <w:szCs w:val="20"/>
                <w:lang w:val="es-CO"/>
              </w:rPr>
              <w:t>Periodo 2019-2020</w:t>
            </w:r>
          </w:p>
        </w:tc>
        <w:tc>
          <w:tcPr>
            <w:tcW w:w="2693" w:type="dxa"/>
            <w:gridSpan w:val="2"/>
          </w:tcPr>
          <w:p w:rsidR="009F2EA2" w:rsidRPr="001A11B2" w:rsidRDefault="009F2EA2" w:rsidP="0044568F">
            <w:pPr>
              <w:ind w:left="0"/>
              <w:jc w:val="center"/>
              <w:rPr>
                <w:rFonts w:ascii="Bookman Old Style" w:hAnsi="Bookman Old Style"/>
                <w:b/>
                <w:iCs/>
                <w:sz w:val="20"/>
                <w:szCs w:val="20"/>
                <w:lang w:val="es-CO"/>
              </w:rPr>
            </w:pPr>
            <w:r w:rsidRPr="001A11B2">
              <w:rPr>
                <w:rFonts w:ascii="Bookman Old Style" w:hAnsi="Bookman Old Style"/>
                <w:b/>
                <w:iCs/>
                <w:sz w:val="20"/>
                <w:szCs w:val="20"/>
                <w:lang w:val="es-CO"/>
              </w:rPr>
              <w:t>Periodo 2020-2021</w:t>
            </w:r>
          </w:p>
        </w:tc>
        <w:tc>
          <w:tcPr>
            <w:tcW w:w="2977" w:type="dxa"/>
            <w:gridSpan w:val="2"/>
          </w:tcPr>
          <w:p w:rsidR="009F2EA2" w:rsidRPr="001A11B2" w:rsidRDefault="009F2EA2" w:rsidP="0044568F">
            <w:pPr>
              <w:ind w:left="0"/>
              <w:jc w:val="center"/>
              <w:rPr>
                <w:rFonts w:ascii="Bookman Old Style" w:hAnsi="Bookman Old Style"/>
                <w:b/>
                <w:iCs/>
                <w:sz w:val="20"/>
                <w:szCs w:val="20"/>
                <w:lang w:val="es-CO"/>
              </w:rPr>
            </w:pPr>
            <w:r w:rsidRPr="001A11B2">
              <w:rPr>
                <w:rFonts w:ascii="Bookman Old Style" w:hAnsi="Bookman Old Style"/>
                <w:b/>
                <w:iCs/>
                <w:sz w:val="20"/>
                <w:szCs w:val="20"/>
                <w:lang w:val="es-CO"/>
              </w:rPr>
              <w:t>Periodo 2021-2022</w:t>
            </w:r>
          </w:p>
        </w:tc>
      </w:tr>
      <w:tr w:rsidR="009F2EA2" w:rsidRPr="001A11B2" w:rsidTr="009F2EA2">
        <w:trPr>
          <w:jc w:val="center"/>
        </w:trPr>
        <w:tc>
          <w:tcPr>
            <w:tcW w:w="1271" w:type="dxa"/>
          </w:tcPr>
          <w:p w:rsidR="009F2EA2" w:rsidRPr="001A11B2" w:rsidRDefault="009F2EA2" w:rsidP="003F615F">
            <w:pPr>
              <w:ind w:left="0"/>
              <w:jc w:val="center"/>
              <w:rPr>
                <w:b/>
                <w:sz w:val="20"/>
                <w:szCs w:val="20"/>
                <w:lang w:val="es-CO"/>
              </w:rPr>
            </w:pPr>
            <w:r w:rsidRPr="001A11B2">
              <w:rPr>
                <w:rFonts w:ascii="Bookman Old Style" w:hAnsi="Bookman Old Style"/>
                <w:b/>
                <w:iCs/>
                <w:sz w:val="20"/>
                <w:szCs w:val="20"/>
                <w:lang w:val="es-CO"/>
              </w:rPr>
              <w:t>Mes</w:t>
            </w:r>
          </w:p>
        </w:tc>
        <w:tc>
          <w:tcPr>
            <w:tcW w:w="1418" w:type="dxa"/>
          </w:tcPr>
          <w:p w:rsidR="009F2EA2" w:rsidRPr="001A11B2" w:rsidRDefault="009F2EA2" w:rsidP="003F615F">
            <w:pPr>
              <w:ind w:left="0"/>
              <w:jc w:val="center"/>
              <w:rPr>
                <w:rFonts w:ascii="Bookman Old Style" w:hAnsi="Bookman Old Style"/>
                <w:b/>
                <w:iCs/>
                <w:sz w:val="20"/>
                <w:szCs w:val="20"/>
                <w:lang w:val="es-CO"/>
              </w:rPr>
            </w:pPr>
            <w:r w:rsidRPr="001A11B2">
              <w:rPr>
                <w:rFonts w:ascii="Bookman Old Style" w:hAnsi="Bookman Old Style"/>
                <w:b/>
                <w:iCs/>
                <w:sz w:val="20"/>
                <w:szCs w:val="20"/>
                <w:lang w:val="es-CO"/>
              </w:rPr>
              <w:t>Demanda Objetivo (</w:t>
            </w:r>
            <w:proofErr w:type="spellStart"/>
            <w:r w:rsidRPr="001A11B2">
              <w:rPr>
                <w:rFonts w:ascii="Bookman Old Style" w:hAnsi="Bookman Old Style"/>
                <w:b/>
                <w:iCs/>
                <w:sz w:val="20"/>
                <w:szCs w:val="20"/>
                <w:lang w:val="es-CO"/>
              </w:rPr>
              <w:t>GWh</w:t>
            </w:r>
            <w:proofErr w:type="spellEnd"/>
            <w:r w:rsidRPr="001A11B2">
              <w:rPr>
                <w:rFonts w:ascii="Bookman Old Style" w:hAnsi="Bookman Old Style"/>
                <w:b/>
                <w:iCs/>
                <w:sz w:val="20"/>
                <w:szCs w:val="20"/>
                <w:lang w:val="es-CO"/>
              </w:rPr>
              <w:t>)</w:t>
            </w:r>
          </w:p>
        </w:tc>
        <w:tc>
          <w:tcPr>
            <w:tcW w:w="1275" w:type="dxa"/>
          </w:tcPr>
          <w:p w:rsidR="009F2EA2" w:rsidRPr="001A11B2" w:rsidRDefault="009F2EA2" w:rsidP="003F615F">
            <w:pPr>
              <w:ind w:left="0"/>
              <w:jc w:val="center"/>
              <w:rPr>
                <w:rFonts w:ascii="Bookman Old Style" w:hAnsi="Bookman Old Style"/>
                <w:b/>
                <w:iCs/>
                <w:sz w:val="20"/>
                <w:szCs w:val="20"/>
                <w:lang w:val="es-CO"/>
              </w:rPr>
            </w:pPr>
            <w:r w:rsidRPr="001A11B2">
              <w:rPr>
                <w:rFonts w:ascii="Bookman Old Style" w:hAnsi="Bookman Old Style"/>
                <w:b/>
                <w:iCs/>
                <w:sz w:val="20"/>
                <w:szCs w:val="20"/>
                <w:lang w:val="es-CO"/>
              </w:rPr>
              <w:t>Mes</w:t>
            </w:r>
          </w:p>
        </w:tc>
        <w:tc>
          <w:tcPr>
            <w:tcW w:w="1418" w:type="dxa"/>
          </w:tcPr>
          <w:p w:rsidR="009F2EA2" w:rsidRPr="001A11B2" w:rsidRDefault="009F2EA2" w:rsidP="003F615F">
            <w:pPr>
              <w:ind w:left="0"/>
              <w:jc w:val="center"/>
              <w:rPr>
                <w:rFonts w:ascii="Bookman Old Style" w:hAnsi="Bookman Old Style"/>
                <w:b/>
                <w:iCs/>
                <w:sz w:val="20"/>
                <w:szCs w:val="20"/>
                <w:lang w:val="es-CO"/>
              </w:rPr>
            </w:pPr>
            <w:r w:rsidRPr="001A11B2">
              <w:rPr>
                <w:rFonts w:ascii="Bookman Old Style" w:hAnsi="Bookman Old Style"/>
                <w:b/>
                <w:iCs/>
                <w:sz w:val="20"/>
                <w:szCs w:val="20"/>
                <w:lang w:val="es-CO"/>
              </w:rPr>
              <w:t>Demanda Objetivo (</w:t>
            </w:r>
            <w:proofErr w:type="spellStart"/>
            <w:r w:rsidRPr="001A11B2">
              <w:rPr>
                <w:rFonts w:ascii="Bookman Old Style" w:hAnsi="Bookman Old Style"/>
                <w:b/>
                <w:iCs/>
                <w:sz w:val="20"/>
                <w:szCs w:val="20"/>
                <w:lang w:val="es-CO"/>
              </w:rPr>
              <w:t>GWh</w:t>
            </w:r>
            <w:proofErr w:type="spellEnd"/>
            <w:r w:rsidRPr="001A11B2">
              <w:rPr>
                <w:rFonts w:ascii="Bookman Old Style" w:hAnsi="Bookman Old Style"/>
                <w:b/>
                <w:iCs/>
                <w:sz w:val="20"/>
                <w:szCs w:val="20"/>
                <w:lang w:val="es-CO"/>
              </w:rPr>
              <w:t>)</w:t>
            </w:r>
          </w:p>
        </w:tc>
        <w:tc>
          <w:tcPr>
            <w:tcW w:w="1276" w:type="dxa"/>
          </w:tcPr>
          <w:p w:rsidR="009F2EA2" w:rsidRPr="001A11B2" w:rsidRDefault="009F2EA2" w:rsidP="003F615F">
            <w:pPr>
              <w:ind w:left="0"/>
              <w:jc w:val="center"/>
              <w:rPr>
                <w:rFonts w:ascii="Bookman Old Style" w:hAnsi="Bookman Old Style"/>
                <w:b/>
                <w:iCs/>
                <w:sz w:val="20"/>
                <w:szCs w:val="20"/>
                <w:lang w:val="es-CO"/>
              </w:rPr>
            </w:pPr>
            <w:r w:rsidRPr="001A11B2">
              <w:rPr>
                <w:rFonts w:ascii="Bookman Old Style" w:hAnsi="Bookman Old Style"/>
                <w:b/>
                <w:iCs/>
                <w:sz w:val="20"/>
                <w:szCs w:val="20"/>
                <w:lang w:val="es-CO"/>
              </w:rPr>
              <w:t>Mes</w:t>
            </w:r>
          </w:p>
        </w:tc>
        <w:tc>
          <w:tcPr>
            <w:tcW w:w="1701" w:type="dxa"/>
          </w:tcPr>
          <w:p w:rsidR="009F2EA2" w:rsidRPr="001A11B2" w:rsidRDefault="009F2EA2" w:rsidP="003F615F">
            <w:pPr>
              <w:ind w:left="0"/>
              <w:jc w:val="center"/>
              <w:rPr>
                <w:rFonts w:ascii="Bookman Old Style" w:hAnsi="Bookman Old Style"/>
                <w:b/>
                <w:iCs/>
                <w:sz w:val="20"/>
                <w:szCs w:val="20"/>
                <w:lang w:val="es-CO"/>
              </w:rPr>
            </w:pPr>
            <w:r w:rsidRPr="001A11B2">
              <w:rPr>
                <w:rFonts w:ascii="Bookman Old Style" w:hAnsi="Bookman Old Style"/>
                <w:b/>
                <w:iCs/>
                <w:sz w:val="20"/>
                <w:szCs w:val="20"/>
                <w:lang w:val="es-CO"/>
              </w:rPr>
              <w:t>Demanda Objetivo (</w:t>
            </w:r>
            <w:proofErr w:type="spellStart"/>
            <w:r w:rsidRPr="001A11B2">
              <w:rPr>
                <w:rFonts w:ascii="Bookman Old Style" w:hAnsi="Bookman Old Style"/>
                <w:b/>
                <w:iCs/>
                <w:sz w:val="20"/>
                <w:szCs w:val="20"/>
                <w:lang w:val="es-CO"/>
              </w:rPr>
              <w:t>GWh</w:t>
            </w:r>
            <w:proofErr w:type="spellEnd"/>
            <w:r w:rsidRPr="001A11B2">
              <w:rPr>
                <w:rFonts w:ascii="Bookman Old Style" w:hAnsi="Bookman Old Style"/>
                <w:b/>
                <w:iCs/>
                <w:sz w:val="20"/>
                <w:szCs w:val="20"/>
                <w:lang w:val="es-CO"/>
              </w:rPr>
              <w:t>)</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Dic-2019</w:t>
            </w:r>
          </w:p>
        </w:tc>
        <w:tc>
          <w:tcPr>
            <w:tcW w:w="1418" w:type="dxa"/>
            <w:vAlign w:val="center"/>
          </w:tcPr>
          <w:p w:rsidR="009F2EA2" w:rsidRPr="00EA4764" w:rsidRDefault="009F2EA2" w:rsidP="0047463A">
            <w:pPr>
              <w:ind w:left="0"/>
              <w:jc w:val="right"/>
              <w:rPr>
                <w:rFonts w:ascii="Bookman Old Style" w:hAnsi="Bookman Old Style"/>
                <w:iCs/>
                <w:sz w:val="20"/>
                <w:szCs w:val="20"/>
                <w:lang w:val="es-CO"/>
              </w:rPr>
            </w:pPr>
            <w:r w:rsidRPr="00EA4764">
              <w:rPr>
                <w:rFonts w:ascii="Bookman Old Style" w:hAnsi="Bookman Old Style"/>
                <w:iCs/>
                <w:sz w:val="20"/>
                <w:szCs w:val="20"/>
                <w:lang w:val="es-CO"/>
              </w:rPr>
              <w:t>6.210</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Dic-2020</w:t>
            </w:r>
          </w:p>
        </w:tc>
        <w:tc>
          <w:tcPr>
            <w:tcW w:w="1418" w:type="dxa"/>
            <w:vAlign w:val="center"/>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6.425</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Dic-2021</w:t>
            </w:r>
          </w:p>
        </w:tc>
        <w:tc>
          <w:tcPr>
            <w:tcW w:w="1701" w:type="dxa"/>
            <w:vAlign w:val="center"/>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6.660</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Ene-2020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6.185</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Ene-2021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6.422</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Ene-2022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6.659</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Feb-2020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6.016</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Feb-2021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6.155</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Feb-2022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6.354</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Mar-2020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6.316</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Mar-2021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6.619</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Mar-2022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6.828</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Abr-2020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6.203</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Abr-2021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6.409</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Abr-2022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6.616</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May-2020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6.412</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May-2021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6.652</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May-2022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6.880</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Jun-2020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6.230</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Jun-2021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6.466</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Jun-2022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6.683</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Jul-2020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6.443</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Jul-2021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6.624</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Jul-2022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6.804</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Ago-2020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6.450</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Ago-2021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6.711</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Ago-2022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6.958</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Sep-2020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6.373</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Sep-2021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6.590</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Sep-2022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6.805</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Oct-2020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6.456</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Oct-2021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6.631</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Oct-2022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6.835</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Nov-2020</w:t>
            </w:r>
          </w:p>
        </w:tc>
        <w:tc>
          <w:tcPr>
            <w:tcW w:w="1418" w:type="dxa"/>
            <w:vAlign w:val="center"/>
          </w:tcPr>
          <w:p w:rsidR="009F2EA2" w:rsidRPr="00EA4764" w:rsidRDefault="009F2EA2" w:rsidP="0047463A">
            <w:pPr>
              <w:jc w:val="right"/>
              <w:rPr>
                <w:rFonts w:ascii="Bookman Old Style" w:hAnsi="Bookman Old Style"/>
                <w:iCs/>
                <w:sz w:val="20"/>
                <w:szCs w:val="20"/>
                <w:lang w:val="es-CO"/>
              </w:rPr>
            </w:pPr>
            <w:r w:rsidRPr="00EA4764">
              <w:rPr>
                <w:rFonts w:ascii="Bookman Old Style" w:hAnsi="Bookman Old Style"/>
                <w:iCs/>
                <w:sz w:val="20"/>
                <w:szCs w:val="20"/>
                <w:lang w:val="es-CO"/>
              </w:rPr>
              <w:t>6.248</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Nov-2021</w:t>
            </w:r>
          </w:p>
        </w:tc>
        <w:tc>
          <w:tcPr>
            <w:tcW w:w="1418"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6.479</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Nov-2022</w:t>
            </w:r>
          </w:p>
        </w:tc>
        <w:tc>
          <w:tcPr>
            <w:tcW w:w="1701" w:type="dxa"/>
            <w:vAlign w:val="center"/>
          </w:tcPr>
          <w:p w:rsidR="009F2EA2" w:rsidRPr="001A11B2" w:rsidRDefault="009F2EA2" w:rsidP="0047463A">
            <w:pPr>
              <w:jc w:val="right"/>
              <w:rPr>
                <w:rFonts w:ascii="Bookman Old Style" w:hAnsi="Bookman Old Style"/>
                <w:iCs/>
                <w:sz w:val="20"/>
                <w:szCs w:val="20"/>
                <w:lang w:val="es-CO"/>
              </w:rPr>
            </w:pPr>
            <w:r w:rsidRPr="001A11B2">
              <w:rPr>
                <w:rFonts w:ascii="Bookman Old Style" w:hAnsi="Bookman Old Style"/>
                <w:iCs/>
                <w:sz w:val="20"/>
                <w:szCs w:val="20"/>
                <w:lang w:val="es-CO"/>
              </w:rPr>
              <w:t>6.691</w:t>
            </w:r>
          </w:p>
        </w:tc>
      </w:tr>
      <w:tr w:rsidR="009F2EA2" w:rsidRPr="001A11B2" w:rsidTr="009F2EA2">
        <w:trPr>
          <w:jc w:val="center"/>
        </w:trPr>
        <w:tc>
          <w:tcPr>
            <w:tcW w:w="1271"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Total</w:t>
            </w:r>
          </w:p>
        </w:tc>
        <w:tc>
          <w:tcPr>
            <w:tcW w:w="1418" w:type="dxa"/>
            <w:vAlign w:val="center"/>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75.542</w:t>
            </w:r>
          </w:p>
        </w:tc>
        <w:tc>
          <w:tcPr>
            <w:tcW w:w="1275"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Total</w:t>
            </w:r>
          </w:p>
        </w:tc>
        <w:tc>
          <w:tcPr>
            <w:tcW w:w="1418" w:type="dxa"/>
          </w:tcPr>
          <w:p w:rsidR="009F2EA2" w:rsidRPr="001A11B2" w:rsidRDefault="009F2EA2" w:rsidP="000B07DE">
            <w:pPr>
              <w:ind w:left="0"/>
              <w:jc w:val="right"/>
              <w:rPr>
                <w:rFonts w:ascii="Bookman Old Style" w:hAnsi="Bookman Old Style"/>
                <w:iCs/>
                <w:sz w:val="20"/>
                <w:szCs w:val="20"/>
                <w:lang w:val="es-CO"/>
              </w:rPr>
            </w:pPr>
            <w:r w:rsidRPr="001A11B2">
              <w:rPr>
                <w:rFonts w:ascii="Bookman Old Style" w:hAnsi="Bookman Old Style"/>
                <w:iCs/>
                <w:sz w:val="20"/>
                <w:szCs w:val="20"/>
                <w:lang w:val="es-CO"/>
              </w:rPr>
              <w:t>78.18</w:t>
            </w:r>
            <w:r w:rsidR="000B07DE">
              <w:rPr>
                <w:rFonts w:ascii="Bookman Old Style" w:hAnsi="Bookman Old Style"/>
                <w:iCs/>
                <w:sz w:val="20"/>
                <w:szCs w:val="20"/>
                <w:lang w:val="es-CO"/>
              </w:rPr>
              <w:t>3</w:t>
            </w:r>
          </w:p>
        </w:tc>
        <w:tc>
          <w:tcPr>
            <w:tcW w:w="1276" w:type="dxa"/>
          </w:tcPr>
          <w:p w:rsidR="009F2EA2" w:rsidRPr="001A11B2" w:rsidRDefault="009F2EA2" w:rsidP="0047463A">
            <w:pPr>
              <w:ind w:left="0"/>
              <w:jc w:val="right"/>
              <w:rPr>
                <w:rFonts w:ascii="Bookman Old Style" w:hAnsi="Bookman Old Style"/>
                <w:iCs/>
                <w:sz w:val="20"/>
                <w:szCs w:val="20"/>
                <w:lang w:val="es-CO"/>
              </w:rPr>
            </w:pPr>
            <w:r w:rsidRPr="001A11B2">
              <w:rPr>
                <w:rFonts w:ascii="Bookman Old Style" w:hAnsi="Bookman Old Style"/>
                <w:iCs/>
                <w:sz w:val="20"/>
                <w:szCs w:val="20"/>
                <w:lang w:val="es-CO"/>
              </w:rPr>
              <w:t>Total</w:t>
            </w:r>
          </w:p>
        </w:tc>
        <w:tc>
          <w:tcPr>
            <w:tcW w:w="1701" w:type="dxa"/>
          </w:tcPr>
          <w:p w:rsidR="009F2EA2" w:rsidRPr="001A11B2" w:rsidRDefault="000B07DE" w:rsidP="0047463A">
            <w:pPr>
              <w:ind w:left="0"/>
              <w:jc w:val="right"/>
              <w:rPr>
                <w:rFonts w:ascii="Bookman Old Style" w:hAnsi="Bookman Old Style"/>
                <w:iCs/>
                <w:sz w:val="20"/>
                <w:szCs w:val="20"/>
                <w:lang w:val="es-CO"/>
              </w:rPr>
            </w:pPr>
            <w:r>
              <w:rPr>
                <w:rFonts w:ascii="Bookman Old Style" w:hAnsi="Bookman Old Style"/>
                <w:iCs/>
                <w:sz w:val="20"/>
                <w:szCs w:val="20"/>
                <w:lang w:val="es-CO"/>
              </w:rPr>
              <w:t>80.773</w:t>
            </w:r>
          </w:p>
        </w:tc>
      </w:tr>
    </w:tbl>
    <w:p w:rsidR="00E74C30" w:rsidRPr="001A11B2" w:rsidRDefault="00E74C30" w:rsidP="0047463A">
      <w:pPr>
        <w:pStyle w:val="Ttulo1"/>
        <w:tabs>
          <w:tab w:val="left" w:pos="0"/>
        </w:tabs>
        <w:ind w:left="0"/>
        <w:jc w:val="right"/>
        <w:rPr>
          <w:rFonts w:ascii="Bookman Old Style" w:hAnsi="Bookman Old Style"/>
          <w:b w:val="0"/>
          <w:iCs/>
          <w:sz w:val="20"/>
        </w:rPr>
      </w:pPr>
    </w:p>
    <w:p w:rsidR="00E74C30" w:rsidRPr="001A11B2" w:rsidRDefault="00E74C30" w:rsidP="004341E9">
      <w:pPr>
        <w:pStyle w:val="Ttulo1"/>
        <w:tabs>
          <w:tab w:val="left" w:pos="0"/>
        </w:tabs>
        <w:ind w:left="0"/>
        <w:jc w:val="both"/>
        <w:rPr>
          <w:rFonts w:ascii="Times New Roman" w:hAnsi="Times New Roman"/>
          <w:b w:val="0"/>
          <w:szCs w:val="24"/>
        </w:rPr>
      </w:pPr>
    </w:p>
    <w:p w:rsidR="004341E9" w:rsidRPr="001A11B2" w:rsidRDefault="004341E9" w:rsidP="00AE23C3">
      <w:pPr>
        <w:pStyle w:val="Ttulo1"/>
        <w:numPr>
          <w:ilvl w:val="0"/>
          <w:numId w:val="37"/>
        </w:numPr>
        <w:tabs>
          <w:tab w:val="left" w:pos="0"/>
        </w:tabs>
        <w:ind w:left="0" w:firstLine="0"/>
        <w:jc w:val="both"/>
        <w:rPr>
          <w:rFonts w:ascii="Bookman Old Style" w:hAnsi="Bookman Old Style"/>
          <w:b w:val="0"/>
        </w:rPr>
      </w:pPr>
      <w:r w:rsidRPr="001A11B2">
        <w:rPr>
          <w:rFonts w:ascii="Bookman Old Style" w:hAnsi="Bookman Old Style"/>
        </w:rPr>
        <w:t xml:space="preserve">Cronograma para la asignación de </w:t>
      </w:r>
      <w:r w:rsidR="001D73EC" w:rsidRPr="001A11B2">
        <w:rPr>
          <w:rFonts w:ascii="Bookman Old Style" w:hAnsi="Bookman Old Style"/>
        </w:rPr>
        <w:t>OEF</w:t>
      </w:r>
      <w:r w:rsidRPr="001A11B2">
        <w:rPr>
          <w:rFonts w:ascii="Bookman Old Style" w:hAnsi="Bookman Old Style"/>
        </w:rPr>
        <w:t xml:space="preserve">. </w:t>
      </w:r>
      <w:r w:rsidRPr="001A11B2">
        <w:rPr>
          <w:rFonts w:ascii="Bookman Old Style" w:hAnsi="Bookman Old Style"/>
          <w:b w:val="0"/>
        </w:rPr>
        <w:t xml:space="preserve">La asignación de </w:t>
      </w:r>
      <w:r w:rsidR="001D73EC" w:rsidRPr="001A11B2">
        <w:rPr>
          <w:rFonts w:ascii="Bookman Old Style" w:hAnsi="Bookman Old Style"/>
          <w:b w:val="0"/>
        </w:rPr>
        <w:t>OEF</w:t>
      </w:r>
      <w:r w:rsidRPr="001A11B2">
        <w:rPr>
          <w:rFonts w:ascii="Bookman Old Style" w:hAnsi="Bookman Old Style"/>
          <w:b w:val="0"/>
        </w:rPr>
        <w:t xml:space="preserve"> a quienes representen plantas existentes</w:t>
      </w:r>
      <w:r w:rsidR="007D6186" w:rsidRPr="001A11B2">
        <w:rPr>
          <w:rFonts w:ascii="Bookman Old Style" w:hAnsi="Bookman Old Style"/>
          <w:b w:val="0"/>
        </w:rPr>
        <w:t>,</w:t>
      </w:r>
      <w:r w:rsidRPr="001A11B2">
        <w:rPr>
          <w:rFonts w:ascii="Bookman Old Style" w:hAnsi="Bookman Old Style"/>
          <w:b w:val="0"/>
        </w:rPr>
        <w:t xml:space="preserve"> para la</w:t>
      </w:r>
      <w:r w:rsidR="007D6186" w:rsidRPr="001A11B2">
        <w:rPr>
          <w:rFonts w:ascii="Bookman Old Style" w:hAnsi="Bookman Old Style"/>
          <w:b w:val="0"/>
        </w:rPr>
        <w:t>s</w:t>
      </w:r>
      <w:r w:rsidRPr="001A11B2">
        <w:rPr>
          <w:rFonts w:ascii="Bookman Old Style" w:hAnsi="Bookman Old Style"/>
          <w:b w:val="0"/>
        </w:rPr>
        <w:t xml:space="preserve"> vigencia</w:t>
      </w:r>
      <w:r w:rsidR="007D6186" w:rsidRPr="001A11B2">
        <w:rPr>
          <w:rFonts w:ascii="Bookman Old Style" w:hAnsi="Bookman Old Style"/>
          <w:b w:val="0"/>
        </w:rPr>
        <w:t>s</w:t>
      </w:r>
      <w:r w:rsidRPr="001A11B2">
        <w:rPr>
          <w:rFonts w:ascii="Bookman Old Style" w:hAnsi="Bookman Old Style"/>
          <w:b w:val="0"/>
        </w:rPr>
        <w:t xml:space="preserve"> comprendida</w:t>
      </w:r>
      <w:r w:rsidR="007D6186" w:rsidRPr="001A11B2">
        <w:rPr>
          <w:rFonts w:ascii="Bookman Old Style" w:hAnsi="Bookman Old Style"/>
          <w:b w:val="0"/>
        </w:rPr>
        <w:t>s</w:t>
      </w:r>
      <w:r w:rsidRPr="001A11B2">
        <w:rPr>
          <w:rFonts w:ascii="Bookman Old Style" w:hAnsi="Bookman Old Style"/>
          <w:b w:val="0"/>
        </w:rPr>
        <w:t xml:space="preserve"> entre </w:t>
      </w:r>
      <w:r w:rsidR="007D6186" w:rsidRPr="001A11B2">
        <w:rPr>
          <w:rFonts w:ascii="Bookman Old Style" w:hAnsi="Bookman Old Style"/>
          <w:b w:val="0"/>
        </w:rPr>
        <w:t>d</w:t>
      </w:r>
      <w:r w:rsidR="00703B29" w:rsidRPr="001A11B2">
        <w:rPr>
          <w:rFonts w:ascii="Bookman Old Style" w:hAnsi="Bookman Old Style"/>
          <w:b w:val="0"/>
          <w:iCs/>
        </w:rPr>
        <w:t>iciembre 1 de 201</w:t>
      </w:r>
      <w:r w:rsidR="007D6186" w:rsidRPr="001A11B2">
        <w:rPr>
          <w:rFonts w:ascii="Bookman Old Style" w:hAnsi="Bookman Old Style"/>
          <w:b w:val="0"/>
          <w:iCs/>
        </w:rPr>
        <w:t>9</w:t>
      </w:r>
      <w:r w:rsidR="00703B29" w:rsidRPr="001A11B2">
        <w:rPr>
          <w:rFonts w:ascii="Bookman Old Style" w:hAnsi="Bookman Old Style"/>
          <w:b w:val="0"/>
          <w:iCs/>
        </w:rPr>
        <w:t xml:space="preserve"> a </w:t>
      </w:r>
      <w:r w:rsidR="007D6186" w:rsidRPr="001A11B2">
        <w:rPr>
          <w:rFonts w:ascii="Bookman Old Style" w:hAnsi="Bookman Old Style"/>
          <w:b w:val="0"/>
          <w:iCs/>
        </w:rPr>
        <w:t>n</w:t>
      </w:r>
      <w:r w:rsidR="00703B29" w:rsidRPr="001A11B2">
        <w:rPr>
          <w:rFonts w:ascii="Bookman Old Style" w:hAnsi="Bookman Old Style"/>
          <w:b w:val="0"/>
          <w:iCs/>
        </w:rPr>
        <w:t>oviembre 30 de 20</w:t>
      </w:r>
      <w:r w:rsidR="007D6186" w:rsidRPr="001A11B2">
        <w:rPr>
          <w:rFonts w:ascii="Bookman Old Style" w:hAnsi="Bookman Old Style"/>
          <w:b w:val="0"/>
          <w:iCs/>
        </w:rPr>
        <w:t>20</w:t>
      </w:r>
      <w:r w:rsidR="00703B29" w:rsidRPr="001A11B2">
        <w:rPr>
          <w:rFonts w:ascii="Bookman Old Style" w:hAnsi="Bookman Old Style"/>
          <w:b w:val="0"/>
          <w:iCs/>
        </w:rPr>
        <w:t xml:space="preserve">, </w:t>
      </w:r>
      <w:r w:rsidR="007D6186" w:rsidRPr="001A11B2">
        <w:rPr>
          <w:rFonts w:ascii="Bookman Old Style" w:hAnsi="Bookman Old Style"/>
          <w:b w:val="0"/>
          <w:iCs/>
        </w:rPr>
        <w:t>d</w:t>
      </w:r>
      <w:r w:rsidR="00703B29" w:rsidRPr="001A11B2">
        <w:rPr>
          <w:rFonts w:ascii="Bookman Old Style" w:hAnsi="Bookman Old Style"/>
          <w:b w:val="0"/>
          <w:iCs/>
        </w:rPr>
        <w:t>iciembre</w:t>
      </w:r>
      <w:r w:rsidR="00FB2A88" w:rsidRPr="001A11B2">
        <w:rPr>
          <w:rFonts w:ascii="Bookman Old Style" w:hAnsi="Bookman Old Style"/>
          <w:b w:val="0"/>
          <w:iCs/>
        </w:rPr>
        <w:t xml:space="preserve"> 1</w:t>
      </w:r>
      <w:r w:rsidR="00703B29" w:rsidRPr="001A11B2">
        <w:rPr>
          <w:rFonts w:ascii="Bookman Old Style" w:hAnsi="Bookman Old Style"/>
          <w:b w:val="0"/>
          <w:iCs/>
        </w:rPr>
        <w:t xml:space="preserve"> de 20</w:t>
      </w:r>
      <w:r w:rsidR="007D6186" w:rsidRPr="001A11B2">
        <w:rPr>
          <w:rFonts w:ascii="Bookman Old Style" w:hAnsi="Bookman Old Style"/>
          <w:b w:val="0"/>
          <w:iCs/>
        </w:rPr>
        <w:t>20</w:t>
      </w:r>
      <w:r w:rsidR="00703B29" w:rsidRPr="001A11B2">
        <w:rPr>
          <w:rFonts w:ascii="Bookman Old Style" w:hAnsi="Bookman Old Style"/>
          <w:b w:val="0"/>
          <w:iCs/>
        </w:rPr>
        <w:t xml:space="preserve"> a </w:t>
      </w:r>
      <w:r w:rsidR="007D6186" w:rsidRPr="001A11B2">
        <w:rPr>
          <w:rFonts w:ascii="Bookman Old Style" w:hAnsi="Bookman Old Style"/>
          <w:b w:val="0"/>
          <w:iCs/>
        </w:rPr>
        <w:t>n</w:t>
      </w:r>
      <w:r w:rsidR="00703B29" w:rsidRPr="001A11B2">
        <w:rPr>
          <w:rFonts w:ascii="Bookman Old Style" w:hAnsi="Bookman Old Style"/>
          <w:b w:val="0"/>
          <w:iCs/>
        </w:rPr>
        <w:t>oviembre</w:t>
      </w:r>
      <w:r w:rsidR="00FB2A88" w:rsidRPr="001A11B2">
        <w:rPr>
          <w:rFonts w:ascii="Bookman Old Style" w:hAnsi="Bookman Old Style"/>
          <w:b w:val="0"/>
          <w:iCs/>
        </w:rPr>
        <w:t xml:space="preserve"> 30</w:t>
      </w:r>
      <w:r w:rsidR="00703B29" w:rsidRPr="001A11B2">
        <w:rPr>
          <w:rFonts w:ascii="Bookman Old Style" w:hAnsi="Bookman Old Style"/>
          <w:b w:val="0"/>
          <w:iCs/>
        </w:rPr>
        <w:t xml:space="preserve"> de 20</w:t>
      </w:r>
      <w:r w:rsidR="007D6186" w:rsidRPr="001A11B2">
        <w:rPr>
          <w:rFonts w:ascii="Bookman Old Style" w:hAnsi="Bookman Old Style"/>
          <w:b w:val="0"/>
          <w:iCs/>
        </w:rPr>
        <w:t>21</w:t>
      </w:r>
      <w:r w:rsidR="00686E99" w:rsidRPr="001A11B2">
        <w:rPr>
          <w:rFonts w:ascii="Bookman Old Style" w:hAnsi="Bookman Old Style"/>
          <w:b w:val="0"/>
          <w:iCs/>
        </w:rPr>
        <w:t xml:space="preserve"> y</w:t>
      </w:r>
      <w:r w:rsidR="00703B29" w:rsidRPr="001A11B2">
        <w:rPr>
          <w:rFonts w:ascii="Bookman Old Style" w:hAnsi="Bookman Old Style"/>
          <w:b w:val="0"/>
          <w:iCs/>
        </w:rPr>
        <w:t xml:space="preserve"> </w:t>
      </w:r>
      <w:r w:rsidR="007D6186" w:rsidRPr="001A11B2">
        <w:rPr>
          <w:rFonts w:ascii="Bookman Old Style" w:hAnsi="Bookman Old Style"/>
          <w:b w:val="0"/>
          <w:iCs/>
        </w:rPr>
        <w:t>d</w:t>
      </w:r>
      <w:r w:rsidR="00703B29" w:rsidRPr="001A11B2">
        <w:rPr>
          <w:rFonts w:ascii="Bookman Old Style" w:hAnsi="Bookman Old Style"/>
          <w:b w:val="0"/>
          <w:iCs/>
        </w:rPr>
        <w:t>iciembre</w:t>
      </w:r>
      <w:r w:rsidR="00152654" w:rsidRPr="001A11B2">
        <w:rPr>
          <w:rFonts w:ascii="Bookman Old Style" w:hAnsi="Bookman Old Style"/>
          <w:b w:val="0"/>
          <w:iCs/>
        </w:rPr>
        <w:t xml:space="preserve"> 1</w:t>
      </w:r>
      <w:r w:rsidR="007D6186" w:rsidRPr="001A11B2">
        <w:rPr>
          <w:rFonts w:ascii="Bookman Old Style" w:hAnsi="Bookman Old Style"/>
          <w:b w:val="0"/>
          <w:iCs/>
        </w:rPr>
        <w:t xml:space="preserve"> de 2021 a n</w:t>
      </w:r>
      <w:r w:rsidR="00703B29" w:rsidRPr="001A11B2">
        <w:rPr>
          <w:rFonts w:ascii="Bookman Old Style" w:hAnsi="Bookman Old Style"/>
          <w:b w:val="0"/>
          <w:iCs/>
        </w:rPr>
        <w:t>oviembre</w:t>
      </w:r>
      <w:r w:rsidR="00152654" w:rsidRPr="001A11B2">
        <w:rPr>
          <w:rFonts w:ascii="Bookman Old Style" w:hAnsi="Bookman Old Style"/>
          <w:b w:val="0"/>
          <w:iCs/>
        </w:rPr>
        <w:t xml:space="preserve"> 30</w:t>
      </w:r>
      <w:r w:rsidR="00703B29" w:rsidRPr="001A11B2">
        <w:rPr>
          <w:rFonts w:ascii="Bookman Old Style" w:hAnsi="Bookman Old Style"/>
          <w:b w:val="0"/>
          <w:iCs/>
        </w:rPr>
        <w:t xml:space="preserve"> de 20</w:t>
      </w:r>
      <w:r w:rsidR="007D6186" w:rsidRPr="001A11B2">
        <w:rPr>
          <w:rFonts w:ascii="Bookman Old Style" w:hAnsi="Bookman Old Style"/>
          <w:b w:val="0"/>
          <w:iCs/>
        </w:rPr>
        <w:t>22</w:t>
      </w:r>
      <w:r w:rsidR="006A0824">
        <w:rPr>
          <w:rFonts w:ascii="Bookman Old Style" w:hAnsi="Bookman Old Style"/>
          <w:b w:val="0"/>
          <w:iCs/>
        </w:rPr>
        <w:t>;</w:t>
      </w:r>
      <w:r w:rsidR="005A37B3" w:rsidRPr="001A11B2">
        <w:rPr>
          <w:rFonts w:ascii="Bookman Old Style" w:hAnsi="Bookman Old Style"/>
          <w:b w:val="0"/>
          <w:iCs/>
        </w:rPr>
        <w:t xml:space="preserve"> </w:t>
      </w:r>
      <w:r w:rsidRPr="001A11B2">
        <w:rPr>
          <w:rFonts w:ascii="Bookman Old Style" w:hAnsi="Bookman Old Style"/>
          <w:b w:val="0"/>
        </w:rPr>
        <w:t xml:space="preserve">se </w:t>
      </w:r>
      <w:r w:rsidR="007D6186" w:rsidRPr="001A11B2">
        <w:rPr>
          <w:rFonts w:ascii="Bookman Old Style" w:hAnsi="Bookman Old Style"/>
          <w:b w:val="0"/>
        </w:rPr>
        <w:t xml:space="preserve">realizará </w:t>
      </w:r>
      <w:r w:rsidRPr="001A11B2">
        <w:rPr>
          <w:rFonts w:ascii="Bookman Old Style" w:hAnsi="Bookman Old Style"/>
          <w:b w:val="0"/>
        </w:rPr>
        <w:t xml:space="preserve">de conformidad con el cronograma definido en el </w:t>
      </w:r>
      <w:r w:rsidR="003C0786">
        <w:rPr>
          <w:rFonts w:ascii="Bookman Old Style" w:hAnsi="Bookman Old Style"/>
          <w:b w:val="0"/>
        </w:rPr>
        <w:t>anexo</w:t>
      </w:r>
      <w:r w:rsidR="007D6186" w:rsidRPr="001A11B2">
        <w:rPr>
          <w:rFonts w:ascii="Bookman Old Style" w:hAnsi="Bookman Old Style"/>
          <w:b w:val="0"/>
        </w:rPr>
        <w:t xml:space="preserve"> </w:t>
      </w:r>
      <w:r w:rsidRPr="001A11B2">
        <w:rPr>
          <w:rFonts w:ascii="Bookman Old Style" w:hAnsi="Bookman Old Style"/>
          <w:b w:val="0"/>
        </w:rPr>
        <w:t xml:space="preserve">de esta </w:t>
      </w:r>
      <w:r w:rsidR="007D6186" w:rsidRPr="001A11B2">
        <w:rPr>
          <w:rFonts w:ascii="Bookman Old Style" w:hAnsi="Bookman Old Style"/>
          <w:b w:val="0"/>
        </w:rPr>
        <w:t>r</w:t>
      </w:r>
      <w:r w:rsidRPr="001A11B2">
        <w:rPr>
          <w:rFonts w:ascii="Bookman Old Style" w:hAnsi="Bookman Old Style"/>
          <w:b w:val="0"/>
        </w:rPr>
        <w:t xml:space="preserve">esolución. </w:t>
      </w:r>
    </w:p>
    <w:p w:rsidR="004341E9" w:rsidRPr="001A11B2" w:rsidRDefault="004341E9" w:rsidP="004341E9">
      <w:pPr>
        <w:rPr>
          <w:rFonts w:ascii="Bookman Old Style" w:hAnsi="Bookman Old Style" w:cs="Arial"/>
          <w:b/>
        </w:rPr>
      </w:pPr>
    </w:p>
    <w:p w:rsidR="00E74C30" w:rsidRPr="001A11B2" w:rsidRDefault="004341E9" w:rsidP="0022375C">
      <w:pPr>
        <w:ind w:left="0"/>
        <w:jc w:val="both"/>
        <w:rPr>
          <w:rFonts w:ascii="Bookman Old Style" w:hAnsi="Bookman Old Style" w:cs="Arial"/>
          <w:lang w:eastAsia="ar-SA"/>
        </w:rPr>
      </w:pPr>
      <w:r w:rsidRPr="001A11B2">
        <w:rPr>
          <w:rFonts w:ascii="Bookman Old Style" w:hAnsi="Bookman Old Style" w:cs="Arial"/>
          <w:b/>
          <w:bCs/>
        </w:rPr>
        <w:t xml:space="preserve">Parágrafo. </w:t>
      </w:r>
      <w:r w:rsidR="003C0786">
        <w:rPr>
          <w:rFonts w:ascii="Bookman Old Style" w:hAnsi="Bookman Old Style" w:cs="Arial"/>
          <w:lang w:eastAsia="ar-SA"/>
        </w:rPr>
        <w:t>Los plazos establecidos en el anexo</w:t>
      </w:r>
      <w:r w:rsidR="007D6186" w:rsidRPr="001A11B2">
        <w:rPr>
          <w:rFonts w:ascii="Bookman Old Style" w:hAnsi="Bookman Old Style" w:cs="Arial"/>
          <w:lang w:eastAsia="ar-SA"/>
        </w:rPr>
        <w:t xml:space="preserve"> </w:t>
      </w:r>
      <w:r w:rsidRPr="001A11B2">
        <w:rPr>
          <w:rFonts w:ascii="Bookman Old Style" w:hAnsi="Bookman Old Style" w:cs="Arial"/>
          <w:lang w:eastAsia="ar-SA"/>
        </w:rPr>
        <w:t xml:space="preserve">de la presente </w:t>
      </w:r>
      <w:r w:rsidR="007D6186" w:rsidRPr="001A11B2">
        <w:rPr>
          <w:rFonts w:ascii="Bookman Old Style" w:hAnsi="Bookman Old Style" w:cs="Arial"/>
          <w:lang w:eastAsia="ar-SA"/>
        </w:rPr>
        <w:t>r</w:t>
      </w:r>
      <w:r w:rsidRPr="001A11B2">
        <w:rPr>
          <w:rFonts w:ascii="Bookman Old Style" w:hAnsi="Bookman Old Style" w:cs="Arial"/>
          <w:lang w:eastAsia="ar-SA"/>
        </w:rPr>
        <w:t xml:space="preserve">esolución vencerán a las 17:00 horas del respectivo día, </w:t>
      </w:r>
      <w:r w:rsidR="007B7E12">
        <w:rPr>
          <w:rFonts w:ascii="Bookman Old Style" w:hAnsi="Bookman Old Style" w:cs="Arial"/>
          <w:lang w:eastAsia="ar-SA"/>
        </w:rPr>
        <w:t>h</w:t>
      </w:r>
      <w:r w:rsidRPr="001A11B2">
        <w:rPr>
          <w:rFonts w:ascii="Bookman Old Style" w:hAnsi="Bookman Old Style" w:cs="Arial"/>
          <w:lang w:eastAsia="ar-SA"/>
        </w:rPr>
        <w:t xml:space="preserve">ora </w:t>
      </w:r>
      <w:r w:rsidR="007B7E12">
        <w:rPr>
          <w:rFonts w:ascii="Bookman Old Style" w:hAnsi="Bookman Old Style" w:cs="Arial"/>
          <w:lang w:eastAsia="ar-SA"/>
        </w:rPr>
        <w:t>l</w:t>
      </w:r>
      <w:r w:rsidRPr="001A11B2">
        <w:rPr>
          <w:rFonts w:ascii="Bookman Old Style" w:hAnsi="Bookman Old Style" w:cs="Arial"/>
          <w:lang w:eastAsia="ar-SA"/>
        </w:rPr>
        <w:t xml:space="preserve">egal para Colombia. Los agentes que no cumplan los plazos establecidos en </w:t>
      </w:r>
      <w:r w:rsidR="001D73EC" w:rsidRPr="001A11B2">
        <w:rPr>
          <w:rFonts w:ascii="Bookman Old Style" w:hAnsi="Bookman Old Style" w:cs="Arial"/>
          <w:lang w:eastAsia="ar-SA"/>
        </w:rPr>
        <w:t xml:space="preserve">el cronograma del </w:t>
      </w:r>
      <w:r w:rsidR="00CD0E4C" w:rsidRPr="001A11B2">
        <w:rPr>
          <w:rFonts w:ascii="Bookman Old Style" w:hAnsi="Bookman Old Style" w:cs="Arial"/>
          <w:lang w:eastAsia="ar-SA"/>
        </w:rPr>
        <w:t>a</w:t>
      </w:r>
      <w:r w:rsidR="001D73EC" w:rsidRPr="001A11B2">
        <w:rPr>
          <w:rFonts w:ascii="Bookman Old Style" w:hAnsi="Bookman Old Style" w:cs="Arial"/>
          <w:lang w:eastAsia="ar-SA"/>
        </w:rPr>
        <w:t xml:space="preserve">nexo </w:t>
      </w:r>
      <w:r w:rsidRPr="001A11B2">
        <w:rPr>
          <w:rFonts w:ascii="Bookman Old Style" w:hAnsi="Bookman Old Style" w:cs="Arial"/>
          <w:lang w:eastAsia="ar-SA"/>
        </w:rPr>
        <w:t xml:space="preserve">no serán considerados en la asignación de </w:t>
      </w:r>
      <w:r w:rsidR="001D73EC" w:rsidRPr="001A11B2">
        <w:rPr>
          <w:rFonts w:ascii="Bookman Old Style" w:hAnsi="Bookman Old Style" w:cs="Arial"/>
          <w:lang w:eastAsia="ar-SA"/>
        </w:rPr>
        <w:t>OEF.</w:t>
      </w:r>
    </w:p>
    <w:p w:rsidR="00E74C30" w:rsidRPr="001A11B2" w:rsidRDefault="00E74C30" w:rsidP="0022375C">
      <w:pPr>
        <w:ind w:left="0"/>
        <w:jc w:val="both"/>
        <w:rPr>
          <w:rFonts w:ascii="Bookman Old Style" w:hAnsi="Bookman Old Style" w:cs="Arial"/>
          <w:lang w:eastAsia="ar-SA"/>
        </w:rPr>
      </w:pPr>
    </w:p>
    <w:p w:rsidR="005A37B3" w:rsidRPr="001A11B2" w:rsidRDefault="00B21576" w:rsidP="00AE23C3">
      <w:pPr>
        <w:pStyle w:val="Prrafodelista"/>
        <w:numPr>
          <w:ilvl w:val="0"/>
          <w:numId w:val="37"/>
        </w:numPr>
        <w:ind w:left="0" w:firstLine="0"/>
        <w:jc w:val="both"/>
        <w:rPr>
          <w:rFonts w:ascii="Bookman Old Style" w:hAnsi="Bookman Old Style"/>
          <w:sz w:val="24"/>
          <w:szCs w:val="24"/>
        </w:rPr>
      </w:pPr>
      <w:r w:rsidRPr="001A11B2">
        <w:rPr>
          <w:rFonts w:ascii="Bookman Old Style" w:hAnsi="Bookman Old Style"/>
          <w:b/>
          <w:sz w:val="24"/>
          <w:szCs w:val="24"/>
        </w:rPr>
        <w:t>Cargo por C</w:t>
      </w:r>
      <w:r w:rsidR="005A37B3" w:rsidRPr="001A11B2">
        <w:rPr>
          <w:rFonts w:ascii="Bookman Old Style" w:hAnsi="Bookman Old Style"/>
          <w:b/>
          <w:sz w:val="24"/>
          <w:szCs w:val="24"/>
        </w:rPr>
        <w:t xml:space="preserve">onfiabilidad que aplicará para las OEF de los periodos: </w:t>
      </w:r>
      <w:r w:rsidR="005A37B3" w:rsidRPr="001A11B2">
        <w:rPr>
          <w:rFonts w:ascii="Bookman Old Style" w:hAnsi="Bookman Old Style" w:cs="Arial"/>
          <w:b/>
          <w:sz w:val="24"/>
          <w:szCs w:val="24"/>
          <w:lang w:eastAsia="ar-SA"/>
        </w:rPr>
        <w:t>2019-2020, 2020-2021</w:t>
      </w:r>
      <w:r w:rsidR="00686E99" w:rsidRPr="001A11B2">
        <w:rPr>
          <w:rFonts w:ascii="Bookman Old Style" w:hAnsi="Bookman Old Style" w:cs="Arial"/>
          <w:b/>
          <w:sz w:val="24"/>
          <w:szCs w:val="24"/>
          <w:lang w:eastAsia="ar-SA"/>
        </w:rPr>
        <w:t xml:space="preserve"> y</w:t>
      </w:r>
      <w:r w:rsidR="005A37B3" w:rsidRPr="001A11B2">
        <w:rPr>
          <w:rFonts w:ascii="Bookman Old Style" w:hAnsi="Bookman Old Style" w:cs="Arial"/>
          <w:b/>
          <w:sz w:val="24"/>
          <w:szCs w:val="24"/>
          <w:lang w:eastAsia="ar-SA"/>
        </w:rPr>
        <w:t xml:space="preserve"> 2021-2022</w:t>
      </w:r>
      <w:r w:rsidR="005A37B3" w:rsidRPr="001A11B2">
        <w:rPr>
          <w:rFonts w:ascii="Bookman Old Style" w:hAnsi="Bookman Old Style"/>
          <w:sz w:val="24"/>
          <w:szCs w:val="24"/>
        </w:rPr>
        <w:t>. El Cargo por Confiab</w:t>
      </w:r>
      <w:r w:rsidR="003C0786">
        <w:rPr>
          <w:rFonts w:ascii="Bookman Old Style" w:hAnsi="Bookman Old Style"/>
          <w:sz w:val="24"/>
          <w:szCs w:val="24"/>
        </w:rPr>
        <w:t xml:space="preserve">ilidad con </w:t>
      </w:r>
      <w:r w:rsidR="003C0786">
        <w:rPr>
          <w:rFonts w:ascii="Bookman Old Style" w:hAnsi="Bookman Old Style"/>
          <w:sz w:val="24"/>
          <w:szCs w:val="24"/>
        </w:rPr>
        <w:lastRenderedPageBreak/>
        <w:t>el que se remunerará la energía firme comprometida en</w:t>
      </w:r>
      <w:r w:rsidR="005A37B3" w:rsidRPr="001A11B2">
        <w:rPr>
          <w:rFonts w:ascii="Bookman Old Style" w:hAnsi="Bookman Old Style"/>
          <w:sz w:val="24"/>
          <w:szCs w:val="24"/>
        </w:rPr>
        <w:t xml:space="preserve"> las OEF que se asignan </w:t>
      </w:r>
      <w:r w:rsidR="003C0786">
        <w:rPr>
          <w:rFonts w:ascii="Bookman Old Style" w:hAnsi="Bookman Old Style"/>
          <w:sz w:val="24"/>
          <w:szCs w:val="24"/>
        </w:rPr>
        <w:t>para los periodos</w:t>
      </w:r>
      <w:r w:rsidR="00651CA0">
        <w:rPr>
          <w:rFonts w:ascii="Bookman Old Style" w:hAnsi="Bookman Old Style"/>
          <w:sz w:val="24"/>
          <w:szCs w:val="24"/>
        </w:rPr>
        <w:t>:</w:t>
      </w:r>
      <w:r w:rsidR="003C0786">
        <w:rPr>
          <w:rFonts w:ascii="Bookman Old Style" w:hAnsi="Bookman Old Style"/>
          <w:sz w:val="24"/>
          <w:szCs w:val="24"/>
        </w:rPr>
        <w:t xml:space="preserve"> 2019-2020</w:t>
      </w:r>
      <w:r w:rsidR="005A37B3" w:rsidRPr="001A11B2">
        <w:rPr>
          <w:rFonts w:ascii="Bookman Old Style" w:hAnsi="Bookman Old Style"/>
          <w:sz w:val="24"/>
          <w:szCs w:val="24"/>
        </w:rPr>
        <w:t>,</w:t>
      </w:r>
      <w:r w:rsidR="003C0786">
        <w:rPr>
          <w:rFonts w:ascii="Bookman Old Style" w:hAnsi="Bookman Old Style"/>
          <w:sz w:val="24"/>
          <w:szCs w:val="24"/>
        </w:rPr>
        <w:t xml:space="preserve"> 2020-2021 y 2021-2022</w:t>
      </w:r>
      <w:r w:rsidR="005A37B3" w:rsidRPr="001A11B2">
        <w:rPr>
          <w:rFonts w:ascii="Bookman Old Style" w:hAnsi="Bookman Old Style"/>
          <w:sz w:val="24"/>
          <w:szCs w:val="24"/>
        </w:rPr>
        <w:t xml:space="preserve"> será el resultante de aplicar la metodología expuesta en el anexo 1 de la Resolución CREG 140 de 2017, en donde se determina el Cargo por Confiabilidad del menú de corto plazo con el precio marginal de escasez. </w:t>
      </w:r>
    </w:p>
    <w:p w:rsidR="005A37B3" w:rsidRPr="001A11B2" w:rsidRDefault="005A37B3" w:rsidP="005A37B3">
      <w:pPr>
        <w:pStyle w:val="Prrafodelista"/>
        <w:ind w:left="0"/>
        <w:jc w:val="both"/>
        <w:rPr>
          <w:rFonts w:ascii="Bookman Old Style" w:hAnsi="Bookman Old Style"/>
          <w:b/>
          <w:sz w:val="24"/>
          <w:szCs w:val="24"/>
        </w:rPr>
      </w:pPr>
    </w:p>
    <w:p w:rsidR="003C0786" w:rsidRDefault="005A37B3" w:rsidP="005A37B3">
      <w:pPr>
        <w:shd w:val="clear" w:color="auto" w:fill="FFFFFF"/>
        <w:ind w:left="0"/>
        <w:jc w:val="both"/>
        <w:rPr>
          <w:rFonts w:ascii="Bookman Old Style" w:hAnsi="Bookman Old Style"/>
          <w:lang w:val="es-CO"/>
        </w:rPr>
      </w:pPr>
      <w:r w:rsidRPr="001A11B2">
        <w:rPr>
          <w:rFonts w:ascii="Bookman Old Style" w:hAnsi="Bookman Old Style"/>
          <w:lang w:val="es-CO"/>
        </w:rPr>
        <w:t xml:space="preserve">El cálculo del Cargo por Confiabilidad del que trata este artículo deberá ser calculado por el ASIC utilizando: </w:t>
      </w:r>
    </w:p>
    <w:p w:rsidR="003C0786" w:rsidRDefault="003C0786" w:rsidP="005A37B3">
      <w:pPr>
        <w:shd w:val="clear" w:color="auto" w:fill="FFFFFF"/>
        <w:ind w:left="0"/>
        <w:jc w:val="both"/>
        <w:rPr>
          <w:rFonts w:ascii="Bookman Old Style" w:hAnsi="Bookman Old Style"/>
          <w:lang w:val="es-CO"/>
        </w:rPr>
      </w:pPr>
    </w:p>
    <w:p w:rsidR="003C0786" w:rsidRPr="003C0786" w:rsidRDefault="003C0786" w:rsidP="00354464">
      <w:pPr>
        <w:pStyle w:val="Prrafodelista"/>
        <w:numPr>
          <w:ilvl w:val="2"/>
          <w:numId w:val="32"/>
        </w:numPr>
        <w:shd w:val="clear" w:color="auto" w:fill="FFFFFF"/>
        <w:ind w:left="567"/>
        <w:jc w:val="both"/>
        <w:rPr>
          <w:rFonts w:ascii="Bookman Old Style" w:hAnsi="Bookman Old Style"/>
          <w:sz w:val="24"/>
        </w:rPr>
      </w:pPr>
      <w:r w:rsidRPr="003C0786">
        <w:rPr>
          <w:rFonts w:ascii="Bookman Old Style" w:hAnsi="Bookman Old Style"/>
          <w:sz w:val="24"/>
        </w:rPr>
        <w:t>P</w:t>
      </w:r>
      <w:r w:rsidR="005A37B3" w:rsidRPr="003C0786">
        <w:rPr>
          <w:rFonts w:ascii="Bookman Old Style" w:hAnsi="Bookman Old Style"/>
          <w:sz w:val="24"/>
        </w:rPr>
        <w:t xml:space="preserve">ara la variable denominada </w:t>
      </w:r>
      <w:r w:rsidR="00EA4764" w:rsidRPr="003C0786">
        <w:rPr>
          <w:rFonts w:ascii="Bookman Old Style" w:hAnsi="Bookman Old Style"/>
          <w:i/>
          <w:sz w:val="24"/>
        </w:rPr>
        <w:t xml:space="preserve">Precio del </w:t>
      </w:r>
      <w:r w:rsidR="005A37B3" w:rsidRPr="003C0786">
        <w:rPr>
          <w:rFonts w:ascii="Bookman Old Style" w:hAnsi="Bookman Old Style"/>
          <w:i/>
          <w:sz w:val="24"/>
        </w:rPr>
        <w:t>Cargo por Confiabilidad asignado originalmente</w:t>
      </w:r>
      <w:r w:rsidR="005A37B3" w:rsidRPr="003C0786">
        <w:rPr>
          <w:rFonts w:ascii="Bookman Old Style" w:hAnsi="Bookman Old Style"/>
          <w:sz w:val="24"/>
        </w:rPr>
        <w:t xml:space="preserve">, el valor actualizado del Cargo por Confiabilidad de la última subasta realizada, utilizando la fórmula de indexación definida en el artículo 29 </w:t>
      </w:r>
      <w:r w:rsidRPr="003C0786">
        <w:rPr>
          <w:rFonts w:ascii="Bookman Old Style" w:hAnsi="Bookman Old Style"/>
          <w:sz w:val="24"/>
        </w:rPr>
        <w:t>de la Resolución CREG 071 de 200</w:t>
      </w:r>
      <w:r w:rsidR="005A37B3" w:rsidRPr="003C0786">
        <w:rPr>
          <w:rFonts w:ascii="Bookman Old Style" w:hAnsi="Bookman Old Style"/>
          <w:sz w:val="24"/>
        </w:rPr>
        <w:t xml:space="preserve">6. </w:t>
      </w:r>
    </w:p>
    <w:p w:rsidR="003C0786" w:rsidRPr="003C0786" w:rsidRDefault="005A37B3" w:rsidP="00354464">
      <w:pPr>
        <w:pStyle w:val="Prrafodelista"/>
        <w:numPr>
          <w:ilvl w:val="2"/>
          <w:numId w:val="32"/>
        </w:numPr>
        <w:shd w:val="clear" w:color="auto" w:fill="FFFFFF"/>
        <w:ind w:left="567"/>
        <w:jc w:val="both"/>
        <w:rPr>
          <w:rFonts w:ascii="Bookman Old Style" w:hAnsi="Bookman Old Style"/>
          <w:sz w:val="24"/>
        </w:rPr>
      </w:pPr>
      <w:r w:rsidRPr="003C0786">
        <w:rPr>
          <w:rFonts w:ascii="Bookman Old Style" w:hAnsi="Bookman Old Style"/>
          <w:sz w:val="24"/>
        </w:rPr>
        <w:t xml:space="preserve">Para la variable </w:t>
      </w:r>
      <w:proofErr w:type="spellStart"/>
      <w:r w:rsidRPr="003C0786">
        <w:rPr>
          <w:rFonts w:ascii="Bookman Old Style" w:hAnsi="Bookman Old Style"/>
          <w:i/>
          <w:sz w:val="24"/>
        </w:rPr>
        <w:t>OEFm</w:t>
      </w:r>
      <w:proofErr w:type="spellEnd"/>
      <w:r w:rsidRPr="003C0786">
        <w:rPr>
          <w:rFonts w:ascii="Bookman Old Style" w:hAnsi="Bookman Old Style"/>
          <w:sz w:val="24"/>
        </w:rPr>
        <w:t xml:space="preserve">, </w:t>
      </w:r>
      <w:r w:rsidR="002932CF" w:rsidRPr="003C0786">
        <w:rPr>
          <w:rFonts w:ascii="Bookman Old Style" w:hAnsi="Bookman Old Style"/>
          <w:sz w:val="24"/>
        </w:rPr>
        <w:t xml:space="preserve">se tomará la </w:t>
      </w:r>
      <w:r w:rsidR="00276912" w:rsidRPr="003C0786">
        <w:rPr>
          <w:rFonts w:ascii="Bookman Old Style" w:hAnsi="Bookman Old Style"/>
          <w:sz w:val="24"/>
        </w:rPr>
        <w:t xml:space="preserve">sumatoria de las </w:t>
      </w:r>
      <w:r w:rsidR="00EF44D8" w:rsidRPr="003C0786">
        <w:rPr>
          <w:rFonts w:ascii="Bookman Old Style" w:hAnsi="Bookman Old Style"/>
          <w:sz w:val="24"/>
        </w:rPr>
        <w:t xml:space="preserve">OEF respaldas mensuales del mes </w:t>
      </w:r>
      <w:r w:rsidR="00276912" w:rsidRPr="003C0786">
        <w:rPr>
          <w:rFonts w:ascii="Bookman Old Style" w:hAnsi="Bookman Old Style"/>
          <w:i/>
          <w:sz w:val="24"/>
        </w:rPr>
        <w:t>m</w:t>
      </w:r>
      <w:r w:rsidR="00EF44D8" w:rsidRPr="003C0786">
        <w:rPr>
          <w:rFonts w:ascii="Bookman Old Style" w:hAnsi="Bookman Old Style"/>
          <w:i/>
          <w:sz w:val="24"/>
        </w:rPr>
        <w:t xml:space="preserve"> </w:t>
      </w:r>
      <w:r w:rsidR="00276912" w:rsidRPr="003C0786">
        <w:rPr>
          <w:rFonts w:ascii="Bookman Old Style" w:hAnsi="Bookman Old Style"/>
          <w:sz w:val="24"/>
        </w:rPr>
        <w:t>del periodo c</w:t>
      </w:r>
      <w:r w:rsidRPr="003C0786">
        <w:rPr>
          <w:rFonts w:ascii="Bookman Old Style" w:hAnsi="Bookman Old Style"/>
          <w:sz w:val="24"/>
        </w:rPr>
        <w:t xml:space="preserve">omprendido entre: diciembre 1 de 2018 a noviembre 30 </w:t>
      </w:r>
      <w:r w:rsidR="003C0786" w:rsidRPr="003C0786">
        <w:rPr>
          <w:rFonts w:ascii="Bookman Old Style" w:hAnsi="Bookman Old Style"/>
          <w:sz w:val="24"/>
        </w:rPr>
        <w:t>de 2019.</w:t>
      </w:r>
    </w:p>
    <w:p w:rsidR="005A37B3" w:rsidRPr="003C0786" w:rsidRDefault="005A37B3" w:rsidP="00354464">
      <w:pPr>
        <w:pStyle w:val="Prrafodelista"/>
        <w:numPr>
          <w:ilvl w:val="2"/>
          <w:numId w:val="32"/>
        </w:numPr>
        <w:shd w:val="clear" w:color="auto" w:fill="FFFFFF"/>
        <w:ind w:left="567"/>
        <w:jc w:val="both"/>
        <w:rPr>
          <w:rFonts w:ascii="Bookman Old Style" w:hAnsi="Bookman Old Style"/>
          <w:sz w:val="24"/>
        </w:rPr>
      </w:pPr>
      <w:r w:rsidRPr="003C0786">
        <w:rPr>
          <w:rFonts w:ascii="Bookman Old Style" w:hAnsi="Bookman Old Style"/>
          <w:sz w:val="24"/>
        </w:rPr>
        <w:t xml:space="preserve">Y para la variable </w:t>
      </w:r>
      <w:r w:rsidRPr="003C0786">
        <w:rPr>
          <w:rFonts w:ascii="Bookman Old Style" w:hAnsi="Bookman Old Style"/>
          <w:i/>
          <w:sz w:val="24"/>
        </w:rPr>
        <w:t>PME</w:t>
      </w:r>
      <w:r w:rsidRPr="003C0786">
        <w:rPr>
          <w:rFonts w:ascii="Bookman Old Style" w:hAnsi="Bookman Old Style"/>
          <w:sz w:val="24"/>
        </w:rPr>
        <w:t xml:space="preserve">, el precio marginal de escasez vigente para el mes de cálculo. </w:t>
      </w:r>
    </w:p>
    <w:p w:rsidR="003C0786" w:rsidRPr="003C0786" w:rsidRDefault="003C0786" w:rsidP="00354464">
      <w:pPr>
        <w:pStyle w:val="Prrafodelista"/>
        <w:numPr>
          <w:ilvl w:val="2"/>
          <w:numId w:val="32"/>
        </w:numPr>
        <w:shd w:val="clear" w:color="auto" w:fill="FFFFFF"/>
        <w:ind w:left="567"/>
        <w:jc w:val="both"/>
        <w:rPr>
          <w:rFonts w:ascii="Bookman Old Style" w:hAnsi="Bookman Old Style"/>
          <w:sz w:val="24"/>
        </w:rPr>
      </w:pPr>
      <w:r w:rsidRPr="003C0786">
        <w:rPr>
          <w:rFonts w:ascii="Bookman Old Style" w:hAnsi="Bookman Old Style"/>
          <w:sz w:val="24"/>
        </w:rPr>
        <w:t>Las demás variables tomarán los valores definidos en el anexo 1 de la Resolución CREG 140 de 2017.</w:t>
      </w:r>
    </w:p>
    <w:p w:rsidR="005A37B3" w:rsidRPr="001A11B2" w:rsidRDefault="005A37B3" w:rsidP="005A37B3">
      <w:pPr>
        <w:pStyle w:val="Prrafodelista"/>
        <w:ind w:left="0"/>
        <w:jc w:val="both"/>
        <w:rPr>
          <w:rFonts w:ascii="Bookman Old Style" w:hAnsi="Bookman Old Style"/>
          <w:sz w:val="24"/>
          <w:szCs w:val="24"/>
        </w:rPr>
      </w:pPr>
    </w:p>
    <w:p w:rsidR="005A37B3" w:rsidRPr="001A11B2" w:rsidRDefault="005A37B3" w:rsidP="005A37B3">
      <w:pPr>
        <w:pStyle w:val="Prrafodelista"/>
        <w:ind w:left="0"/>
        <w:jc w:val="both"/>
        <w:rPr>
          <w:rFonts w:ascii="Bookman Old Style" w:hAnsi="Bookman Old Style"/>
          <w:sz w:val="24"/>
          <w:szCs w:val="24"/>
        </w:rPr>
      </w:pPr>
      <w:r w:rsidRPr="001A11B2">
        <w:rPr>
          <w:rFonts w:ascii="Bookman Old Style" w:hAnsi="Bookman Old Style"/>
          <w:sz w:val="24"/>
          <w:szCs w:val="24"/>
        </w:rPr>
        <w:t>El Cargo por Confiabilidad que aplicará para las OEF de los periodos: 2019-2020; 2020-2021</w:t>
      </w:r>
      <w:r w:rsidR="00784933" w:rsidRPr="001A11B2">
        <w:rPr>
          <w:rFonts w:ascii="Bookman Old Style" w:hAnsi="Bookman Old Style"/>
          <w:sz w:val="24"/>
          <w:szCs w:val="24"/>
        </w:rPr>
        <w:t xml:space="preserve"> y</w:t>
      </w:r>
      <w:r w:rsidRPr="001A11B2">
        <w:rPr>
          <w:rFonts w:ascii="Bookman Old Style" w:hAnsi="Bookman Old Style"/>
          <w:sz w:val="24"/>
          <w:szCs w:val="24"/>
        </w:rPr>
        <w:t xml:space="preserve"> 2021-2022 deberá ser publicado por el ASIC, en su página web</w:t>
      </w:r>
      <w:r w:rsidR="00035BF5">
        <w:rPr>
          <w:rFonts w:ascii="Bookman Old Style" w:hAnsi="Bookman Old Style"/>
          <w:sz w:val="24"/>
          <w:szCs w:val="24"/>
        </w:rPr>
        <w:t>,</w:t>
      </w:r>
      <w:r w:rsidRPr="001A11B2">
        <w:rPr>
          <w:rFonts w:ascii="Bookman Old Style" w:hAnsi="Bookman Old Style"/>
          <w:sz w:val="24"/>
          <w:szCs w:val="24"/>
        </w:rPr>
        <w:t xml:space="preserve"> conforme al c</w:t>
      </w:r>
      <w:r w:rsidR="003C0786">
        <w:rPr>
          <w:rFonts w:ascii="Bookman Old Style" w:hAnsi="Bookman Old Style"/>
          <w:sz w:val="24"/>
          <w:szCs w:val="24"/>
        </w:rPr>
        <w:t xml:space="preserve">ronograma </w:t>
      </w:r>
      <w:r w:rsidR="003521CB">
        <w:rPr>
          <w:rFonts w:ascii="Bookman Old Style" w:hAnsi="Bookman Old Style"/>
          <w:sz w:val="24"/>
          <w:szCs w:val="24"/>
        </w:rPr>
        <w:t>definido</w:t>
      </w:r>
      <w:r w:rsidR="00035BF5">
        <w:rPr>
          <w:rFonts w:ascii="Bookman Old Style" w:hAnsi="Bookman Old Style"/>
          <w:sz w:val="24"/>
          <w:szCs w:val="24"/>
        </w:rPr>
        <w:t xml:space="preserve"> </w:t>
      </w:r>
      <w:r w:rsidR="003C0786">
        <w:rPr>
          <w:rFonts w:ascii="Bookman Old Style" w:hAnsi="Bookman Old Style"/>
          <w:sz w:val="24"/>
          <w:szCs w:val="24"/>
        </w:rPr>
        <w:t>en el anexo</w:t>
      </w:r>
      <w:r w:rsidRPr="001A11B2">
        <w:rPr>
          <w:rFonts w:ascii="Bookman Old Style" w:hAnsi="Bookman Old Style"/>
          <w:sz w:val="24"/>
          <w:szCs w:val="24"/>
        </w:rPr>
        <w:t xml:space="preserve"> de la presente resolución</w:t>
      </w:r>
      <w:r w:rsidR="009A26F8" w:rsidRPr="001A11B2">
        <w:rPr>
          <w:rFonts w:ascii="Bookman Old Style" w:hAnsi="Bookman Old Style"/>
          <w:sz w:val="24"/>
          <w:szCs w:val="24"/>
        </w:rPr>
        <w:t>.</w:t>
      </w:r>
      <w:r w:rsidR="00E15D62" w:rsidRPr="001A11B2">
        <w:rPr>
          <w:rFonts w:ascii="Bookman Old Style" w:hAnsi="Bookman Old Style"/>
          <w:sz w:val="24"/>
          <w:szCs w:val="24"/>
        </w:rPr>
        <w:t xml:space="preserve"> </w:t>
      </w:r>
    </w:p>
    <w:p w:rsidR="008A51A7" w:rsidRPr="001A11B2" w:rsidRDefault="008A51A7" w:rsidP="008A51A7">
      <w:pPr>
        <w:pStyle w:val="Prrafodelista"/>
        <w:rPr>
          <w:rFonts w:ascii="Bookman Old Style" w:hAnsi="Bookman Old Style"/>
        </w:rPr>
      </w:pPr>
    </w:p>
    <w:p w:rsidR="007D6186" w:rsidRPr="001A11B2" w:rsidRDefault="007D6186" w:rsidP="00AE23C3">
      <w:pPr>
        <w:pStyle w:val="Prrafodelista"/>
        <w:numPr>
          <w:ilvl w:val="0"/>
          <w:numId w:val="37"/>
        </w:numPr>
        <w:ind w:left="0" w:firstLine="0"/>
        <w:jc w:val="both"/>
        <w:rPr>
          <w:rFonts w:ascii="Bookman Old Style" w:hAnsi="Bookman Old Style"/>
          <w:b/>
          <w:sz w:val="24"/>
          <w:szCs w:val="24"/>
        </w:rPr>
      </w:pPr>
      <w:r w:rsidRPr="001A11B2">
        <w:rPr>
          <w:rFonts w:ascii="Bookman Old Style" w:hAnsi="Bookman Old Style"/>
          <w:b/>
          <w:sz w:val="24"/>
          <w:szCs w:val="24"/>
        </w:rPr>
        <w:t>Vigencia</w:t>
      </w:r>
      <w:r w:rsidRPr="001A11B2">
        <w:rPr>
          <w:rFonts w:ascii="Bookman Old Style" w:hAnsi="Bookman Old Style"/>
          <w:sz w:val="24"/>
          <w:szCs w:val="24"/>
        </w:rPr>
        <w:t xml:space="preserve">. Esta Resolución rige a partir de la fecha de su publicación en el </w:t>
      </w:r>
      <w:r w:rsidRPr="00614B01">
        <w:rPr>
          <w:rFonts w:ascii="Bookman Old Style" w:hAnsi="Bookman Old Style"/>
          <w:i/>
          <w:sz w:val="24"/>
          <w:szCs w:val="24"/>
        </w:rPr>
        <w:t>Diario Oficial</w:t>
      </w:r>
      <w:r w:rsidRPr="001A11B2">
        <w:rPr>
          <w:rFonts w:ascii="Bookman Old Style" w:hAnsi="Bookman Old Style"/>
          <w:sz w:val="24"/>
          <w:szCs w:val="24"/>
        </w:rPr>
        <w:t>.</w:t>
      </w:r>
    </w:p>
    <w:p w:rsidR="008F2F9F" w:rsidRPr="001A11B2" w:rsidRDefault="008F2F9F" w:rsidP="009D4A5A">
      <w:pPr>
        <w:ind w:left="0"/>
        <w:jc w:val="both"/>
        <w:rPr>
          <w:rFonts w:ascii="Bookman Old Style" w:hAnsi="Bookman Old Style" w:cs="Arial"/>
          <w:b/>
          <w:bCs/>
          <w:color w:val="000000"/>
          <w:szCs w:val="27"/>
        </w:rPr>
      </w:pPr>
    </w:p>
    <w:p w:rsidR="002606F0" w:rsidRPr="001A11B2" w:rsidRDefault="002606F0" w:rsidP="009D4A5A">
      <w:pPr>
        <w:ind w:left="0"/>
        <w:jc w:val="both"/>
        <w:rPr>
          <w:rFonts w:ascii="Bookman Old Style" w:hAnsi="Bookman Old Style" w:cs="Arial"/>
          <w:b/>
          <w:bCs/>
          <w:color w:val="000000"/>
          <w:szCs w:val="27"/>
        </w:rPr>
      </w:pPr>
    </w:p>
    <w:p w:rsidR="009D4A5A" w:rsidRPr="001A11B2" w:rsidRDefault="009D4A5A" w:rsidP="009D4A5A">
      <w:pPr>
        <w:ind w:left="0"/>
        <w:jc w:val="center"/>
        <w:outlineLvl w:val="0"/>
        <w:rPr>
          <w:rFonts w:ascii="Bookman Old Style" w:hAnsi="Bookman Old Style" w:cs="Arial"/>
          <w:b/>
          <w:bCs/>
          <w:color w:val="000000"/>
          <w:szCs w:val="27"/>
        </w:rPr>
      </w:pPr>
      <w:r w:rsidRPr="001A11B2">
        <w:rPr>
          <w:rFonts w:ascii="Bookman Old Style" w:hAnsi="Bookman Old Style" w:cs="Arial"/>
          <w:b/>
          <w:bCs/>
          <w:color w:val="000000"/>
          <w:szCs w:val="27"/>
        </w:rPr>
        <w:t>PUBLÍQUESE Y CÚMPLASE</w:t>
      </w:r>
    </w:p>
    <w:p w:rsidR="00651CA0" w:rsidRDefault="00651CA0" w:rsidP="009D4A5A">
      <w:pPr>
        <w:spacing w:after="240"/>
        <w:ind w:left="0"/>
        <w:jc w:val="both"/>
        <w:rPr>
          <w:rFonts w:ascii="Bookman Old Style" w:hAnsi="Bookman Old Style"/>
          <w:lang w:val="es-CO"/>
        </w:rPr>
      </w:pPr>
    </w:p>
    <w:p w:rsidR="00651CA0" w:rsidRPr="00651CA0" w:rsidRDefault="00651CA0" w:rsidP="009D4A5A">
      <w:pPr>
        <w:spacing w:after="240"/>
        <w:ind w:left="0"/>
        <w:jc w:val="both"/>
        <w:rPr>
          <w:rFonts w:ascii="Bookman Old Style" w:hAnsi="Bookman Old Style"/>
          <w:lang w:val="es-CO"/>
        </w:rPr>
      </w:pPr>
      <w:r w:rsidRPr="00651CA0">
        <w:rPr>
          <w:rFonts w:ascii="Bookman Old Style" w:hAnsi="Bookman Old Style"/>
          <w:lang w:val="es-CO"/>
        </w:rPr>
        <w:t xml:space="preserve">Dada en Bogotá, D.C. </w:t>
      </w:r>
    </w:p>
    <w:p w:rsidR="0094762B" w:rsidRDefault="0094762B" w:rsidP="009D4A5A">
      <w:pPr>
        <w:spacing w:after="240"/>
        <w:ind w:left="0"/>
        <w:jc w:val="both"/>
        <w:rPr>
          <w:rFonts w:ascii="Bookman Old Style" w:hAnsi="Bookman Old Style" w:cs="Arial"/>
          <w:color w:val="000000"/>
          <w:szCs w:val="27"/>
        </w:rPr>
      </w:pPr>
    </w:p>
    <w:p w:rsidR="001A11B2" w:rsidRPr="001A11B2" w:rsidRDefault="001A11B2" w:rsidP="009D4A5A">
      <w:pPr>
        <w:spacing w:after="240"/>
        <w:ind w:left="0"/>
        <w:jc w:val="both"/>
        <w:rPr>
          <w:rFonts w:ascii="Bookman Old Style" w:hAnsi="Bookman Old Style" w:cs="Arial"/>
          <w:color w:val="000000"/>
          <w:szCs w:val="27"/>
        </w:rPr>
      </w:pPr>
    </w:p>
    <w:tbl>
      <w:tblPr>
        <w:tblW w:w="0" w:type="auto"/>
        <w:jc w:val="center"/>
        <w:tblCellSpacing w:w="0" w:type="dxa"/>
        <w:tblCellMar>
          <w:left w:w="0" w:type="dxa"/>
          <w:right w:w="0" w:type="dxa"/>
        </w:tblCellMar>
        <w:tblLook w:val="0000" w:firstRow="0" w:lastRow="0" w:firstColumn="0" w:lastColumn="0" w:noHBand="0" w:noVBand="0"/>
      </w:tblPr>
      <w:tblGrid>
        <w:gridCol w:w="4601"/>
        <w:gridCol w:w="4394"/>
      </w:tblGrid>
      <w:tr w:rsidR="001A11B2" w:rsidRPr="001A11B2" w:rsidTr="00EF44D8">
        <w:trPr>
          <w:tblCellSpacing w:w="0" w:type="dxa"/>
          <w:jc w:val="center"/>
        </w:trPr>
        <w:tc>
          <w:tcPr>
            <w:tcW w:w="4601" w:type="dxa"/>
          </w:tcPr>
          <w:p w:rsidR="001A11B2" w:rsidRPr="001A11B2" w:rsidRDefault="00EF44D8" w:rsidP="00EF44D8">
            <w:pPr>
              <w:ind w:left="-26"/>
              <w:jc w:val="center"/>
              <w:rPr>
                <w:rFonts w:ascii="Bookman Old Style" w:eastAsia="Arial Unicode MS" w:hAnsi="Bookman Old Style"/>
                <w:bCs/>
                <w:color w:val="000000"/>
              </w:rPr>
            </w:pPr>
            <w:r>
              <w:rPr>
                <w:rFonts w:ascii="Bookman Old Style" w:hAnsi="Bookman Old Style"/>
                <w:b/>
                <w:bCs/>
              </w:rPr>
              <w:t>GERMÁN ARCE ZAPATA</w:t>
            </w:r>
          </w:p>
        </w:tc>
        <w:tc>
          <w:tcPr>
            <w:tcW w:w="4394" w:type="dxa"/>
          </w:tcPr>
          <w:p w:rsidR="001A11B2" w:rsidRPr="001A11B2" w:rsidRDefault="0028318B" w:rsidP="001A11B2">
            <w:pPr>
              <w:ind w:left="0" w:right="-26"/>
              <w:jc w:val="center"/>
              <w:rPr>
                <w:rFonts w:ascii="Bookman Old Style" w:eastAsia="Arial Unicode MS" w:hAnsi="Bookman Old Style"/>
                <w:b/>
                <w:bCs/>
              </w:rPr>
            </w:pPr>
            <w:r>
              <w:rPr>
                <w:rFonts w:ascii="Bookman Old Style" w:hAnsi="Bookman Old Style" w:cs="Arial"/>
                <w:b/>
                <w:spacing w:val="-3"/>
                <w:szCs w:val="20"/>
              </w:rPr>
              <w:t>G</w:t>
            </w:r>
            <w:r w:rsidR="00EF44D8">
              <w:rPr>
                <w:rFonts w:ascii="Bookman Old Style" w:hAnsi="Bookman Old Style" w:cs="Arial"/>
                <w:b/>
                <w:spacing w:val="-3"/>
                <w:szCs w:val="20"/>
              </w:rPr>
              <w:t>ERMÁ</w:t>
            </w:r>
            <w:r>
              <w:rPr>
                <w:rFonts w:ascii="Bookman Old Style" w:hAnsi="Bookman Old Style" w:cs="Arial"/>
                <w:b/>
                <w:spacing w:val="-3"/>
                <w:szCs w:val="20"/>
              </w:rPr>
              <w:t>N CASTRO FERREIRA</w:t>
            </w:r>
          </w:p>
        </w:tc>
      </w:tr>
      <w:tr w:rsidR="001A11B2" w:rsidRPr="001A11B2" w:rsidTr="00EF44D8">
        <w:trPr>
          <w:tblCellSpacing w:w="0" w:type="dxa"/>
          <w:jc w:val="center"/>
        </w:trPr>
        <w:tc>
          <w:tcPr>
            <w:tcW w:w="4601" w:type="dxa"/>
          </w:tcPr>
          <w:p w:rsidR="001A11B2" w:rsidRPr="001A11B2" w:rsidRDefault="001A11B2" w:rsidP="001A11B2">
            <w:pPr>
              <w:ind w:left="-26"/>
              <w:jc w:val="center"/>
              <w:rPr>
                <w:rFonts w:ascii="Bookman Old Style" w:eastAsia="Arial Unicode MS" w:hAnsi="Bookman Old Style" w:cs="Arial"/>
                <w:color w:val="000000"/>
              </w:rPr>
            </w:pPr>
            <w:r w:rsidRPr="001A11B2">
              <w:rPr>
                <w:rFonts w:ascii="Bookman Old Style" w:hAnsi="Bookman Old Style" w:cs="Arial"/>
                <w:szCs w:val="27"/>
              </w:rPr>
              <w:t>Ministro de Minas y Energía</w:t>
            </w:r>
          </w:p>
        </w:tc>
        <w:tc>
          <w:tcPr>
            <w:tcW w:w="4394" w:type="dxa"/>
          </w:tcPr>
          <w:p w:rsidR="001A11B2" w:rsidRPr="001A11B2" w:rsidRDefault="001A11B2" w:rsidP="001A11B2">
            <w:pPr>
              <w:ind w:left="0"/>
              <w:jc w:val="center"/>
              <w:rPr>
                <w:rFonts w:ascii="Bookman Old Style" w:eastAsia="Arial Unicode MS" w:hAnsi="Bookman Old Style" w:cs="Arial"/>
                <w:color w:val="000000"/>
              </w:rPr>
            </w:pPr>
            <w:r w:rsidRPr="001A11B2">
              <w:rPr>
                <w:rFonts w:ascii="Bookman Old Style" w:hAnsi="Bookman Old Style" w:cs="Arial"/>
                <w:szCs w:val="27"/>
              </w:rPr>
              <w:t>Director Ejecutivo</w:t>
            </w:r>
          </w:p>
        </w:tc>
      </w:tr>
      <w:tr w:rsidR="001A11B2" w:rsidRPr="001A11B2" w:rsidTr="00EF44D8">
        <w:trPr>
          <w:tblCellSpacing w:w="0" w:type="dxa"/>
          <w:jc w:val="center"/>
        </w:trPr>
        <w:tc>
          <w:tcPr>
            <w:tcW w:w="4601" w:type="dxa"/>
          </w:tcPr>
          <w:p w:rsidR="001A11B2" w:rsidRPr="001A11B2" w:rsidRDefault="001A11B2" w:rsidP="001A11B2">
            <w:pPr>
              <w:ind w:left="-26"/>
              <w:jc w:val="center"/>
              <w:rPr>
                <w:rFonts w:ascii="Bookman Old Style" w:eastAsia="Arial Unicode MS" w:hAnsi="Bookman Old Style" w:cs="Arial"/>
                <w:color w:val="000000"/>
              </w:rPr>
            </w:pPr>
            <w:r w:rsidRPr="001A11B2">
              <w:rPr>
                <w:rFonts w:ascii="Bookman Old Style" w:hAnsi="Bookman Old Style" w:cs="Arial"/>
                <w:szCs w:val="27"/>
              </w:rPr>
              <w:t>Presidente</w:t>
            </w:r>
          </w:p>
        </w:tc>
        <w:tc>
          <w:tcPr>
            <w:tcW w:w="4394" w:type="dxa"/>
          </w:tcPr>
          <w:p w:rsidR="001A11B2" w:rsidRPr="001A11B2" w:rsidRDefault="001A11B2" w:rsidP="001A11B2">
            <w:pPr>
              <w:ind w:left="0"/>
              <w:jc w:val="center"/>
              <w:rPr>
                <w:rFonts w:ascii="Bookman Old Style" w:eastAsia="Arial Unicode MS" w:hAnsi="Bookman Old Style" w:cs="Arial"/>
                <w:color w:val="000000"/>
              </w:rPr>
            </w:pPr>
            <w:r w:rsidRPr="001A11B2">
              <w:rPr>
                <w:rFonts w:ascii="Bookman Old Style" w:hAnsi="Bookman Old Style" w:cs="Arial"/>
                <w:noProof/>
                <w:lang w:val="es-CO" w:eastAsia="es-CO"/>
              </w:rPr>
              <w:drawing>
                <wp:inline distT="0" distB="0" distL="0" distR="0" wp14:anchorId="450F79FA" wp14:editId="7DC737CB">
                  <wp:extent cx="9525" cy="9525"/>
                  <wp:effectExtent l="19050" t="0" r="9525" b="0"/>
                  <wp:docPr id="6" name="Imagen 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cblank"/>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AE2220" w:rsidRPr="001A11B2" w:rsidRDefault="00AE2220">
      <w:pPr>
        <w:ind w:left="0"/>
        <w:rPr>
          <w:rFonts w:ascii="Bookman Old Style" w:hAnsi="Bookman Old Style"/>
        </w:rPr>
      </w:pPr>
    </w:p>
    <w:p w:rsidR="005206B5" w:rsidRDefault="005206B5">
      <w:pPr>
        <w:ind w:left="0"/>
        <w:rPr>
          <w:rFonts w:ascii="Bookman Old Style" w:hAnsi="Bookman Old Style"/>
          <w:b/>
          <w:szCs w:val="22"/>
          <w:lang w:val="es-CO"/>
        </w:rPr>
      </w:pPr>
      <w:r>
        <w:rPr>
          <w:rFonts w:ascii="Bookman Old Style" w:hAnsi="Bookman Old Style"/>
          <w:szCs w:val="22"/>
        </w:rPr>
        <w:br w:type="page"/>
      </w:r>
    </w:p>
    <w:p w:rsidR="00AE2220" w:rsidRPr="001A11B2" w:rsidRDefault="00AE2220" w:rsidP="00E77ECD">
      <w:pPr>
        <w:pStyle w:val="Ttulo1"/>
        <w:ind w:left="0"/>
        <w:rPr>
          <w:rFonts w:ascii="Bookman Old Style" w:hAnsi="Bookman Old Style"/>
          <w:b w:val="0"/>
          <w:szCs w:val="22"/>
        </w:rPr>
      </w:pPr>
      <w:r w:rsidRPr="001A11B2">
        <w:rPr>
          <w:rFonts w:ascii="Bookman Old Style" w:hAnsi="Bookman Old Style"/>
          <w:szCs w:val="22"/>
        </w:rPr>
        <w:lastRenderedPageBreak/>
        <w:t>ANEXO</w:t>
      </w:r>
      <w:r w:rsidR="007D6186" w:rsidRPr="001A11B2">
        <w:rPr>
          <w:rFonts w:ascii="Bookman Old Style" w:hAnsi="Bookman Old Style"/>
          <w:szCs w:val="22"/>
        </w:rPr>
        <w:t xml:space="preserve"> </w:t>
      </w:r>
    </w:p>
    <w:p w:rsidR="00E77ECD" w:rsidRPr="001A11B2" w:rsidRDefault="00E77ECD" w:rsidP="00E77ECD">
      <w:pPr>
        <w:rPr>
          <w:lang w:val="es-CO"/>
        </w:rPr>
      </w:pPr>
    </w:p>
    <w:p w:rsidR="00C31C7F" w:rsidRPr="001A11B2" w:rsidRDefault="00AE2220" w:rsidP="00614B01">
      <w:pPr>
        <w:pStyle w:val="Ttulo1"/>
        <w:ind w:left="426"/>
        <w:rPr>
          <w:rFonts w:ascii="Bookman Old Style" w:hAnsi="Bookman Old Style"/>
          <w:szCs w:val="22"/>
        </w:rPr>
      </w:pPr>
      <w:r w:rsidRPr="001A11B2">
        <w:rPr>
          <w:rFonts w:ascii="Bookman Old Style" w:hAnsi="Bookman Old Style"/>
          <w:szCs w:val="22"/>
        </w:rPr>
        <w:tab/>
        <w:t xml:space="preserve">CRONOGRAMA </w:t>
      </w:r>
      <w:r w:rsidR="006A5FC0">
        <w:rPr>
          <w:rFonts w:ascii="Bookman Old Style" w:hAnsi="Bookman Old Style"/>
          <w:szCs w:val="22"/>
        </w:rPr>
        <w:t>PARA</w:t>
      </w:r>
      <w:r w:rsidR="00CF5565">
        <w:rPr>
          <w:rFonts w:ascii="Bookman Old Style" w:hAnsi="Bookman Old Style"/>
          <w:szCs w:val="22"/>
        </w:rPr>
        <w:t xml:space="preserve"> EL PROCESO </w:t>
      </w:r>
      <w:r w:rsidRPr="001A11B2">
        <w:rPr>
          <w:rFonts w:ascii="Bookman Old Style" w:hAnsi="Bookman Old Style"/>
          <w:szCs w:val="22"/>
        </w:rPr>
        <w:t xml:space="preserve">DE ASIGNACIÓN DE OBLIGACIONES DE ENERGÍA FIRME </w:t>
      </w:r>
      <w:r w:rsidR="002A5312" w:rsidRPr="001A11B2">
        <w:rPr>
          <w:rFonts w:ascii="Bookman Old Style" w:hAnsi="Bookman Old Style"/>
          <w:szCs w:val="22"/>
        </w:rPr>
        <w:t xml:space="preserve">A QUIENES REPRESENTAN PLANTAS EXISTENTES </w:t>
      </w:r>
      <w:r w:rsidRPr="001A11B2">
        <w:rPr>
          <w:rFonts w:ascii="Bookman Old Style" w:hAnsi="Bookman Old Style"/>
          <w:szCs w:val="22"/>
        </w:rPr>
        <w:t xml:space="preserve">PARA </w:t>
      </w:r>
      <w:r w:rsidR="00C31C7F" w:rsidRPr="001A11B2">
        <w:rPr>
          <w:rFonts w:ascii="Bookman Old Style" w:hAnsi="Bookman Old Style"/>
          <w:szCs w:val="22"/>
        </w:rPr>
        <w:t>LOS PERIODOS</w:t>
      </w:r>
    </w:p>
    <w:p w:rsidR="00C31C7F" w:rsidRPr="001A11B2" w:rsidRDefault="00AE2220" w:rsidP="00AE2220">
      <w:pPr>
        <w:pStyle w:val="Ttulo1"/>
        <w:rPr>
          <w:rFonts w:ascii="Bookman Old Style" w:hAnsi="Bookman Old Style"/>
          <w:szCs w:val="22"/>
        </w:rPr>
      </w:pPr>
      <w:r w:rsidRPr="001A11B2">
        <w:rPr>
          <w:rFonts w:ascii="Bookman Old Style" w:hAnsi="Bookman Old Style"/>
          <w:szCs w:val="22"/>
        </w:rPr>
        <w:t xml:space="preserve"> DICIEMBRE </w:t>
      </w:r>
      <w:r w:rsidR="00F9549C" w:rsidRPr="001A11B2">
        <w:rPr>
          <w:rFonts w:ascii="Bookman Old Style" w:hAnsi="Bookman Old Style"/>
          <w:szCs w:val="22"/>
        </w:rPr>
        <w:t xml:space="preserve">1 </w:t>
      </w:r>
      <w:r w:rsidRPr="001A11B2">
        <w:rPr>
          <w:rFonts w:ascii="Bookman Old Style" w:hAnsi="Bookman Old Style"/>
          <w:szCs w:val="22"/>
        </w:rPr>
        <w:t>DE 201</w:t>
      </w:r>
      <w:r w:rsidR="00C31C7F" w:rsidRPr="001A11B2">
        <w:rPr>
          <w:rFonts w:ascii="Bookman Old Style" w:hAnsi="Bookman Old Style"/>
          <w:szCs w:val="22"/>
        </w:rPr>
        <w:t>9</w:t>
      </w:r>
      <w:r w:rsidRPr="001A11B2">
        <w:rPr>
          <w:rFonts w:ascii="Bookman Old Style" w:hAnsi="Bookman Old Style"/>
          <w:szCs w:val="22"/>
        </w:rPr>
        <w:t xml:space="preserve"> A NOVIEMBRE </w:t>
      </w:r>
      <w:r w:rsidR="00F9549C" w:rsidRPr="001A11B2">
        <w:rPr>
          <w:rFonts w:ascii="Bookman Old Style" w:hAnsi="Bookman Old Style"/>
          <w:szCs w:val="22"/>
        </w:rPr>
        <w:t xml:space="preserve">30 </w:t>
      </w:r>
      <w:r w:rsidR="00C31C7F" w:rsidRPr="001A11B2">
        <w:rPr>
          <w:rFonts w:ascii="Bookman Old Style" w:hAnsi="Bookman Old Style"/>
          <w:szCs w:val="22"/>
        </w:rPr>
        <w:t>DE 2020</w:t>
      </w:r>
      <w:r w:rsidR="00F9549C" w:rsidRPr="001A11B2">
        <w:rPr>
          <w:rFonts w:ascii="Bookman Old Style" w:hAnsi="Bookman Old Style"/>
          <w:szCs w:val="22"/>
        </w:rPr>
        <w:t>,</w:t>
      </w:r>
    </w:p>
    <w:p w:rsidR="00C31C7F" w:rsidRPr="001A11B2" w:rsidRDefault="00F9549C" w:rsidP="00AE2220">
      <w:pPr>
        <w:pStyle w:val="Ttulo1"/>
        <w:rPr>
          <w:rFonts w:ascii="Bookman Old Style" w:hAnsi="Bookman Old Style"/>
          <w:szCs w:val="22"/>
        </w:rPr>
      </w:pPr>
      <w:r w:rsidRPr="001A11B2">
        <w:rPr>
          <w:rFonts w:ascii="Bookman Old Style" w:hAnsi="Bookman Old Style"/>
          <w:szCs w:val="22"/>
        </w:rPr>
        <w:t xml:space="preserve"> DICIEMBRE 1 DE 20</w:t>
      </w:r>
      <w:r w:rsidR="00C31C7F" w:rsidRPr="001A11B2">
        <w:rPr>
          <w:rFonts w:ascii="Bookman Old Style" w:hAnsi="Bookman Old Style"/>
          <w:szCs w:val="22"/>
        </w:rPr>
        <w:t>20</w:t>
      </w:r>
      <w:r w:rsidRPr="001A11B2">
        <w:rPr>
          <w:rFonts w:ascii="Bookman Old Style" w:hAnsi="Bookman Old Style"/>
          <w:szCs w:val="22"/>
        </w:rPr>
        <w:t xml:space="preserve"> A NOVIEMBRE 30 DE 20</w:t>
      </w:r>
      <w:r w:rsidR="00C31C7F" w:rsidRPr="001A11B2">
        <w:rPr>
          <w:rFonts w:ascii="Bookman Old Style" w:hAnsi="Bookman Old Style"/>
          <w:szCs w:val="22"/>
        </w:rPr>
        <w:t>21 y</w:t>
      </w:r>
    </w:p>
    <w:p w:rsidR="00C31C7F" w:rsidRPr="001A11B2" w:rsidRDefault="00F9549C" w:rsidP="00AE2220">
      <w:pPr>
        <w:pStyle w:val="Ttulo1"/>
        <w:rPr>
          <w:rFonts w:ascii="Bookman Old Style" w:hAnsi="Bookman Old Style"/>
          <w:szCs w:val="22"/>
        </w:rPr>
      </w:pPr>
      <w:r w:rsidRPr="001A11B2">
        <w:rPr>
          <w:rFonts w:ascii="Bookman Old Style" w:hAnsi="Bookman Old Style"/>
          <w:szCs w:val="22"/>
        </w:rPr>
        <w:t xml:space="preserve"> DICIEMBRE 1 DE 20</w:t>
      </w:r>
      <w:r w:rsidR="00C31C7F" w:rsidRPr="001A11B2">
        <w:rPr>
          <w:rFonts w:ascii="Bookman Old Style" w:hAnsi="Bookman Old Style"/>
          <w:szCs w:val="22"/>
        </w:rPr>
        <w:t>21</w:t>
      </w:r>
      <w:r w:rsidRPr="001A11B2">
        <w:rPr>
          <w:rFonts w:ascii="Bookman Old Style" w:hAnsi="Bookman Old Style"/>
          <w:szCs w:val="22"/>
        </w:rPr>
        <w:t xml:space="preserve"> A NOVIEMBRE 30 DE 20</w:t>
      </w:r>
      <w:r w:rsidR="00C31C7F" w:rsidRPr="001A11B2">
        <w:rPr>
          <w:rFonts w:ascii="Bookman Old Style" w:hAnsi="Bookman Old Style"/>
          <w:szCs w:val="22"/>
        </w:rPr>
        <w:t>22</w:t>
      </w:r>
    </w:p>
    <w:p w:rsidR="00AE2220" w:rsidRPr="001A11B2" w:rsidRDefault="00F9549C" w:rsidP="00AE2220">
      <w:pPr>
        <w:pStyle w:val="Ttulo1"/>
        <w:rPr>
          <w:rFonts w:ascii="Bookman Old Style" w:hAnsi="Bookman Old Style"/>
          <w:szCs w:val="22"/>
        </w:rPr>
      </w:pPr>
      <w:r w:rsidRPr="001A11B2">
        <w:rPr>
          <w:rFonts w:ascii="Bookman Old Style" w:hAnsi="Bookman Old Style"/>
          <w:szCs w:val="22"/>
        </w:rPr>
        <w:t xml:space="preserve"> </w:t>
      </w:r>
    </w:p>
    <w:p w:rsidR="00E77ECD" w:rsidRPr="001A11B2" w:rsidRDefault="00E77ECD" w:rsidP="00E77ECD">
      <w:pPr>
        <w:rPr>
          <w:lang w:val="es-CO"/>
        </w:rPr>
      </w:pPr>
    </w:p>
    <w:p w:rsidR="007710CE" w:rsidRPr="001A11B2" w:rsidRDefault="007710CE" w:rsidP="007710CE">
      <w:pPr>
        <w:jc w:val="center"/>
        <w:rPr>
          <w:rFonts w:ascii="Bookman Old Style" w:hAnsi="Bookman Old Style" w:cs="Arial"/>
          <w:b/>
          <w:sz w:val="22"/>
          <w:szCs w:val="22"/>
        </w:rPr>
      </w:pPr>
    </w:p>
    <w:tbl>
      <w:tblPr>
        <w:tblW w:w="4926" w:type="pct"/>
        <w:tblLayout w:type="fixed"/>
        <w:tblCellMar>
          <w:left w:w="70" w:type="dxa"/>
          <w:right w:w="70" w:type="dxa"/>
        </w:tblCellMar>
        <w:tblLook w:val="0000" w:firstRow="0" w:lastRow="0" w:firstColumn="0" w:lastColumn="0" w:noHBand="0" w:noVBand="0"/>
      </w:tblPr>
      <w:tblGrid>
        <w:gridCol w:w="1626"/>
        <w:gridCol w:w="3118"/>
        <w:gridCol w:w="2552"/>
        <w:gridCol w:w="1912"/>
      </w:tblGrid>
      <w:tr w:rsidR="007710CE" w:rsidRPr="001A11B2" w:rsidTr="00A900A2">
        <w:trPr>
          <w:trHeight w:val="240"/>
          <w:tblHeader/>
        </w:trPr>
        <w:tc>
          <w:tcPr>
            <w:tcW w:w="883" w:type="pct"/>
            <w:tcBorders>
              <w:top w:val="single" w:sz="4" w:space="0" w:color="auto"/>
              <w:left w:val="single" w:sz="4" w:space="0" w:color="auto"/>
              <w:bottom w:val="single" w:sz="4" w:space="0" w:color="auto"/>
              <w:right w:val="single" w:sz="4" w:space="0" w:color="auto"/>
            </w:tcBorders>
            <w:noWrap/>
            <w:vAlign w:val="bottom"/>
          </w:tcPr>
          <w:p w:rsidR="007710CE" w:rsidRPr="001A11B2" w:rsidRDefault="00470F50" w:rsidP="0044568F">
            <w:pPr>
              <w:ind w:left="72"/>
              <w:jc w:val="center"/>
              <w:rPr>
                <w:rFonts w:ascii="Bookman Old Style" w:hAnsi="Bookman Old Style" w:cs="Arial"/>
                <w:b/>
                <w:bCs/>
                <w:sz w:val="20"/>
                <w:szCs w:val="20"/>
              </w:rPr>
            </w:pPr>
            <w:r w:rsidRPr="001A11B2">
              <w:rPr>
                <w:rFonts w:ascii="Bookman Old Style" w:hAnsi="Bookman Old Style" w:cs="Arial"/>
                <w:b/>
                <w:bCs/>
                <w:sz w:val="20"/>
                <w:szCs w:val="20"/>
              </w:rPr>
              <w:t>Actividad</w:t>
            </w:r>
          </w:p>
        </w:tc>
        <w:tc>
          <w:tcPr>
            <w:tcW w:w="1693" w:type="pct"/>
            <w:tcBorders>
              <w:top w:val="single" w:sz="4" w:space="0" w:color="auto"/>
              <w:left w:val="nil"/>
              <w:bottom w:val="single" w:sz="4" w:space="0" w:color="auto"/>
              <w:right w:val="single" w:sz="4" w:space="0" w:color="auto"/>
            </w:tcBorders>
            <w:noWrap/>
            <w:vAlign w:val="bottom"/>
          </w:tcPr>
          <w:p w:rsidR="007710CE" w:rsidRPr="001A11B2" w:rsidRDefault="007710CE" w:rsidP="0044568F">
            <w:pPr>
              <w:ind w:left="0"/>
              <w:jc w:val="center"/>
              <w:rPr>
                <w:rFonts w:ascii="Bookman Old Style" w:hAnsi="Bookman Old Style" w:cs="Arial"/>
                <w:b/>
                <w:bCs/>
                <w:sz w:val="20"/>
                <w:szCs w:val="20"/>
              </w:rPr>
            </w:pPr>
            <w:r w:rsidRPr="001A11B2">
              <w:rPr>
                <w:rFonts w:ascii="Bookman Old Style" w:hAnsi="Bookman Old Style" w:cs="Arial"/>
                <w:b/>
                <w:bCs/>
                <w:sz w:val="20"/>
                <w:szCs w:val="20"/>
              </w:rPr>
              <w:t>Descripción</w:t>
            </w:r>
          </w:p>
        </w:tc>
        <w:tc>
          <w:tcPr>
            <w:tcW w:w="1386" w:type="pct"/>
            <w:tcBorders>
              <w:top w:val="single" w:sz="4" w:space="0" w:color="auto"/>
              <w:left w:val="nil"/>
              <w:bottom w:val="single" w:sz="4" w:space="0" w:color="auto"/>
              <w:right w:val="single" w:sz="4" w:space="0" w:color="auto"/>
            </w:tcBorders>
            <w:noWrap/>
            <w:vAlign w:val="bottom"/>
          </w:tcPr>
          <w:p w:rsidR="007710CE" w:rsidRPr="001A11B2" w:rsidRDefault="007710CE" w:rsidP="0044568F">
            <w:pPr>
              <w:ind w:left="36"/>
              <w:jc w:val="center"/>
              <w:rPr>
                <w:rFonts w:ascii="Bookman Old Style" w:hAnsi="Bookman Old Style" w:cs="Arial"/>
                <w:b/>
                <w:bCs/>
                <w:sz w:val="20"/>
                <w:szCs w:val="20"/>
              </w:rPr>
            </w:pPr>
            <w:r w:rsidRPr="001A11B2">
              <w:rPr>
                <w:rFonts w:ascii="Bookman Old Style" w:hAnsi="Bookman Old Style" w:cs="Arial"/>
                <w:b/>
                <w:bCs/>
                <w:sz w:val="20"/>
                <w:szCs w:val="20"/>
              </w:rPr>
              <w:t>Responsable</w:t>
            </w:r>
          </w:p>
        </w:tc>
        <w:tc>
          <w:tcPr>
            <w:tcW w:w="1038" w:type="pct"/>
            <w:tcBorders>
              <w:top w:val="single" w:sz="4" w:space="0" w:color="auto"/>
              <w:left w:val="nil"/>
              <w:bottom w:val="single" w:sz="4" w:space="0" w:color="auto"/>
              <w:right w:val="single" w:sz="4" w:space="0" w:color="auto"/>
            </w:tcBorders>
            <w:noWrap/>
            <w:vAlign w:val="bottom"/>
          </w:tcPr>
          <w:p w:rsidR="007710CE" w:rsidRPr="001A11B2" w:rsidRDefault="007710CE" w:rsidP="0044568F">
            <w:pPr>
              <w:ind w:left="20"/>
              <w:jc w:val="center"/>
              <w:rPr>
                <w:rFonts w:ascii="Bookman Old Style" w:hAnsi="Bookman Old Style" w:cs="Arial"/>
                <w:b/>
                <w:bCs/>
                <w:sz w:val="20"/>
                <w:szCs w:val="20"/>
              </w:rPr>
            </w:pPr>
            <w:r w:rsidRPr="001A11B2">
              <w:rPr>
                <w:rFonts w:ascii="Bookman Old Style" w:hAnsi="Bookman Old Style" w:cs="Arial"/>
                <w:b/>
                <w:bCs/>
                <w:sz w:val="20"/>
                <w:szCs w:val="20"/>
              </w:rPr>
              <w:t>Fecha</w:t>
            </w:r>
          </w:p>
        </w:tc>
      </w:tr>
      <w:tr w:rsidR="007710CE" w:rsidRPr="001A11B2" w:rsidTr="00A900A2">
        <w:trPr>
          <w:cantSplit/>
          <w:trHeight w:val="1275"/>
        </w:trPr>
        <w:tc>
          <w:tcPr>
            <w:tcW w:w="883" w:type="pct"/>
            <w:tcBorders>
              <w:top w:val="nil"/>
              <w:left w:val="single" w:sz="4" w:space="0" w:color="auto"/>
              <w:bottom w:val="single" w:sz="4" w:space="0" w:color="auto"/>
              <w:right w:val="single" w:sz="4" w:space="0" w:color="auto"/>
            </w:tcBorders>
            <w:noWrap/>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t>Declaración de parámetros</w:t>
            </w:r>
          </w:p>
        </w:tc>
        <w:tc>
          <w:tcPr>
            <w:tcW w:w="1693" w:type="pct"/>
            <w:tcBorders>
              <w:top w:val="nil"/>
              <w:left w:val="nil"/>
              <w:bottom w:val="single" w:sz="4" w:space="0" w:color="auto"/>
              <w:right w:val="single" w:sz="4" w:space="0" w:color="auto"/>
            </w:tcBorders>
            <w:vAlign w:val="center"/>
          </w:tcPr>
          <w:p w:rsidR="00CD0E4C" w:rsidRPr="001A11B2" w:rsidRDefault="00CD0E4C" w:rsidP="00A900A2">
            <w:pPr>
              <w:ind w:left="0" w:right="142"/>
              <w:jc w:val="both"/>
              <w:rPr>
                <w:rFonts w:ascii="Bookman Old Style" w:hAnsi="Bookman Old Style" w:cs="Arial"/>
                <w:sz w:val="20"/>
                <w:szCs w:val="20"/>
              </w:rPr>
            </w:pPr>
            <w:r w:rsidRPr="001A11B2">
              <w:rPr>
                <w:rFonts w:ascii="Bookman Old Style" w:hAnsi="Bookman Old Style" w:cs="Arial"/>
                <w:sz w:val="20"/>
                <w:szCs w:val="20"/>
              </w:rPr>
              <w:t>Los agentes que representan generadores existentes deberán declarar l</w:t>
            </w:r>
            <w:r w:rsidR="007710CE" w:rsidRPr="001A11B2">
              <w:rPr>
                <w:rFonts w:ascii="Bookman Old Style" w:hAnsi="Bookman Old Style" w:cs="Arial"/>
                <w:sz w:val="20"/>
                <w:szCs w:val="20"/>
              </w:rPr>
              <w:t xml:space="preserve">a totalidad de parámetros establecidos en el numeral 5.2 del </w:t>
            </w:r>
            <w:r w:rsidRPr="001A11B2">
              <w:rPr>
                <w:rFonts w:ascii="Bookman Old Style" w:hAnsi="Bookman Old Style" w:cs="Arial"/>
                <w:sz w:val="20"/>
                <w:szCs w:val="20"/>
              </w:rPr>
              <w:t>a</w:t>
            </w:r>
            <w:r w:rsidR="007710CE" w:rsidRPr="001A11B2">
              <w:rPr>
                <w:rFonts w:ascii="Bookman Old Style" w:hAnsi="Bookman Old Style" w:cs="Arial"/>
                <w:sz w:val="20"/>
                <w:szCs w:val="20"/>
              </w:rPr>
              <w:t xml:space="preserve">nexo 5 de la Resolución CREG 071 de 2006. </w:t>
            </w:r>
          </w:p>
          <w:p w:rsidR="00CD0E4C" w:rsidRPr="001A11B2" w:rsidRDefault="00CD0E4C" w:rsidP="00A900A2">
            <w:pPr>
              <w:ind w:left="0" w:right="142"/>
              <w:jc w:val="both"/>
              <w:rPr>
                <w:rFonts w:ascii="Bookman Old Style" w:hAnsi="Bookman Old Style" w:cs="Arial"/>
                <w:sz w:val="20"/>
                <w:szCs w:val="20"/>
              </w:rPr>
            </w:pPr>
          </w:p>
          <w:p w:rsidR="007710CE" w:rsidRPr="001A11B2" w:rsidRDefault="007710CE" w:rsidP="00A900A2">
            <w:pPr>
              <w:ind w:left="0" w:right="142"/>
              <w:jc w:val="both"/>
              <w:rPr>
                <w:rFonts w:ascii="Bookman Old Style" w:hAnsi="Bookman Old Style" w:cs="Arial"/>
                <w:sz w:val="20"/>
                <w:szCs w:val="20"/>
              </w:rPr>
            </w:pPr>
            <w:r w:rsidRPr="001A11B2">
              <w:rPr>
                <w:rFonts w:ascii="Bookman Old Style" w:hAnsi="Bookman Old Style" w:cs="Arial"/>
                <w:sz w:val="20"/>
                <w:szCs w:val="20"/>
              </w:rPr>
              <w:t>Esta información deberá ser remitida haciendo uso de los formatos establecidos para tal fin.</w:t>
            </w:r>
          </w:p>
        </w:tc>
        <w:tc>
          <w:tcPr>
            <w:tcW w:w="1386" w:type="pct"/>
            <w:tcBorders>
              <w:top w:val="single" w:sz="4" w:space="0" w:color="auto"/>
              <w:left w:val="nil"/>
              <w:bottom w:val="single" w:sz="4" w:space="0" w:color="auto"/>
              <w:right w:val="single" w:sz="4" w:space="0" w:color="auto"/>
            </w:tcBorders>
            <w:noWrap/>
            <w:vAlign w:val="center"/>
          </w:tcPr>
          <w:p w:rsidR="007710CE" w:rsidRPr="001A11B2" w:rsidRDefault="007710CE" w:rsidP="00A900A2">
            <w:pPr>
              <w:ind w:left="36" w:right="142"/>
              <w:jc w:val="both"/>
              <w:rPr>
                <w:rFonts w:ascii="Bookman Old Style" w:hAnsi="Bookman Old Style" w:cs="Arial"/>
                <w:sz w:val="20"/>
                <w:szCs w:val="20"/>
              </w:rPr>
            </w:pPr>
            <w:r w:rsidRPr="001A11B2">
              <w:rPr>
                <w:rFonts w:ascii="Bookman Old Style" w:hAnsi="Bookman Old Style" w:cs="Arial"/>
                <w:sz w:val="20"/>
                <w:szCs w:val="20"/>
              </w:rPr>
              <w:t xml:space="preserve">Agentes con plantas o unidades de generación existentes que vayan a modificar su ENFICC de conformidad con el </w:t>
            </w:r>
            <w:r w:rsidR="00CD0E4C" w:rsidRPr="001A11B2">
              <w:rPr>
                <w:rFonts w:ascii="Bookman Old Style" w:hAnsi="Bookman Old Style" w:cs="Arial"/>
                <w:sz w:val="20"/>
                <w:szCs w:val="20"/>
              </w:rPr>
              <w:t>a</w:t>
            </w:r>
            <w:r w:rsidRPr="001A11B2">
              <w:rPr>
                <w:rFonts w:ascii="Bookman Old Style" w:hAnsi="Bookman Old Style" w:cs="Arial"/>
                <w:sz w:val="20"/>
                <w:szCs w:val="20"/>
              </w:rPr>
              <w:t>rtículo 41 de la Resolución CREG 071 de 2006.</w:t>
            </w:r>
          </w:p>
        </w:tc>
        <w:tc>
          <w:tcPr>
            <w:tcW w:w="1038" w:type="pct"/>
            <w:tcBorders>
              <w:top w:val="single" w:sz="4" w:space="0" w:color="auto"/>
              <w:left w:val="nil"/>
              <w:bottom w:val="single" w:sz="4" w:space="0" w:color="auto"/>
              <w:right w:val="single" w:sz="4" w:space="0" w:color="auto"/>
            </w:tcBorders>
            <w:noWrap/>
            <w:vAlign w:val="center"/>
          </w:tcPr>
          <w:p w:rsidR="005206B5" w:rsidRPr="001A11B2" w:rsidRDefault="005206B5" w:rsidP="005206B5">
            <w:pPr>
              <w:ind w:left="20" w:right="9"/>
              <w:jc w:val="center"/>
              <w:rPr>
                <w:rFonts w:ascii="Bookman Old Style" w:hAnsi="Bookman Old Style" w:cs="Arial"/>
                <w:sz w:val="20"/>
                <w:szCs w:val="20"/>
              </w:rPr>
            </w:pPr>
            <w:r w:rsidRPr="00EF44D8">
              <w:rPr>
                <w:rFonts w:ascii="Bookman Old Style" w:hAnsi="Bookman Old Style" w:cs="Arial"/>
                <w:sz w:val="20"/>
                <w:szCs w:val="20"/>
              </w:rPr>
              <w:t>17/08/2018</w:t>
            </w:r>
          </w:p>
        </w:tc>
      </w:tr>
      <w:tr w:rsidR="007710CE" w:rsidRPr="001A11B2" w:rsidTr="00A900A2">
        <w:trPr>
          <w:trHeight w:val="960"/>
        </w:trPr>
        <w:tc>
          <w:tcPr>
            <w:tcW w:w="883" w:type="pct"/>
            <w:tcBorders>
              <w:top w:val="single" w:sz="4" w:space="0" w:color="auto"/>
              <w:left w:val="single" w:sz="4" w:space="0" w:color="auto"/>
              <w:bottom w:val="single" w:sz="4" w:space="0" w:color="auto"/>
              <w:right w:val="single" w:sz="4" w:space="0" w:color="auto"/>
            </w:tcBorders>
            <w:noWrap/>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t>Solicitud aclaración de parámetros</w:t>
            </w:r>
          </w:p>
        </w:tc>
        <w:tc>
          <w:tcPr>
            <w:tcW w:w="1693" w:type="pct"/>
            <w:tcBorders>
              <w:top w:val="single" w:sz="4" w:space="0" w:color="auto"/>
              <w:left w:val="nil"/>
              <w:bottom w:val="single" w:sz="4" w:space="0" w:color="auto"/>
              <w:right w:val="single" w:sz="4" w:space="0" w:color="auto"/>
            </w:tcBorders>
            <w:vAlign w:val="center"/>
          </w:tcPr>
          <w:p w:rsidR="007710CE" w:rsidRPr="001A11B2" w:rsidRDefault="00CD0E4C" w:rsidP="00A900A2">
            <w:pPr>
              <w:ind w:left="0" w:right="142"/>
              <w:jc w:val="both"/>
              <w:rPr>
                <w:rFonts w:ascii="Bookman Old Style" w:hAnsi="Bookman Old Style" w:cs="Arial"/>
                <w:sz w:val="20"/>
                <w:szCs w:val="20"/>
              </w:rPr>
            </w:pPr>
            <w:r w:rsidRPr="001A11B2">
              <w:rPr>
                <w:rFonts w:ascii="Bookman Old Style" w:hAnsi="Bookman Old Style" w:cs="Arial"/>
                <w:sz w:val="20"/>
                <w:szCs w:val="20"/>
              </w:rPr>
              <w:t>Periodo en el que se podrá solicitar</w:t>
            </w:r>
            <w:r w:rsidR="007710CE" w:rsidRPr="001A11B2">
              <w:rPr>
                <w:rFonts w:ascii="Bookman Old Style" w:hAnsi="Bookman Old Style" w:cs="Arial"/>
                <w:sz w:val="20"/>
                <w:szCs w:val="20"/>
              </w:rPr>
              <w:t xml:space="preserve"> aclaración a la declaración de parámetros.</w:t>
            </w:r>
          </w:p>
        </w:tc>
        <w:tc>
          <w:tcPr>
            <w:tcW w:w="1386" w:type="pct"/>
            <w:tcBorders>
              <w:top w:val="single" w:sz="4" w:space="0" w:color="auto"/>
              <w:left w:val="nil"/>
              <w:bottom w:val="single" w:sz="4" w:space="0" w:color="auto"/>
              <w:right w:val="single" w:sz="4" w:space="0" w:color="auto"/>
            </w:tcBorders>
            <w:noWrap/>
            <w:vAlign w:val="center"/>
          </w:tcPr>
          <w:p w:rsidR="007710CE" w:rsidRPr="001A11B2" w:rsidRDefault="007710CE" w:rsidP="00A900A2">
            <w:pPr>
              <w:ind w:left="36"/>
              <w:jc w:val="both"/>
              <w:rPr>
                <w:rFonts w:ascii="Bookman Old Style" w:hAnsi="Bookman Old Style" w:cs="Arial"/>
                <w:sz w:val="20"/>
                <w:szCs w:val="20"/>
              </w:rPr>
            </w:pPr>
            <w:r w:rsidRPr="001A11B2">
              <w:rPr>
                <w:rFonts w:ascii="Bookman Old Style" w:hAnsi="Bookman Old Style" w:cs="Arial"/>
                <w:sz w:val="20"/>
                <w:szCs w:val="20"/>
              </w:rPr>
              <w:t>CND-CREG</w:t>
            </w:r>
          </w:p>
        </w:tc>
        <w:tc>
          <w:tcPr>
            <w:tcW w:w="1038" w:type="pct"/>
            <w:tcBorders>
              <w:top w:val="single" w:sz="4" w:space="0" w:color="auto"/>
              <w:left w:val="nil"/>
              <w:bottom w:val="single" w:sz="4" w:space="0" w:color="auto"/>
              <w:right w:val="single" w:sz="4" w:space="0" w:color="auto"/>
            </w:tcBorders>
            <w:vAlign w:val="center"/>
          </w:tcPr>
          <w:p w:rsidR="007710CE" w:rsidRPr="001A11B2" w:rsidRDefault="007710CE" w:rsidP="00A900A2">
            <w:pPr>
              <w:ind w:left="0"/>
              <w:jc w:val="both"/>
              <w:rPr>
                <w:rFonts w:ascii="Bookman Old Style" w:hAnsi="Bookman Old Style" w:cs="Arial"/>
                <w:sz w:val="20"/>
                <w:szCs w:val="20"/>
              </w:rPr>
            </w:pPr>
            <w:r w:rsidRPr="001A11B2">
              <w:rPr>
                <w:rFonts w:ascii="Bookman Old Style" w:hAnsi="Bookman Old Style" w:cs="Arial"/>
                <w:sz w:val="20"/>
                <w:szCs w:val="20"/>
              </w:rPr>
              <w:t>Dentro de los cinco (5) días hábiles siguientes a la declaración parámetros</w:t>
            </w:r>
            <w:r w:rsidR="00A900A2" w:rsidRPr="001A11B2">
              <w:rPr>
                <w:rFonts w:ascii="Bookman Old Style" w:hAnsi="Bookman Old Style" w:cs="Arial"/>
                <w:sz w:val="20"/>
                <w:szCs w:val="20"/>
              </w:rPr>
              <w:t>.</w:t>
            </w:r>
          </w:p>
        </w:tc>
      </w:tr>
      <w:tr w:rsidR="007710CE" w:rsidRPr="001A11B2" w:rsidTr="00A900A2">
        <w:trPr>
          <w:trHeight w:val="255"/>
        </w:trPr>
        <w:tc>
          <w:tcPr>
            <w:tcW w:w="883" w:type="pct"/>
            <w:tcBorders>
              <w:top w:val="nil"/>
              <w:left w:val="single" w:sz="4" w:space="0" w:color="auto"/>
              <w:bottom w:val="single" w:sz="4" w:space="0" w:color="auto"/>
              <w:right w:val="single" w:sz="4" w:space="0" w:color="auto"/>
            </w:tcBorders>
            <w:noWrap/>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t>Publicación documento de parámetros</w:t>
            </w:r>
          </w:p>
        </w:tc>
        <w:tc>
          <w:tcPr>
            <w:tcW w:w="1693" w:type="pct"/>
            <w:tcBorders>
              <w:top w:val="nil"/>
              <w:left w:val="nil"/>
              <w:bottom w:val="single" w:sz="4" w:space="0" w:color="auto"/>
              <w:right w:val="single" w:sz="4" w:space="0" w:color="auto"/>
            </w:tcBorders>
            <w:vAlign w:val="center"/>
          </w:tcPr>
          <w:p w:rsidR="007710CE" w:rsidRPr="001A11B2" w:rsidRDefault="007710CE" w:rsidP="00A900A2">
            <w:pPr>
              <w:ind w:left="0" w:right="142"/>
              <w:jc w:val="both"/>
              <w:rPr>
                <w:rFonts w:ascii="Bookman Old Style" w:hAnsi="Bookman Old Style" w:cs="Arial"/>
                <w:sz w:val="20"/>
                <w:szCs w:val="20"/>
              </w:rPr>
            </w:pPr>
            <w:r w:rsidRPr="001A11B2">
              <w:rPr>
                <w:rFonts w:ascii="Bookman Old Style" w:hAnsi="Bookman Old Style" w:cs="Arial"/>
                <w:sz w:val="20"/>
                <w:szCs w:val="20"/>
              </w:rPr>
              <w:t>Publicación del documento de parámetros.</w:t>
            </w:r>
          </w:p>
        </w:tc>
        <w:tc>
          <w:tcPr>
            <w:tcW w:w="1386" w:type="pct"/>
            <w:tcBorders>
              <w:top w:val="nil"/>
              <w:left w:val="nil"/>
              <w:bottom w:val="single" w:sz="4" w:space="0" w:color="auto"/>
              <w:right w:val="single" w:sz="4" w:space="0" w:color="auto"/>
            </w:tcBorders>
            <w:noWrap/>
            <w:vAlign w:val="center"/>
          </w:tcPr>
          <w:p w:rsidR="007710CE" w:rsidRPr="001A11B2" w:rsidRDefault="007710CE" w:rsidP="00A900A2">
            <w:pPr>
              <w:ind w:left="36"/>
              <w:jc w:val="both"/>
              <w:rPr>
                <w:rFonts w:ascii="Bookman Old Style" w:hAnsi="Bookman Old Style" w:cs="Arial"/>
                <w:sz w:val="20"/>
                <w:szCs w:val="20"/>
              </w:rPr>
            </w:pPr>
            <w:r w:rsidRPr="001A11B2">
              <w:rPr>
                <w:rFonts w:ascii="Bookman Old Style" w:hAnsi="Bookman Old Style" w:cs="Arial"/>
                <w:sz w:val="20"/>
                <w:szCs w:val="20"/>
              </w:rPr>
              <w:t>CREG</w:t>
            </w:r>
          </w:p>
        </w:tc>
        <w:tc>
          <w:tcPr>
            <w:tcW w:w="1038" w:type="pct"/>
            <w:tcBorders>
              <w:top w:val="nil"/>
              <w:left w:val="nil"/>
              <w:bottom w:val="single" w:sz="4" w:space="0" w:color="auto"/>
              <w:right w:val="single" w:sz="4" w:space="0" w:color="auto"/>
            </w:tcBorders>
            <w:noWrap/>
            <w:vAlign w:val="center"/>
          </w:tcPr>
          <w:p w:rsidR="007710CE" w:rsidRPr="001A11B2" w:rsidRDefault="007710CE" w:rsidP="00A900A2">
            <w:pPr>
              <w:ind w:left="0"/>
              <w:jc w:val="both"/>
              <w:rPr>
                <w:rFonts w:ascii="Bookman Old Style" w:hAnsi="Bookman Old Style" w:cs="Arial"/>
                <w:sz w:val="20"/>
                <w:szCs w:val="20"/>
              </w:rPr>
            </w:pPr>
            <w:r w:rsidRPr="001A11B2">
              <w:rPr>
                <w:rFonts w:ascii="Bookman Old Style" w:hAnsi="Bookman Old Style" w:cs="Arial"/>
                <w:sz w:val="20"/>
                <w:szCs w:val="20"/>
              </w:rPr>
              <w:t>Dentro de los dos (2) días hábiles siguientes a la aclaración de parámetros</w:t>
            </w:r>
            <w:r w:rsidR="00A900A2" w:rsidRPr="001A11B2">
              <w:rPr>
                <w:rFonts w:ascii="Bookman Old Style" w:hAnsi="Bookman Old Style" w:cs="Arial"/>
                <w:sz w:val="20"/>
                <w:szCs w:val="20"/>
              </w:rPr>
              <w:t>.</w:t>
            </w:r>
          </w:p>
        </w:tc>
      </w:tr>
      <w:tr w:rsidR="00A900A2" w:rsidRPr="001A11B2" w:rsidTr="00A900A2">
        <w:trPr>
          <w:cantSplit/>
          <w:trHeight w:val="510"/>
        </w:trPr>
        <w:tc>
          <w:tcPr>
            <w:tcW w:w="883" w:type="pct"/>
            <w:tcBorders>
              <w:top w:val="nil"/>
              <w:left w:val="single" w:sz="4" w:space="0" w:color="auto"/>
              <w:bottom w:val="single" w:sz="4" w:space="0" w:color="000000"/>
              <w:right w:val="single" w:sz="4" w:space="0" w:color="auto"/>
            </w:tcBorders>
            <w:vAlign w:val="center"/>
          </w:tcPr>
          <w:p w:rsidR="00A900A2" w:rsidRPr="001A11B2" w:rsidRDefault="00A900A2" w:rsidP="0044568F">
            <w:pPr>
              <w:ind w:left="72"/>
              <w:rPr>
                <w:rFonts w:ascii="Bookman Old Style" w:hAnsi="Bookman Old Style" w:cs="Arial"/>
                <w:sz w:val="20"/>
                <w:szCs w:val="20"/>
              </w:rPr>
            </w:pPr>
            <w:r w:rsidRPr="001A11B2">
              <w:rPr>
                <w:rFonts w:ascii="Bookman Old Style" w:hAnsi="Bookman Old Style" w:cs="Arial"/>
                <w:sz w:val="20"/>
                <w:szCs w:val="20"/>
              </w:rPr>
              <w:t>Publicación del Cargo por Confiabilidad aplicable a la asignación</w:t>
            </w:r>
          </w:p>
        </w:tc>
        <w:tc>
          <w:tcPr>
            <w:tcW w:w="1693" w:type="pct"/>
            <w:tcBorders>
              <w:top w:val="nil"/>
              <w:left w:val="nil"/>
              <w:bottom w:val="single" w:sz="4" w:space="0" w:color="auto"/>
              <w:right w:val="single" w:sz="4" w:space="0" w:color="auto"/>
            </w:tcBorders>
            <w:vAlign w:val="center"/>
          </w:tcPr>
          <w:p w:rsidR="00A900A2" w:rsidRPr="001A11B2" w:rsidRDefault="00A900A2" w:rsidP="00EF44D8">
            <w:pPr>
              <w:ind w:left="0" w:right="142"/>
              <w:jc w:val="both"/>
              <w:rPr>
                <w:rFonts w:ascii="Bookman Old Style" w:hAnsi="Bookman Old Style" w:cs="Arial"/>
                <w:sz w:val="20"/>
                <w:szCs w:val="20"/>
              </w:rPr>
            </w:pPr>
            <w:r w:rsidRPr="001A11B2">
              <w:rPr>
                <w:rFonts w:ascii="Bookman Old Style" w:hAnsi="Bookman Old Style" w:cs="Arial"/>
                <w:sz w:val="20"/>
                <w:szCs w:val="20"/>
              </w:rPr>
              <w:t>Publicación del resultado del valor del Cargo por Confiabilidad con el que se remunerarán las OEF asignadas</w:t>
            </w:r>
            <w:r w:rsidR="007210C1" w:rsidRPr="001A11B2">
              <w:rPr>
                <w:rFonts w:ascii="Bookman Old Style" w:hAnsi="Bookman Old Style" w:cs="Arial"/>
                <w:sz w:val="20"/>
                <w:szCs w:val="20"/>
              </w:rPr>
              <w:t xml:space="preserve"> resultado del menú de corto plazo aplicando la metodología del anexo 1 de la Resolución CREG 140 de 2017.</w:t>
            </w:r>
          </w:p>
        </w:tc>
        <w:tc>
          <w:tcPr>
            <w:tcW w:w="1386" w:type="pct"/>
            <w:tcBorders>
              <w:top w:val="single" w:sz="4" w:space="0" w:color="auto"/>
              <w:left w:val="nil"/>
              <w:bottom w:val="single" w:sz="4" w:space="0" w:color="auto"/>
              <w:right w:val="single" w:sz="4" w:space="0" w:color="auto"/>
            </w:tcBorders>
            <w:noWrap/>
            <w:vAlign w:val="center"/>
          </w:tcPr>
          <w:p w:rsidR="00A900A2" w:rsidRPr="001A11B2" w:rsidRDefault="00A900A2" w:rsidP="00A900A2">
            <w:pPr>
              <w:ind w:left="36"/>
              <w:jc w:val="both"/>
              <w:rPr>
                <w:rFonts w:ascii="Bookman Old Style" w:hAnsi="Bookman Old Style" w:cs="Arial"/>
                <w:sz w:val="20"/>
                <w:szCs w:val="20"/>
              </w:rPr>
            </w:pPr>
            <w:r w:rsidRPr="001A11B2">
              <w:rPr>
                <w:rFonts w:ascii="Bookman Old Style" w:hAnsi="Bookman Old Style" w:cs="Arial"/>
                <w:sz w:val="20"/>
                <w:szCs w:val="20"/>
              </w:rPr>
              <w:t>ASIC</w:t>
            </w:r>
          </w:p>
        </w:tc>
        <w:tc>
          <w:tcPr>
            <w:tcW w:w="1038" w:type="pct"/>
            <w:tcBorders>
              <w:top w:val="single" w:sz="4" w:space="0" w:color="auto"/>
              <w:left w:val="nil"/>
              <w:bottom w:val="single" w:sz="4" w:space="0" w:color="auto"/>
              <w:right w:val="single" w:sz="4" w:space="0" w:color="auto"/>
            </w:tcBorders>
            <w:noWrap/>
            <w:vAlign w:val="center"/>
          </w:tcPr>
          <w:p w:rsidR="00A900A2" w:rsidRPr="001A11B2" w:rsidRDefault="00A900A2" w:rsidP="00A900A2">
            <w:pPr>
              <w:ind w:left="20"/>
              <w:jc w:val="both"/>
              <w:rPr>
                <w:rFonts w:ascii="Bookman Old Style" w:hAnsi="Bookman Old Style" w:cs="Arial"/>
                <w:sz w:val="20"/>
                <w:szCs w:val="20"/>
              </w:rPr>
            </w:pPr>
            <w:r w:rsidRPr="001A11B2">
              <w:rPr>
                <w:rFonts w:ascii="Bookman Old Style" w:hAnsi="Bookman Old Style" w:cs="Arial"/>
                <w:sz w:val="20"/>
                <w:szCs w:val="20"/>
              </w:rPr>
              <w:t>Dentro de los dos (2) días hábiles siguientes a la aclaración de parámetros.</w:t>
            </w:r>
          </w:p>
        </w:tc>
      </w:tr>
      <w:tr w:rsidR="007710CE" w:rsidRPr="001A11B2" w:rsidTr="00A900A2">
        <w:trPr>
          <w:cantSplit/>
          <w:trHeight w:val="510"/>
        </w:trPr>
        <w:tc>
          <w:tcPr>
            <w:tcW w:w="883" w:type="pct"/>
            <w:tcBorders>
              <w:top w:val="nil"/>
              <w:left w:val="single" w:sz="4" w:space="0" w:color="auto"/>
              <w:bottom w:val="single" w:sz="4" w:space="0" w:color="000000"/>
              <w:right w:val="single" w:sz="4" w:space="0" w:color="auto"/>
            </w:tcBorders>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t>Declaración de ENFICC para participar en la asignación.</w:t>
            </w:r>
          </w:p>
        </w:tc>
        <w:tc>
          <w:tcPr>
            <w:tcW w:w="1693" w:type="pct"/>
            <w:tcBorders>
              <w:top w:val="nil"/>
              <w:left w:val="nil"/>
              <w:bottom w:val="single" w:sz="4" w:space="0" w:color="auto"/>
              <w:right w:val="single" w:sz="4" w:space="0" w:color="auto"/>
            </w:tcBorders>
            <w:vAlign w:val="center"/>
          </w:tcPr>
          <w:p w:rsidR="007710CE" w:rsidRPr="001A11B2" w:rsidRDefault="007710CE" w:rsidP="00A900A2">
            <w:pPr>
              <w:ind w:left="0" w:right="142"/>
              <w:jc w:val="both"/>
              <w:rPr>
                <w:rFonts w:ascii="Bookman Old Style" w:hAnsi="Bookman Old Style" w:cs="Arial"/>
                <w:sz w:val="20"/>
                <w:szCs w:val="20"/>
              </w:rPr>
            </w:pPr>
            <w:r w:rsidRPr="001A11B2">
              <w:rPr>
                <w:rFonts w:ascii="Bookman Old Style" w:hAnsi="Bookman Old Style" w:cs="Arial"/>
                <w:sz w:val="20"/>
                <w:szCs w:val="20"/>
              </w:rPr>
              <w:t>La declaración de ENFICC deberán efectuarla</w:t>
            </w:r>
            <w:r w:rsidR="00CD0E4C" w:rsidRPr="001A11B2">
              <w:rPr>
                <w:rFonts w:ascii="Bookman Old Style" w:hAnsi="Bookman Old Style" w:cs="Arial"/>
                <w:sz w:val="20"/>
                <w:szCs w:val="20"/>
              </w:rPr>
              <w:t>,</w:t>
            </w:r>
            <w:r w:rsidRPr="001A11B2">
              <w:rPr>
                <w:rFonts w:ascii="Bookman Old Style" w:hAnsi="Bookman Old Style" w:cs="Arial"/>
                <w:sz w:val="20"/>
                <w:szCs w:val="20"/>
              </w:rPr>
              <w:t xml:space="preserve"> a la CREG</w:t>
            </w:r>
            <w:r w:rsidR="00CD0E4C" w:rsidRPr="001A11B2">
              <w:rPr>
                <w:rFonts w:ascii="Bookman Old Style" w:hAnsi="Bookman Old Style" w:cs="Arial"/>
                <w:sz w:val="20"/>
                <w:szCs w:val="20"/>
              </w:rPr>
              <w:t>,</w:t>
            </w:r>
            <w:r w:rsidRPr="001A11B2">
              <w:rPr>
                <w:rFonts w:ascii="Bookman Old Style" w:hAnsi="Bookman Old Style" w:cs="Arial"/>
                <w:sz w:val="20"/>
                <w:szCs w:val="20"/>
              </w:rPr>
              <w:t xml:space="preserve"> quienes la declaren por primera vez o  modifiquen</w:t>
            </w:r>
            <w:r w:rsidR="00CD0E4C" w:rsidRPr="001A11B2">
              <w:rPr>
                <w:rFonts w:ascii="Bookman Old Style" w:hAnsi="Bookman Old Style" w:cs="Arial"/>
                <w:sz w:val="20"/>
                <w:szCs w:val="20"/>
              </w:rPr>
              <w:t xml:space="preserve"> la declaración</w:t>
            </w:r>
            <w:r w:rsidRPr="001A11B2">
              <w:rPr>
                <w:rFonts w:ascii="Bookman Old Style" w:hAnsi="Bookman Old Style" w:cs="Arial"/>
                <w:sz w:val="20"/>
                <w:szCs w:val="20"/>
              </w:rPr>
              <w:t xml:space="preserve">, de conformidad con lo establecido en el </w:t>
            </w:r>
            <w:r w:rsidR="00CD0E4C" w:rsidRPr="001A11B2">
              <w:rPr>
                <w:rFonts w:ascii="Bookman Old Style" w:hAnsi="Bookman Old Style" w:cs="Arial"/>
                <w:sz w:val="20"/>
                <w:szCs w:val="20"/>
              </w:rPr>
              <w:t>a</w:t>
            </w:r>
            <w:r w:rsidRPr="001A11B2">
              <w:rPr>
                <w:rFonts w:ascii="Bookman Old Style" w:hAnsi="Bookman Old Style" w:cs="Arial"/>
                <w:sz w:val="20"/>
                <w:szCs w:val="20"/>
              </w:rPr>
              <w:t>rtículo 41 de la Resolución CREG 071 de 2006.</w:t>
            </w:r>
          </w:p>
        </w:tc>
        <w:tc>
          <w:tcPr>
            <w:tcW w:w="1386" w:type="pct"/>
            <w:tcBorders>
              <w:top w:val="single" w:sz="4" w:space="0" w:color="auto"/>
              <w:left w:val="nil"/>
              <w:bottom w:val="single" w:sz="4" w:space="0" w:color="auto"/>
              <w:right w:val="single" w:sz="4" w:space="0" w:color="auto"/>
            </w:tcBorders>
            <w:noWrap/>
            <w:vAlign w:val="center"/>
          </w:tcPr>
          <w:p w:rsidR="007710CE" w:rsidRPr="001A11B2" w:rsidRDefault="007710CE" w:rsidP="00A900A2">
            <w:pPr>
              <w:ind w:left="36"/>
              <w:jc w:val="both"/>
              <w:rPr>
                <w:rFonts w:ascii="Bookman Old Style" w:hAnsi="Bookman Old Style" w:cs="Arial"/>
                <w:sz w:val="20"/>
                <w:szCs w:val="20"/>
              </w:rPr>
            </w:pPr>
            <w:r w:rsidRPr="001A11B2">
              <w:rPr>
                <w:rFonts w:ascii="Bookman Old Style" w:hAnsi="Bookman Old Style" w:cs="Arial"/>
                <w:sz w:val="20"/>
                <w:szCs w:val="20"/>
              </w:rPr>
              <w:t>Agentes con plantas o unidades de generación existentes.</w:t>
            </w:r>
          </w:p>
          <w:p w:rsidR="007710CE" w:rsidRPr="001A11B2" w:rsidRDefault="007710CE" w:rsidP="00A900A2">
            <w:pPr>
              <w:ind w:left="36"/>
              <w:jc w:val="both"/>
              <w:rPr>
                <w:rFonts w:ascii="Bookman Old Style" w:hAnsi="Bookman Old Style" w:cs="Arial"/>
                <w:sz w:val="20"/>
                <w:szCs w:val="20"/>
              </w:rPr>
            </w:pPr>
          </w:p>
          <w:p w:rsidR="007710CE" w:rsidRPr="001A11B2" w:rsidRDefault="007710CE" w:rsidP="00A900A2">
            <w:pPr>
              <w:ind w:left="36"/>
              <w:jc w:val="both"/>
              <w:rPr>
                <w:rFonts w:ascii="Bookman Old Style" w:hAnsi="Bookman Old Style" w:cs="Arial"/>
                <w:sz w:val="20"/>
                <w:szCs w:val="20"/>
              </w:rPr>
            </w:pPr>
            <w:r w:rsidRPr="001A11B2">
              <w:rPr>
                <w:rFonts w:ascii="Bookman Old Style" w:hAnsi="Bookman Old Style" w:cs="Arial"/>
                <w:sz w:val="20"/>
                <w:szCs w:val="20"/>
              </w:rPr>
              <w:t>Para los agentes que no declaren ENFICC se tomará la ENFICC verificada para el período 201</w:t>
            </w:r>
            <w:r w:rsidR="00CD0E4C" w:rsidRPr="001A11B2">
              <w:rPr>
                <w:rFonts w:ascii="Bookman Old Style" w:hAnsi="Bookman Old Style" w:cs="Arial"/>
                <w:sz w:val="20"/>
                <w:szCs w:val="20"/>
              </w:rPr>
              <w:t>8</w:t>
            </w:r>
            <w:r w:rsidRPr="001A11B2">
              <w:rPr>
                <w:rFonts w:ascii="Bookman Old Style" w:hAnsi="Bookman Old Style" w:cs="Arial"/>
                <w:sz w:val="20"/>
                <w:szCs w:val="20"/>
              </w:rPr>
              <w:t>-201</w:t>
            </w:r>
            <w:r w:rsidR="00CD0E4C" w:rsidRPr="001A11B2">
              <w:rPr>
                <w:rFonts w:ascii="Bookman Old Style" w:hAnsi="Bookman Old Style" w:cs="Arial"/>
                <w:sz w:val="20"/>
                <w:szCs w:val="20"/>
              </w:rPr>
              <w:t>9</w:t>
            </w:r>
            <w:r w:rsidRPr="001A11B2">
              <w:rPr>
                <w:rFonts w:ascii="Bookman Old Style" w:hAnsi="Bookman Old Style" w:cs="Arial"/>
                <w:sz w:val="20"/>
                <w:szCs w:val="20"/>
              </w:rPr>
              <w:t>.</w:t>
            </w:r>
          </w:p>
        </w:tc>
        <w:tc>
          <w:tcPr>
            <w:tcW w:w="1038" w:type="pct"/>
            <w:tcBorders>
              <w:top w:val="single" w:sz="4" w:space="0" w:color="auto"/>
              <w:left w:val="nil"/>
              <w:bottom w:val="single" w:sz="4" w:space="0" w:color="auto"/>
              <w:right w:val="single" w:sz="4" w:space="0" w:color="auto"/>
            </w:tcBorders>
            <w:noWrap/>
            <w:vAlign w:val="center"/>
          </w:tcPr>
          <w:p w:rsidR="007710CE" w:rsidRPr="001A11B2" w:rsidRDefault="007710CE" w:rsidP="00A900A2">
            <w:pPr>
              <w:ind w:left="20"/>
              <w:jc w:val="both"/>
              <w:rPr>
                <w:rFonts w:ascii="Bookman Old Style" w:hAnsi="Bookman Old Style" w:cs="Arial"/>
                <w:sz w:val="20"/>
                <w:szCs w:val="20"/>
              </w:rPr>
            </w:pPr>
            <w:r w:rsidRPr="001A11B2">
              <w:rPr>
                <w:rFonts w:ascii="Bookman Old Style" w:hAnsi="Bookman Old Style" w:cs="Arial"/>
                <w:sz w:val="20"/>
                <w:szCs w:val="20"/>
              </w:rPr>
              <w:t xml:space="preserve">Dentro de los tres (3) días hábiles siguientes a la publicación </w:t>
            </w:r>
            <w:r w:rsidR="00A900A2" w:rsidRPr="001A11B2">
              <w:rPr>
                <w:rFonts w:ascii="Bookman Old Style" w:hAnsi="Bookman Old Style" w:cs="Arial"/>
                <w:sz w:val="20"/>
                <w:szCs w:val="20"/>
              </w:rPr>
              <w:t>del Cargo por Confiabilidad aplicable.</w:t>
            </w:r>
          </w:p>
        </w:tc>
      </w:tr>
      <w:tr w:rsidR="007710CE" w:rsidRPr="001A11B2" w:rsidTr="00A900A2">
        <w:trPr>
          <w:cantSplit/>
          <w:trHeight w:val="765"/>
        </w:trPr>
        <w:tc>
          <w:tcPr>
            <w:tcW w:w="883" w:type="pct"/>
            <w:tcBorders>
              <w:top w:val="nil"/>
              <w:left w:val="single" w:sz="4" w:space="0" w:color="auto"/>
              <w:bottom w:val="single" w:sz="4" w:space="0" w:color="000000"/>
              <w:right w:val="single" w:sz="4" w:space="0" w:color="auto"/>
            </w:tcBorders>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lastRenderedPageBreak/>
              <w:t>Declaración de contratos Plantas No Despachadas Centralmente</w:t>
            </w:r>
          </w:p>
        </w:tc>
        <w:tc>
          <w:tcPr>
            <w:tcW w:w="1693" w:type="pct"/>
            <w:tcBorders>
              <w:top w:val="nil"/>
              <w:left w:val="nil"/>
              <w:bottom w:val="single" w:sz="4" w:space="0" w:color="auto"/>
              <w:right w:val="single" w:sz="4" w:space="0" w:color="auto"/>
            </w:tcBorders>
            <w:vAlign w:val="center"/>
          </w:tcPr>
          <w:p w:rsidR="007710CE" w:rsidRPr="001A11B2" w:rsidRDefault="007710CE" w:rsidP="008D50D1">
            <w:pPr>
              <w:ind w:left="0"/>
              <w:jc w:val="both"/>
              <w:rPr>
                <w:rFonts w:ascii="Bookman Old Style" w:hAnsi="Bookman Old Style" w:cs="Arial"/>
                <w:sz w:val="20"/>
                <w:szCs w:val="20"/>
              </w:rPr>
            </w:pPr>
            <w:r w:rsidRPr="001A11B2">
              <w:rPr>
                <w:rFonts w:ascii="Bookman Old Style" w:hAnsi="Bookman Old Style" w:cs="Arial"/>
                <w:sz w:val="20"/>
                <w:szCs w:val="20"/>
              </w:rPr>
              <w:t>Declaración en la que los agentes generadores que representan Plantas No Despachadas Centralmente informan si tienen contratos en los que suministren energía  para cubrir demanda del período de vigencia a asignar.</w:t>
            </w:r>
          </w:p>
        </w:tc>
        <w:tc>
          <w:tcPr>
            <w:tcW w:w="1386" w:type="pct"/>
            <w:tcBorders>
              <w:left w:val="nil"/>
              <w:bottom w:val="single" w:sz="4" w:space="0" w:color="auto"/>
              <w:right w:val="single" w:sz="4" w:space="0" w:color="auto"/>
            </w:tcBorders>
            <w:noWrap/>
            <w:vAlign w:val="center"/>
          </w:tcPr>
          <w:p w:rsidR="007710CE" w:rsidRPr="001A11B2" w:rsidRDefault="007710CE" w:rsidP="008D50D1">
            <w:pPr>
              <w:ind w:left="36"/>
              <w:jc w:val="both"/>
              <w:rPr>
                <w:rFonts w:ascii="Bookman Old Style" w:hAnsi="Bookman Old Style" w:cs="Arial"/>
                <w:sz w:val="20"/>
                <w:szCs w:val="20"/>
              </w:rPr>
            </w:pPr>
            <w:r w:rsidRPr="001A11B2">
              <w:rPr>
                <w:rFonts w:ascii="Bookman Old Style" w:hAnsi="Bookman Old Style" w:cs="Arial"/>
                <w:sz w:val="20"/>
                <w:szCs w:val="20"/>
              </w:rPr>
              <w:t>Agentes con plantas o unidades existentes, no despachadas centralmente.</w:t>
            </w:r>
          </w:p>
        </w:tc>
        <w:tc>
          <w:tcPr>
            <w:tcW w:w="1038" w:type="pct"/>
            <w:tcBorders>
              <w:left w:val="nil"/>
              <w:bottom w:val="single" w:sz="4" w:space="0" w:color="auto"/>
              <w:right w:val="single" w:sz="4" w:space="0" w:color="auto"/>
            </w:tcBorders>
            <w:noWrap/>
            <w:vAlign w:val="center"/>
          </w:tcPr>
          <w:p w:rsidR="007710CE" w:rsidRPr="001A11B2" w:rsidRDefault="007710CE" w:rsidP="008D50D1">
            <w:pPr>
              <w:ind w:left="20"/>
              <w:jc w:val="both"/>
              <w:rPr>
                <w:rFonts w:ascii="Bookman Old Style" w:hAnsi="Bookman Old Style" w:cs="Arial"/>
                <w:sz w:val="20"/>
                <w:szCs w:val="20"/>
              </w:rPr>
            </w:pPr>
            <w:r w:rsidRPr="001A11B2">
              <w:rPr>
                <w:rFonts w:ascii="Bookman Old Style" w:hAnsi="Bookman Old Style" w:cs="Arial"/>
                <w:sz w:val="20"/>
                <w:szCs w:val="20"/>
              </w:rPr>
              <w:t xml:space="preserve">Dentro de los tres (3) días hábiles siguientes </w:t>
            </w:r>
            <w:r w:rsidR="00A900A2" w:rsidRPr="001A11B2">
              <w:rPr>
                <w:rFonts w:ascii="Bookman Old Style" w:hAnsi="Bookman Old Style" w:cs="Arial"/>
                <w:sz w:val="20"/>
                <w:szCs w:val="20"/>
              </w:rPr>
              <w:t xml:space="preserve">a la publicación del Cargo por Confiabilidad aplicable. </w:t>
            </w:r>
          </w:p>
        </w:tc>
      </w:tr>
      <w:tr w:rsidR="007710CE" w:rsidRPr="001A11B2" w:rsidTr="00A900A2">
        <w:trPr>
          <w:cantSplit/>
          <w:trHeight w:val="793"/>
        </w:trPr>
        <w:tc>
          <w:tcPr>
            <w:tcW w:w="883" w:type="pct"/>
            <w:tcBorders>
              <w:top w:val="nil"/>
              <w:left w:val="single" w:sz="4" w:space="0" w:color="auto"/>
              <w:bottom w:val="single" w:sz="4" w:space="0" w:color="000000"/>
              <w:right w:val="single" w:sz="4" w:space="0" w:color="auto"/>
            </w:tcBorders>
            <w:noWrap/>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t>Verificación de ENFICC</w:t>
            </w:r>
          </w:p>
        </w:tc>
        <w:tc>
          <w:tcPr>
            <w:tcW w:w="1693" w:type="pct"/>
            <w:tcBorders>
              <w:top w:val="nil"/>
              <w:left w:val="nil"/>
              <w:bottom w:val="single" w:sz="4" w:space="0" w:color="auto"/>
              <w:right w:val="single" w:sz="4" w:space="0" w:color="auto"/>
            </w:tcBorders>
            <w:vAlign w:val="center"/>
          </w:tcPr>
          <w:p w:rsidR="007710CE" w:rsidRPr="001A11B2" w:rsidRDefault="007710CE" w:rsidP="008D50D1">
            <w:pPr>
              <w:ind w:left="0" w:right="142"/>
              <w:jc w:val="both"/>
              <w:rPr>
                <w:rFonts w:ascii="Bookman Old Style" w:hAnsi="Bookman Old Style" w:cs="Arial"/>
                <w:sz w:val="20"/>
                <w:szCs w:val="20"/>
              </w:rPr>
            </w:pPr>
            <w:r w:rsidRPr="001A11B2">
              <w:rPr>
                <w:rFonts w:ascii="Bookman Old Style" w:hAnsi="Bookman Old Style" w:cs="Arial"/>
                <w:sz w:val="20"/>
                <w:szCs w:val="20"/>
              </w:rPr>
              <w:t>Verificación y solicitud de aclaraciones a la declaración de ENFICC.</w:t>
            </w:r>
          </w:p>
        </w:tc>
        <w:tc>
          <w:tcPr>
            <w:tcW w:w="1386" w:type="pct"/>
            <w:tcBorders>
              <w:top w:val="single" w:sz="4" w:space="0" w:color="auto"/>
              <w:left w:val="nil"/>
              <w:bottom w:val="single" w:sz="4" w:space="0" w:color="auto"/>
              <w:right w:val="single" w:sz="4" w:space="0" w:color="auto"/>
            </w:tcBorders>
            <w:noWrap/>
            <w:vAlign w:val="center"/>
          </w:tcPr>
          <w:p w:rsidR="007710CE" w:rsidRPr="001A11B2" w:rsidRDefault="007710CE" w:rsidP="008D50D1">
            <w:pPr>
              <w:ind w:left="36"/>
              <w:jc w:val="both"/>
              <w:rPr>
                <w:rFonts w:ascii="Bookman Old Style" w:hAnsi="Bookman Old Style" w:cs="Arial"/>
                <w:sz w:val="20"/>
                <w:szCs w:val="20"/>
              </w:rPr>
            </w:pPr>
            <w:r w:rsidRPr="001A11B2">
              <w:rPr>
                <w:rFonts w:ascii="Bookman Old Style" w:hAnsi="Bookman Old Style" w:cs="Arial"/>
                <w:sz w:val="20"/>
                <w:szCs w:val="20"/>
              </w:rPr>
              <w:t>CND-CREG</w:t>
            </w:r>
          </w:p>
        </w:tc>
        <w:tc>
          <w:tcPr>
            <w:tcW w:w="1038"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20"/>
              <w:jc w:val="both"/>
              <w:rPr>
                <w:rFonts w:ascii="Bookman Old Style" w:hAnsi="Bookman Old Style" w:cs="Arial"/>
                <w:sz w:val="20"/>
                <w:szCs w:val="20"/>
              </w:rPr>
            </w:pPr>
            <w:r w:rsidRPr="001A11B2">
              <w:rPr>
                <w:rFonts w:ascii="Bookman Old Style" w:hAnsi="Bookman Old Style" w:cs="Arial"/>
                <w:sz w:val="20"/>
                <w:szCs w:val="20"/>
              </w:rPr>
              <w:t>Dentro de los cinco (5) días hábiles siguientes a la declaración de ENFICC</w:t>
            </w:r>
          </w:p>
        </w:tc>
      </w:tr>
      <w:tr w:rsidR="007710CE" w:rsidRPr="001A11B2" w:rsidTr="00A900A2">
        <w:trPr>
          <w:trHeight w:val="1530"/>
        </w:trPr>
        <w:tc>
          <w:tcPr>
            <w:tcW w:w="883" w:type="pct"/>
            <w:tcBorders>
              <w:top w:val="single" w:sz="4" w:space="0" w:color="auto"/>
              <w:left w:val="single" w:sz="4" w:space="0" w:color="auto"/>
              <w:bottom w:val="single" w:sz="4" w:space="0" w:color="auto"/>
              <w:right w:val="single" w:sz="4" w:space="0" w:color="auto"/>
            </w:tcBorders>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t>Publicación de resultados de la asignación</w:t>
            </w:r>
          </w:p>
        </w:tc>
        <w:tc>
          <w:tcPr>
            <w:tcW w:w="1693"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0" w:right="142"/>
              <w:jc w:val="both"/>
              <w:rPr>
                <w:rFonts w:ascii="Bookman Old Style" w:hAnsi="Bookman Old Style" w:cs="Arial"/>
                <w:sz w:val="20"/>
                <w:szCs w:val="20"/>
              </w:rPr>
            </w:pPr>
            <w:r w:rsidRPr="001A11B2">
              <w:rPr>
                <w:rFonts w:ascii="Bookman Old Style" w:hAnsi="Bookman Old Style" w:cs="Arial"/>
                <w:sz w:val="20"/>
                <w:szCs w:val="20"/>
              </w:rPr>
              <w:t>Publicación de la asignación de OEF a cada planta y/o unidad.</w:t>
            </w:r>
          </w:p>
        </w:tc>
        <w:tc>
          <w:tcPr>
            <w:tcW w:w="1386" w:type="pct"/>
            <w:tcBorders>
              <w:top w:val="single" w:sz="4" w:space="0" w:color="auto"/>
              <w:left w:val="nil"/>
              <w:bottom w:val="single" w:sz="4" w:space="0" w:color="auto"/>
              <w:right w:val="single" w:sz="4" w:space="0" w:color="auto"/>
            </w:tcBorders>
            <w:noWrap/>
            <w:vAlign w:val="center"/>
          </w:tcPr>
          <w:p w:rsidR="007710CE" w:rsidRPr="001A11B2" w:rsidRDefault="007710CE" w:rsidP="008D50D1">
            <w:pPr>
              <w:ind w:left="36"/>
              <w:jc w:val="both"/>
              <w:rPr>
                <w:rFonts w:ascii="Bookman Old Style" w:hAnsi="Bookman Old Style" w:cs="Arial"/>
                <w:sz w:val="20"/>
                <w:szCs w:val="20"/>
              </w:rPr>
            </w:pPr>
            <w:r w:rsidRPr="001A11B2">
              <w:rPr>
                <w:rFonts w:ascii="Bookman Old Style" w:hAnsi="Bookman Old Style" w:cs="Arial"/>
                <w:sz w:val="20"/>
                <w:szCs w:val="20"/>
              </w:rPr>
              <w:t>ASIC</w:t>
            </w:r>
          </w:p>
        </w:tc>
        <w:tc>
          <w:tcPr>
            <w:tcW w:w="1038"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20"/>
              <w:jc w:val="both"/>
              <w:rPr>
                <w:rFonts w:ascii="Bookman Old Style" w:hAnsi="Bookman Old Style" w:cs="Arial"/>
                <w:sz w:val="20"/>
                <w:szCs w:val="20"/>
              </w:rPr>
            </w:pPr>
            <w:r w:rsidRPr="001A11B2">
              <w:rPr>
                <w:rFonts w:ascii="Bookman Old Style" w:hAnsi="Bookman Old Style" w:cs="Arial"/>
                <w:sz w:val="20"/>
                <w:szCs w:val="20"/>
              </w:rPr>
              <w:t>Dentro de los tres (3) días hábiles siguientes a la verificación de ENFICC</w:t>
            </w:r>
          </w:p>
        </w:tc>
      </w:tr>
      <w:tr w:rsidR="007710CE" w:rsidRPr="001A11B2" w:rsidTr="00A900A2">
        <w:trPr>
          <w:trHeight w:val="1530"/>
        </w:trPr>
        <w:tc>
          <w:tcPr>
            <w:tcW w:w="883" w:type="pct"/>
            <w:tcBorders>
              <w:top w:val="single" w:sz="4" w:space="0" w:color="auto"/>
              <w:left w:val="single" w:sz="4" w:space="0" w:color="auto"/>
              <w:bottom w:val="single" w:sz="4" w:space="0" w:color="auto"/>
              <w:right w:val="single" w:sz="4" w:space="0" w:color="auto"/>
            </w:tcBorders>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t>Entrega de contratos o garantías y certificación actividades de operación y mantenimiento</w:t>
            </w:r>
          </w:p>
        </w:tc>
        <w:tc>
          <w:tcPr>
            <w:tcW w:w="1693"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0" w:right="142"/>
              <w:jc w:val="both"/>
              <w:rPr>
                <w:rFonts w:ascii="Bookman Old Style" w:hAnsi="Bookman Old Style" w:cs="Arial"/>
                <w:sz w:val="20"/>
                <w:szCs w:val="20"/>
              </w:rPr>
            </w:pPr>
            <w:r w:rsidRPr="001A11B2">
              <w:rPr>
                <w:rFonts w:ascii="Bookman Old Style" w:hAnsi="Bookman Old Style" w:cs="Arial"/>
                <w:sz w:val="20"/>
                <w:szCs w:val="20"/>
              </w:rPr>
              <w:t xml:space="preserve">Entrega de contratos de combustible o garantías. </w:t>
            </w:r>
          </w:p>
          <w:p w:rsidR="007710CE" w:rsidRPr="001A11B2" w:rsidRDefault="007710CE" w:rsidP="008D50D1">
            <w:pPr>
              <w:ind w:left="0" w:right="142"/>
              <w:jc w:val="both"/>
              <w:rPr>
                <w:rFonts w:ascii="Bookman Old Style" w:hAnsi="Bookman Old Style" w:cs="Arial"/>
                <w:sz w:val="20"/>
                <w:szCs w:val="20"/>
              </w:rPr>
            </w:pPr>
          </w:p>
          <w:p w:rsidR="007710CE" w:rsidRPr="001A11B2" w:rsidRDefault="00C25A41" w:rsidP="008D50D1">
            <w:pPr>
              <w:ind w:left="0" w:right="142"/>
              <w:jc w:val="both"/>
              <w:rPr>
                <w:rFonts w:ascii="Bookman Old Style" w:hAnsi="Bookman Old Style" w:cs="Arial"/>
                <w:sz w:val="20"/>
                <w:szCs w:val="20"/>
              </w:rPr>
            </w:pPr>
            <w:r>
              <w:rPr>
                <w:rFonts w:ascii="Bookman Old Style" w:hAnsi="Bookman Old Style" w:cs="Arial"/>
                <w:sz w:val="20"/>
                <w:szCs w:val="20"/>
              </w:rPr>
              <w:t>Las</w:t>
            </w:r>
            <w:r w:rsidRPr="001A11B2">
              <w:rPr>
                <w:rFonts w:ascii="Bookman Old Style" w:hAnsi="Bookman Old Style" w:cs="Arial"/>
                <w:sz w:val="20"/>
                <w:szCs w:val="20"/>
              </w:rPr>
              <w:t xml:space="preserve"> </w:t>
            </w:r>
            <w:r w:rsidR="007710CE" w:rsidRPr="001A11B2">
              <w:rPr>
                <w:rFonts w:ascii="Bookman Old Style" w:hAnsi="Bookman Old Style" w:cs="Arial"/>
                <w:sz w:val="20"/>
                <w:szCs w:val="20"/>
              </w:rPr>
              <w:t xml:space="preserve">plantas térmicas a carbón las garantías, durante el período de planeación, pueden ser </w:t>
            </w:r>
            <w:r w:rsidR="00115AEC" w:rsidRPr="001A11B2">
              <w:rPr>
                <w:rFonts w:ascii="Bookman Old Style" w:hAnsi="Bookman Old Style" w:cs="Arial"/>
                <w:sz w:val="20"/>
                <w:szCs w:val="20"/>
              </w:rPr>
              <w:t>el certificado</w:t>
            </w:r>
            <w:r w:rsidR="007710CE" w:rsidRPr="001A11B2">
              <w:rPr>
                <w:rFonts w:ascii="Bookman Old Style" w:hAnsi="Bookman Old Style" w:cs="Arial"/>
                <w:sz w:val="20"/>
                <w:szCs w:val="20"/>
              </w:rPr>
              <w:t xml:space="preserve"> del Plan de Trabajo y Obras y la carta de intención presentada según el artículo 46 de la Resolución CREG 071 de 2006.</w:t>
            </w:r>
          </w:p>
          <w:p w:rsidR="007710CE" w:rsidRPr="001A11B2" w:rsidRDefault="007710CE" w:rsidP="008D50D1">
            <w:pPr>
              <w:ind w:left="0" w:right="142"/>
              <w:jc w:val="both"/>
              <w:rPr>
                <w:rFonts w:ascii="Bookman Old Style" w:hAnsi="Bookman Old Style" w:cs="Arial"/>
                <w:sz w:val="20"/>
                <w:szCs w:val="20"/>
              </w:rPr>
            </w:pPr>
          </w:p>
          <w:p w:rsidR="007710CE" w:rsidRPr="001A11B2" w:rsidRDefault="00C25A41" w:rsidP="008D50D1">
            <w:pPr>
              <w:ind w:left="0" w:right="142"/>
              <w:jc w:val="both"/>
              <w:rPr>
                <w:rFonts w:ascii="Bookman Old Style" w:hAnsi="Bookman Old Style" w:cs="Arial"/>
                <w:sz w:val="20"/>
                <w:szCs w:val="20"/>
              </w:rPr>
            </w:pPr>
            <w:r>
              <w:rPr>
                <w:rFonts w:ascii="Bookman Old Style" w:hAnsi="Bookman Old Style" w:cs="Arial"/>
                <w:sz w:val="20"/>
                <w:szCs w:val="20"/>
              </w:rPr>
              <w:t>Las</w:t>
            </w:r>
            <w:r w:rsidRPr="001A11B2">
              <w:rPr>
                <w:rFonts w:ascii="Bookman Old Style" w:hAnsi="Bookman Old Style" w:cs="Arial"/>
                <w:sz w:val="20"/>
                <w:szCs w:val="20"/>
              </w:rPr>
              <w:t xml:space="preserve"> </w:t>
            </w:r>
            <w:r w:rsidR="007710CE" w:rsidRPr="001A11B2">
              <w:rPr>
                <w:rFonts w:ascii="Bookman Old Style" w:hAnsi="Bookman Old Style" w:cs="Arial"/>
                <w:sz w:val="20"/>
                <w:szCs w:val="20"/>
              </w:rPr>
              <w:t>plantas o unidades que respalden la obligación con combustible líquido</w:t>
            </w:r>
            <w:r>
              <w:rPr>
                <w:rFonts w:ascii="Bookman Old Style" w:hAnsi="Bookman Old Style" w:cs="Arial"/>
                <w:sz w:val="20"/>
                <w:szCs w:val="20"/>
              </w:rPr>
              <w:t xml:space="preserve"> para las asignaciones de los periodos 2020-2021 y 2021-2022</w:t>
            </w:r>
            <w:r w:rsidR="007710CE" w:rsidRPr="001A11B2">
              <w:rPr>
                <w:rFonts w:ascii="Bookman Old Style" w:hAnsi="Bookman Old Style" w:cs="Arial"/>
                <w:sz w:val="20"/>
                <w:szCs w:val="20"/>
              </w:rPr>
              <w:t xml:space="preserve"> pu</w:t>
            </w:r>
            <w:r w:rsidR="00A900A2" w:rsidRPr="001A11B2">
              <w:rPr>
                <w:rFonts w:ascii="Bookman Old Style" w:hAnsi="Bookman Old Style" w:cs="Arial"/>
                <w:sz w:val="20"/>
                <w:szCs w:val="20"/>
              </w:rPr>
              <w:t>eden aplicar lo definido en el a</w:t>
            </w:r>
            <w:r w:rsidR="007710CE" w:rsidRPr="001A11B2">
              <w:rPr>
                <w:rFonts w:ascii="Bookman Old Style" w:hAnsi="Bookman Old Style" w:cs="Arial"/>
                <w:sz w:val="20"/>
                <w:szCs w:val="20"/>
              </w:rPr>
              <w:t>rtículo 13 de la Resolución CREG 085 de 200</w:t>
            </w:r>
            <w:r w:rsidR="007710CE" w:rsidRPr="008D50D1">
              <w:rPr>
                <w:rFonts w:ascii="Bookman Old Style" w:hAnsi="Bookman Old Style" w:cs="Arial"/>
                <w:sz w:val="20"/>
                <w:szCs w:val="20"/>
              </w:rPr>
              <w:t>7.</w:t>
            </w:r>
          </w:p>
          <w:p w:rsidR="007710CE" w:rsidRPr="001A11B2" w:rsidRDefault="007710CE" w:rsidP="008D50D1">
            <w:pPr>
              <w:ind w:left="0" w:right="142"/>
              <w:jc w:val="both"/>
              <w:rPr>
                <w:rFonts w:ascii="Bookman Old Style" w:hAnsi="Bookman Old Style" w:cs="Arial"/>
                <w:sz w:val="20"/>
                <w:szCs w:val="20"/>
              </w:rPr>
            </w:pPr>
          </w:p>
          <w:p w:rsidR="007710CE" w:rsidRPr="001A11B2" w:rsidRDefault="00C25A41" w:rsidP="008D50D1">
            <w:pPr>
              <w:ind w:left="0" w:right="142"/>
              <w:jc w:val="both"/>
              <w:rPr>
                <w:rFonts w:ascii="Bookman Old Style" w:hAnsi="Bookman Old Style" w:cs="Arial"/>
                <w:sz w:val="20"/>
                <w:szCs w:val="20"/>
              </w:rPr>
            </w:pPr>
            <w:r>
              <w:rPr>
                <w:rFonts w:ascii="Bookman Old Style" w:hAnsi="Bookman Old Style" w:cs="Arial"/>
                <w:sz w:val="20"/>
                <w:szCs w:val="20"/>
              </w:rPr>
              <w:t>Las</w:t>
            </w:r>
            <w:r w:rsidRPr="001A11B2">
              <w:rPr>
                <w:rFonts w:ascii="Bookman Old Style" w:hAnsi="Bookman Old Style" w:cs="Arial"/>
                <w:sz w:val="20"/>
                <w:szCs w:val="20"/>
              </w:rPr>
              <w:t xml:space="preserve"> </w:t>
            </w:r>
            <w:r w:rsidR="007710CE" w:rsidRPr="001A11B2">
              <w:rPr>
                <w:rFonts w:ascii="Bookman Old Style" w:hAnsi="Bookman Old Style" w:cs="Arial"/>
                <w:sz w:val="20"/>
                <w:szCs w:val="20"/>
              </w:rPr>
              <w:t>plantas térmicas con</w:t>
            </w:r>
            <w:r w:rsidR="008F0192">
              <w:rPr>
                <w:rFonts w:ascii="Bookman Old Style" w:hAnsi="Bookman Old Style" w:cs="Arial"/>
                <w:sz w:val="20"/>
                <w:szCs w:val="20"/>
              </w:rPr>
              <w:t xml:space="preserve"> gas natural importado aplicará</w:t>
            </w:r>
            <w:r>
              <w:rPr>
                <w:rFonts w:ascii="Bookman Old Style" w:hAnsi="Bookman Old Style" w:cs="Arial"/>
                <w:sz w:val="20"/>
                <w:szCs w:val="20"/>
              </w:rPr>
              <w:t>n</w:t>
            </w:r>
            <w:r w:rsidR="007710CE" w:rsidRPr="001A11B2">
              <w:rPr>
                <w:rFonts w:ascii="Bookman Old Style" w:hAnsi="Bookman Old Style" w:cs="Arial"/>
                <w:sz w:val="20"/>
                <w:szCs w:val="20"/>
              </w:rPr>
              <w:t xml:space="preserve"> lo definido en la Resolución CREG</w:t>
            </w:r>
            <w:r w:rsidR="00A900A2" w:rsidRPr="001A11B2">
              <w:rPr>
                <w:rFonts w:ascii="Bookman Old Style" w:hAnsi="Bookman Old Style" w:cs="Arial"/>
                <w:sz w:val="20"/>
                <w:szCs w:val="20"/>
              </w:rPr>
              <w:t xml:space="preserve"> </w:t>
            </w:r>
            <w:r w:rsidR="007710CE" w:rsidRPr="001A11B2">
              <w:rPr>
                <w:rFonts w:ascii="Bookman Old Style" w:hAnsi="Bookman Old Style" w:cs="Arial"/>
                <w:sz w:val="20"/>
                <w:szCs w:val="20"/>
              </w:rPr>
              <w:t>106 de 2011.</w:t>
            </w:r>
          </w:p>
          <w:p w:rsidR="007710CE" w:rsidRPr="001A11B2" w:rsidRDefault="007710CE" w:rsidP="008D50D1">
            <w:pPr>
              <w:ind w:left="0" w:right="142"/>
              <w:jc w:val="both"/>
              <w:rPr>
                <w:rFonts w:ascii="Bookman Old Style" w:hAnsi="Bookman Old Style" w:cs="Arial"/>
                <w:sz w:val="20"/>
                <w:szCs w:val="20"/>
              </w:rPr>
            </w:pPr>
          </w:p>
          <w:p w:rsidR="007710CE" w:rsidRPr="001A11B2" w:rsidRDefault="007710CE" w:rsidP="008D50D1">
            <w:pPr>
              <w:ind w:left="0" w:right="142"/>
              <w:jc w:val="both"/>
              <w:rPr>
                <w:rFonts w:ascii="Bookman Old Style" w:hAnsi="Bookman Old Style" w:cs="Arial"/>
                <w:sz w:val="20"/>
                <w:szCs w:val="20"/>
              </w:rPr>
            </w:pPr>
            <w:r w:rsidRPr="001A11B2">
              <w:rPr>
                <w:rFonts w:ascii="Bookman Old Style" w:hAnsi="Bookman Old Style" w:cs="Arial"/>
                <w:sz w:val="20"/>
                <w:szCs w:val="20"/>
              </w:rPr>
              <w:t>La certificación de operación y mantenimiento será la definida en la Resolución CREG</w:t>
            </w:r>
            <w:r w:rsidR="00A900A2" w:rsidRPr="001A11B2">
              <w:rPr>
                <w:rFonts w:ascii="Bookman Old Style" w:hAnsi="Bookman Old Style" w:cs="Arial"/>
                <w:sz w:val="20"/>
                <w:szCs w:val="20"/>
              </w:rPr>
              <w:t xml:space="preserve"> </w:t>
            </w:r>
            <w:r w:rsidRPr="001A11B2">
              <w:rPr>
                <w:rFonts w:ascii="Bookman Old Style" w:hAnsi="Bookman Old Style" w:cs="Arial"/>
                <w:sz w:val="20"/>
                <w:szCs w:val="20"/>
              </w:rPr>
              <w:t>005 de 2009.</w:t>
            </w:r>
          </w:p>
        </w:tc>
        <w:tc>
          <w:tcPr>
            <w:tcW w:w="1386" w:type="pct"/>
            <w:tcBorders>
              <w:top w:val="single" w:sz="4" w:space="0" w:color="auto"/>
              <w:left w:val="nil"/>
              <w:bottom w:val="single" w:sz="4" w:space="0" w:color="auto"/>
              <w:right w:val="single" w:sz="4" w:space="0" w:color="auto"/>
            </w:tcBorders>
            <w:noWrap/>
            <w:vAlign w:val="center"/>
          </w:tcPr>
          <w:p w:rsidR="007710CE" w:rsidRPr="001A11B2" w:rsidRDefault="007710CE" w:rsidP="008D50D1">
            <w:pPr>
              <w:ind w:left="36"/>
              <w:jc w:val="both"/>
              <w:rPr>
                <w:rFonts w:ascii="Bookman Old Style" w:hAnsi="Bookman Old Style" w:cs="Arial"/>
                <w:sz w:val="20"/>
                <w:szCs w:val="20"/>
              </w:rPr>
            </w:pPr>
            <w:r w:rsidRPr="001A11B2">
              <w:rPr>
                <w:rFonts w:ascii="Bookman Old Style" w:hAnsi="Bookman Old Style" w:cs="Arial"/>
                <w:sz w:val="20"/>
                <w:szCs w:val="20"/>
              </w:rPr>
              <w:t>Agentes</w:t>
            </w:r>
          </w:p>
        </w:tc>
        <w:tc>
          <w:tcPr>
            <w:tcW w:w="1038"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20"/>
              <w:jc w:val="both"/>
              <w:rPr>
                <w:rFonts w:ascii="Bookman Old Style" w:hAnsi="Bookman Old Style" w:cs="Arial"/>
                <w:sz w:val="20"/>
                <w:szCs w:val="20"/>
              </w:rPr>
            </w:pPr>
            <w:r w:rsidRPr="001A11B2">
              <w:rPr>
                <w:rFonts w:ascii="Bookman Old Style" w:hAnsi="Bookman Old Style" w:cs="Arial"/>
                <w:sz w:val="20"/>
                <w:szCs w:val="20"/>
              </w:rPr>
              <w:t>Dentro de los veinte (20) días hábiles siguientes a la publicación de la asignación</w:t>
            </w:r>
          </w:p>
        </w:tc>
      </w:tr>
      <w:tr w:rsidR="007710CE" w:rsidRPr="001A11B2" w:rsidTr="00A900A2">
        <w:trPr>
          <w:trHeight w:val="300"/>
        </w:trPr>
        <w:tc>
          <w:tcPr>
            <w:tcW w:w="883" w:type="pct"/>
            <w:tcBorders>
              <w:top w:val="single" w:sz="4" w:space="0" w:color="auto"/>
              <w:left w:val="single" w:sz="4" w:space="0" w:color="auto"/>
              <w:bottom w:val="single" w:sz="4" w:space="0" w:color="auto"/>
              <w:right w:val="single" w:sz="4" w:space="0" w:color="auto"/>
            </w:tcBorders>
            <w:vAlign w:val="center"/>
          </w:tcPr>
          <w:p w:rsidR="007710CE" w:rsidRPr="001A11B2" w:rsidRDefault="007710CE" w:rsidP="0044568F">
            <w:pPr>
              <w:ind w:left="72"/>
              <w:rPr>
                <w:rFonts w:ascii="Bookman Old Style" w:hAnsi="Bookman Old Style" w:cs="Arial"/>
                <w:sz w:val="20"/>
                <w:szCs w:val="20"/>
              </w:rPr>
            </w:pPr>
            <w:r w:rsidRPr="001A11B2">
              <w:rPr>
                <w:rFonts w:ascii="Bookman Old Style" w:hAnsi="Bookman Old Style" w:cs="Arial"/>
                <w:sz w:val="20"/>
                <w:szCs w:val="20"/>
              </w:rPr>
              <w:t>Solicitud de aclaración de garantías que respaldan OEF</w:t>
            </w:r>
          </w:p>
        </w:tc>
        <w:tc>
          <w:tcPr>
            <w:tcW w:w="1693"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0"/>
              <w:jc w:val="both"/>
              <w:rPr>
                <w:rFonts w:ascii="Bookman Old Style" w:hAnsi="Bookman Old Style" w:cs="Arial"/>
                <w:sz w:val="20"/>
                <w:szCs w:val="20"/>
              </w:rPr>
            </w:pPr>
            <w:r w:rsidRPr="001A11B2">
              <w:rPr>
                <w:rFonts w:ascii="Bookman Old Style" w:hAnsi="Bookman Old Style" w:cs="Arial"/>
                <w:sz w:val="20"/>
                <w:szCs w:val="20"/>
              </w:rPr>
              <w:t>Solicitud de aclaración a la garantías remitidas</w:t>
            </w:r>
          </w:p>
        </w:tc>
        <w:tc>
          <w:tcPr>
            <w:tcW w:w="1386" w:type="pct"/>
            <w:tcBorders>
              <w:top w:val="single" w:sz="4" w:space="0" w:color="auto"/>
              <w:left w:val="nil"/>
              <w:bottom w:val="single" w:sz="4" w:space="0" w:color="auto"/>
              <w:right w:val="single" w:sz="4" w:space="0" w:color="auto"/>
            </w:tcBorders>
            <w:noWrap/>
            <w:vAlign w:val="center"/>
          </w:tcPr>
          <w:p w:rsidR="007710CE" w:rsidRPr="001A11B2" w:rsidRDefault="007710CE" w:rsidP="008D50D1">
            <w:pPr>
              <w:ind w:left="36"/>
              <w:jc w:val="both"/>
              <w:rPr>
                <w:rFonts w:ascii="Bookman Old Style" w:hAnsi="Bookman Old Style" w:cs="Arial"/>
                <w:sz w:val="20"/>
                <w:szCs w:val="20"/>
              </w:rPr>
            </w:pPr>
            <w:r w:rsidRPr="001A11B2">
              <w:rPr>
                <w:rFonts w:ascii="Bookman Old Style" w:hAnsi="Bookman Old Style" w:cs="Arial"/>
                <w:sz w:val="20"/>
                <w:szCs w:val="20"/>
              </w:rPr>
              <w:t>ASIC</w:t>
            </w:r>
          </w:p>
        </w:tc>
        <w:tc>
          <w:tcPr>
            <w:tcW w:w="1038"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20"/>
              <w:jc w:val="both"/>
              <w:rPr>
                <w:rFonts w:ascii="Bookman Old Style" w:hAnsi="Bookman Old Style" w:cs="Arial"/>
                <w:sz w:val="20"/>
                <w:szCs w:val="20"/>
              </w:rPr>
            </w:pPr>
            <w:r w:rsidRPr="001A11B2">
              <w:rPr>
                <w:rFonts w:ascii="Bookman Old Style" w:hAnsi="Bookman Old Style" w:cs="Arial"/>
                <w:sz w:val="20"/>
                <w:szCs w:val="20"/>
              </w:rPr>
              <w:t>Dentro de los cinco (5) días hábiles siguientes a la entrega de contratos o garantías.</w:t>
            </w:r>
          </w:p>
        </w:tc>
      </w:tr>
      <w:tr w:rsidR="007710CE" w:rsidRPr="001A11B2" w:rsidTr="00A900A2">
        <w:trPr>
          <w:trHeight w:val="1530"/>
        </w:trPr>
        <w:tc>
          <w:tcPr>
            <w:tcW w:w="883" w:type="pct"/>
            <w:tcBorders>
              <w:top w:val="single" w:sz="4" w:space="0" w:color="auto"/>
              <w:left w:val="single" w:sz="4" w:space="0" w:color="auto"/>
              <w:bottom w:val="single" w:sz="4" w:space="0" w:color="auto"/>
              <w:right w:val="single" w:sz="4" w:space="0" w:color="auto"/>
            </w:tcBorders>
            <w:vAlign w:val="center"/>
          </w:tcPr>
          <w:p w:rsidR="007710CE" w:rsidRPr="001A11B2" w:rsidRDefault="007710CE" w:rsidP="008D50D1">
            <w:pPr>
              <w:ind w:left="72"/>
              <w:rPr>
                <w:rFonts w:ascii="Bookman Old Style" w:hAnsi="Bookman Old Style" w:cs="Arial"/>
                <w:sz w:val="20"/>
                <w:szCs w:val="20"/>
              </w:rPr>
            </w:pPr>
            <w:r w:rsidRPr="001A11B2">
              <w:rPr>
                <w:rFonts w:ascii="Bookman Old Style" w:hAnsi="Bookman Old Style" w:cs="Arial"/>
                <w:sz w:val="20"/>
                <w:szCs w:val="20"/>
              </w:rPr>
              <w:lastRenderedPageBreak/>
              <w:t>Expedición de certificado de asignación de Obligaciones de Energía Firme</w:t>
            </w:r>
          </w:p>
        </w:tc>
        <w:tc>
          <w:tcPr>
            <w:tcW w:w="1693"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0"/>
              <w:jc w:val="both"/>
              <w:rPr>
                <w:rFonts w:ascii="Bookman Old Style" w:hAnsi="Bookman Old Style" w:cs="Arial"/>
                <w:sz w:val="20"/>
                <w:szCs w:val="20"/>
              </w:rPr>
            </w:pPr>
            <w:r w:rsidRPr="001A11B2">
              <w:rPr>
                <w:rFonts w:ascii="Bookman Old Style" w:hAnsi="Bookman Old Style" w:cs="Arial"/>
                <w:sz w:val="20"/>
                <w:szCs w:val="20"/>
              </w:rPr>
              <w:t>Certificado expedido por el ASIC de conformidad con la regulación vigente</w:t>
            </w:r>
          </w:p>
        </w:tc>
        <w:tc>
          <w:tcPr>
            <w:tcW w:w="1386" w:type="pct"/>
            <w:tcBorders>
              <w:top w:val="single" w:sz="4" w:space="0" w:color="auto"/>
              <w:left w:val="nil"/>
              <w:bottom w:val="single" w:sz="4" w:space="0" w:color="auto"/>
              <w:right w:val="single" w:sz="4" w:space="0" w:color="auto"/>
            </w:tcBorders>
            <w:noWrap/>
            <w:vAlign w:val="center"/>
          </w:tcPr>
          <w:p w:rsidR="007710CE" w:rsidRPr="001A11B2" w:rsidRDefault="007710CE" w:rsidP="008D50D1">
            <w:pPr>
              <w:ind w:left="36"/>
              <w:jc w:val="both"/>
              <w:rPr>
                <w:rFonts w:ascii="Bookman Old Style" w:hAnsi="Bookman Old Style" w:cs="Arial"/>
                <w:sz w:val="20"/>
                <w:szCs w:val="20"/>
              </w:rPr>
            </w:pPr>
            <w:r w:rsidRPr="001A11B2">
              <w:rPr>
                <w:rFonts w:ascii="Bookman Old Style" w:hAnsi="Bookman Old Style" w:cs="Arial"/>
                <w:sz w:val="20"/>
                <w:szCs w:val="20"/>
              </w:rPr>
              <w:t>ASIC</w:t>
            </w:r>
          </w:p>
        </w:tc>
        <w:tc>
          <w:tcPr>
            <w:tcW w:w="1038" w:type="pct"/>
            <w:tcBorders>
              <w:top w:val="single" w:sz="4" w:space="0" w:color="auto"/>
              <w:left w:val="nil"/>
              <w:bottom w:val="single" w:sz="4" w:space="0" w:color="auto"/>
              <w:right w:val="single" w:sz="4" w:space="0" w:color="auto"/>
            </w:tcBorders>
            <w:vAlign w:val="center"/>
          </w:tcPr>
          <w:p w:rsidR="007710CE" w:rsidRPr="001A11B2" w:rsidRDefault="007710CE" w:rsidP="008D50D1">
            <w:pPr>
              <w:ind w:left="20"/>
              <w:jc w:val="both"/>
              <w:rPr>
                <w:rFonts w:ascii="Bookman Old Style" w:hAnsi="Bookman Old Style" w:cs="Arial"/>
                <w:sz w:val="20"/>
                <w:szCs w:val="20"/>
              </w:rPr>
            </w:pPr>
            <w:r w:rsidRPr="001A11B2">
              <w:rPr>
                <w:rFonts w:ascii="Bookman Old Style" w:hAnsi="Bookman Old Style" w:cs="Arial"/>
                <w:sz w:val="20"/>
                <w:szCs w:val="20"/>
              </w:rPr>
              <w:t>Dentro de los dos (2) días hábiles siguientes a la solicitud de aclaración de garantías que respaldan OEF</w:t>
            </w:r>
          </w:p>
        </w:tc>
      </w:tr>
    </w:tbl>
    <w:p w:rsidR="00AE2220" w:rsidRPr="001A11B2" w:rsidRDefault="00AE2220" w:rsidP="00AE2220">
      <w:pPr>
        <w:jc w:val="center"/>
        <w:rPr>
          <w:rFonts w:ascii="Bookman Old Style" w:hAnsi="Bookman Old Style" w:cs="Arial"/>
          <w:b/>
          <w:sz w:val="22"/>
          <w:szCs w:val="22"/>
        </w:rPr>
      </w:pPr>
    </w:p>
    <w:p w:rsidR="007710CE" w:rsidRPr="001A11B2" w:rsidRDefault="007710CE" w:rsidP="00AE2220">
      <w:pPr>
        <w:jc w:val="center"/>
        <w:rPr>
          <w:rFonts w:ascii="Bookman Old Style" w:hAnsi="Bookman Old Style" w:cs="Arial"/>
          <w:b/>
          <w:sz w:val="22"/>
          <w:szCs w:val="22"/>
        </w:rPr>
      </w:pPr>
    </w:p>
    <w:p w:rsidR="00E77ECD" w:rsidRPr="001A11B2" w:rsidRDefault="00E77ECD" w:rsidP="00AE2220">
      <w:pPr>
        <w:jc w:val="center"/>
        <w:rPr>
          <w:rFonts w:ascii="Bookman Old Style" w:hAnsi="Bookman Old Style" w:cs="Arial"/>
          <w:b/>
          <w:sz w:val="22"/>
          <w:szCs w:val="22"/>
        </w:rPr>
      </w:pPr>
    </w:p>
    <w:p w:rsidR="00A900A2" w:rsidRPr="001A11B2" w:rsidRDefault="00A900A2" w:rsidP="00AE2220">
      <w:pPr>
        <w:jc w:val="center"/>
        <w:rPr>
          <w:rFonts w:ascii="Bookman Old Style" w:hAnsi="Bookman Old Style" w:cs="Arial"/>
          <w:b/>
          <w:sz w:val="22"/>
          <w:szCs w:val="22"/>
        </w:rPr>
      </w:pPr>
    </w:p>
    <w:p w:rsidR="00E77ECD" w:rsidRPr="001A11B2" w:rsidRDefault="00E77ECD" w:rsidP="00AE2220">
      <w:pPr>
        <w:jc w:val="center"/>
        <w:rPr>
          <w:rFonts w:ascii="Bookman Old Style" w:hAnsi="Bookman Old Style" w:cs="Arial"/>
          <w:b/>
          <w:sz w:val="22"/>
          <w:szCs w:val="22"/>
        </w:rPr>
      </w:pPr>
    </w:p>
    <w:p w:rsidR="00E77ECD" w:rsidRPr="001A11B2" w:rsidRDefault="00E77ECD" w:rsidP="00AE2220">
      <w:pPr>
        <w:jc w:val="center"/>
        <w:rPr>
          <w:rFonts w:ascii="Bookman Old Style" w:hAnsi="Bookman Old Style" w:cs="Arial"/>
          <w:b/>
          <w:sz w:val="22"/>
          <w:szCs w:val="22"/>
        </w:rPr>
      </w:pPr>
    </w:p>
    <w:tbl>
      <w:tblPr>
        <w:tblW w:w="0" w:type="auto"/>
        <w:jc w:val="center"/>
        <w:tblCellSpacing w:w="0" w:type="dxa"/>
        <w:tblCellMar>
          <w:left w:w="0" w:type="dxa"/>
          <w:right w:w="0" w:type="dxa"/>
        </w:tblCellMar>
        <w:tblLook w:val="0000" w:firstRow="0" w:lastRow="0" w:firstColumn="0" w:lastColumn="0" w:noHBand="0" w:noVBand="0"/>
      </w:tblPr>
      <w:tblGrid>
        <w:gridCol w:w="4601"/>
        <w:gridCol w:w="4394"/>
      </w:tblGrid>
      <w:tr w:rsidR="00E77ECD" w:rsidRPr="001A11B2" w:rsidTr="008D50D1">
        <w:trPr>
          <w:tblCellSpacing w:w="0" w:type="dxa"/>
          <w:jc w:val="center"/>
        </w:trPr>
        <w:tc>
          <w:tcPr>
            <w:tcW w:w="4601" w:type="dxa"/>
          </w:tcPr>
          <w:p w:rsidR="00D610B2" w:rsidRPr="001A11B2" w:rsidRDefault="008D50D1" w:rsidP="008D50D1">
            <w:pPr>
              <w:ind w:left="-26"/>
              <w:jc w:val="center"/>
              <w:rPr>
                <w:rFonts w:ascii="Bookman Old Style" w:eastAsia="Arial Unicode MS" w:hAnsi="Bookman Old Style"/>
                <w:bCs/>
                <w:color w:val="000000"/>
              </w:rPr>
            </w:pPr>
            <w:r>
              <w:rPr>
                <w:rFonts w:ascii="Bookman Old Style" w:hAnsi="Bookman Old Style"/>
                <w:b/>
                <w:bCs/>
              </w:rPr>
              <w:t>GERMÁN ARCE ZAPATA</w:t>
            </w:r>
            <w:r w:rsidR="00D610B2" w:rsidRPr="001A11B2">
              <w:rPr>
                <w:rFonts w:ascii="Bookman Old Style" w:hAnsi="Bookman Old Style"/>
                <w:b/>
                <w:bCs/>
              </w:rPr>
              <w:t xml:space="preserve"> </w:t>
            </w:r>
          </w:p>
        </w:tc>
        <w:tc>
          <w:tcPr>
            <w:tcW w:w="4394" w:type="dxa"/>
          </w:tcPr>
          <w:p w:rsidR="00E77ECD" w:rsidRPr="001A11B2" w:rsidRDefault="0028318B" w:rsidP="00A91D16">
            <w:pPr>
              <w:ind w:left="0" w:right="-26"/>
              <w:jc w:val="center"/>
              <w:rPr>
                <w:rFonts w:ascii="Bookman Old Style" w:eastAsia="Arial Unicode MS" w:hAnsi="Bookman Old Style"/>
                <w:b/>
                <w:bCs/>
              </w:rPr>
            </w:pPr>
            <w:r>
              <w:rPr>
                <w:rFonts w:ascii="Bookman Old Style" w:hAnsi="Bookman Old Style" w:cs="Arial"/>
                <w:b/>
                <w:spacing w:val="-3"/>
                <w:szCs w:val="20"/>
              </w:rPr>
              <w:t>GERM</w:t>
            </w:r>
            <w:r w:rsidR="00A91D16">
              <w:rPr>
                <w:rFonts w:ascii="Bookman Old Style" w:hAnsi="Bookman Old Style" w:cs="Arial"/>
                <w:b/>
                <w:spacing w:val="-3"/>
                <w:szCs w:val="20"/>
              </w:rPr>
              <w:t>Á</w:t>
            </w:r>
            <w:r>
              <w:rPr>
                <w:rFonts w:ascii="Bookman Old Style" w:hAnsi="Bookman Old Style" w:cs="Arial"/>
                <w:b/>
                <w:spacing w:val="-3"/>
                <w:szCs w:val="20"/>
              </w:rPr>
              <w:t>N CASTRO FERREIRA</w:t>
            </w:r>
          </w:p>
        </w:tc>
      </w:tr>
      <w:tr w:rsidR="00E77ECD" w:rsidRPr="001A11B2" w:rsidTr="008D50D1">
        <w:trPr>
          <w:tblCellSpacing w:w="0" w:type="dxa"/>
          <w:jc w:val="center"/>
        </w:trPr>
        <w:tc>
          <w:tcPr>
            <w:tcW w:w="4601" w:type="dxa"/>
          </w:tcPr>
          <w:p w:rsidR="00E77ECD" w:rsidRPr="001A11B2" w:rsidRDefault="00E77ECD" w:rsidP="0044568F">
            <w:pPr>
              <w:ind w:left="-26"/>
              <w:jc w:val="center"/>
              <w:rPr>
                <w:rFonts w:ascii="Bookman Old Style" w:eastAsia="Arial Unicode MS" w:hAnsi="Bookman Old Style" w:cs="Arial"/>
                <w:color w:val="000000"/>
              </w:rPr>
            </w:pPr>
            <w:r w:rsidRPr="001A11B2">
              <w:rPr>
                <w:rFonts w:ascii="Bookman Old Style" w:hAnsi="Bookman Old Style" w:cs="Arial"/>
                <w:szCs w:val="27"/>
              </w:rPr>
              <w:t>Ministro de Minas y Energía</w:t>
            </w:r>
          </w:p>
        </w:tc>
        <w:tc>
          <w:tcPr>
            <w:tcW w:w="4394" w:type="dxa"/>
          </w:tcPr>
          <w:p w:rsidR="00E77ECD" w:rsidRPr="001A11B2" w:rsidRDefault="00E77ECD" w:rsidP="0044568F">
            <w:pPr>
              <w:ind w:left="0"/>
              <w:jc w:val="center"/>
              <w:rPr>
                <w:rFonts w:ascii="Bookman Old Style" w:eastAsia="Arial Unicode MS" w:hAnsi="Bookman Old Style" w:cs="Arial"/>
                <w:color w:val="000000"/>
              </w:rPr>
            </w:pPr>
            <w:r w:rsidRPr="001A11B2">
              <w:rPr>
                <w:rFonts w:ascii="Bookman Old Style" w:hAnsi="Bookman Old Style" w:cs="Arial"/>
                <w:szCs w:val="27"/>
              </w:rPr>
              <w:t>Director Ejecutivo</w:t>
            </w:r>
          </w:p>
        </w:tc>
      </w:tr>
      <w:tr w:rsidR="00E77ECD" w:rsidRPr="003B187B" w:rsidTr="008D50D1">
        <w:trPr>
          <w:tblCellSpacing w:w="0" w:type="dxa"/>
          <w:jc w:val="center"/>
        </w:trPr>
        <w:tc>
          <w:tcPr>
            <w:tcW w:w="4601" w:type="dxa"/>
          </w:tcPr>
          <w:p w:rsidR="00E77ECD" w:rsidRPr="001A11B2" w:rsidRDefault="00E77ECD" w:rsidP="0044568F">
            <w:pPr>
              <w:ind w:left="-26"/>
              <w:jc w:val="center"/>
              <w:rPr>
                <w:rFonts w:ascii="Bookman Old Style" w:eastAsia="Arial Unicode MS" w:hAnsi="Bookman Old Style" w:cs="Arial"/>
                <w:color w:val="000000"/>
              </w:rPr>
            </w:pPr>
            <w:r w:rsidRPr="001A11B2">
              <w:rPr>
                <w:rFonts w:ascii="Bookman Old Style" w:hAnsi="Bookman Old Style" w:cs="Arial"/>
                <w:szCs w:val="27"/>
              </w:rPr>
              <w:t>Presidente</w:t>
            </w:r>
          </w:p>
        </w:tc>
        <w:tc>
          <w:tcPr>
            <w:tcW w:w="4394" w:type="dxa"/>
          </w:tcPr>
          <w:p w:rsidR="00E77ECD" w:rsidRPr="003B187B" w:rsidRDefault="00E77ECD" w:rsidP="0044568F">
            <w:pPr>
              <w:ind w:left="0"/>
              <w:jc w:val="center"/>
              <w:rPr>
                <w:rFonts w:ascii="Bookman Old Style" w:eastAsia="Arial Unicode MS" w:hAnsi="Bookman Old Style" w:cs="Arial"/>
                <w:color w:val="000000"/>
              </w:rPr>
            </w:pPr>
            <w:r w:rsidRPr="001A11B2">
              <w:rPr>
                <w:rFonts w:ascii="Bookman Old Style" w:hAnsi="Bookman Old Style" w:cs="Arial"/>
                <w:noProof/>
                <w:lang w:val="es-CO" w:eastAsia="es-CO"/>
              </w:rPr>
              <w:drawing>
                <wp:inline distT="0" distB="0" distL="0" distR="0" wp14:anchorId="615289CB" wp14:editId="367D11C7">
                  <wp:extent cx="9525" cy="9525"/>
                  <wp:effectExtent l="19050" t="0" r="9525" b="0"/>
                  <wp:docPr id="5" name="Imagen 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cblank"/>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77ECD" w:rsidRDefault="00E77ECD" w:rsidP="00AE2220">
      <w:pPr>
        <w:jc w:val="center"/>
        <w:rPr>
          <w:rFonts w:ascii="Bookman Old Style" w:hAnsi="Bookman Old Style" w:cs="Arial"/>
          <w:b/>
          <w:sz w:val="22"/>
          <w:szCs w:val="22"/>
        </w:rPr>
      </w:pPr>
    </w:p>
    <w:p w:rsidR="007710CE" w:rsidRDefault="007710CE" w:rsidP="00AE2220">
      <w:pPr>
        <w:jc w:val="center"/>
        <w:rPr>
          <w:rFonts w:ascii="Bookman Old Style" w:hAnsi="Bookman Old Style" w:cs="Arial"/>
          <w:b/>
          <w:sz w:val="22"/>
          <w:szCs w:val="22"/>
        </w:rPr>
      </w:pPr>
    </w:p>
    <w:p w:rsidR="002471E7" w:rsidRDefault="002471E7" w:rsidP="002471E7">
      <w:pPr>
        <w:jc w:val="center"/>
        <w:rPr>
          <w:rFonts w:ascii="Bookman Old Style" w:hAnsi="Bookman Old Style" w:cs="Arial"/>
          <w:b/>
          <w:sz w:val="22"/>
          <w:szCs w:val="22"/>
        </w:rPr>
      </w:pPr>
    </w:p>
    <w:p w:rsidR="002471E7" w:rsidRDefault="002471E7" w:rsidP="002471E7">
      <w:pPr>
        <w:jc w:val="center"/>
        <w:rPr>
          <w:rFonts w:ascii="Bookman Old Style" w:hAnsi="Bookman Old Style" w:cs="Arial"/>
          <w:b/>
          <w:sz w:val="22"/>
          <w:szCs w:val="22"/>
        </w:rPr>
      </w:pPr>
    </w:p>
    <w:p w:rsidR="00E0232A" w:rsidRPr="00202F31" w:rsidRDefault="00D223C8" w:rsidP="00202F31">
      <w:pPr>
        <w:pStyle w:val="Ttulo1"/>
        <w:ind w:left="426"/>
        <w:rPr>
          <w:rFonts w:ascii="Bookman Old Style" w:hAnsi="Bookman Old Style"/>
          <w:szCs w:val="22"/>
        </w:rPr>
      </w:pPr>
      <w:r w:rsidRPr="00202F31">
        <w:rPr>
          <w:rFonts w:ascii="Bookman Old Style" w:hAnsi="Bookman Old Style"/>
          <w:noProof/>
          <w:szCs w:val="22"/>
          <w:lang w:eastAsia="es-CO"/>
        </w:rPr>
        <mc:AlternateContent>
          <mc:Choice Requires="wps">
            <w:drawing>
              <wp:anchor distT="0" distB="0" distL="114300" distR="114300" simplePos="0" relativeHeight="251660288" behindDoc="0" locked="0" layoutInCell="1" allowOverlap="1" wp14:anchorId="60D330A5" wp14:editId="20FE2679">
                <wp:simplePos x="0" y="0"/>
                <wp:positionH relativeFrom="column">
                  <wp:posOffset>-327660</wp:posOffset>
                </wp:positionH>
                <wp:positionV relativeFrom="paragraph">
                  <wp:posOffset>-68580</wp:posOffset>
                </wp:positionV>
                <wp:extent cx="6534150" cy="9410700"/>
                <wp:effectExtent l="0" t="0" r="3810" b="19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941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5902" id="Rectangle 3" o:spid="_x0000_s1026" style="position:absolute;margin-left:-25.8pt;margin-top:-5.4pt;width:514.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" filled="f" stroked="f"/>
            </w:pict>
          </mc:Fallback>
        </mc:AlternateContent>
      </w:r>
    </w:p>
    <w:sectPr w:rsidR="00E0232A" w:rsidRPr="00202F31"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174" w:rsidRDefault="00B11174">
      <w:r>
        <w:separator/>
      </w:r>
    </w:p>
  </w:endnote>
  <w:endnote w:type="continuationSeparator" w:id="0">
    <w:p w:rsidR="00B11174" w:rsidRDefault="00B1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174" w:rsidRDefault="00B11174">
      <w:r>
        <w:separator/>
      </w:r>
    </w:p>
  </w:footnote>
  <w:footnote w:type="continuationSeparator" w:id="0">
    <w:p w:rsidR="00B11174" w:rsidRDefault="00B111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C8" w:rsidRDefault="009471C8" w:rsidP="00951F79">
    <w:pPr>
      <w:pStyle w:val="Ttulo1"/>
      <w:ind w:right="6"/>
      <w:jc w:val="left"/>
      <w:rPr>
        <w:rFonts w:ascii="Bookman Old Style" w:hAnsi="Bookman Old Style" w:cs="Arial"/>
        <w:b w:val="0"/>
        <w:sz w:val="22"/>
        <w:szCs w:val="22"/>
      </w:rPr>
    </w:pPr>
  </w:p>
  <w:p w:rsidR="009471C8" w:rsidRPr="00951F79" w:rsidRDefault="009471C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70380">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70380">
      <w:fldChar w:fldCharType="begin"/>
    </w:r>
    <w:r w:rsidR="00870380">
      <w:instrText xml:space="preserve"> NUMPAGES  \* MERGEFORMAT </w:instrText>
    </w:r>
    <w:r w:rsidR="00870380">
      <w:fldChar w:fldCharType="separate"/>
    </w:r>
    <w:r w:rsidR="00870380" w:rsidRPr="00870380">
      <w:rPr>
        <w:rFonts w:ascii="Bookman Old Style" w:hAnsi="Bookman Old Style" w:cs="Arial"/>
        <w:b w:val="0"/>
        <w:noProof/>
        <w:sz w:val="22"/>
        <w:szCs w:val="22"/>
      </w:rPr>
      <w:t>8</w:t>
    </w:r>
    <w:r w:rsidR="00870380">
      <w:rPr>
        <w:rFonts w:ascii="Bookman Old Style" w:hAnsi="Bookman Old Style" w:cs="Arial"/>
        <w:b w:val="0"/>
        <w:noProof/>
        <w:sz w:val="22"/>
        <w:szCs w:val="22"/>
      </w:rPr>
      <w:fldChar w:fldCharType="end"/>
    </w:r>
  </w:p>
  <w:p w:rsidR="009471C8" w:rsidRDefault="009471C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787BF29" wp14:editId="2DBD6CD3">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4DCFE"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9471C8" w:rsidRPr="00614B01" w:rsidRDefault="00614B01" w:rsidP="00614B01">
    <w:pPr>
      <w:pBdr>
        <w:bottom w:val="single" w:sz="4" w:space="1" w:color="auto"/>
      </w:pBdr>
      <w:spacing w:after="240"/>
      <w:ind w:left="0"/>
      <w:jc w:val="both"/>
      <w:rPr>
        <w:rFonts w:ascii="Bookman Old Style" w:hAnsi="Bookman Old Style" w:cs="Arial"/>
        <w:sz w:val="22"/>
        <w:szCs w:val="22"/>
      </w:rPr>
    </w:pPr>
    <w:r w:rsidRPr="00614B01">
      <w:rPr>
        <w:rFonts w:ascii="Bookman Old Style" w:hAnsi="Bookman Old Style" w:cs="Arial"/>
        <w:sz w:val="22"/>
        <w:szCs w:val="22"/>
      </w:rPr>
      <w:t xml:space="preserve">Por la cual se fija la oportunidad para asignar las Obligaciones de Energía Firme del Cargo por Confiabilidad para los períodos comprendidos entre: diciembre 1 de 2019 a noviembre 30 de 2020, diciembre 1 de 2020 a noviembre 30 de 2021 y diciembre 1 de 2021 a noviembre 30 de 2022 </w:t>
    </w:r>
    <w:r w:rsidRPr="00614B01">
      <w:rPr>
        <w:rFonts w:ascii="Bookman Old Style" w:hAnsi="Bookman Old Style"/>
        <w:sz w:val="22"/>
        <w:szCs w:val="22"/>
      </w:rPr>
      <w:t>a quienes representen plantas existentes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C8" w:rsidRDefault="009471C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471C8" w:rsidRDefault="009471C8">
    <w:pPr>
      <w:pStyle w:val="Encabezado"/>
      <w:jc w:val="center"/>
      <w:rPr>
        <w:rFonts w:ascii="Arial" w:hAnsi="Arial" w:cs="Arial"/>
        <w:spacing w:val="20"/>
        <w:sz w:val="20"/>
      </w:rPr>
    </w:pPr>
  </w:p>
  <w:p w:rsidR="009471C8" w:rsidRDefault="009471C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6C5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0772DD"/>
    <w:multiLevelType w:val="multilevel"/>
    <w:tmpl w:val="C98221C8"/>
    <w:lvl w:ilvl="0">
      <w:start w:val="1"/>
      <w:numFmt w:val="bullet"/>
      <w:lvlText w:val=""/>
      <w:lvlJc w:val="left"/>
      <w:pPr>
        <w:ind w:left="360" w:hanging="360"/>
      </w:pPr>
      <w:rPr>
        <w:rFonts w:ascii="Symbol" w:hAnsi="Symbo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642EBA"/>
    <w:multiLevelType w:val="hybridMultilevel"/>
    <w:tmpl w:val="83C0DBD6"/>
    <w:lvl w:ilvl="0" w:tplc="79D2094A">
      <w:start w:val="1"/>
      <w:numFmt w:val="decimal"/>
      <w:lvlText w:val="Artículo %1."/>
      <w:lvlJc w:val="left"/>
      <w:pPr>
        <w:ind w:left="720" w:hanging="360"/>
      </w:pPr>
      <w:rPr>
        <w:rFonts w:ascii="Bookman Old Style" w:hAnsi="Bookman Old Style"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7A7307"/>
    <w:multiLevelType w:val="hybridMultilevel"/>
    <w:tmpl w:val="94309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C3EAE"/>
    <w:multiLevelType w:val="hybridMultilevel"/>
    <w:tmpl w:val="4F362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F1C7E"/>
    <w:multiLevelType w:val="hybridMultilevel"/>
    <w:tmpl w:val="AB9E58D8"/>
    <w:lvl w:ilvl="0" w:tplc="2990F024">
      <w:start w:val="1"/>
      <w:numFmt w:val="decimal"/>
      <w:lvlText w:val="Artículo %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8C22DD"/>
    <w:multiLevelType w:val="hybridMultilevel"/>
    <w:tmpl w:val="5F8E48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CC08C8"/>
    <w:multiLevelType w:val="hybridMultilevel"/>
    <w:tmpl w:val="03E6DC8E"/>
    <w:lvl w:ilvl="0" w:tplc="E6469156">
      <w:start w:val="1"/>
      <w:numFmt w:val="low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 w15:restartNumberingAfterBreak="0">
    <w:nsid w:val="24BF62D4"/>
    <w:multiLevelType w:val="hybridMultilevel"/>
    <w:tmpl w:val="4F362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202B9"/>
    <w:multiLevelType w:val="hybridMultilevel"/>
    <w:tmpl w:val="3BEEA9D4"/>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6F15E2"/>
    <w:multiLevelType w:val="hybridMultilevel"/>
    <w:tmpl w:val="896A3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D5EB8"/>
    <w:multiLevelType w:val="hybridMultilevel"/>
    <w:tmpl w:val="C7E67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10E151D"/>
    <w:multiLevelType w:val="hybridMultilevel"/>
    <w:tmpl w:val="792ADBDE"/>
    <w:lvl w:ilvl="0" w:tplc="CB589430">
      <w:start w:val="1"/>
      <w:numFmt w:val="decimal"/>
      <w:lvlText w:val="Artículo %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F0FB7"/>
    <w:multiLevelType w:val="hybridMultilevel"/>
    <w:tmpl w:val="B5FC30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EF2615"/>
    <w:multiLevelType w:val="hybridMultilevel"/>
    <w:tmpl w:val="8522F148"/>
    <w:lvl w:ilvl="0" w:tplc="A60A52D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81048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BA6214"/>
    <w:multiLevelType w:val="multilevel"/>
    <w:tmpl w:val="1102EAC2"/>
    <w:lvl w:ilvl="0">
      <w:start w:val="1"/>
      <w:numFmt w:val="none"/>
      <w:lvlText w:val="Artículo"/>
      <w:lvlJc w:val="left"/>
      <w:pPr>
        <w:ind w:left="360" w:hanging="360"/>
      </w:pPr>
      <w:rPr>
        <w:rFonts w:ascii="Bookman Old Style" w:hAnsi="Bookman Old Style"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8F269C2"/>
    <w:multiLevelType w:val="hybridMultilevel"/>
    <w:tmpl w:val="11147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20619"/>
    <w:multiLevelType w:val="hybridMultilevel"/>
    <w:tmpl w:val="381860F8"/>
    <w:lvl w:ilvl="0" w:tplc="D66C8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764AAD"/>
    <w:multiLevelType w:val="hybridMultilevel"/>
    <w:tmpl w:val="4588C6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45F3BF1"/>
    <w:multiLevelType w:val="hybridMultilevel"/>
    <w:tmpl w:val="B72ED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A74CE"/>
    <w:multiLevelType w:val="hybridMultilevel"/>
    <w:tmpl w:val="DA4413A6"/>
    <w:lvl w:ilvl="0" w:tplc="728E111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9DC3846"/>
    <w:multiLevelType w:val="hybridMultilevel"/>
    <w:tmpl w:val="747EA7DC"/>
    <w:lvl w:ilvl="0" w:tplc="2990F024">
      <w:start w:val="1"/>
      <w:numFmt w:val="decimal"/>
      <w:lvlText w:val="Artículo %1."/>
      <w:lvlJc w:val="left"/>
      <w:pPr>
        <w:ind w:left="2204"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35"/>
  </w:num>
  <w:num w:numId="4">
    <w:abstractNumId w:val="14"/>
  </w:num>
  <w:num w:numId="5">
    <w:abstractNumId w:val="25"/>
  </w:num>
  <w:num w:numId="6">
    <w:abstractNumId w:val="3"/>
  </w:num>
  <w:num w:numId="7">
    <w:abstractNumId w:val="2"/>
  </w:num>
  <w:num w:numId="8">
    <w:abstractNumId w:val="27"/>
  </w:num>
  <w:num w:numId="9">
    <w:abstractNumId w:val="26"/>
  </w:num>
  <w:num w:numId="10">
    <w:abstractNumId w:val="22"/>
  </w:num>
  <w:num w:numId="11">
    <w:abstractNumId w:val="36"/>
  </w:num>
  <w:num w:numId="12">
    <w:abstractNumId w:val="30"/>
  </w:num>
  <w:num w:numId="13">
    <w:abstractNumId w:val="18"/>
  </w:num>
  <w:num w:numId="14">
    <w:abstractNumId w:val="1"/>
  </w:num>
  <w:num w:numId="15">
    <w:abstractNumId w:val="33"/>
  </w:num>
  <w:num w:numId="16">
    <w:abstractNumId w:val="31"/>
  </w:num>
  <w:num w:numId="17">
    <w:abstractNumId w:val="28"/>
  </w:num>
  <w:num w:numId="18">
    <w:abstractNumId w:val="29"/>
  </w:num>
  <w:num w:numId="19">
    <w:abstractNumId w:val="12"/>
  </w:num>
  <w:num w:numId="20">
    <w:abstractNumId w:val="7"/>
  </w:num>
  <w:num w:numId="21">
    <w:abstractNumId w:val="15"/>
  </w:num>
  <w:num w:numId="22">
    <w:abstractNumId w:val="32"/>
  </w:num>
  <w:num w:numId="23">
    <w:abstractNumId w:val="8"/>
  </w:num>
  <w:num w:numId="24">
    <w:abstractNumId w:val="19"/>
  </w:num>
  <w:num w:numId="25">
    <w:abstractNumId w:val="16"/>
  </w:num>
  <w:num w:numId="26">
    <w:abstractNumId w:val="0"/>
  </w:num>
  <w:num w:numId="27">
    <w:abstractNumId w:val="11"/>
  </w:num>
  <w:num w:numId="28">
    <w:abstractNumId w:val="20"/>
  </w:num>
  <w:num w:numId="29">
    <w:abstractNumId w:val="24"/>
  </w:num>
  <w:num w:numId="30">
    <w:abstractNumId w:val="34"/>
  </w:num>
  <w:num w:numId="31">
    <w:abstractNumId w:val="17"/>
  </w:num>
  <w:num w:numId="32">
    <w:abstractNumId w:val="5"/>
  </w:num>
  <w:num w:numId="33">
    <w:abstractNumId w:val="23"/>
  </w:num>
  <w:num w:numId="34">
    <w:abstractNumId w:val="9"/>
  </w:num>
  <w:num w:numId="35">
    <w:abstractNumId w:val="13"/>
  </w:num>
  <w:num w:numId="36">
    <w:abstractNumId w:val="1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0806"/>
    <w:rsid w:val="00012259"/>
    <w:rsid w:val="0001290B"/>
    <w:rsid w:val="00013D7A"/>
    <w:rsid w:val="00017CCF"/>
    <w:rsid w:val="00020B47"/>
    <w:rsid w:val="00025383"/>
    <w:rsid w:val="00035BF5"/>
    <w:rsid w:val="00051403"/>
    <w:rsid w:val="00056455"/>
    <w:rsid w:val="00057F80"/>
    <w:rsid w:val="00060E2A"/>
    <w:rsid w:val="00063657"/>
    <w:rsid w:val="00073C24"/>
    <w:rsid w:val="00074186"/>
    <w:rsid w:val="00076680"/>
    <w:rsid w:val="0008073E"/>
    <w:rsid w:val="00091CDB"/>
    <w:rsid w:val="00095E18"/>
    <w:rsid w:val="000A19AC"/>
    <w:rsid w:val="000B07DE"/>
    <w:rsid w:val="000C39DD"/>
    <w:rsid w:val="000D24B4"/>
    <w:rsid w:val="000D2569"/>
    <w:rsid w:val="000D26F8"/>
    <w:rsid w:val="000F0183"/>
    <w:rsid w:val="000F0EDA"/>
    <w:rsid w:val="00102B3A"/>
    <w:rsid w:val="00107BB0"/>
    <w:rsid w:val="0011507D"/>
    <w:rsid w:val="00115AEC"/>
    <w:rsid w:val="001311DD"/>
    <w:rsid w:val="00133C55"/>
    <w:rsid w:val="001401C9"/>
    <w:rsid w:val="001405C6"/>
    <w:rsid w:val="00141013"/>
    <w:rsid w:val="001424E8"/>
    <w:rsid w:val="00152654"/>
    <w:rsid w:val="001578EE"/>
    <w:rsid w:val="00163CF4"/>
    <w:rsid w:val="0017511E"/>
    <w:rsid w:val="001826DA"/>
    <w:rsid w:val="001870A8"/>
    <w:rsid w:val="001912BB"/>
    <w:rsid w:val="0019263E"/>
    <w:rsid w:val="00192CBF"/>
    <w:rsid w:val="00192FF1"/>
    <w:rsid w:val="00197865"/>
    <w:rsid w:val="001A11B2"/>
    <w:rsid w:val="001A5F1B"/>
    <w:rsid w:val="001B1C22"/>
    <w:rsid w:val="001B34C6"/>
    <w:rsid w:val="001C0711"/>
    <w:rsid w:val="001C326A"/>
    <w:rsid w:val="001D4E48"/>
    <w:rsid w:val="001D5D1A"/>
    <w:rsid w:val="001D73EC"/>
    <w:rsid w:val="001D7832"/>
    <w:rsid w:val="001E34B4"/>
    <w:rsid w:val="001F350D"/>
    <w:rsid w:val="001F52DC"/>
    <w:rsid w:val="0020215B"/>
    <w:rsid w:val="00202F31"/>
    <w:rsid w:val="00203FEE"/>
    <w:rsid w:val="00204038"/>
    <w:rsid w:val="00211D34"/>
    <w:rsid w:val="00212AF5"/>
    <w:rsid w:val="00214F04"/>
    <w:rsid w:val="00220D83"/>
    <w:rsid w:val="0022375C"/>
    <w:rsid w:val="00224601"/>
    <w:rsid w:val="00227434"/>
    <w:rsid w:val="00245485"/>
    <w:rsid w:val="00246964"/>
    <w:rsid w:val="002471E7"/>
    <w:rsid w:val="002508B7"/>
    <w:rsid w:val="00250C68"/>
    <w:rsid w:val="002569BB"/>
    <w:rsid w:val="002606F0"/>
    <w:rsid w:val="002620D7"/>
    <w:rsid w:val="002661C7"/>
    <w:rsid w:val="00266CD6"/>
    <w:rsid w:val="00274837"/>
    <w:rsid w:val="00276912"/>
    <w:rsid w:val="0028318B"/>
    <w:rsid w:val="0029075B"/>
    <w:rsid w:val="002932CF"/>
    <w:rsid w:val="00294244"/>
    <w:rsid w:val="002A5312"/>
    <w:rsid w:val="002B11E2"/>
    <w:rsid w:val="002B24B8"/>
    <w:rsid w:val="002B7C74"/>
    <w:rsid w:val="002C01B1"/>
    <w:rsid w:val="002C39F7"/>
    <w:rsid w:val="002C6449"/>
    <w:rsid w:val="002C71BC"/>
    <w:rsid w:val="002C7416"/>
    <w:rsid w:val="002D3AE9"/>
    <w:rsid w:val="002E40CC"/>
    <w:rsid w:val="002F0734"/>
    <w:rsid w:val="002F46E7"/>
    <w:rsid w:val="002F508C"/>
    <w:rsid w:val="003101DA"/>
    <w:rsid w:val="0031283C"/>
    <w:rsid w:val="00313DFE"/>
    <w:rsid w:val="00314757"/>
    <w:rsid w:val="00315076"/>
    <w:rsid w:val="00320B5E"/>
    <w:rsid w:val="003211CE"/>
    <w:rsid w:val="0033483B"/>
    <w:rsid w:val="003372BE"/>
    <w:rsid w:val="00337365"/>
    <w:rsid w:val="003409CA"/>
    <w:rsid w:val="0034127A"/>
    <w:rsid w:val="00343662"/>
    <w:rsid w:val="00343A89"/>
    <w:rsid w:val="003462F1"/>
    <w:rsid w:val="003521CB"/>
    <w:rsid w:val="003530F6"/>
    <w:rsid w:val="0035403A"/>
    <w:rsid w:val="00354464"/>
    <w:rsid w:val="0036394B"/>
    <w:rsid w:val="003709B5"/>
    <w:rsid w:val="003759C2"/>
    <w:rsid w:val="00381417"/>
    <w:rsid w:val="00383BA2"/>
    <w:rsid w:val="0038433C"/>
    <w:rsid w:val="003856AB"/>
    <w:rsid w:val="00393E9A"/>
    <w:rsid w:val="00395647"/>
    <w:rsid w:val="00397365"/>
    <w:rsid w:val="003A0575"/>
    <w:rsid w:val="003A31F6"/>
    <w:rsid w:val="003A61E9"/>
    <w:rsid w:val="003A659C"/>
    <w:rsid w:val="003B187B"/>
    <w:rsid w:val="003B4384"/>
    <w:rsid w:val="003C0786"/>
    <w:rsid w:val="003C1EF8"/>
    <w:rsid w:val="003C3447"/>
    <w:rsid w:val="003C542C"/>
    <w:rsid w:val="003D076C"/>
    <w:rsid w:val="003D1EC9"/>
    <w:rsid w:val="003D35E6"/>
    <w:rsid w:val="003E4B7A"/>
    <w:rsid w:val="003F615F"/>
    <w:rsid w:val="00415BAB"/>
    <w:rsid w:val="00415ED2"/>
    <w:rsid w:val="0042068C"/>
    <w:rsid w:val="00433F71"/>
    <w:rsid w:val="004341E9"/>
    <w:rsid w:val="00436ACD"/>
    <w:rsid w:val="0044568F"/>
    <w:rsid w:val="00457383"/>
    <w:rsid w:val="00466101"/>
    <w:rsid w:val="0046722B"/>
    <w:rsid w:val="00470F50"/>
    <w:rsid w:val="0047122B"/>
    <w:rsid w:val="00473B7A"/>
    <w:rsid w:val="0047463A"/>
    <w:rsid w:val="0049161E"/>
    <w:rsid w:val="004960E9"/>
    <w:rsid w:val="004A2E88"/>
    <w:rsid w:val="004A5305"/>
    <w:rsid w:val="004A5EF7"/>
    <w:rsid w:val="004B618A"/>
    <w:rsid w:val="004C3419"/>
    <w:rsid w:val="004D1803"/>
    <w:rsid w:val="004D40FA"/>
    <w:rsid w:val="004D7634"/>
    <w:rsid w:val="004E339E"/>
    <w:rsid w:val="004F0085"/>
    <w:rsid w:val="004F1430"/>
    <w:rsid w:val="004F4873"/>
    <w:rsid w:val="0051068F"/>
    <w:rsid w:val="00513E5E"/>
    <w:rsid w:val="005146F1"/>
    <w:rsid w:val="005206B5"/>
    <w:rsid w:val="00521F30"/>
    <w:rsid w:val="005225B7"/>
    <w:rsid w:val="00524AB5"/>
    <w:rsid w:val="005300D3"/>
    <w:rsid w:val="005332B4"/>
    <w:rsid w:val="00544F82"/>
    <w:rsid w:val="00557151"/>
    <w:rsid w:val="0057615E"/>
    <w:rsid w:val="00583A49"/>
    <w:rsid w:val="00591397"/>
    <w:rsid w:val="00593C4F"/>
    <w:rsid w:val="005946A8"/>
    <w:rsid w:val="005A37B3"/>
    <w:rsid w:val="005A4368"/>
    <w:rsid w:val="005A4407"/>
    <w:rsid w:val="005A59EF"/>
    <w:rsid w:val="005B5613"/>
    <w:rsid w:val="005B5AA6"/>
    <w:rsid w:val="005D14EA"/>
    <w:rsid w:val="005D4957"/>
    <w:rsid w:val="005E29C2"/>
    <w:rsid w:val="00602FCA"/>
    <w:rsid w:val="006039A4"/>
    <w:rsid w:val="00606C59"/>
    <w:rsid w:val="00607D84"/>
    <w:rsid w:val="00614B01"/>
    <w:rsid w:val="00620B0B"/>
    <w:rsid w:val="00625DC6"/>
    <w:rsid w:val="0063001A"/>
    <w:rsid w:val="00651821"/>
    <w:rsid w:val="00651864"/>
    <w:rsid w:val="00651CA0"/>
    <w:rsid w:val="00653DAD"/>
    <w:rsid w:val="00654384"/>
    <w:rsid w:val="00656DB1"/>
    <w:rsid w:val="006646F1"/>
    <w:rsid w:val="00665D74"/>
    <w:rsid w:val="006675CD"/>
    <w:rsid w:val="0068063C"/>
    <w:rsid w:val="00684D9B"/>
    <w:rsid w:val="00686E99"/>
    <w:rsid w:val="00690458"/>
    <w:rsid w:val="00697556"/>
    <w:rsid w:val="006A0824"/>
    <w:rsid w:val="006A5FC0"/>
    <w:rsid w:val="006B35B6"/>
    <w:rsid w:val="006B4C2B"/>
    <w:rsid w:val="006B5608"/>
    <w:rsid w:val="006B6D47"/>
    <w:rsid w:val="006C29FF"/>
    <w:rsid w:val="006D6DB2"/>
    <w:rsid w:val="006E640D"/>
    <w:rsid w:val="006F6D95"/>
    <w:rsid w:val="00701547"/>
    <w:rsid w:val="00702716"/>
    <w:rsid w:val="00703B29"/>
    <w:rsid w:val="00705187"/>
    <w:rsid w:val="00706F13"/>
    <w:rsid w:val="007072E8"/>
    <w:rsid w:val="0071618D"/>
    <w:rsid w:val="007210C1"/>
    <w:rsid w:val="0072211A"/>
    <w:rsid w:val="00723AE2"/>
    <w:rsid w:val="00725FA4"/>
    <w:rsid w:val="00740446"/>
    <w:rsid w:val="007438A9"/>
    <w:rsid w:val="0074491E"/>
    <w:rsid w:val="007451C4"/>
    <w:rsid w:val="00751708"/>
    <w:rsid w:val="007562D6"/>
    <w:rsid w:val="00760AF9"/>
    <w:rsid w:val="00760EC0"/>
    <w:rsid w:val="00761BD7"/>
    <w:rsid w:val="0076318B"/>
    <w:rsid w:val="007643E5"/>
    <w:rsid w:val="00765DFC"/>
    <w:rsid w:val="00766C3B"/>
    <w:rsid w:val="007710CE"/>
    <w:rsid w:val="00771EFE"/>
    <w:rsid w:val="007734B2"/>
    <w:rsid w:val="00774B22"/>
    <w:rsid w:val="00775964"/>
    <w:rsid w:val="00784933"/>
    <w:rsid w:val="007854E2"/>
    <w:rsid w:val="007909BC"/>
    <w:rsid w:val="00791DC8"/>
    <w:rsid w:val="00795BFB"/>
    <w:rsid w:val="007A2557"/>
    <w:rsid w:val="007B08AA"/>
    <w:rsid w:val="007B2760"/>
    <w:rsid w:val="007B7E12"/>
    <w:rsid w:val="007C030A"/>
    <w:rsid w:val="007C0AF2"/>
    <w:rsid w:val="007D6186"/>
    <w:rsid w:val="007D7008"/>
    <w:rsid w:val="007E052F"/>
    <w:rsid w:val="007E6F9E"/>
    <w:rsid w:val="007F2648"/>
    <w:rsid w:val="00805933"/>
    <w:rsid w:val="00806C01"/>
    <w:rsid w:val="008148CC"/>
    <w:rsid w:val="00814C92"/>
    <w:rsid w:val="00816D4F"/>
    <w:rsid w:val="008211A4"/>
    <w:rsid w:val="00823698"/>
    <w:rsid w:val="008265A3"/>
    <w:rsid w:val="008511B3"/>
    <w:rsid w:val="00852B76"/>
    <w:rsid w:val="00853198"/>
    <w:rsid w:val="00870380"/>
    <w:rsid w:val="00873150"/>
    <w:rsid w:val="0087657D"/>
    <w:rsid w:val="008807D5"/>
    <w:rsid w:val="00880832"/>
    <w:rsid w:val="00886EE1"/>
    <w:rsid w:val="0088727D"/>
    <w:rsid w:val="008974BA"/>
    <w:rsid w:val="00897C75"/>
    <w:rsid w:val="008A1AE5"/>
    <w:rsid w:val="008A51A7"/>
    <w:rsid w:val="008A5678"/>
    <w:rsid w:val="008A5814"/>
    <w:rsid w:val="008C0A0A"/>
    <w:rsid w:val="008C1130"/>
    <w:rsid w:val="008D18E6"/>
    <w:rsid w:val="008D50D1"/>
    <w:rsid w:val="008D7A9B"/>
    <w:rsid w:val="008E0A19"/>
    <w:rsid w:val="008E5BAA"/>
    <w:rsid w:val="008E76AC"/>
    <w:rsid w:val="008F0192"/>
    <w:rsid w:val="008F21F6"/>
    <w:rsid w:val="008F2F9F"/>
    <w:rsid w:val="008F6565"/>
    <w:rsid w:val="00902F06"/>
    <w:rsid w:val="0091502B"/>
    <w:rsid w:val="009178BD"/>
    <w:rsid w:val="009328D8"/>
    <w:rsid w:val="00934AE7"/>
    <w:rsid w:val="00943D90"/>
    <w:rsid w:val="00944D96"/>
    <w:rsid w:val="00946843"/>
    <w:rsid w:val="009471C8"/>
    <w:rsid w:val="0094762B"/>
    <w:rsid w:val="00951F79"/>
    <w:rsid w:val="0095701A"/>
    <w:rsid w:val="00960CF3"/>
    <w:rsid w:val="00963E3B"/>
    <w:rsid w:val="00970241"/>
    <w:rsid w:val="00974AB5"/>
    <w:rsid w:val="00982AC8"/>
    <w:rsid w:val="0098706D"/>
    <w:rsid w:val="00990CCE"/>
    <w:rsid w:val="009935FB"/>
    <w:rsid w:val="009A26F0"/>
    <w:rsid w:val="009A26F8"/>
    <w:rsid w:val="009A4AF6"/>
    <w:rsid w:val="009A5590"/>
    <w:rsid w:val="009B3AA6"/>
    <w:rsid w:val="009C19B3"/>
    <w:rsid w:val="009C3A92"/>
    <w:rsid w:val="009C6ECF"/>
    <w:rsid w:val="009D4A5A"/>
    <w:rsid w:val="009D5E84"/>
    <w:rsid w:val="009D7464"/>
    <w:rsid w:val="009E296B"/>
    <w:rsid w:val="009E5F35"/>
    <w:rsid w:val="009F2EA2"/>
    <w:rsid w:val="009F486C"/>
    <w:rsid w:val="009F4A54"/>
    <w:rsid w:val="009F4BEC"/>
    <w:rsid w:val="00A01EE4"/>
    <w:rsid w:val="00A05AAC"/>
    <w:rsid w:val="00A06234"/>
    <w:rsid w:val="00A13CDB"/>
    <w:rsid w:val="00A20D31"/>
    <w:rsid w:val="00A25F19"/>
    <w:rsid w:val="00A25FD7"/>
    <w:rsid w:val="00A40F14"/>
    <w:rsid w:val="00A43AFF"/>
    <w:rsid w:val="00A46BA1"/>
    <w:rsid w:val="00A50C3F"/>
    <w:rsid w:val="00A71907"/>
    <w:rsid w:val="00A74F19"/>
    <w:rsid w:val="00A77870"/>
    <w:rsid w:val="00A7793A"/>
    <w:rsid w:val="00A81878"/>
    <w:rsid w:val="00A900A2"/>
    <w:rsid w:val="00A91079"/>
    <w:rsid w:val="00A91D16"/>
    <w:rsid w:val="00A97007"/>
    <w:rsid w:val="00AB472B"/>
    <w:rsid w:val="00AB59BD"/>
    <w:rsid w:val="00AB6CA7"/>
    <w:rsid w:val="00AC18E9"/>
    <w:rsid w:val="00AC4344"/>
    <w:rsid w:val="00AC4939"/>
    <w:rsid w:val="00AC705E"/>
    <w:rsid w:val="00AD01E4"/>
    <w:rsid w:val="00AD0858"/>
    <w:rsid w:val="00AD096A"/>
    <w:rsid w:val="00AD52CA"/>
    <w:rsid w:val="00AE2220"/>
    <w:rsid w:val="00AE23C3"/>
    <w:rsid w:val="00AE7340"/>
    <w:rsid w:val="00AF1BBD"/>
    <w:rsid w:val="00B0508E"/>
    <w:rsid w:val="00B10207"/>
    <w:rsid w:val="00B10C54"/>
    <w:rsid w:val="00B11174"/>
    <w:rsid w:val="00B141E7"/>
    <w:rsid w:val="00B17339"/>
    <w:rsid w:val="00B21576"/>
    <w:rsid w:val="00B32C5B"/>
    <w:rsid w:val="00B351B4"/>
    <w:rsid w:val="00B41851"/>
    <w:rsid w:val="00B46BCA"/>
    <w:rsid w:val="00B4749A"/>
    <w:rsid w:val="00B53875"/>
    <w:rsid w:val="00B558B8"/>
    <w:rsid w:val="00B6357F"/>
    <w:rsid w:val="00B63D4B"/>
    <w:rsid w:val="00B6402E"/>
    <w:rsid w:val="00B716EF"/>
    <w:rsid w:val="00B83FBF"/>
    <w:rsid w:val="00B84BDB"/>
    <w:rsid w:val="00B87806"/>
    <w:rsid w:val="00B87EC9"/>
    <w:rsid w:val="00B916D6"/>
    <w:rsid w:val="00BA27FD"/>
    <w:rsid w:val="00BA28B5"/>
    <w:rsid w:val="00BA7F4B"/>
    <w:rsid w:val="00BB2DFA"/>
    <w:rsid w:val="00BC38FD"/>
    <w:rsid w:val="00BC5168"/>
    <w:rsid w:val="00BD5696"/>
    <w:rsid w:val="00C026CD"/>
    <w:rsid w:val="00C034CB"/>
    <w:rsid w:val="00C051A8"/>
    <w:rsid w:val="00C054BC"/>
    <w:rsid w:val="00C0604B"/>
    <w:rsid w:val="00C152AF"/>
    <w:rsid w:val="00C17897"/>
    <w:rsid w:val="00C254F7"/>
    <w:rsid w:val="00C25A41"/>
    <w:rsid w:val="00C316A2"/>
    <w:rsid w:val="00C31C7F"/>
    <w:rsid w:val="00C348AA"/>
    <w:rsid w:val="00C36D78"/>
    <w:rsid w:val="00C409D5"/>
    <w:rsid w:val="00C42180"/>
    <w:rsid w:val="00C516DD"/>
    <w:rsid w:val="00C52891"/>
    <w:rsid w:val="00C54A22"/>
    <w:rsid w:val="00C617E5"/>
    <w:rsid w:val="00C6234B"/>
    <w:rsid w:val="00C63DE3"/>
    <w:rsid w:val="00C63EAE"/>
    <w:rsid w:val="00C7629F"/>
    <w:rsid w:val="00C8069E"/>
    <w:rsid w:val="00C8073B"/>
    <w:rsid w:val="00C82113"/>
    <w:rsid w:val="00C86417"/>
    <w:rsid w:val="00C86494"/>
    <w:rsid w:val="00C8661B"/>
    <w:rsid w:val="00C912C4"/>
    <w:rsid w:val="00C93F87"/>
    <w:rsid w:val="00C964E0"/>
    <w:rsid w:val="00C97086"/>
    <w:rsid w:val="00C97F91"/>
    <w:rsid w:val="00CA139A"/>
    <w:rsid w:val="00CA2899"/>
    <w:rsid w:val="00CA48D6"/>
    <w:rsid w:val="00CA5AF1"/>
    <w:rsid w:val="00CA77FB"/>
    <w:rsid w:val="00CB379B"/>
    <w:rsid w:val="00CB4173"/>
    <w:rsid w:val="00CB5DD0"/>
    <w:rsid w:val="00CB799C"/>
    <w:rsid w:val="00CC51D4"/>
    <w:rsid w:val="00CC56FD"/>
    <w:rsid w:val="00CC65DA"/>
    <w:rsid w:val="00CD0E4C"/>
    <w:rsid w:val="00CF21B9"/>
    <w:rsid w:val="00CF21C4"/>
    <w:rsid w:val="00CF5565"/>
    <w:rsid w:val="00CF6BF9"/>
    <w:rsid w:val="00D015DD"/>
    <w:rsid w:val="00D03800"/>
    <w:rsid w:val="00D065D3"/>
    <w:rsid w:val="00D10CF2"/>
    <w:rsid w:val="00D14C94"/>
    <w:rsid w:val="00D154E5"/>
    <w:rsid w:val="00D168F0"/>
    <w:rsid w:val="00D223C8"/>
    <w:rsid w:val="00D313FC"/>
    <w:rsid w:val="00D342A6"/>
    <w:rsid w:val="00D464BF"/>
    <w:rsid w:val="00D53E26"/>
    <w:rsid w:val="00D610B2"/>
    <w:rsid w:val="00D61E88"/>
    <w:rsid w:val="00D63D2B"/>
    <w:rsid w:val="00D7048E"/>
    <w:rsid w:val="00D72413"/>
    <w:rsid w:val="00D809BF"/>
    <w:rsid w:val="00D809CE"/>
    <w:rsid w:val="00D96017"/>
    <w:rsid w:val="00DA48F8"/>
    <w:rsid w:val="00DA51F9"/>
    <w:rsid w:val="00DA69AB"/>
    <w:rsid w:val="00DB51A3"/>
    <w:rsid w:val="00DC3A1C"/>
    <w:rsid w:val="00DD4F0E"/>
    <w:rsid w:val="00DE5B55"/>
    <w:rsid w:val="00DF293A"/>
    <w:rsid w:val="00DF35E5"/>
    <w:rsid w:val="00E0232A"/>
    <w:rsid w:val="00E02EB9"/>
    <w:rsid w:val="00E05E0A"/>
    <w:rsid w:val="00E06471"/>
    <w:rsid w:val="00E13DC4"/>
    <w:rsid w:val="00E15D62"/>
    <w:rsid w:val="00E20EB6"/>
    <w:rsid w:val="00E35648"/>
    <w:rsid w:val="00E36A74"/>
    <w:rsid w:val="00E40140"/>
    <w:rsid w:val="00E43031"/>
    <w:rsid w:val="00E46DC7"/>
    <w:rsid w:val="00E51297"/>
    <w:rsid w:val="00E534CF"/>
    <w:rsid w:val="00E54CB7"/>
    <w:rsid w:val="00E60FC9"/>
    <w:rsid w:val="00E74C30"/>
    <w:rsid w:val="00E778D2"/>
    <w:rsid w:val="00E77ECD"/>
    <w:rsid w:val="00E81CB4"/>
    <w:rsid w:val="00E8585B"/>
    <w:rsid w:val="00EA2653"/>
    <w:rsid w:val="00EA3F15"/>
    <w:rsid w:val="00EA4764"/>
    <w:rsid w:val="00EA7847"/>
    <w:rsid w:val="00EB038D"/>
    <w:rsid w:val="00EC36FA"/>
    <w:rsid w:val="00ED20DF"/>
    <w:rsid w:val="00ED4DC0"/>
    <w:rsid w:val="00ED7B3D"/>
    <w:rsid w:val="00EE14FD"/>
    <w:rsid w:val="00EE2E6E"/>
    <w:rsid w:val="00EE7CDB"/>
    <w:rsid w:val="00EF24A4"/>
    <w:rsid w:val="00EF44D8"/>
    <w:rsid w:val="00EF4DD3"/>
    <w:rsid w:val="00EF4FB2"/>
    <w:rsid w:val="00F0759E"/>
    <w:rsid w:val="00F17422"/>
    <w:rsid w:val="00F27802"/>
    <w:rsid w:val="00F30992"/>
    <w:rsid w:val="00F41BA2"/>
    <w:rsid w:val="00F420E6"/>
    <w:rsid w:val="00F54945"/>
    <w:rsid w:val="00F54AA2"/>
    <w:rsid w:val="00F678B7"/>
    <w:rsid w:val="00F71E99"/>
    <w:rsid w:val="00F77715"/>
    <w:rsid w:val="00F821A3"/>
    <w:rsid w:val="00F842B2"/>
    <w:rsid w:val="00F9314A"/>
    <w:rsid w:val="00F9549C"/>
    <w:rsid w:val="00F9680A"/>
    <w:rsid w:val="00FA3165"/>
    <w:rsid w:val="00FA7924"/>
    <w:rsid w:val="00FB2A88"/>
    <w:rsid w:val="00FB5349"/>
    <w:rsid w:val="00FB5A0A"/>
    <w:rsid w:val="00FC58EF"/>
    <w:rsid w:val="00FD27E1"/>
    <w:rsid w:val="00FD33DF"/>
    <w:rsid w:val="00FD3ABF"/>
    <w:rsid w:val="00FD5655"/>
    <w:rsid w:val="00FE39D7"/>
    <w:rsid w:val="00FF1FEB"/>
    <w:rsid w:val="00FF3F9D"/>
    <w:rsid w:val="00FF7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40EB8C2-3BC5-499B-9AA3-B87EBEA0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ableHeading">
    <w:name w:val="Table Heading"/>
    <w:basedOn w:val="Normal"/>
    <w:rsid w:val="00701547"/>
    <w:pPr>
      <w:suppressLineNumbers/>
      <w:suppressAutoHyphens/>
      <w:ind w:left="0"/>
      <w:jc w:val="center"/>
    </w:pPr>
    <w:rPr>
      <w:rFonts w:ascii="Arial" w:hAnsi="Arial"/>
      <w:b/>
      <w:bCs/>
      <w:sz w:val="22"/>
      <w:lang w:val="es-CO" w:eastAsia="ar-SA"/>
    </w:rPr>
  </w:style>
  <w:style w:type="paragraph" w:customStyle="1" w:styleId="Textodebloque1">
    <w:name w:val="Texto de bloque1"/>
    <w:basedOn w:val="Normal"/>
    <w:rsid w:val="00701547"/>
    <w:pPr>
      <w:suppressAutoHyphens/>
      <w:ind w:left="1701" w:right="1468"/>
      <w:jc w:val="both"/>
    </w:pPr>
    <w:rPr>
      <w:rFonts w:ascii="Arial" w:hAnsi="Arial"/>
      <w:szCs w:val="20"/>
      <w:lang w:val="es-ES_tradnl" w:eastAsia="ar-SA"/>
    </w:rPr>
  </w:style>
  <w:style w:type="character" w:styleId="Refdecomentario">
    <w:name w:val="annotation reference"/>
    <w:basedOn w:val="Fuentedeprrafopredeter"/>
    <w:uiPriority w:val="99"/>
    <w:semiHidden/>
    <w:unhideWhenUsed/>
    <w:rsid w:val="005332B4"/>
    <w:rPr>
      <w:sz w:val="16"/>
      <w:szCs w:val="16"/>
    </w:rPr>
  </w:style>
  <w:style w:type="paragraph" w:styleId="Textocomentario">
    <w:name w:val="annotation text"/>
    <w:basedOn w:val="Normal"/>
    <w:link w:val="TextocomentarioCar"/>
    <w:uiPriority w:val="99"/>
    <w:semiHidden/>
    <w:unhideWhenUsed/>
    <w:rsid w:val="005332B4"/>
    <w:rPr>
      <w:sz w:val="20"/>
      <w:szCs w:val="20"/>
    </w:rPr>
  </w:style>
  <w:style w:type="character" w:customStyle="1" w:styleId="TextocomentarioCar">
    <w:name w:val="Texto comentario Car"/>
    <w:basedOn w:val="Fuentedeprrafopredeter"/>
    <w:link w:val="Textocomentario"/>
    <w:uiPriority w:val="99"/>
    <w:semiHidden/>
    <w:rsid w:val="005332B4"/>
    <w:rPr>
      <w:lang w:val="es-ES" w:eastAsia="es-ES"/>
    </w:rPr>
  </w:style>
  <w:style w:type="paragraph" w:styleId="Asuntodelcomentario">
    <w:name w:val="annotation subject"/>
    <w:basedOn w:val="Textocomentario"/>
    <w:next w:val="Textocomentario"/>
    <w:link w:val="AsuntodelcomentarioCar"/>
    <w:uiPriority w:val="99"/>
    <w:semiHidden/>
    <w:unhideWhenUsed/>
    <w:rsid w:val="005332B4"/>
    <w:rPr>
      <w:b/>
      <w:bCs/>
    </w:rPr>
  </w:style>
  <w:style w:type="character" w:customStyle="1" w:styleId="AsuntodelcomentarioCar">
    <w:name w:val="Asunto del comentario Car"/>
    <w:basedOn w:val="TextocomentarioCar"/>
    <w:link w:val="Asuntodelcomentario"/>
    <w:uiPriority w:val="99"/>
    <w:semiHidden/>
    <w:rsid w:val="005332B4"/>
    <w:rPr>
      <w:b/>
      <w:bCs/>
      <w:lang w:val="es-ES" w:eastAsia="es-ES"/>
    </w:rPr>
  </w:style>
  <w:style w:type="paragraph" w:styleId="Revisin">
    <w:name w:val="Revision"/>
    <w:hidden/>
    <w:uiPriority w:val="99"/>
    <w:semiHidden/>
    <w:rsid w:val="00F54945"/>
    <w:rPr>
      <w:sz w:val="24"/>
      <w:szCs w:val="24"/>
      <w:lang w:val="es-ES" w:eastAsia="es-ES"/>
    </w:rPr>
  </w:style>
  <w:style w:type="paragraph" w:styleId="Sangradetextonormal">
    <w:name w:val="Body Text Indent"/>
    <w:basedOn w:val="Normal"/>
    <w:link w:val="SangradetextonormalCar"/>
    <w:uiPriority w:val="99"/>
    <w:semiHidden/>
    <w:unhideWhenUsed/>
    <w:rsid w:val="004341E9"/>
    <w:pPr>
      <w:spacing w:after="120"/>
      <w:ind w:left="283"/>
    </w:pPr>
  </w:style>
  <w:style w:type="character" w:customStyle="1" w:styleId="SangradetextonormalCar">
    <w:name w:val="Sangría de texto normal Car"/>
    <w:basedOn w:val="Fuentedeprrafopredeter"/>
    <w:link w:val="Sangradetextonormal"/>
    <w:uiPriority w:val="99"/>
    <w:semiHidden/>
    <w:rsid w:val="004341E9"/>
    <w:rPr>
      <w:sz w:val="24"/>
      <w:szCs w:val="24"/>
      <w:lang w:val="es-ES" w:eastAsia="es-ES"/>
    </w:rPr>
  </w:style>
  <w:style w:type="paragraph" w:customStyle="1" w:styleId="Vietaletra">
    <w:name w:val="Viñeta letra"/>
    <w:basedOn w:val="Normal"/>
    <w:next w:val="Normal"/>
    <w:rsid w:val="004341E9"/>
    <w:pPr>
      <w:numPr>
        <w:numId w:val="26"/>
      </w:numPr>
      <w:suppressAutoHyphens/>
      <w:overflowPunct w:val="0"/>
      <w:autoSpaceDE w:val="0"/>
      <w:ind w:left="0"/>
      <w:jc w:val="both"/>
      <w:textAlignment w:val="baseline"/>
    </w:pPr>
    <w:rPr>
      <w:rFonts w:ascii="Arial" w:hAnsi="Arial"/>
      <w:szCs w:val="20"/>
      <w:lang w:val="es-ES_tradnl" w:eastAsia="ar-SA"/>
    </w:rPr>
  </w:style>
  <w:style w:type="paragraph" w:styleId="NormalWeb">
    <w:name w:val="Normal (Web)"/>
    <w:basedOn w:val="Normal"/>
    <w:uiPriority w:val="99"/>
    <w:unhideWhenUsed/>
    <w:rsid w:val="005146F1"/>
    <w:pPr>
      <w:spacing w:before="100" w:beforeAutospacing="1" w:after="100" w:afterAutospacing="1"/>
      <w:ind w:left="0"/>
    </w:pPr>
    <w:rPr>
      <w:lang w:val="es-CO" w:eastAsia="es-CO"/>
    </w:rPr>
  </w:style>
  <w:style w:type="character" w:styleId="Hipervnculo">
    <w:name w:val="Hyperlink"/>
    <w:basedOn w:val="Fuentedeprrafopredeter"/>
    <w:uiPriority w:val="99"/>
    <w:semiHidden/>
    <w:unhideWhenUsed/>
    <w:rsid w:val="005146F1"/>
    <w:rPr>
      <w:color w:val="0000FF"/>
      <w:u w:val="single"/>
    </w:rPr>
  </w:style>
  <w:style w:type="character" w:customStyle="1" w:styleId="baj">
    <w:name w:val="b_aj"/>
    <w:basedOn w:val="Fuentedeprrafopredeter"/>
    <w:rsid w:val="005146F1"/>
  </w:style>
  <w:style w:type="character" w:customStyle="1" w:styleId="iaj">
    <w:name w:val="i_aj"/>
    <w:basedOn w:val="Fuentedeprrafopredeter"/>
    <w:rsid w:val="005146F1"/>
  </w:style>
  <w:style w:type="character" w:styleId="Textodelmarcadordeposicin">
    <w:name w:val="Placeholder Text"/>
    <w:basedOn w:val="Fuentedeprrafopredeter"/>
    <w:uiPriority w:val="99"/>
    <w:semiHidden/>
    <w:rsid w:val="005761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4350">
      <w:bodyDiv w:val="1"/>
      <w:marLeft w:val="0"/>
      <w:marRight w:val="0"/>
      <w:marTop w:val="0"/>
      <w:marBottom w:val="0"/>
      <w:divBdr>
        <w:top w:val="none" w:sz="0" w:space="0" w:color="auto"/>
        <w:left w:val="none" w:sz="0" w:space="0" w:color="auto"/>
        <w:bottom w:val="none" w:sz="0" w:space="0" w:color="auto"/>
        <w:right w:val="none" w:sz="0" w:space="0" w:color="auto"/>
      </w:divBdr>
    </w:div>
    <w:div w:id="200939978">
      <w:bodyDiv w:val="1"/>
      <w:marLeft w:val="0"/>
      <w:marRight w:val="0"/>
      <w:marTop w:val="0"/>
      <w:marBottom w:val="0"/>
      <w:divBdr>
        <w:top w:val="none" w:sz="0" w:space="0" w:color="auto"/>
        <w:left w:val="none" w:sz="0" w:space="0" w:color="auto"/>
        <w:bottom w:val="none" w:sz="0" w:space="0" w:color="auto"/>
        <w:right w:val="none" w:sz="0" w:space="0" w:color="auto"/>
      </w:divBdr>
    </w:div>
    <w:div w:id="209152612">
      <w:bodyDiv w:val="1"/>
      <w:marLeft w:val="0"/>
      <w:marRight w:val="0"/>
      <w:marTop w:val="0"/>
      <w:marBottom w:val="0"/>
      <w:divBdr>
        <w:top w:val="none" w:sz="0" w:space="0" w:color="auto"/>
        <w:left w:val="none" w:sz="0" w:space="0" w:color="auto"/>
        <w:bottom w:val="none" w:sz="0" w:space="0" w:color="auto"/>
        <w:right w:val="none" w:sz="0" w:space="0" w:color="auto"/>
      </w:divBdr>
    </w:div>
    <w:div w:id="314795883">
      <w:bodyDiv w:val="1"/>
      <w:marLeft w:val="0"/>
      <w:marRight w:val="0"/>
      <w:marTop w:val="0"/>
      <w:marBottom w:val="0"/>
      <w:divBdr>
        <w:top w:val="none" w:sz="0" w:space="0" w:color="auto"/>
        <w:left w:val="none" w:sz="0" w:space="0" w:color="auto"/>
        <w:bottom w:val="none" w:sz="0" w:space="0" w:color="auto"/>
        <w:right w:val="none" w:sz="0" w:space="0" w:color="auto"/>
      </w:divBdr>
    </w:div>
    <w:div w:id="813645814">
      <w:bodyDiv w:val="1"/>
      <w:marLeft w:val="0"/>
      <w:marRight w:val="0"/>
      <w:marTop w:val="0"/>
      <w:marBottom w:val="0"/>
      <w:divBdr>
        <w:top w:val="none" w:sz="0" w:space="0" w:color="auto"/>
        <w:left w:val="none" w:sz="0" w:space="0" w:color="auto"/>
        <w:bottom w:val="none" w:sz="0" w:space="0" w:color="auto"/>
        <w:right w:val="none" w:sz="0" w:space="0" w:color="auto"/>
      </w:divBdr>
    </w:div>
    <w:div w:id="1354963283">
      <w:bodyDiv w:val="1"/>
      <w:marLeft w:val="0"/>
      <w:marRight w:val="0"/>
      <w:marTop w:val="0"/>
      <w:marBottom w:val="0"/>
      <w:divBdr>
        <w:top w:val="none" w:sz="0" w:space="0" w:color="auto"/>
        <w:left w:val="none" w:sz="0" w:space="0" w:color="auto"/>
        <w:bottom w:val="none" w:sz="0" w:space="0" w:color="auto"/>
        <w:right w:val="none" w:sz="0" w:space="0" w:color="auto"/>
      </w:divBdr>
    </w:div>
    <w:div w:id="1718622288">
      <w:bodyDiv w:val="1"/>
      <w:marLeft w:val="0"/>
      <w:marRight w:val="0"/>
      <w:marTop w:val="0"/>
      <w:marBottom w:val="0"/>
      <w:divBdr>
        <w:top w:val="none" w:sz="0" w:space="0" w:color="auto"/>
        <w:left w:val="none" w:sz="0" w:space="0" w:color="auto"/>
        <w:bottom w:val="none" w:sz="0" w:space="0" w:color="auto"/>
        <w:right w:val="none" w:sz="0" w:space="0" w:color="auto"/>
      </w:divBdr>
    </w:div>
    <w:div w:id="1723865892">
      <w:bodyDiv w:val="1"/>
      <w:marLeft w:val="0"/>
      <w:marRight w:val="0"/>
      <w:marTop w:val="0"/>
      <w:marBottom w:val="0"/>
      <w:divBdr>
        <w:top w:val="none" w:sz="0" w:space="0" w:color="auto"/>
        <w:left w:val="none" w:sz="0" w:space="0" w:color="auto"/>
        <w:bottom w:val="none" w:sz="0" w:space="0" w:color="auto"/>
        <w:right w:val="none" w:sz="0" w:space="0" w:color="auto"/>
      </w:divBdr>
    </w:div>
    <w:div w:id="18098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C8E1-D99F-44C5-AFEC-7BD6AA36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8</Pages>
  <Words>2584</Words>
  <Characters>13518</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2015-10-27T18:37:00Z</cp:lastPrinted>
  <dcterms:created xsi:type="dcterms:W3CDTF">2018-07-25T16:50:00Z</dcterms:created>
  <dcterms:modified xsi:type="dcterms:W3CDTF">2018-07-25T16:50:00Z</dcterms:modified>
</cp:coreProperties>
</file>