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001DB" w14:textId="77777777" w:rsidR="00625DC6" w:rsidRPr="00E060BE" w:rsidRDefault="00685E51"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54234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625641917" r:id="rId9"/>
        </w:object>
      </w:r>
    </w:p>
    <w:p w14:paraId="5AE65052" w14:textId="77777777"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14:paraId="50A44490" w14:textId="77777777" w:rsidR="00CA77FB" w:rsidRPr="00E060BE" w:rsidRDefault="00CA77FB" w:rsidP="00DE0317"/>
    <w:p w14:paraId="48E71BEF" w14:textId="77777777"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65276E92"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3DC65D88" w14:textId="71AF58CF" w:rsidR="00CA77FB" w:rsidRPr="00E060BE" w:rsidRDefault="00E035E6" w:rsidP="00012259">
      <w:pPr>
        <w:pStyle w:val="Ttulo5"/>
        <w:tabs>
          <w:tab w:val="left" w:pos="0"/>
          <w:tab w:val="right" w:pos="9356"/>
        </w:tabs>
        <w:ind w:left="0"/>
        <w:rPr>
          <w:rFonts w:ascii="Bookman Old Style" w:hAnsi="Bookman Old Style"/>
          <w:sz w:val="24"/>
          <w:szCs w:val="24"/>
        </w:rPr>
      </w:pPr>
      <w:r>
        <w:rPr>
          <w:rFonts w:ascii="Bookman Old Style" w:hAnsi="Bookman Old Style"/>
          <w:sz w:val="24"/>
          <w:szCs w:val="24"/>
        </w:rPr>
        <w:t>RESOLUCIÓN</w:t>
      </w:r>
      <w:r w:rsidR="00CA77FB" w:rsidRPr="00E060BE">
        <w:rPr>
          <w:rFonts w:ascii="Bookman Old Style" w:hAnsi="Bookman Old Style"/>
          <w:sz w:val="24"/>
          <w:szCs w:val="24"/>
        </w:rPr>
        <w:t xml:space="preserve"> No. </w:t>
      </w:r>
      <w:r w:rsidR="00795BFB" w:rsidRPr="00E060BE">
        <w:rPr>
          <w:rFonts w:ascii="Bookman Old Style" w:hAnsi="Bookman Old Style"/>
          <w:sz w:val="24"/>
          <w:szCs w:val="24"/>
        </w:rPr>
        <w:t xml:space="preserve">                  </w:t>
      </w:r>
      <w:r w:rsidR="00CA77FB" w:rsidRPr="00E060BE">
        <w:rPr>
          <w:rFonts w:ascii="Bookman Old Style" w:hAnsi="Bookman Old Style"/>
          <w:sz w:val="24"/>
          <w:szCs w:val="24"/>
        </w:rPr>
        <w:t>DE 20</w:t>
      </w:r>
      <w:r w:rsidR="00795BFB" w:rsidRPr="00E060BE">
        <w:rPr>
          <w:rFonts w:ascii="Bookman Old Style" w:hAnsi="Bookman Old Style"/>
          <w:sz w:val="24"/>
          <w:szCs w:val="24"/>
        </w:rPr>
        <w:t>1</w:t>
      </w:r>
      <w:r w:rsidR="006C0C3D">
        <w:rPr>
          <w:rFonts w:ascii="Bookman Old Style" w:hAnsi="Bookman Old Style"/>
          <w:sz w:val="24"/>
          <w:szCs w:val="24"/>
        </w:rPr>
        <w:t>9</w:t>
      </w:r>
    </w:p>
    <w:p w14:paraId="7DFF0DE8" w14:textId="77777777"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14:paraId="3CC585E0" w14:textId="77777777"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14:paraId="00ADC150" w14:textId="77777777" w:rsidR="00CA77FB" w:rsidRPr="00E060BE" w:rsidRDefault="00CA77FB" w:rsidP="00012259">
      <w:pPr>
        <w:tabs>
          <w:tab w:val="left" w:pos="0"/>
          <w:tab w:val="right" w:pos="9356"/>
        </w:tabs>
        <w:ind w:left="0"/>
        <w:jc w:val="center"/>
        <w:rPr>
          <w:rFonts w:ascii="Bookman Old Style" w:hAnsi="Bookman Old Style"/>
          <w:lang w:val="es-ES_tradnl"/>
        </w:rPr>
      </w:pPr>
    </w:p>
    <w:p w14:paraId="24DDD2DC" w14:textId="77777777" w:rsidR="00C034CB" w:rsidRPr="007176EA" w:rsidRDefault="00C034CB" w:rsidP="00012259">
      <w:pPr>
        <w:ind w:left="0"/>
        <w:rPr>
          <w:rFonts w:ascii="Bookman Old Style" w:hAnsi="Bookman Old Style"/>
          <w:bCs/>
          <w:lang w:val="es-CO"/>
        </w:rPr>
      </w:pPr>
    </w:p>
    <w:p w14:paraId="6CEF0F9F" w14:textId="77777777" w:rsidR="00B351B4" w:rsidRPr="00E060BE" w:rsidRDefault="00B351B4" w:rsidP="00012259">
      <w:pPr>
        <w:ind w:left="0"/>
        <w:rPr>
          <w:rFonts w:ascii="Bookman Old Style" w:hAnsi="Bookman Old Style"/>
          <w:bCs/>
          <w:lang w:val="es-CO"/>
        </w:rPr>
      </w:pPr>
    </w:p>
    <w:p w14:paraId="2A3739F7" w14:textId="1BAF57EC" w:rsidR="00045D3D" w:rsidRDefault="00AF38B3" w:rsidP="002A455D">
      <w:pPr>
        <w:ind w:right="51"/>
        <w:jc w:val="center"/>
        <w:rPr>
          <w:rFonts w:ascii="Bookman Old Style" w:hAnsi="Bookman Old Style"/>
        </w:rPr>
      </w:pPr>
      <w:r>
        <w:rPr>
          <w:rFonts w:ascii="Bookman Old Style" w:hAnsi="Bookman Old Style" w:cs="Arial"/>
          <w:bCs/>
          <w:spacing w:val="-3"/>
        </w:rPr>
        <w:t>Por la cual se resuelve la solicitud de inclusión de Cláusulas Exorbitantes en un Contrato de Operación de las actividades de comercialización y distribución del servicio de energía eléctrica en el área de prestación del servicio de Emcartago SA ESP</w:t>
      </w:r>
    </w:p>
    <w:p w14:paraId="23B789E1" w14:textId="77777777" w:rsidR="002A455D" w:rsidRPr="00C435C3" w:rsidRDefault="002A455D" w:rsidP="00045D3D">
      <w:pPr>
        <w:ind w:right="51"/>
        <w:rPr>
          <w:rFonts w:ascii="Bookman Old Style" w:hAnsi="Bookman Old Style"/>
        </w:rPr>
      </w:pPr>
    </w:p>
    <w:p w14:paraId="553C5DCE" w14:textId="77777777" w:rsidR="00AF38B3" w:rsidRDefault="00AF38B3" w:rsidP="00045D3D">
      <w:pPr>
        <w:ind w:right="51"/>
        <w:jc w:val="center"/>
        <w:rPr>
          <w:rFonts w:ascii="Bookman Old Style" w:hAnsi="Bookman Old Style"/>
          <w:b/>
        </w:rPr>
      </w:pPr>
    </w:p>
    <w:p w14:paraId="53314BB6" w14:textId="1F27CEFC" w:rsidR="00045D3D" w:rsidRPr="00C435C3" w:rsidRDefault="00045D3D" w:rsidP="00045D3D">
      <w:pPr>
        <w:ind w:right="51"/>
        <w:jc w:val="center"/>
        <w:rPr>
          <w:rFonts w:ascii="Bookman Old Style" w:hAnsi="Bookman Old Style"/>
          <w:b/>
        </w:rPr>
      </w:pPr>
      <w:r w:rsidRPr="00C435C3">
        <w:rPr>
          <w:rFonts w:ascii="Bookman Old Style" w:hAnsi="Bookman Old Style"/>
          <w:b/>
        </w:rPr>
        <w:t>LA COMISIÓN DE REGULACIÓN DE ENERGÍA Y GAS</w:t>
      </w:r>
    </w:p>
    <w:p w14:paraId="25327031" w14:textId="07E793E3" w:rsidR="00045D3D" w:rsidRDefault="00045D3D" w:rsidP="00045D3D">
      <w:pPr>
        <w:ind w:left="0" w:right="51"/>
        <w:rPr>
          <w:rFonts w:ascii="Bookman Old Style" w:hAnsi="Bookman Old Style"/>
        </w:rPr>
      </w:pPr>
    </w:p>
    <w:p w14:paraId="5A211C18" w14:textId="77777777" w:rsidR="00AF38B3" w:rsidRPr="00C435C3" w:rsidRDefault="00AF38B3" w:rsidP="00045D3D">
      <w:pPr>
        <w:ind w:left="0" w:right="51"/>
        <w:rPr>
          <w:rFonts w:ascii="Bookman Old Style" w:hAnsi="Bookman Old Style"/>
        </w:rPr>
      </w:pPr>
    </w:p>
    <w:p w14:paraId="6F8A1F16" w14:textId="46A213D3" w:rsidR="00045D3D" w:rsidRPr="00C435C3" w:rsidRDefault="00045D3D" w:rsidP="00045D3D">
      <w:pPr>
        <w:pStyle w:val="Textoindependiente3"/>
        <w:ind w:left="0"/>
        <w:rPr>
          <w:rFonts w:ascii="Bookman Old Style" w:hAnsi="Bookman Old Style"/>
          <w:b w:val="0"/>
        </w:rPr>
      </w:pPr>
      <w:r w:rsidRPr="00C435C3">
        <w:rPr>
          <w:rFonts w:ascii="Bookman Old Style" w:hAnsi="Bookman Old Style"/>
          <w:b w:val="0"/>
        </w:rPr>
        <w:t xml:space="preserve">En ejercicio de sus atribuciones constitucionales y legales, en especial las conferidas por la </w:t>
      </w:r>
      <w:r w:rsidR="002352B9">
        <w:rPr>
          <w:rFonts w:ascii="Bookman Old Style" w:hAnsi="Bookman Old Style"/>
          <w:b w:val="0"/>
        </w:rPr>
        <w:t>l</w:t>
      </w:r>
      <w:r w:rsidRPr="00C435C3">
        <w:rPr>
          <w:rFonts w:ascii="Bookman Old Style" w:hAnsi="Bookman Old Style"/>
          <w:b w:val="0"/>
        </w:rPr>
        <w:t xml:space="preserve">ey 142 1994, </w:t>
      </w:r>
      <w:r w:rsidR="00D06B8B" w:rsidRPr="007419C0">
        <w:rPr>
          <w:rFonts w:ascii="Bookman Old Style" w:hAnsi="Bookman Old Style"/>
          <w:b w:val="0"/>
        </w:rPr>
        <w:t xml:space="preserve">y en desarrollo de los decretos 1524, 2253 de 1994, 1260 de 2013, 1073 de 2015 </w:t>
      </w:r>
      <w:r w:rsidR="00F450B9" w:rsidRPr="00DE0317">
        <w:rPr>
          <w:rFonts w:ascii="Bookman Old Style" w:hAnsi="Bookman Old Style"/>
          <w:b w:val="0"/>
        </w:rPr>
        <w:t>y</w:t>
      </w:r>
    </w:p>
    <w:p w14:paraId="20D78D06" w14:textId="51895494" w:rsidR="00045D3D" w:rsidRDefault="00045D3D" w:rsidP="00045D3D">
      <w:pPr>
        <w:ind w:right="51"/>
        <w:rPr>
          <w:rFonts w:ascii="Bookman Old Style" w:hAnsi="Bookman Old Style"/>
        </w:rPr>
      </w:pPr>
    </w:p>
    <w:p w14:paraId="1C7E975F" w14:textId="77777777" w:rsidR="00AF38B3" w:rsidRDefault="00AF38B3" w:rsidP="00045D3D">
      <w:pPr>
        <w:ind w:right="51"/>
        <w:rPr>
          <w:rFonts w:ascii="Bookman Old Style" w:hAnsi="Bookman Old Style"/>
        </w:rPr>
      </w:pPr>
    </w:p>
    <w:p w14:paraId="0849E6BD" w14:textId="660D2E43" w:rsidR="00045D3D" w:rsidRPr="00C435C3" w:rsidRDefault="00045D3D" w:rsidP="00045D3D">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w:t>
      </w:r>
      <w:r w:rsidR="008A5C28">
        <w:rPr>
          <w:rFonts w:ascii="Bookman Old Style" w:hAnsi="Bookman Old Style"/>
          <w:b/>
        </w:rPr>
        <w:t xml:space="preserve"> </w:t>
      </w:r>
      <w:r>
        <w:rPr>
          <w:rFonts w:ascii="Bookman Old Style" w:hAnsi="Bookman Old Style"/>
          <w:b/>
        </w:rPr>
        <w:t xml:space="preserve"> Q U E</w:t>
      </w:r>
      <w:r w:rsidRPr="00C435C3">
        <w:rPr>
          <w:rFonts w:ascii="Bookman Old Style" w:hAnsi="Bookman Old Style"/>
          <w:b/>
        </w:rPr>
        <w:t>:</w:t>
      </w:r>
    </w:p>
    <w:p w14:paraId="1435C35B" w14:textId="1B7AC271" w:rsidR="0072684B" w:rsidRDefault="0072684B" w:rsidP="006E26A3"/>
    <w:p w14:paraId="4F8231BB" w14:textId="297DA1C6" w:rsidR="00AF38B3" w:rsidRDefault="00AF38B3" w:rsidP="006E26A3"/>
    <w:p w14:paraId="53B3FCEC" w14:textId="035C9A10" w:rsidR="00AF38B3" w:rsidRPr="006339F8" w:rsidRDefault="00AF38B3" w:rsidP="00857B67">
      <w:pPr>
        <w:ind w:left="0"/>
        <w:jc w:val="both"/>
        <w:rPr>
          <w:rFonts w:ascii="Bookman Old Style" w:hAnsi="Bookman Old Style"/>
        </w:rPr>
      </w:pPr>
      <w:r w:rsidRPr="006339F8">
        <w:rPr>
          <w:rFonts w:ascii="Bookman Old Style" w:hAnsi="Bookman Old Style"/>
        </w:rPr>
        <w:t xml:space="preserve">Mediante radicado CREG E-2019-000125 de fecha enero 8 de 2019 la Empresa Municipal de Cartago SA ESP </w:t>
      </w:r>
      <w:r w:rsidR="00857B50" w:rsidRPr="006339F8">
        <w:rPr>
          <w:rFonts w:ascii="Bookman Old Style" w:hAnsi="Bookman Old Style"/>
        </w:rPr>
        <w:t xml:space="preserve">– EMCARTAGO SA ESP, solicita lo siguiente: </w:t>
      </w:r>
    </w:p>
    <w:p w14:paraId="78A08C5B" w14:textId="3534865B" w:rsidR="00A74177" w:rsidRPr="006339F8" w:rsidRDefault="00A74177" w:rsidP="00857B67">
      <w:pPr>
        <w:jc w:val="both"/>
        <w:rPr>
          <w:rFonts w:ascii="Bookman Old Style" w:hAnsi="Bookman Old Style"/>
        </w:rPr>
      </w:pPr>
    </w:p>
    <w:p w14:paraId="3B132966" w14:textId="62320D6F" w:rsidR="00A74177" w:rsidRPr="00857B67" w:rsidRDefault="00A74177" w:rsidP="00857B67">
      <w:pPr>
        <w:ind w:left="0"/>
        <w:jc w:val="both"/>
        <w:rPr>
          <w:rFonts w:ascii="Bookman Old Style" w:hAnsi="Bookman Old Style"/>
          <w:i/>
        </w:rPr>
      </w:pPr>
      <w:r w:rsidRPr="00857B67">
        <w:rPr>
          <w:rFonts w:ascii="Bookman Old Style" w:hAnsi="Bookman Old Style"/>
          <w:i/>
        </w:rPr>
        <w:t xml:space="preserve">Respetuosamente le solicito a la CREG autorizar y/o dar aval en caso de obligatoriedad de las cláusulas exorbitantes incluidas en el proyecto de CONTRATO DE OPERACIÓN DE LAS ACTIVIDADES DE DISTRIBUCIÓN Y COMERCIALIZACION DEL SERVICIO DE ENERGÍA ELECTRICA EN EL ÁREA DE PRESTACIÓN DE EMCARTAGO E.S.P </w:t>
      </w:r>
    </w:p>
    <w:p w14:paraId="180EE517" w14:textId="143B3AEE" w:rsidR="00857B50" w:rsidRDefault="00857B50" w:rsidP="00A74177">
      <w:pPr>
        <w:ind w:left="0"/>
      </w:pPr>
    </w:p>
    <w:p w14:paraId="79FB960D" w14:textId="0D61150E" w:rsidR="00857B50" w:rsidRDefault="00857B50" w:rsidP="006E26A3"/>
    <w:p w14:paraId="4108C3F5" w14:textId="1C7EB579" w:rsidR="004C798A" w:rsidRPr="004C798A" w:rsidRDefault="004C798A" w:rsidP="004C798A">
      <w:pPr>
        <w:jc w:val="center"/>
        <w:rPr>
          <w:b/>
        </w:rPr>
      </w:pPr>
      <w:r>
        <w:rPr>
          <w:b/>
        </w:rPr>
        <w:t>CONSIDERACIONES DE EMCARTAGO SA ESP</w:t>
      </w:r>
    </w:p>
    <w:p w14:paraId="5CD995F7" w14:textId="77777777" w:rsidR="004C798A" w:rsidRDefault="004C798A" w:rsidP="006E26A3"/>
    <w:p w14:paraId="6071683D" w14:textId="789C1EE2" w:rsidR="00857B50" w:rsidRPr="006339F8" w:rsidRDefault="004C798A" w:rsidP="00857B67">
      <w:pPr>
        <w:ind w:left="0"/>
        <w:rPr>
          <w:rFonts w:ascii="Bookman Old Style" w:hAnsi="Bookman Old Style"/>
        </w:rPr>
      </w:pPr>
      <w:r w:rsidRPr="006339F8">
        <w:rPr>
          <w:rFonts w:ascii="Bookman Old Style" w:hAnsi="Bookman Old Style"/>
        </w:rPr>
        <w:t xml:space="preserve">Como fundamento de su solicitud manifiestan lo siguiente: </w:t>
      </w:r>
      <w:r w:rsidR="00857B50" w:rsidRPr="006339F8">
        <w:rPr>
          <w:rFonts w:ascii="Bookman Old Style" w:hAnsi="Bookman Old Style"/>
        </w:rPr>
        <w:t xml:space="preserve"> </w:t>
      </w:r>
    </w:p>
    <w:p w14:paraId="24B60C05" w14:textId="2A43E7C7" w:rsidR="00857B50" w:rsidRPr="00857B67" w:rsidRDefault="00857B50" w:rsidP="00857B67">
      <w:pPr>
        <w:jc w:val="both"/>
        <w:rPr>
          <w:rFonts w:ascii="Bookman Old Style" w:hAnsi="Bookman Old Style"/>
          <w:i/>
        </w:rPr>
      </w:pPr>
    </w:p>
    <w:p w14:paraId="0A1F8BD2" w14:textId="59E42835" w:rsidR="00A74177" w:rsidRPr="00857B67" w:rsidRDefault="00A74177" w:rsidP="00857B67">
      <w:pPr>
        <w:pStyle w:val="Prrafodelista"/>
        <w:numPr>
          <w:ilvl w:val="0"/>
          <w:numId w:val="8"/>
        </w:numPr>
        <w:jc w:val="both"/>
        <w:rPr>
          <w:rFonts w:ascii="Bookman Old Style" w:hAnsi="Bookman Old Style"/>
          <w:i/>
          <w:sz w:val="24"/>
          <w:szCs w:val="24"/>
        </w:rPr>
      </w:pPr>
      <w:r w:rsidRPr="00857B67">
        <w:rPr>
          <w:rFonts w:ascii="Bookman Old Style" w:hAnsi="Bookman Old Style"/>
          <w:i/>
          <w:sz w:val="24"/>
          <w:szCs w:val="24"/>
        </w:rPr>
        <w:t>Empresas municipales de Cartago E.S.P. – EMCARTAGO E.S.P. es una sociedad por acciones, de carácter oficial, organizada en forma de empresa de servicios públicos domiciliarios, domiciliada en el municipio de Cartago (Valle del cauca) y creada mediante escritura pública número 1804 del 30 de septiembre de 1998, cuyo objeto social es la prestación de los servicios públicos domiciliarios de acueducto, alcantarillado y energía eléctrica.</w:t>
      </w:r>
    </w:p>
    <w:p w14:paraId="20E755F1" w14:textId="778B5287" w:rsidR="00A74177" w:rsidRPr="00857B67" w:rsidRDefault="00A74177" w:rsidP="00857B67">
      <w:pPr>
        <w:pStyle w:val="Prrafodelista"/>
        <w:numPr>
          <w:ilvl w:val="0"/>
          <w:numId w:val="8"/>
        </w:numPr>
        <w:jc w:val="both"/>
        <w:rPr>
          <w:rFonts w:ascii="Bookman Old Style" w:hAnsi="Bookman Old Style"/>
          <w:i/>
          <w:sz w:val="24"/>
          <w:szCs w:val="24"/>
        </w:rPr>
      </w:pPr>
      <w:r w:rsidRPr="00857B67">
        <w:rPr>
          <w:rFonts w:ascii="Bookman Old Style" w:hAnsi="Bookman Old Style"/>
          <w:i/>
          <w:sz w:val="24"/>
          <w:szCs w:val="24"/>
        </w:rPr>
        <w:t>Mediante resolución No. SSPD 201413000007195 del 18 de marzo de 2014, la superintendencia de servicios públicos domiciliarios (</w:t>
      </w:r>
      <w:r w:rsidR="002E0616" w:rsidRPr="00857B67">
        <w:rPr>
          <w:rFonts w:ascii="Bookman Old Style" w:hAnsi="Bookman Old Style"/>
          <w:i/>
          <w:sz w:val="24"/>
          <w:szCs w:val="24"/>
        </w:rPr>
        <w:t xml:space="preserve">SSPD) ordenó la toma de posesión con fines liquidatorios – etapa </w:t>
      </w:r>
      <w:r w:rsidR="002E0616" w:rsidRPr="00857B67">
        <w:rPr>
          <w:rFonts w:ascii="Bookman Old Style" w:hAnsi="Bookman Old Style"/>
          <w:i/>
          <w:sz w:val="24"/>
          <w:szCs w:val="24"/>
        </w:rPr>
        <w:lastRenderedPageBreak/>
        <w:t xml:space="preserve">administración temporal de la empresa empresas municipales de Cartago E.S.P – EMCARTAGO E.S.P. en atención a la difícil situación financiera, operativa y técnica y especialmente por la ejecución de un programa de limitación del suministro de energía y la desatención de sus compromisos </w:t>
      </w:r>
      <w:r w:rsidR="002E0616" w:rsidRPr="00A66772">
        <w:rPr>
          <w:rFonts w:ascii="Bookman Old Style" w:hAnsi="Bookman Old Style"/>
          <w:i/>
          <w:sz w:val="24"/>
          <w:szCs w:val="24"/>
        </w:rPr>
        <w:t>de</w:t>
      </w:r>
      <w:r w:rsidR="0091335E" w:rsidRPr="00857B67">
        <w:rPr>
          <w:rFonts w:ascii="Bookman Old Style" w:hAnsi="Bookman Old Style"/>
          <w:i/>
          <w:sz w:val="24"/>
          <w:szCs w:val="24"/>
        </w:rPr>
        <w:t xml:space="preserve"> inversión en infraestructura de agua y saneamiento, que ponían en alto riesgo la continuidad en la prestación de los servicios a cargo de la empresa.</w:t>
      </w:r>
      <w:r w:rsidR="002E0616" w:rsidRPr="00857B67">
        <w:rPr>
          <w:rFonts w:ascii="Bookman Old Style" w:hAnsi="Bookman Old Style"/>
          <w:i/>
          <w:sz w:val="24"/>
          <w:szCs w:val="24"/>
        </w:rPr>
        <w:t xml:space="preserve">  </w:t>
      </w:r>
    </w:p>
    <w:p w14:paraId="26CBC7EA" w14:textId="334B8131" w:rsidR="002E0616" w:rsidRPr="00857B67" w:rsidRDefault="002E0616" w:rsidP="00857B67">
      <w:pPr>
        <w:pStyle w:val="Prrafodelista"/>
        <w:numPr>
          <w:ilvl w:val="0"/>
          <w:numId w:val="8"/>
        </w:numPr>
        <w:jc w:val="both"/>
        <w:rPr>
          <w:rFonts w:ascii="Bookman Old Style" w:hAnsi="Bookman Old Style"/>
          <w:i/>
          <w:sz w:val="24"/>
          <w:szCs w:val="24"/>
        </w:rPr>
      </w:pPr>
      <w:r w:rsidRPr="00857B67">
        <w:rPr>
          <w:rFonts w:ascii="Bookman Old Style" w:hAnsi="Bookman Old Style"/>
          <w:i/>
          <w:sz w:val="24"/>
          <w:szCs w:val="24"/>
        </w:rPr>
        <w:t>En el marco de la intervención, se ha garantizado la prestación de los servicios de acueducto, alcantarillado y energía eléctrica a cargo de EMCARTAGO E.S.P., se ha dado puntual cumplimiento a sus obligaciones corrientes y a la ejecución de labores fundamentales que permiten la prestación de los servicios de energía, acueducto y alcantarillado con calidad y continuidad.</w:t>
      </w:r>
    </w:p>
    <w:p w14:paraId="72A812E8" w14:textId="283FB5CD" w:rsidR="002E0616" w:rsidRPr="00857B67" w:rsidRDefault="002E0616" w:rsidP="00857B67">
      <w:pPr>
        <w:pStyle w:val="Prrafodelista"/>
        <w:numPr>
          <w:ilvl w:val="0"/>
          <w:numId w:val="8"/>
        </w:numPr>
        <w:jc w:val="both"/>
        <w:rPr>
          <w:rFonts w:ascii="Bookman Old Style" w:hAnsi="Bookman Old Style"/>
          <w:i/>
          <w:sz w:val="24"/>
          <w:szCs w:val="24"/>
        </w:rPr>
      </w:pPr>
      <w:r w:rsidRPr="00857B67">
        <w:rPr>
          <w:rFonts w:ascii="Bookman Old Style" w:hAnsi="Bookman Old Style"/>
          <w:i/>
          <w:sz w:val="24"/>
          <w:szCs w:val="24"/>
        </w:rPr>
        <w:t xml:space="preserve">En ese sentido, la superintendencia de servicios públicos, por medio del fondo empresarial contrató a una consultoría con el objeto de que realizara un </w:t>
      </w:r>
      <w:r w:rsidR="002D4DCC" w:rsidRPr="00857B67">
        <w:rPr>
          <w:rFonts w:ascii="Bookman Old Style" w:hAnsi="Bookman Old Style"/>
          <w:i/>
          <w:sz w:val="24"/>
          <w:szCs w:val="24"/>
        </w:rPr>
        <w:t>diagnóstico</w:t>
      </w:r>
      <w:r w:rsidRPr="00857B67">
        <w:rPr>
          <w:rFonts w:ascii="Bookman Old Style" w:hAnsi="Bookman Old Style"/>
          <w:i/>
          <w:sz w:val="24"/>
          <w:szCs w:val="24"/>
        </w:rPr>
        <w:t xml:space="preserve"> sobre la situación técnica-operativa, </w:t>
      </w:r>
      <w:r w:rsidR="002D4DCC" w:rsidRPr="00857B67">
        <w:rPr>
          <w:rFonts w:ascii="Bookman Old Style" w:hAnsi="Bookman Old Style"/>
          <w:i/>
          <w:sz w:val="24"/>
          <w:szCs w:val="24"/>
        </w:rPr>
        <w:t xml:space="preserve">financiera, administrativa, institucional y jurídica de EMCARTAGO E.S.P.; y estructurara una oferta de solución empresarial a la prestación de los servicios de energía eléctrica, acueducto y alcantarillado atendidos por la empresa intervenida. </w:t>
      </w:r>
    </w:p>
    <w:p w14:paraId="2F2E527D" w14:textId="0F447940" w:rsidR="002D4DCC" w:rsidRPr="00857B67" w:rsidRDefault="002D4DCC" w:rsidP="00857B67">
      <w:pPr>
        <w:pStyle w:val="Prrafodelista"/>
        <w:numPr>
          <w:ilvl w:val="0"/>
          <w:numId w:val="8"/>
        </w:numPr>
        <w:jc w:val="both"/>
        <w:rPr>
          <w:rFonts w:ascii="Bookman Old Style" w:hAnsi="Bookman Old Style"/>
          <w:i/>
          <w:sz w:val="24"/>
          <w:szCs w:val="24"/>
        </w:rPr>
      </w:pPr>
      <w:r w:rsidRPr="00857B67">
        <w:rPr>
          <w:rFonts w:ascii="Bookman Old Style" w:hAnsi="Bookman Old Style"/>
          <w:i/>
          <w:sz w:val="24"/>
          <w:szCs w:val="24"/>
        </w:rPr>
        <w:t>Conforme con lo anterior, el esquema de solución para empresas municipales de Cartago E.S.P. – EMCARTAGO E.S.P. contempl</w:t>
      </w:r>
      <w:r w:rsidR="00F17363">
        <w:rPr>
          <w:rFonts w:ascii="Bookman Old Style" w:hAnsi="Bookman Old Style"/>
          <w:i/>
          <w:sz w:val="24"/>
          <w:szCs w:val="24"/>
        </w:rPr>
        <w:t>a</w:t>
      </w:r>
      <w:r w:rsidRPr="00857B67">
        <w:rPr>
          <w:rFonts w:ascii="Bookman Old Style" w:hAnsi="Bookman Old Style"/>
          <w:i/>
          <w:sz w:val="24"/>
          <w:szCs w:val="24"/>
        </w:rPr>
        <w:t xml:space="preserve"> como primer lineamiento la vinculación de un OPERADOR </w:t>
      </w:r>
      <w:r w:rsidRPr="00857B67">
        <w:rPr>
          <w:rFonts w:ascii="Bookman Old Style" w:hAnsi="Bookman Old Style"/>
          <w:b/>
          <w:i/>
          <w:sz w:val="24"/>
          <w:szCs w:val="24"/>
          <w:u w:val="single"/>
        </w:rPr>
        <w:t xml:space="preserve">para que asuma, por su cuenta y riesgo, la operación del servicio de energía eléctrica y las actividades de comercialización y distribución </w:t>
      </w:r>
      <w:r w:rsidRPr="00857B67">
        <w:rPr>
          <w:rFonts w:ascii="Bookman Old Style" w:hAnsi="Bookman Old Style"/>
          <w:i/>
          <w:sz w:val="24"/>
          <w:szCs w:val="24"/>
        </w:rPr>
        <w:t>en el área de prestación de EMCARTAGO E.S.P., con la infraestructura de distribución y comercialización que le será entregada por</w:t>
      </w:r>
      <w:r w:rsidR="004E5884" w:rsidRPr="00857B67">
        <w:rPr>
          <w:rFonts w:ascii="Bookman Old Style" w:hAnsi="Bookman Old Style"/>
          <w:i/>
          <w:sz w:val="24"/>
          <w:szCs w:val="24"/>
        </w:rPr>
        <w:t xml:space="preserve"> EMCARTAGO E.S.P., y realizando las inversiones a que haya lugar, como la alternativa pendiente a salvaguardar la prestación de los servicios y la consecución de los recursos requeridos.</w:t>
      </w:r>
    </w:p>
    <w:p w14:paraId="11D29DA0" w14:textId="62577B19" w:rsidR="004E5884" w:rsidRPr="00857B67" w:rsidRDefault="004E5884" w:rsidP="00857B67">
      <w:pPr>
        <w:pStyle w:val="Prrafodelista"/>
        <w:numPr>
          <w:ilvl w:val="0"/>
          <w:numId w:val="8"/>
        </w:numPr>
        <w:jc w:val="both"/>
        <w:rPr>
          <w:rFonts w:ascii="Bookman Old Style" w:hAnsi="Bookman Old Style"/>
          <w:i/>
          <w:sz w:val="24"/>
          <w:szCs w:val="24"/>
        </w:rPr>
      </w:pPr>
      <w:r w:rsidRPr="00857B67">
        <w:rPr>
          <w:rFonts w:ascii="Bookman Old Style" w:hAnsi="Bookman Old Style"/>
          <w:i/>
          <w:sz w:val="24"/>
          <w:szCs w:val="24"/>
        </w:rPr>
        <w:t xml:space="preserve">De esta manera en la confección del proyecto de CONTRATO DE OPERACIÓN DE LAS ACTIVIDADES DE DISTRIBUCIÓN Y COMERCIALIZACIÓN DEL SERVICIO DE ENERGÍA ELECTRICA </w:t>
      </w:r>
      <w:r w:rsidR="00A86825" w:rsidRPr="00857B67">
        <w:rPr>
          <w:rFonts w:ascii="Bookman Old Style" w:hAnsi="Bookman Old Style"/>
          <w:i/>
          <w:sz w:val="24"/>
          <w:szCs w:val="24"/>
        </w:rPr>
        <w:t>EN EL ÁREA DE PRESTACIÓN DE EMCARTAGO E.S.P que se elaboró con el fin de ser incluido en el proceso de selección abierto que busca adjudicar al operador que resulte mejor calificado para desarrollar el objeto anteriormente referido, se han incluido cláusulas exorbitantes o excepcionales que buscan proteger a los usuarios del servicio de energía basados en los principios de continuidad y calidad del servicio.</w:t>
      </w:r>
    </w:p>
    <w:p w14:paraId="2C17012B" w14:textId="2C03C474" w:rsidR="00857B50" w:rsidRPr="006339F8" w:rsidRDefault="00857B50" w:rsidP="006E26A3"/>
    <w:p w14:paraId="5DEED2B1" w14:textId="74E7054C" w:rsidR="00937B2D" w:rsidRPr="006339F8" w:rsidRDefault="00937B2D" w:rsidP="00A86825">
      <w:pPr>
        <w:ind w:left="0"/>
        <w:jc w:val="both"/>
        <w:rPr>
          <w:rFonts w:ascii="Bookman Old Style" w:hAnsi="Bookman Old Style"/>
        </w:rPr>
      </w:pPr>
      <w:r w:rsidRPr="00A66772">
        <w:rPr>
          <w:rFonts w:ascii="Bookman Old Style" w:hAnsi="Bookman Old Style"/>
        </w:rPr>
        <w:t>Como fundamento</w:t>
      </w:r>
      <w:r w:rsidRPr="006339F8">
        <w:rPr>
          <w:rFonts w:ascii="Bookman Old Style" w:hAnsi="Bookman Old Style"/>
        </w:rPr>
        <w:t xml:space="preserve"> jurídico de su solicitud, manifiestan lo siguiente:</w:t>
      </w:r>
    </w:p>
    <w:p w14:paraId="5DC332F0" w14:textId="77777777" w:rsidR="00A86825" w:rsidRPr="006339F8" w:rsidRDefault="00A86825" w:rsidP="00A86825">
      <w:pPr>
        <w:ind w:left="0"/>
        <w:jc w:val="both"/>
        <w:rPr>
          <w:rFonts w:ascii="Bookman Old Style" w:hAnsi="Bookman Old Style"/>
        </w:rPr>
      </w:pPr>
    </w:p>
    <w:p w14:paraId="5FB022F8" w14:textId="711B40B5" w:rsidR="00A86825" w:rsidRPr="00857B67" w:rsidRDefault="00A86825" w:rsidP="00365D5C">
      <w:pPr>
        <w:pStyle w:val="Prrafodelista"/>
        <w:numPr>
          <w:ilvl w:val="0"/>
          <w:numId w:val="9"/>
        </w:numPr>
        <w:jc w:val="both"/>
        <w:rPr>
          <w:rFonts w:ascii="Bookman Old Style" w:hAnsi="Bookman Old Style"/>
          <w:i/>
          <w:sz w:val="24"/>
          <w:szCs w:val="24"/>
        </w:rPr>
      </w:pPr>
      <w:r w:rsidRPr="00857B67">
        <w:rPr>
          <w:rFonts w:ascii="Bookman Old Style" w:hAnsi="Bookman Old Style"/>
          <w:i/>
          <w:sz w:val="24"/>
          <w:szCs w:val="24"/>
        </w:rPr>
        <w:t>La presente solicitud se fundamente en las disposiciones contenidas en los artículos 31 de la ley 142 de 1994 y el parágrafo del artículo 8 de la ley 143 de 1994, que establecen respectivamente.</w:t>
      </w:r>
    </w:p>
    <w:p w14:paraId="0ED340E7" w14:textId="75CDA389" w:rsidR="000C7385" w:rsidRPr="00857B67" w:rsidRDefault="00A86825" w:rsidP="00A86825">
      <w:pPr>
        <w:pStyle w:val="Prrafodelista"/>
        <w:ind w:left="720"/>
        <w:jc w:val="both"/>
        <w:rPr>
          <w:rFonts w:ascii="Bookman Old Style" w:hAnsi="Bookman Old Style"/>
          <w:i/>
          <w:sz w:val="24"/>
          <w:szCs w:val="24"/>
        </w:rPr>
      </w:pPr>
      <w:r w:rsidRPr="00857B67">
        <w:rPr>
          <w:rFonts w:ascii="Bookman Old Style" w:hAnsi="Bookman Old Style"/>
          <w:i/>
          <w:sz w:val="24"/>
          <w:szCs w:val="24"/>
        </w:rPr>
        <w:t>Art 31 (….) las comisiones de regulación podrán hacer obligatoria la inclusión, en ciertos</w:t>
      </w:r>
      <w:r w:rsidR="006C0C3D">
        <w:rPr>
          <w:rFonts w:ascii="Bookman Old Style" w:hAnsi="Bookman Old Style"/>
          <w:i/>
          <w:sz w:val="24"/>
          <w:szCs w:val="24"/>
        </w:rPr>
        <w:t xml:space="preserve"> </w:t>
      </w:r>
      <w:r w:rsidRPr="00857B67">
        <w:rPr>
          <w:rFonts w:ascii="Bookman Old Style" w:hAnsi="Bookman Old Style"/>
          <w:i/>
          <w:sz w:val="24"/>
          <w:szCs w:val="24"/>
        </w:rPr>
        <w:t xml:space="preserve">tipos de contratos de cualquier empresa de servicios públicos, de cláusulas exorbitantes y podrán facilitar, previa consulta expresa por parte de las empresas de servicios públicos domiciliarios, que se incluyan en los demás. Cuando la inclusión sea forzosa, todo lo relativo </w:t>
      </w:r>
      <w:r w:rsidRPr="00857B67">
        <w:rPr>
          <w:rFonts w:ascii="Bookman Old Style" w:hAnsi="Bookman Old Style"/>
          <w:i/>
          <w:sz w:val="24"/>
          <w:szCs w:val="24"/>
        </w:rPr>
        <w:lastRenderedPageBreak/>
        <w:t>a tales cláusulas se regir</w:t>
      </w:r>
      <w:r w:rsidR="009B63D8" w:rsidRPr="00857B67">
        <w:rPr>
          <w:rFonts w:ascii="Bookman Old Style" w:hAnsi="Bookman Old Style"/>
          <w:i/>
          <w:sz w:val="24"/>
          <w:szCs w:val="24"/>
        </w:rPr>
        <w:t>á, en cuanto sea pertinente, por lo dispuesto en la ley 80 de 1993 y los actos y contratos en los que se realicen estas cláusulas</w:t>
      </w:r>
      <w:r w:rsidR="006C0C3D">
        <w:rPr>
          <w:rFonts w:ascii="Bookman Old Style" w:hAnsi="Bookman Old Style"/>
          <w:i/>
          <w:sz w:val="24"/>
          <w:szCs w:val="24"/>
        </w:rPr>
        <w:t xml:space="preserve"> </w:t>
      </w:r>
    </w:p>
    <w:p w14:paraId="0804FAB3" w14:textId="2656604A" w:rsidR="000C7385" w:rsidRPr="00857B67" w:rsidRDefault="000C7385" w:rsidP="00A86825">
      <w:pPr>
        <w:pStyle w:val="Prrafodelista"/>
        <w:ind w:left="720"/>
        <w:jc w:val="both"/>
        <w:rPr>
          <w:rFonts w:ascii="Bookman Old Style" w:hAnsi="Bookman Old Style"/>
          <w:i/>
          <w:sz w:val="24"/>
          <w:szCs w:val="24"/>
        </w:rPr>
      </w:pPr>
      <w:r w:rsidRPr="00857B67">
        <w:rPr>
          <w:rFonts w:ascii="Bookman Old Style" w:hAnsi="Bookman Old Style"/>
          <w:i/>
          <w:sz w:val="24"/>
          <w:szCs w:val="24"/>
        </w:rPr>
        <w:t>y/o se ejerciten esas facultades estarán sujetos al control de la jurisdicción contencioso administrativa. Las comisiones de regulación contarán con quien (15) días para responder las solicitudes elevadas por las empresas de servicios públicos domiciliarios sobre la inclusión de las clausulas excepcionales con los respectivos contratos, transcurrido este término operará el silencio administrativo positivo.</w:t>
      </w:r>
    </w:p>
    <w:p w14:paraId="5AB8C1BC" w14:textId="611778C8" w:rsidR="000C7385" w:rsidRPr="00857B67" w:rsidRDefault="000C7385" w:rsidP="00A86825">
      <w:pPr>
        <w:pStyle w:val="Prrafodelista"/>
        <w:ind w:left="720"/>
        <w:jc w:val="both"/>
        <w:rPr>
          <w:rFonts w:ascii="Bookman Old Style" w:hAnsi="Bookman Old Style"/>
          <w:i/>
          <w:sz w:val="24"/>
          <w:szCs w:val="24"/>
        </w:rPr>
      </w:pPr>
    </w:p>
    <w:p w14:paraId="50683308" w14:textId="77777777" w:rsidR="00646780" w:rsidRPr="00857B67" w:rsidRDefault="000C7385" w:rsidP="00646780">
      <w:pPr>
        <w:pStyle w:val="Prrafodelista"/>
        <w:ind w:left="720"/>
        <w:jc w:val="both"/>
        <w:rPr>
          <w:rFonts w:ascii="Bookman Old Style" w:hAnsi="Bookman Old Style"/>
          <w:i/>
          <w:sz w:val="24"/>
          <w:szCs w:val="24"/>
        </w:rPr>
      </w:pPr>
      <w:r w:rsidRPr="00857B67">
        <w:rPr>
          <w:rFonts w:ascii="Bookman Old Style" w:hAnsi="Bookman Old Style"/>
          <w:i/>
          <w:sz w:val="24"/>
          <w:szCs w:val="24"/>
        </w:rPr>
        <w:t xml:space="preserve">PARÁGRAFO: el régimen de contratación aplicable a estas empresas será el del derecho privado. La comisión de regulación de energía y gas podrá hacer obligatoria la inclusión de cláusulas </w:t>
      </w:r>
      <w:r w:rsidR="00646780" w:rsidRPr="00857B67">
        <w:rPr>
          <w:rFonts w:ascii="Bookman Old Style" w:hAnsi="Bookman Old Style"/>
          <w:i/>
          <w:sz w:val="24"/>
          <w:szCs w:val="24"/>
        </w:rPr>
        <w:t>excepcionales al derecho común en algunos de los contratos que celebren tales entidades. Cuando su inclusión sea forzosa, todo lo relativo a estas cláusulas se sujetará al estatuto general de contratación de la administración pública.</w:t>
      </w:r>
    </w:p>
    <w:p w14:paraId="1C5C49A0" w14:textId="77777777" w:rsidR="00646780" w:rsidRPr="00857B67" w:rsidRDefault="00646780" w:rsidP="00646780">
      <w:pPr>
        <w:pStyle w:val="Prrafodelista"/>
        <w:ind w:left="720"/>
        <w:jc w:val="both"/>
        <w:rPr>
          <w:rFonts w:ascii="Bookman Old Style" w:hAnsi="Bookman Old Style"/>
          <w:i/>
          <w:sz w:val="24"/>
          <w:szCs w:val="24"/>
        </w:rPr>
      </w:pPr>
    </w:p>
    <w:p w14:paraId="776A0EE3" w14:textId="21552B57" w:rsidR="00646780" w:rsidRPr="007007C6" w:rsidRDefault="00646780" w:rsidP="0091335E">
      <w:pPr>
        <w:pStyle w:val="Prrafodelista"/>
        <w:numPr>
          <w:ilvl w:val="0"/>
          <w:numId w:val="9"/>
        </w:numPr>
        <w:jc w:val="both"/>
        <w:rPr>
          <w:rFonts w:ascii="Bookman Old Style" w:hAnsi="Bookman Old Style"/>
          <w:i/>
          <w:sz w:val="24"/>
          <w:szCs w:val="24"/>
        </w:rPr>
      </w:pPr>
      <w:r w:rsidRPr="007007C6">
        <w:rPr>
          <w:rFonts w:ascii="Bookman Old Style" w:hAnsi="Bookman Old Style"/>
          <w:i/>
          <w:sz w:val="24"/>
          <w:szCs w:val="24"/>
        </w:rPr>
        <w:t>La sentencia de la sección tercera del consejo de estado – magistrado ponente Ariel Eduardo Hernández Enríquez, con radicado número: 05001-23-25-000-2001-1799-01(22553), se pronunció de fondo acerca de la inclusión de cláusulas exorbitantes en sentido de confirmar que no es claro si de la legislación vigente se requiere de autorización previa o existen parámetros que claramente prevean la inclusión obligatoria, así se refirió la mencionada corporación.</w:t>
      </w:r>
    </w:p>
    <w:p w14:paraId="0CFF9F7C" w14:textId="248FC3B3" w:rsidR="00646780" w:rsidRPr="007007C6" w:rsidRDefault="00646780" w:rsidP="00646780">
      <w:pPr>
        <w:jc w:val="both"/>
        <w:rPr>
          <w:rFonts w:ascii="Bookman Old Style" w:hAnsi="Bookman Old Style"/>
          <w:i/>
          <w:lang w:val="es-CO"/>
        </w:rPr>
      </w:pPr>
    </w:p>
    <w:p w14:paraId="11E515DA" w14:textId="631CDC0E" w:rsidR="009818DC" w:rsidRPr="00857B67" w:rsidRDefault="00646780" w:rsidP="009818DC">
      <w:pPr>
        <w:pStyle w:val="Prrafodelista"/>
        <w:ind w:left="720"/>
        <w:jc w:val="both"/>
        <w:rPr>
          <w:rFonts w:ascii="Bookman Old Style" w:hAnsi="Bookman Old Style"/>
          <w:i/>
          <w:sz w:val="24"/>
          <w:szCs w:val="24"/>
        </w:rPr>
      </w:pPr>
      <w:r w:rsidRPr="00857B67">
        <w:rPr>
          <w:rFonts w:ascii="Bookman Old Style" w:hAnsi="Bookman Old Style"/>
          <w:i/>
          <w:sz w:val="24"/>
          <w:szCs w:val="24"/>
        </w:rPr>
        <w:t xml:space="preserve">Entonces, dado que la ley 142 prevé que las comisiones de regulación pueden </w:t>
      </w:r>
      <w:r w:rsidRPr="007007C6">
        <w:rPr>
          <w:rFonts w:ascii="Bookman Old Style" w:hAnsi="Bookman Old Style"/>
          <w:i/>
          <w:sz w:val="24"/>
          <w:szCs w:val="24"/>
        </w:rPr>
        <w:t>autorizar</w:t>
      </w:r>
      <w:r w:rsidRPr="00857B67">
        <w:rPr>
          <w:rFonts w:ascii="Bookman Old Style" w:hAnsi="Bookman Old Style"/>
          <w:i/>
          <w:sz w:val="24"/>
          <w:szCs w:val="24"/>
        </w:rPr>
        <w:t xml:space="preserve"> la </w:t>
      </w:r>
      <w:r w:rsidR="009818DC" w:rsidRPr="00857B67">
        <w:rPr>
          <w:rFonts w:ascii="Bookman Old Style" w:hAnsi="Bookman Old Style"/>
          <w:i/>
          <w:sz w:val="24"/>
          <w:szCs w:val="24"/>
        </w:rPr>
        <w:t>inclusión</w:t>
      </w:r>
      <w:r w:rsidRPr="00857B67">
        <w:rPr>
          <w:rFonts w:ascii="Bookman Old Style" w:hAnsi="Bookman Old Style"/>
          <w:i/>
          <w:sz w:val="24"/>
          <w:szCs w:val="24"/>
        </w:rPr>
        <w:t xml:space="preserve"> de las cláusulas exorbitantes previa consulta, mientras que la ley 143 sólo dice </w:t>
      </w:r>
      <w:r w:rsidR="009818DC" w:rsidRPr="00857B67">
        <w:rPr>
          <w:rFonts w:ascii="Bookman Old Style" w:hAnsi="Bookman Old Style"/>
          <w:i/>
          <w:sz w:val="24"/>
          <w:szCs w:val="24"/>
        </w:rPr>
        <w:t>que</w:t>
      </w:r>
      <w:r w:rsidRPr="00857B67">
        <w:rPr>
          <w:rFonts w:ascii="Bookman Old Style" w:hAnsi="Bookman Old Style"/>
          <w:i/>
          <w:sz w:val="24"/>
          <w:szCs w:val="24"/>
        </w:rPr>
        <w:t xml:space="preserve"> </w:t>
      </w:r>
      <w:r w:rsidRPr="007007C6">
        <w:rPr>
          <w:rFonts w:ascii="Bookman Old Style" w:hAnsi="Bookman Old Style"/>
          <w:i/>
          <w:sz w:val="24"/>
          <w:szCs w:val="24"/>
        </w:rPr>
        <w:t xml:space="preserve">puede hacer obligatoria </w:t>
      </w:r>
      <w:r w:rsidRPr="00857B67">
        <w:rPr>
          <w:rFonts w:ascii="Bookman Old Style" w:hAnsi="Bookman Old Style"/>
          <w:i/>
          <w:sz w:val="24"/>
          <w:szCs w:val="24"/>
        </w:rPr>
        <w:t xml:space="preserve">su inclusión en algunos contratos, debe determinarse </w:t>
      </w:r>
      <w:r w:rsidR="009818DC" w:rsidRPr="00857B67">
        <w:rPr>
          <w:rFonts w:ascii="Bookman Old Style" w:hAnsi="Bookman Old Style"/>
          <w:i/>
          <w:sz w:val="24"/>
          <w:szCs w:val="24"/>
        </w:rPr>
        <w:t>cuál</w:t>
      </w:r>
      <w:r w:rsidRPr="00857B67">
        <w:rPr>
          <w:rFonts w:ascii="Bookman Old Style" w:hAnsi="Bookman Old Style"/>
          <w:i/>
          <w:sz w:val="24"/>
          <w:szCs w:val="24"/>
        </w:rPr>
        <w:t xml:space="preserve"> de las dos normas es aplicable al caso concreto (…) la </w:t>
      </w:r>
      <w:r w:rsidR="009818DC" w:rsidRPr="00857B67">
        <w:rPr>
          <w:rFonts w:ascii="Bookman Old Style" w:hAnsi="Bookman Old Style"/>
          <w:i/>
          <w:sz w:val="24"/>
          <w:szCs w:val="24"/>
        </w:rPr>
        <w:t>respuesta</w:t>
      </w:r>
      <w:r w:rsidRPr="00857B67">
        <w:rPr>
          <w:rFonts w:ascii="Bookman Old Style" w:hAnsi="Bookman Old Style"/>
          <w:i/>
          <w:sz w:val="24"/>
          <w:szCs w:val="24"/>
        </w:rPr>
        <w:t xml:space="preserve"> de la CREG sólo </w:t>
      </w:r>
      <w:r w:rsidR="009818DC" w:rsidRPr="00857B67">
        <w:rPr>
          <w:rFonts w:ascii="Bookman Old Style" w:hAnsi="Bookman Old Style"/>
          <w:i/>
          <w:sz w:val="24"/>
          <w:szCs w:val="24"/>
        </w:rPr>
        <w:t>confirma que el tema no es claro, pues ante el cuestionamiento específico sobre la existencia de disposiciones que hagan forzosa la inclusión de las clausulas exorbitantes, la entidad refiere información atinente a la autorización de incluirlas. (…) en otros términos, sin claridad sobre si las disposiciones de la ley general de servicios públicos son aplicables al contrato referido o si, en virtud del artículo 96 de la ley 143, las disposiciones del 31 de la ley 142 no en virtud del artículo 96 de la ley 143, las disposiciones del 31 de la ley 142 no rigen en materia energética, no es posible determinar con certeza si existía o no la obligación, a cargo de EPM, de solicitar autorización para incluir la cláusula en desarrollo de la cual profirió las resoluciones demandadas.</w:t>
      </w:r>
    </w:p>
    <w:p w14:paraId="6532DE53" w14:textId="07CB053F" w:rsidR="009818DC" w:rsidRPr="00857B67" w:rsidRDefault="009818DC" w:rsidP="009818DC">
      <w:pPr>
        <w:pStyle w:val="Prrafodelista"/>
        <w:ind w:left="720"/>
        <w:jc w:val="both"/>
        <w:rPr>
          <w:rFonts w:ascii="Bookman Old Style" w:hAnsi="Bookman Old Style"/>
          <w:i/>
          <w:sz w:val="24"/>
          <w:szCs w:val="24"/>
        </w:rPr>
      </w:pPr>
    </w:p>
    <w:p w14:paraId="696C70D5" w14:textId="00081B8E" w:rsidR="00051906" w:rsidRPr="00857B67" w:rsidRDefault="009818DC" w:rsidP="00365D5C">
      <w:pPr>
        <w:pStyle w:val="Prrafodelista"/>
        <w:numPr>
          <w:ilvl w:val="0"/>
          <w:numId w:val="10"/>
        </w:numPr>
        <w:jc w:val="both"/>
        <w:rPr>
          <w:rFonts w:ascii="Bookman Old Style" w:hAnsi="Bookman Old Style"/>
          <w:i/>
          <w:sz w:val="24"/>
          <w:szCs w:val="24"/>
        </w:rPr>
      </w:pPr>
      <w:r w:rsidRPr="00857B67">
        <w:rPr>
          <w:rFonts w:ascii="Bookman Old Style" w:hAnsi="Bookman Old Style"/>
          <w:i/>
          <w:sz w:val="24"/>
          <w:szCs w:val="24"/>
        </w:rPr>
        <w:t xml:space="preserve">En desarrollo de lo anterior la CREG con radicación: CREG – 370 de 2002 / MMECREG – 0433- 02, </w:t>
      </w:r>
      <w:r w:rsidR="00051906" w:rsidRPr="00857B67">
        <w:rPr>
          <w:rFonts w:ascii="Bookman Old Style" w:hAnsi="Bookman Old Style"/>
          <w:i/>
          <w:sz w:val="24"/>
          <w:szCs w:val="24"/>
        </w:rPr>
        <w:t>resolviendo acerca de una consulta que se le elevó en torno a la aplicación de las clausulas exorbitantes procede para proteger los derechos de los usuarios, así se pronunció la CREG.</w:t>
      </w:r>
    </w:p>
    <w:p w14:paraId="52E88CBB" w14:textId="0124CEC5" w:rsidR="00051906" w:rsidRPr="00857B67" w:rsidRDefault="00051906" w:rsidP="00051906">
      <w:pPr>
        <w:pStyle w:val="Prrafodelista"/>
        <w:ind w:left="720"/>
        <w:jc w:val="both"/>
        <w:rPr>
          <w:rFonts w:ascii="Bookman Old Style" w:hAnsi="Bookman Old Style"/>
          <w:i/>
          <w:sz w:val="24"/>
          <w:szCs w:val="24"/>
        </w:rPr>
      </w:pPr>
    </w:p>
    <w:p w14:paraId="7C1D1555" w14:textId="4EDC3458" w:rsidR="00051906" w:rsidRPr="00857B67" w:rsidRDefault="00051906" w:rsidP="00051906">
      <w:pPr>
        <w:pStyle w:val="Prrafodelista"/>
        <w:ind w:left="720"/>
        <w:jc w:val="both"/>
        <w:rPr>
          <w:rFonts w:ascii="Bookman Old Style" w:hAnsi="Bookman Old Style"/>
          <w:i/>
          <w:sz w:val="24"/>
          <w:szCs w:val="24"/>
        </w:rPr>
      </w:pPr>
      <w:r w:rsidRPr="00857B67">
        <w:rPr>
          <w:rFonts w:ascii="Bookman Old Style" w:hAnsi="Bookman Old Style"/>
          <w:i/>
          <w:sz w:val="24"/>
          <w:szCs w:val="24"/>
        </w:rPr>
        <w:t xml:space="preserve">A las denominadas cláusulas exorbitantes, aplicables dentro del régimen de contratación estatal, se les atribuye el objetivo de garantizar que el fin que persigue satisfacer el estado mediante la contratación, efectivamente se logre, para lo cual se le dota de determinadas ventajas o prerrogativas contractuales (interpretación unilateral, terminación unilateral, caducidad, </w:t>
      </w:r>
      <w:r w:rsidRPr="00857B67">
        <w:rPr>
          <w:rFonts w:ascii="Bookman Old Style" w:hAnsi="Bookman Old Style"/>
          <w:i/>
          <w:sz w:val="24"/>
          <w:szCs w:val="24"/>
        </w:rPr>
        <w:lastRenderedPageBreak/>
        <w:t>reversión de los bienes de la concesión y sometimiento del contrato a las leyes nacionales), tendientes a satisfacer el interés general.</w:t>
      </w:r>
    </w:p>
    <w:p w14:paraId="70D0FE24" w14:textId="27CD527C" w:rsidR="00051906" w:rsidRPr="00857B67" w:rsidRDefault="00051906" w:rsidP="00051906">
      <w:pPr>
        <w:pStyle w:val="Prrafodelista"/>
        <w:ind w:left="720"/>
        <w:jc w:val="both"/>
        <w:rPr>
          <w:rFonts w:ascii="Bookman Old Style" w:hAnsi="Bookman Old Style"/>
          <w:i/>
          <w:sz w:val="24"/>
          <w:szCs w:val="24"/>
        </w:rPr>
      </w:pPr>
    </w:p>
    <w:p w14:paraId="0AE22303" w14:textId="75EEE3EC" w:rsidR="00051906" w:rsidRDefault="00051906" w:rsidP="00365D5C">
      <w:pPr>
        <w:pStyle w:val="Prrafodelista"/>
        <w:numPr>
          <w:ilvl w:val="0"/>
          <w:numId w:val="10"/>
        </w:numPr>
        <w:jc w:val="both"/>
        <w:rPr>
          <w:rFonts w:ascii="Bookman Old Style" w:hAnsi="Bookman Old Style"/>
          <w:i/>
          <w:sz w:val="24"/>
          <w:szCs w:val="24"/>
        </w:rPr>
      </w:pPr>
      <w:r w:rsidRPr="00857B67">
        <w:rPr>
          <w:rFonts w:ascii="Bookman Old Style" w:hAnsi="Bookman Old Style"/>
          <w:i/>
          <w:sz w:val="24"/>
          <w:szCs w:val="24"/>
        </w:rPr>
        <w:t>Así que, en el referido concepto la CREG ha determinado que una vez se verifiquen tres (3) requisitos de procedencia, se autoriza la inclusión de las clausulas exorbitantes. Motivo de lo anterior procedemos a desarrollar los referidos requisitos de autorización.</w:t>
      </w:r>
    </w:p>
    <w:p w14:paraId="68AAC9FF" w14:textId="77777777" w:rsidR="00857B67" w:rsidRPr="00857B67" w:rsidRDefault="00857B67" w:rsidP="00857B67">
      <w:pPr>
        <w:pStyle w:val="Prrafodelista"/>
        <w:ind w:left="720"/>
        <w:jc w:val="both"/>
        <w:rPr>
          <w:rFonts w:ascii="Bookman Old Style" w:hAnsi="Bookman Old Style"/>
          <w:i/>
          <w:sz w:val="24"/>
          <w:szCs w:val="24"/>
        </w:rPr>
      </w:pPr>
    </w:p>
    <w:p w14:paraId="755B9FB4" w14:textId="15903053" w:rsidR="00A2669D" w:rsidRPr="00857B67" w:rsidRDefault="00A2669D" w:rsidP="00365D5C">
      <w:pPr>
        <w:pStyle w:val="Prrafodelista"/>
        <w:numPr>
          <w:ilvl w:val="0"/>
          <w:numId w:val="11"/>
        </w:numPr>
        <w:jc w:val="both"/>
        <w:rPr>
          <w:rFonts w:ascii="Bookman Old Style" w:hAnsi="Bookman Old Style"/>
          <w:i/>
          <w:sz w:val="24"/>
          <w:szCs w:val="24"/>
        </w:rPr>
      </w:pPr>
      <w:r w:rsidRPr="00857B67">
        <w:rPr>
          <w:rFonts w:ascii="Bookman Old Style" w:hAnsi="Bookman Old Style"/>
          <w:i/>
          <w:sz w:val="24"/>
          <w:szCs w:val="24"/>
        </w:rPr>
        <w:t>Que los acuerdos que se pretende sean cobijados con este tipo de cláusulas tengan relación directa con la prestación del servicio eléctrico de sus usuarios y que de no accederse a tal solicitud se ponga en peligro la continuidad y calidad de la prestación del mismo.</w:t>
      </w:r>
    </w:p>
    <w:p w14:paraId="579A9101" w14:textId="12DBA4DF" w:rsidR="00A2669D" w:rsidRPr="00857B67" w:rsidRDefault="00A2669D" w:rsidP="00A2669D">
      <w:pPr>
        <w:pStyle w:val="Prrafodelista"/>
        <w:ind w:left="1440"/>
        <w:jc w:val="both"/>
        <w:rPr>
          <w:rFonts w:ascii="Bookman Old Style" w:hAnsi="Bookman Old Style"/>
          <w:i/>
          <w:sz w:val="24"/>
          <w:szCs w:val="24"/>
        </w:rPr>
      </w:pPr>
      <w:r w:rsidRPr="00857B67">
        <w:rPr>
          <w:rFonts w:ascii="Bookman Old Style" w:hAnsi="Bookman Old Style"/>
          <w:i/>
          <w:sz w:val="24"/>
          <w:szCs w:val="24"/>
        </w:rPr>
        <w:t>Las clausulas exorbitantes incluidas en el contrato como la caducidad y la TERMINACIÓN, MODIFICACIÓN E INTERPRETACIÓN UNILATERALES, resguardan al usuario del servicio de incumplimiento de los compromisos contractuales, en términos de calidad, perdidas, recaudo, inversiones, medición, conexión de usuarios, que afectan directamente la calidad del servicio al tener niveles más malos que los exigidos por la regulación. La desviación de estos indicadores pone igualmente en riesgo la continuidad del servicio público de electricidad en el área atendida por el operador de red.</w:t>
      </w:r>
    </w:p>
    <w:p w14:paraId="0F50AD19" w14:textId="4F57827C" w:rsidR="00A2669D" w:rsidRPr="00857B67" w:rsidRDefault="00A2669D" w:rsidP="00365D5C">
      <w:pPr>
        <w:pStyle w:val="Prrafodelista"/>
        <w:numPr>
          <w:ilvl w:val="0"/>
          <w:numId w:val="11"/>
        </w:numPr>
        <w:jc w:val="both"/>
        <w:rPr>
          <w:rFonts w:ascii="Bookman Old Style" w:hAnsi="Bookman Old Style"/>
          <w:i/>
          <w:sz w:val="24"/>
          <w:szCs w:val="24"/>
        </w:rPr>
      </w:pPr>
      <w:r w:rsidRPr="00857B67">
        <w:rPr>
          <w:rFonts w:ascii="Bookman Old Style" w:hAnsi="Bookman Old Style"/>
          <w:i/>
          <w:sz w:val="24"/>
          <w:szCs w:val="24"/>
        </w:rPr>
        <w:t xml:space="preserve">Que por no incluir este tipo de cláusulas se generé una </w:t>
      </w:r>
      <w:r w:rsidR="00476999" w:rsidRPr="00857B67">
        <w:rPr>
          <w:rFonts w:ascii="Bookman Old Style" w:hAnsi="Bookman Old Style"/>
          <w:i/>
          <w:sz w:val="24"/>
          <w:szCs w:val="24"/>
        </w:rPr>
        <w:t>parálisis o</w:t>
      </w:r>
      <w:r w:rsidRPr="00857B67">
        <w:rPr>
          <w:rFonts w:ascii="Bookman Old Style" w:hAnsi="Bookman Old Style"/>
          <w:i/>
          <w:sz w:val="24"/>
          <w:szCs w:val="24"/>
        </w:rPr>
        <w:t xml:space="preserve"> una afectación grave en la prestación de los servicios públicos que presta la empresa, tal como dispone el artículo 14 de ley 80 de 1993.</w:t>
      </w:r>
    </w:p>
    <w:p w14:paraId="076C7D56" w14:textId="1BD70865" w:rsidR="00A2669D" w:rsidRPr="00857B67" w:rsidRDefault="00A2669D" w:rsidP="00A2669D">
      <w:pPr>
        <w:pStyle w:val="Prrafodelista"/>
        <w:ind w:left="1440"/>
        <w:jc w:val="both"/>
        <w:rPr>
          <w:rFonts w:ascii="Bookman Old Style" w:hAnsi="Bookman Old Style"/>
          <w:i/>
          <w:sz w:val="24"/>
          <w:szCs w:val="24"/>
        </w:rPr>
      </w:pPr>
      <w:r w:rsidRPr="00857B67">
        <w:rPr>
          <w:rFonts w:ascii="Bookman Old Style" w:hAnsi="Bookman Old Style"/>
          <w:i/>
          <w:sz w:val="24"/>
          <w:szCs w:val="24"/>
        </w:rPr>
        <w:t xml:space="preserve">Las clausulas exorbitantes incluidas en el contrato como lo son la caducidad </w:t>
      </w:r>
      <w:r w:rsidR="00476999" w:rsidRPr="00857B67">
        <w:rPr>
          <w:rFonts w:ascii="Bookman Old Style" w:hAnsi="Bookman Old Style"/>
          <w:i/>
          <w:sz w:val="24"/>
          <w:szCs w:val="24"/>
        </w:rPr>
        <w:t>y la TERMINACIÓN, MODIFICACIÓN E INTERPRETACIÓN UNILATERALES son mecanismos idóneos que permiten contener y reaccionar a tiempo ante un supuesto alto nivel de pérdidas y un bajo nivel de recaudo que afecte los ingresos de la empresa lo cual compromete el cumplimiento de compromisos económicos frente a la compra de energía o frente a la capacidad de hacer las inversiones comprometidas contractualmente. Esta situación, igualmente puede afectar la continuidad del servicio.</w:t>
      </w:r>
    </w:p>
    <w:p w14:paraId="2369DC5E" w14:textId="4040DB29" w:rsidR="00476999" w:rsidRPr="00857B67" w:rsidRDefault="00476999" w:rsidP="00A2669D">
      <w:pPr>
        <w:pStyle w:val="Prrafodelista"/>
        <w:ind w:left="1440"/>
        <w:jc w:val="both"/>
        <w:rPr>
          <w:rFonts w:ascii="Bookman Old Style" w:hAnsi="Bookman Old Style"/>
          <w:i/>
          <w:sz w:val="24"/>
          <w:szCs w:val="24"/>
        </w:rPr>
      </w:pPr>
      <w:r w:rsidRPr="00857B67">
        <w:rPr>
          <w:rFonts w:ascii="Bookman Old Style" w:hAnsi="Bookman Old Style"/>
          <w:i/>
          <w:sz w:val="24"/>
          <w:szCs w:val="24"/>
        </w:rPr>
        <w:t xml:space="preserve">La continuidad y calidad del servicio se garantiza si se logra el cumplimiento de las metas contractuales, las cuales están acordes con las exigencias regulatorias vigentes. Por lo </w:t>
      </w:r>
      <w:r w:rsidR="007C0AA2" w:rsidRPr="00857B67">
        <w:rPr>
          <w:rFonts w:ascii="Bookman Old Style" w:hAnsi="Bookman Old Style"/>
          <w:i/>
          <w:sz w:val="24"/>
          <w:szCs w:val="24"/>
        </w:rPr>
        <w:t>tanto,</w:t>
      </w:r>
      <w:r w:rsidRPr="00857B67">
        <w:rPr>
          <w:rFonts w:ascii="Bookman Old Style" w:hAnsi="Bookman Old Style"/>
          <w:i/>
          <w:sz w:val="24"/>
          <w:szCs w:val="24"/>
        </w:rPr>
        <w:t xml:space="preserve"> si no se incluyen cláusulas de terminación unilateral ante incumplimientos reiterados en estos indicadores, podría en grave riesgo la prestación del servicio.</w:t>
      </w:r>
    </w:p>
    <w:p w14:paraId="7E3CA229" w14:textId="275AF954" w:rsidR="008321C6" w:rsidRPr="00857B67" w:rsidRDefault="00EF17E6" w:rsidP="00365D5C">
      <w:pPr>
        <w:pStyle w:val="Prrafodelista"/>
        <w:numPr>
          <w:ilvl w:val="0"/>
          <w:numId w:val="11"/>
        </w:numPr>
        <w:jc w:val="both"/>
        <w:rPr>
          <w:rFonts w:ascii="Bookman Old Style" w:hAnsi="Bookman Old Style"/>
          <w:i/>
          <w:sz w:val="24"/>
          <w:szCs w:val="24"/>
        </w:rPr>
      </w:pPr>
      <w:r w:rsidRPr="00857B67">
        <w:rPr>
          <w:rFonts w:ascii="Bookman Old Style" w:hAnsi="Bookman Old Style"/>
          <w:i/>
          <w:sz w:val="24"/>
          <w:szCs w:val="24"/>
        </w:rPr>
        <w:t xml:space="preserve">Que la normatividad </w:t>
      </w:r>
      <w:r w:rsidR="008321C6" w:rsidRPr="00857B67">
        <w:rPr>
          <w:rFonts w:ascii="Bookman Old Style" w:hAnsi="Bookman Old Style"/>
          <w:i/>
          <w:sz w:val="24"/>
          <w:szCs w:val="24"/>
        </w:rPr>
        <w:t>privada no contemple mecanismos, o si los contempla con insuficientes o inaplicables, para que la empresa pueda incluir cláusulas que le garanticen la cumplida ejecución del contrato.</w:t>
      </w:r>
    </w:p>
    <w:p w14:paraId="681BCDFA" w14:textId="116AA004" w:rsidR="008321C6" w:rsidRPr="00857B67" w:rsidRDefault="008321C6" w:rsidP="008321C6">
      <w:pPr>
        <w:pStyle w:val="Prrafodelista"/>
        <w:ind w:left="1440"/>
        <w:jc w:val="both"/>
        <w:rPr>
          <w:rFonts w:ascii="Bookman Old Style" w:hAnsi="Bookman Old Style"/>
          <w:i/>
          <w:sz w:val="24"/>
          <w:szCs w:val="24"/>
        </w:rPr>
      </w:pPr>
    </w:p>
    <w:p w14:paraId="2E873B89" w14:textId="2656B595" w:rsidR="008321C6" w:rsidRPr="00857B67" w:rsidRDefault="008321C6" w:rsidP="008321C6">
      <w:pPr>
        <w:pStyle w:val="Prrafodelista"/>
        <w:ind w:left="1440"/>
        <w:jc w:val="both"/>
        <w:rPr>
          <w:rFonts w:ascii="Bookman Old Style" w:hAnsi="Bookman Old Style"/>
          <w:i/>
          <w:sz w:val="24"/>
          <w:szCs w:val="24"/>
        </w:rPr>
      </w:pPr>
      <w:r w:rsidRPr="00857B67">
        <w:rPr>
          <w:rFonts w:ascii="Bookman Old Style" w:hAnsi="Bookman Old Style"/>
          <w:i/>
          <w:sz w:val="24"/>
          <w:szCs w:val="24"/>
        </w:rPr>
        <w:t xml:space="preserve">La normatividad aplicable a la contratación estatal cuenta con mecanismos expeditos como lo son las cláusulas exorbitantes que protegen los intereses del estado y del usuario final en virtud de que garantizan que la idónea ejecución de los contratos y la continuidad de los servicios para el caso en concreto. El régimen de contratación privada no contempla que actúen de pleno derecho y que permitan con total seguridad jurídica la ampliación de una cláusula </w:t>
      </w:r>
      <w:r w:rsidRPr="00857B67">
        <w:rPr>
          <w:rFonts w:ascii="Bookman Old Style" w:hAnsi="Bookman Old Style"/>
          <w:i/>
          <w:sz w:val="24"/>
          <w:szCs w:val="24"/>
        </w:rPr>
        <w:lastRenderedPageBreak/>
        <w:t>exorbitante, ya que es propio del régimen privado la paridad e igualdad entre las partes, situación última que impediría garantizar el correcto funcionamiento del servicio de energía.</w:t>
      </w:r>
    </w:p>
    <w:p w14:paraId="6780D903" w14:textId="0A764355" w:rsidR="008321C6" w:rsidRPr="00857B67" w:rsidRDefault="008321C6" w:rsidP="008321C6">
      <w:pPr>
        <w:pStyle w:val="Prrafodelista"/>
        <w:ind w:left="1440"/>
        <w:jc w:val="both"/>
        <w:rPr>
          <w:rFonts w:ascii="Bookman Old Style" w:hAnsi="Bookman Old Style"/>
          <w:i/>
          <w:sz w:val="24"/>
          <w:szCs w:val="24"/>
        </w:rPr>
      </w:pPr>
    </w:p>
    <w:p w14:paraId="58C62DED" w14:textId="620F9B45" w:rsidR="00937B2D" w:rsidRPr="00857B67" w:rsidRDefault="008321C6" w:rsidP="006339F8">
      <w:pPr>
        <w:pStyle w:val="Prrafodelista"/>
        <w:ind w:left="1440"/>
        <w:jc w:val="both"/>
        <w:rPr>
          <w:rFonts w:ascii="Bookman Old Style" w:hAnsi="Bookman Old Style"/>
          <w:i/>
          <w:sz w:val="24"/>
          <w:szCs w:val="24"/>
        </w:rPr>
      </w:pPr>
      <w:r w:rsidRPr="00857B67">
        <w:rPr>
          <w:rFonts w:ascii="Bookman Old Style" w:hAnsi="Bookman Old Style"/>
          <w:i/>
          <w:sz w:val="24"/>
          <w:szCs w:val="24"/>
        </w:rPr>
        <w:t>Es así, que considerando el régimen de derecho privado y en aplicación del principio general de la autonomía de las partes, el operador (Contratista) podría válidamente negarse a la inclusión de las c</w:t>
      </w:r>
      <w:r w:rsidR="006339F8" w:rsidRPr="00857B67">
        <w:rPr>
          <w:rFonts w:ascii="Bookman Old Style" w:hAnsi="Bookman Old Style"/>
          <w:i/>
          <w:sz w:val="24"/>
          <w:szCs w:val="24"/>
        </w:rPr>
        <w:t xml:space="preserve">lausulas exorbitantes, y en el caso que se impusieran por parte de EMCARTAGO E.S.P. (Contratante) nos encontraríamos frente a una situación de posición asimétrica que daría lugar a una ejecución ineficiente del mismo, siendo que este desarrollo se encuentra plenamente justificado en las cláusulas exorbitantes, con las que se conjura el posible riesgo de continuidad del servicio. </w:t>
      </w:r>
    </w:p>
    <w:p w14:paraId="5CA00AD9" w14:textId="77777777" w:rsidR="00937B2D" w:rsidRDefault="00937B2D" w:rsidP="00045D3D">
      <w:pPr>
        <w:jc w:val="center"/>
        <w:rPr>
          <w:rFonts w:ascii="Bookman Old Style" w:hAnsi="Bookman Old Style"/>
          <w:b/>
        </w:rPr>
      </w:pPr>
    </w:p>
    <w:p w14:paraId="557A5AF7" w14:textId="77777777" w:rsidR="00937B2D" w:rsidRDefault="00937B2D" w:rsidP="00045D3D">
      <w:pPr>
        <w:jc w:val="center"/>
        <w:rPr>
          <w:rFonts w:ascii="Bookman Old Style" w:hAnsi="Bookman Old Style"/>
          <w:b/>
        </w:rPr>
      </w:pPr>
    </w:p>
    <w:p w14:paraId="25162DD7" w14:textId="3E9E0919" w:rsidR="00937B2D" w:rsidRDefault="004C798A" w:rsidP="00045D3D">
      <w:pPr>
        <w:jc w:val="center"/>
        <w:rPr>
          <w:rFonts w:ascii="Bookman Old Style" w:hAnsi="Bookman Old Style"/>
          <w:b/>
        </w:rPr>
      </w:pPr>
      <w:r>
        <w:rPr>
          <w:rFonts w:ascii="Bookman Old Style" w:hAnsi="Bookman Old Style"/>
          <w:b/>
        </w:rPr>
        <w:t>CONSIDERACIONES DE LA CREG</w:t>
      </w:r>
    </w:p>
    <w:p w14:paraId="44356F10" w14:textId="449206F9" w:rsidR="004C798A" w:rsidRDefault="004C798A" w:rsidP="00857B67">
      <w:pPr>
        <w:ind w:left="0"/>
        <w:jc w:val="both"/>
        <w:rPr>
          <w:rFonts w:ascii="Bookman Old Style" w:hAnsi="Bookman Old Style"/>
        </w:rPr>
      </w:pPr>
    </w:p>
    <w:p w14:paraId="101D70CD" w14:textId="681DB465" w:rsidR="004C798A" w:rsidRPr="004C798A" w:rsidRDefault="004C798A" w:rsidP="004C798A">
      <w:pPr>
        <w:jc w:val="both"/>
        <w:rPr>
          <w:rFonts w:ascii="Bookman Old Style" w:hAnsi="Bookman Old Style"/>
        </w:rPr>
      </w:pPr>
    </w:p>
    <w:p w14:paraId="569E8000" w14:textId="696D903F" w:rsidR="004C798A" w:rsidRPr="00A66772" w:rsidRDefault="004C798A" w:rsidP="00A66772">
      <w:pPr>
        <w:ind w:left="0"/>
        <w:jc w:val="both"/>
        <w:rPr>
          <w:rFonts w:ascii="Bookman Old Style" w:hAnsi="Bookman Old Style"/>
        </w:rPr>
      </w:pPr>
      <w:r w:rsidRPr="00A66772">
        <w:rPr>
          <w:rFonts w:ascii="Bookman Old Style" w:hAnsi="Bookman Old Style"/>
        </w:rPr>
        <w:t xml:space="preserve">De la lectura del inciso segundo del Artículo 31 de la Ley 142 de 1994, </w:t>
      </w:r>
      <w:r w:rsidR="006E3B41" w:rsidRPr="00A66772">
        <w:rPr>
          <w:rFonts w:ascii="Bookman Old Style" w:hAnsi="Bookman Old Style"/>
        </w:rPr>
        <w:t xml:space="preserve">el cual a su vez fue modificado por el Artículo 3 de la Ley 689 de 2001, </w:t>
      </w:r>
      <w:r w:rsidRPr="00A66772">
        <w:rPr>
          <w:rFonts w:ascii="Bookman Old Style" w:hAnsi="Bookman Old Style"/>
        </w:rPr>
        <w:t xml:space="preserve">se observa que a las comisiones de regulación se les faculta el poder hacer obligatoria la inclusión en ciertos contratos, de cualquier empresa de servicios públicos, de cláusulas exorbitantes y podrán facultar, previa consulta, que se incluyan en los demás. En el caso de ser forzosa, todo se regirá conforme a lo dispuesto en la Ley 80 de 1993 y estarán sujetos al control de la jurisdicción contencioso administrativa.  </w:t>
      </w:r>
    </w:p>
    <w:p w14:paraId="424D90D3" w14:textId="48DF2426" w:rsidR="004C798A" w:rsidRPr="004C798A" w:rsidRDefault="004C798A" w:rsidP="004C798A">
      <w:pPr>
        <w:jc w:val="both"/>
        <w:rPr>
          <w:rFonts w:ascii="Bookman Old Style" w:hAnsi="Bookman Old Style"/>
        </w:rPr>
      </w:pPr>
    </w:p>
    <w:p w14:paraId="56605F39" w14:textId="0C6F6C54" w:rsidR="00FF4A22" w:rsidRPr="00A66772" w:rsidRDefault="004C798A" w:rsidP="00A66772">
      <w:pPr>
        <w:ind w:left="0"/>
        <w:jc w:val="both"/>
        <w:rPr>
          <w:rFonts w:ascii="Bookman Old Style" w:hAnsi="Bookman Old Style"/>
        </w:rPr>
      </w:pPr>
      <w:r w:rsidRPr="00A66772">
        <w:rPr>
          <w:rFonts w:ascii="Bookman Old Style" w:hAnsi="Bookman Old Style"/>
        </w:rPr>
        <w:t xml:space="preserve">Por su parte la Ley 143 de 1994 en el parágrafo del Artículo 8, </w:t>
      </w:r>
      <w:r w:rsidR="001F14E8" w:rsidRPr="00A66772">
        <w:rPr>
          <w:rFonts w:ascii="Bookman Old Style" w:hAnsi="Bookman Old Style"/>
        </w:rPr>
        <w:t xml:space="preserve">en relación con este mismo tema dispone que el régimen de contratación aplicable a las empresas de servicios públicos es el derecho privado, sin </w:t>
      </w:r>
      <w:r w:rsidR="006E3B41" w:rsidRPr="00A66772">
        <w:rPr>
          <w:rFonts w:ascii="Bookman Old Style" w:hAnsi="Bookman Old Style"/>
        </w:rPr>
        <w:t>embargo,</w:t>
      </w:r>
      <w:r w:rsidR="001F14E8" w:rsidRPr="00A66772">
        <w:rPr>
          <w:rFonts w:ascii="Bookman Old Style" w:hAnsi="Bookman Old Style"/>
        </w:rPr>
        <w:t xml:space="preserve"> la CREG puede hacer obligatoria la inclusión de cláusulas excepcionales al derecho común y cuando sea forzosa se regir</w:t>
      </w:r>
      <w:r w:rsidR="00FF4A22" w:rsidRPr="00A66772">
        <w:rPr>
          <w:rFonts w:ascii="Bookman Old Style" w:hAnsi="Bookman Old Style"/>
        </w:rPr>
        <w:t>án por el Estatuto General de Co</w:t>
      </w:r>
      <w:r w:rsidR="001F14E8" w:rsidRPr="00A66772">
        <w:rPr>
          <w:rFonts w:ascii="Bookman Old Style" w:hAnsi="Bookman Old Style"/>
        </w:rPr>
        <w:t>ntratación Pública.</w:t>
      </w:r>
    </w:p>
    <w:p w14:paraId="26D5A638" w14:textId="77777777" w:rsidR="00FF4A22" w:rsidRPr="00FF4A22" w:rsidRDefault="00FF4A22" w:rsidP="00FF4A22">
      <w:pPr>
        <w:pStyle w:val="Prrafodelista"/>
        <w:rPr>
          <w:rFonts w:ascii="Bookman Old Style" w:hAnsi="Bookman Old Style"/>
          <w:sz w:val="24"/>
          <w:szCs w:val="24"/>
        </w:rPr>
      </w:pPr>
    </w:p>
    <w:p w14:paraId="337A9D66" w14:textId="77324B09" w:rsidR="004C798A" w:rsidRPr="00A66772" w:rsidRDefault="00FF4A22" w:rsidP="00A66772">
      <w:pPr>
        <w:ind w:left="0"/>
        <w:jc w:val="both"/>
        <w:rPr>
          <w:rFonts w:ascii="Bookman Old Style" w:hAnsi="Bookman Old Style"/>
        </w:rPr>
      </w:pPr>
      <w:r w:rsidRPr="00A66772">
        <w:rPr>
          <w:rFonts w:ascii="Bookman Old Style" w:hAnsi="Bookman Old Style"/>
        </w:rPr>
        <w:t xml:space="preserve">En relación con este tema, </w:t>
      </w:r>
      <w:r w:rsidR="006E3B41" w:rsidRPr="00A66772">
        <w:rPr>
          <w:rFonts w:ascii="Bookman Old Style" w:hAnsi="Bookman Old Style"/>
        </w:rPr>
        <w:t xml:space="preserve">de igual forma debemos hacer referencia al concepto proferido por la CREG en el año 2002 y que se tiene en cuenta dentro de los argumentos </w:t>
      </w:r>
      <w:r w:rsidR="001F14E8" w:rsidRPr="00A66772">
        <w:rPr>
          <w:rFonts w:ascii="Bookman Old Style" w:hAnsi="Bookman Old Style"/>
        </w:rPr>
        <w:t xml:space="preserve">  </w:t>
      </w:r>
      <w:r w:rsidR="006E3B41" w:rsidRPr="00A66772">
        <w:rPr>
          <w:rFonts w:ascii="Bookman Old Style" w:hAnsi="Bookman Old Style"/>
        </w:rPr>
        <w:t>a considerar por parte nuestra, en donde se dispuso que al considerarse la solicitud que se hace algo excepcional, se autorizará cuando las empresas de manera fehaciente demuestre</w:t>
      </w:r>
      <w:r w:rsidR="003808B0" w:rsidRPr="00A66772">
        <w:rPr>
          <w:rFonts w:ascii="Bookman Old Style" w:hAnsi="Bookman Old Style"/>
        </w:rPr>
        <w:t>n</w:t>
      </w:r>
      <w:r w:rsidR="006E3B41" w:rsidRPr="00A66772">
        <w:rPr>
          <w:rFonts w:ascii="Bookman Old Style" w:hAnsi="Bookman Old Style"/>
        </w:rPr>
        <w:t xml:space="preserve"> lo siguiente: </w:t>
      </w:r>
    </w:p>
    <w:p w14:paraId="43435FA4" w14:textId="77777777" w:rsidR="006E3B41" w:rsidRPr="006E3B41" w:rsidRDefault="006E3B41" w:rsidP="006E3B41">
      <w:pPr>
        <w:pStyle w:val="Prrafodelista"/>
        <w:rPr>
          <w:rFonts w:ascii="Bookman Old Style" w:hAnsi="Bookman Old Style"/>
          <w:sz w:val="24"/>
          <w:szCs w:val="24"/>
        </w:rPr>
      </w:pPr>
    </w:p>
    <w:p w14:paraId="71E237E7" w14:textId="77777777" w:rsidR="003D101A" w:rsidRDefault="006E3B41" w:rsidP="00365D5C">
      <w:pPr>
        <w:pStyle w:val="Prrafodelista"/>
        <w:numPr>
          <w:ilvl w:val="0"/>
          <w:numId w:val="4"/>
        </w:numPr>
        <w:jc w:val="both"/>
        <w:rPr>
          <w:rFonts w:ascii="Bookman Old Style" w:hAnsi="Bookman Old Style"/>
          <w:sz w:val="24"/>
          <w:szCs w:val="24"/>
        </w:rPr>
      </w:pPr>
      <w:r w:rsidRPr="006E3B41">
        <w:rPr>
          <w:rFonts w:ascii="Bookman Old Style" w:hAnsi="Bookman Old Style"/>
          <w:sz w:val="24"/>
          <w:szCs w:val="24"/>
        </w:rPr>
        <w:t>Que los acuerdos que se pretende sean cobijados con este tipo de cláusulas tengan relación directa con la prestación del servicio eléctrico a sus usuarios y que de no accederse a tal solicitud se ponga en peligro la continuidad y calidad en la prestación del mismo.</w:t>
      </w:r>
    </w:p>
    <w:p w14:paraId="27CC0754" w14:textId="77777777" w:rsidR="003D101A" w:rsidRDefault="003D101A" w:rsidP="003D101A">
      <w:pPr>
        <w:pStyle w:val="Prrafodelista"/>
        <w:ind w:left="927"/>
        <w:jc w:val="both"/>
        <w:rPr>
          <w:rFonts w:ascii="Bookman Old Style" w:hAnsi="Bookman Old Style"/>
          <w:sz w:val="24"/>
          <w:szCs w:val="24"/>
        </w:rPr>
      </w:pPr>
    </w:p>
    <w:p w14:paraId="02D2709C" w14:textId="77777777" w:rsidR="003D101A" w:rsidRDefault="003D101A" w:rsidP="00365D5C">
      <w:pPr>
        <w:pStyle w:val="Prrafodelista"/>
        <w:numPr>
          <w:ilvl w:val="0"/>
          <w:numId w:val="4"/>
        </w:numPr>
        <w:jc w:val="both"/>
        <w:rPr>
          <w:rFonts w:ascii="Bookman Old Style" w:hAnsi="Bookman Old Style"/>
          <w:sz w:val="24"/>
          <w:szCs w:val="24"/>
        </w:rPr>
      </w:pPr>
      <w:r>
        <w:rPr>
          <w:rFonts w:ascii="Bookman Old Style" w:hAnsi="Bookman Old Style"/>
          <w:sz w:val="24"/>
          <w:szCs w:val="24"/>
        </w:rPr>
        <w:t>Q</w:t>
      </w:r>
      <w:r w:rsidR="006E3B41" w:rsidRPr="006E3B41">
        <w:rPr>
          <w:rFonts w:ascii="Bookman Old Style" w:hAnsi="Bookman Old Style"/>
          <w:sz w:val="24"/>
          <w:szCs w:val="24"/>
        </w:rPr>
        <w:t>ue por no incluir este tipo de cláusulas se genere una parálisis o una afectación grave en la prestación de los servicios públicos que presta la empresa, tal como dispone el Artículo 14 de la ley 80 de 1993.</w:t>
      </w:r>
    </w:p>
    <w:p w14:paraId="3BDB814A" w14:textId="77777777" w:rsidR="003D101A" w:rsidRPr="003D101A" w:rsidRDefault="003D101A" w:rsidP="003D101A">
      <w:pPr>
        <w:pStyle w:val="Prrafodelista"/>
        <w:rPr>
          <w:rFonts w:ascii="Bookman Old Style" w:hAnsi="Bookman Old Style"/>
          <w:sz w:val="24"/>
          <w:szCs w:val="24"/>
        </w:rPr>
      </w:pPr>
    </w:p>
    <w:p w14:paraId="3B426ADA" w14:textId="22263CCD" w:rsidR="00370BC8" w:rsidRDefault="003D101A" w:rsidP="00365D5C">
      <w:pPr>
        <w:pStyle w:val="Prrafodelista"/>
        <w:numPr>
          <w:ilvl w:val="0"/>
          <w:numId w:val="4"/>
        </w:numPr>
        <w:jc w:val="both"/>
        <w:rPr>
          <w:rFonts w:ascii="Bookman Old Style" w:hAnsi="Bookman Old Style"/>
          <w:sz w:val="24"/>
          <w:szCs w:val="24"/>
        </w:rPr>
      </w:pPr>
      <w:r>
        <w:rPr>
          <w:rFonts w:ascii="Bookman Old Style" w:hAnsi="Bookman Old Style"/>
          <w:sz w:val="24"/>
          <w:szCs w:val="24"/>
        </w:rPr>
        <w:lastRenderedPageBreak/>
        <w:t>Q</w:t>
      </w:r>
      <w:r w:rsidR="006E3B41" w:rsidRPr="006E3B41">
        <w:rPr>
          <w:rFonts w:ascii="Bookman Old Style" w:hAnsi="Bookman Old Style"/>
          <w:sz w:val="24"/>
          <w:szCs w:val="24"/>
        </w:rPr>
        <w:t>ue la normatividad privada no contemple mecanismos, o si los contempla son insuficientes o inaplicables, para que la empresa pueda incluir cláusulas que le garanticen la cumplida ejecución del contrato.</w:t>
      </w:r>
    </w:p>
    <w:p w14:paraId="2427781C" w14:textId="77777777" w:rsidR="00370BC8" w:rsidRPr="00370BC8" w:rsidRDefault="00370BC8" w:rsidP="00370BC8">
      <w:pPr>
        <w:pStyle w:val="Prrafodelista"/>
        <w:rPr>
          <w:rFonts w:ascii="Bookman Old Style" w:hAnsi="Bookman Old Style"/>
          <w:sz w:val="24"/>
          <w:szCs w:val="24"/>
        </w:rPr>
      </w:pPr>
    </w:p>
    <w:p w14:paraId="29B8E505" w14:textId="77777777" w:rsidR="0015147A" w:rsidRPr="00F922E1" w:rsidRDefault="00370BC8" w:rsidP="00F922E1">
      <w:pPr>
        <w:ind w:left="0"/>
        <w:jc w:val="both"/>
        <w:rPr>
          <w:rFonts w:ascii="Bookman Old Style" w:hAnsi="Bookman Old Style"/>
        </w:rPr>
      </w:pPr>
      <w:r w:rsidRPr="00F922E1">
        <w:rPr>
          <w:rFonts w:ascii="Bookman Old Style" w:hAnsi="Bookman Old Style"/>
        </w:rPr>
        <w:t>Revisada la solicitud presentada por parte de EMCARTAGO SA ESP</w:t>
      </w:r>
      <w:r w:rsidR="0015147A" w:rsidRPr="00F922E1">
        <w:rPr>
          <w:rFonts w:ascii="Bookman Old Style" w:hAnsi="Bookman Old Style"/>
        </w:rPr>
        <w:t xml:space="preserve">, se procedió a dar inicio a la actuación administrativa el día 28 de enero de 2019 mediante auto con radicado I-2019-00317. </w:t>
      </w:r>
    </w:p>
    <w:p w14:paraId="1BB8FC98" w14:textId="77777777" w:rsidR="0015147A" w:rsidRPr="0015147A" w:rsidRDefault="0015147A" w:rsidP="0015147A">
      <w:pPr>
        <w:jc w:val="both"/>
        <w:rPr>
          <w:rFonts w:ascii="Bookman Old Style" w:hAnsi="Bookman Old Style"/>
        </w:rPr>
      </w:pPr>
    </w:p>
    <w:p w14:paraId="1A620E47" w14:textId="001A5C55" w:rsidR="0015147A" w:rsidRPr="00F922E1" w:rsidRDefault="0015147A" w:rsidP="00F922E1">
      <w:pPr>
        <w:ind w:left="0"/>
        <w:jc w:val="both"/>
        <w:rPr>
          <w:rFonts w:ascii="Bookman Old Style" w:hAnsi="Bookman Old Style"/>
        </w:rPr>
      </w:pPr>
      <w:r w:rsidRPr="00F922E1">
        <w:rPr>
          <w:rFonts w:ascii="Bookman Old Style" w:hAnsi="Bookman Old Style"/>
        </w:rPr>
        <w:t>De igual forma, teniendo en cuenta que la Superintendencia de Servicios Públicos Domiciliarios, mediante la Resolución No. SSPD – 201430007195 del 18 de marzo de 2014 ordenó la toma de posesión con fines liquidatorios – etapa de administración temporal de EMCARTAGO SA ESP, conforme lo establecido por la Ley 142 de 1994</w:t>
      </w:r>
      <w:r w:rsidR="00103232" w:rsidRPr="00F922E1">
        <w:rPr>
          <w:rFonts w:ascii="Bookman Old Style" w:hAnsi="Bookman Old Style"/>
        </w:rPr>
        <w:t xml:space="preserve">, se adelantó una reunión con la mencionada entidad en donde se observó, que  mediante la Resolución No. SSPD – 20161300018815 del 1 de julio de 2016, estableció el esquema de solución  dentro del proceso de intervención de la empresa en mención y en relación con la prestación del servicio de energía eléctrica se resolvió lo siguiente: </w:t>
      </w:r>
    </w:p>
    <w:p w14:paraId="4754BF90" w14:textId="77777777" w:rsidR="006339F8" w:rsidRPr="006339F8" w:rsidRDefault="006339F8" w:rsidP="006339F8">
      <w:pPr>
        <w:pStyle w:val="Prrafodelista"/>
        <w:rPr>
          <w:rFonts w:ascii="Bookman Old Style" w:hAnsi="Bookman Old Style"/>
          <w:sz w:val="24"/>
          <w:szCs w:val="24"/>
        </w:rPr>
      </w:pPr>
    </w:p>
    <w:p w14:paraId="10F65B86" w14:textId="39278A1D" w:rsidR="006339F8" w:rsidRPr="00857B67" w:rsidRDefault="006339F8" w:rsidP="006339F8">
      <w:pPr>
        <w:pStyle w:val="Prrafodelista"/>
        <w:ind w:left="927"/>
        <w:jc w:val="both"/>
        <w:rPr>
          <w:rFonts w:ascii="Bookman Old Style" w:hAnsi="Bookman Old Style"/>
          <w:b/>
          <w:i/>
          <w:sz w:val="24"/>
          <w:szCs w:val="24"/>
        </w:rPr>
      </w:pPr>
      <w:r w:rsidRPr="00857B67">
        <w:rPr>
          <w:rFonts w:ascii="Bookman Old Style" w:hAnsi="Bookman Old Style"/>
          <w:b/>
          <w:i/>
          <w:sz w:val="24"/>
          <w:szCs w:val="24"/>
        </w:rPr>
        <w:t xml:space="preserve">Línea 1. Garantía de prestación del servicio de energía eléctrica: </w:t>
      </w:r>
    </w:p>
    <w:p w14:paraId="4596D3AC" w14:textId="72752EEC" w:rsidR="00103232" w:rsidRPr="00857B67" w:rsidRDefault="006339F8" w:rsidP="007D4CA3">
      <w:pPr>
        <w:pStyle w:val="Prrafodelista"/>
        <w:ind w:left="927"/>
        <w:jc w:val="both"/>
        <w:rPr>
          <w:rFonts w:ascii="Bookman Old Style" w:hAnsi="Bookman Old Style"/>
          <w:i/>
          <w:sz w:val="24"/>
          <w:szCs w:val="24"/>
        </w:rPr>
      </w:pPr>
      <w:r w:rsidRPr="00857B67">
        <w:rPr>
          <w:rFonts w:ascii="Bookman Old Style" w:hAnsi="Bookman Old Style"/>
          <w:i/>
          <w:sz w:val="24"/>
          <w:szCs w:val="24"/>
        </w:rPr>
        <w:t xml:space="preserve">Vincular un operador especializado para </w:t>
      </w:r>
      <w:r w:rsidR="00F71F29">
        <w:rPr>
          <w:rFonts w:ascii="Bookman Old Style" w:hAnsi="Bookman Old Style"/>
          <w:i/>
          <w:sz w:val="24"/>
          <w:szCs w:val="24"/>
        </w:rPr>
        <w:t>que asuma, por su cuenta</w:t>
      </w:r>
      <w:r w:rsidRPr="00857B67">
        <w:rPr>
          <w:rFonts w:ascii="Bookman Old Style" w:hAnsi="Bookman Old Style"/>
          <w:i/>
          <w:sz w:val="24"/>
          <w:szCs w:val="24"/>
        </w:rPr>
        <w:t xml:space="preserve"> y riesgo, la operación del servicio de energía eléctrica en los componentes de comercialización y distribución en el área de prestación de EMCARTAGO E.S.P., con la infraestructura de comercialización de la empresa, realizando a</w:t>
      </w:r>
      <w:r w:rsidR="007D4CA3" w:rsidRPr="00857B67">
        <w:rPr>
          <w:rFonts w:ascii="Bookman Old Style" w:hAnsi="Bookman Old Style"/>
          <w:i/>
          <w:sz w:val="24"/>
          <w:szCs w:val="24"/>
        </w:rPr>
        <w:t>demás las inversiones a que haya lugar, seleccionando mediante un proceso de invitación pública, conforme a los principios constitucionales de la función administrativa.</w:t>
      </w:r>
    </w:p>
    <w:p w14:paraId="1AF9B971" w14:textId="77777777" w:rsidR="00103232" w:rsidRDefault="00103232" w:rsidP="00103232">
      <w:pPr>
        <w:pStyle w:val="Prrafodelista"/>
        <w:ind w:left="927"/>
        <w:jc w:val="both"/>
        <w:rPr>
          <w:rFonts w:ascii="Bookman Old Style" w:hAnsi="Bookman Old Style"/>
          <w:sz w:val="24"/>
          <w:szCs w:val="24"/>
        </w:rPr>
      </w:pPr>
    </w:p>
    <w:p w14:paraId="0376D7F3" w14:textId="5E6BC177" w:rsidR="006639F8" w:rsidRPr="00A66772" w:rsidRDefault="00103232" w:rsidP="00A66772">
      <w:pPr>
        <w:ind w:left="0"/>
        <w:jc w:val="both"/>
        <w:rPr>
          <w:rFonts w:ascii="Bookman Old Style" w:hAnsi="Bookman Old Style"/>
        </w:rPr>
      </w:pPr>
      <w:r w:rsidRPr="00A66772">
        <w:rPr>
          <w:rFonts w:ascii="Bookman Old Style" w:hAnsi="Bookman Old Style"/>
        </w:rPr>
        <w:t>De otra parte, dentro de la actuación administrativa, mediante auto de pruebas de fecha 20 de mayo de 2019 y radicado CREG I-2019-003045, se solicit</w:t>
      </w:r>
      <w:r w:rsidR="006639F8" w:rsidRPr="00A66772">
        <w:rPr>
          <w:rFonts w:ascii="Bookman Old Style" w:hAnsi="Bookman Old Style"/>
        </w:rPr>
        <w:t>ó:</w:t>
      </w:r>
    </w:p>
    <w:p w14:paraId="449F64DF" w14:textId="77777777" w:rsidR="006639F8" w:rsidRDefault="006639F8" w:rsidP="006639F8">
      <w:pPr>
        <w:pStyle w:val="Prrafodelista"/>
        <w:ind w:left="927"/>
        <w:jc w:val="both"/>
        <w:rPr>
          <w:rFonts w:ascii="Bookman Old Style" w:hAnsi="Bookman Old Style"/>
          <w:sz w:val="24"/>
          <w:szCs w:val="24"/>
        </w:rPr>
      </w:pPr>
    </w:p>
    <w:p w14:paraId="761277CC" w14:textId="77777777" w:rsidR="006639F8" w:rsidRPr="007D4CA3" w:rsidRDefault="006639F8" w:rsidP="006639F8">
      <w:pPr>
        <w:spacing w:after="240"/>
        <w:ind w:left="927"/>
        <w:jc w:val="both"/>
        <w:rPr>
          <w:rFonts w:ascii="Bookman Old Style" w:hAnsi="Bookman Old Style" w:cs="Arial"/>
          <w:bCs/>
          <w:i/>
        </w:rPr>
      </w:pPr>
      <w:r w:rsidRPr="007D4CA3">
        <w:rPr>
          <w:rFonts w:ascii="Bookman Old Style" w:hAnsi="Bookman Old Style" w:cs="Arial"/>
          <w:b/>
          <w:bCs/>
          <w:i/>
          <w:lang w:val="es-CO"/>
        </w:rPr>
        <w:t>PRIMERO</w:t>
      </w:r>
      <w:r w:rsidRPr="007D4CA3">
        <w:rPr>
          <w:rFonts w:ascii="Bookman Old Style" w:hAnsi="Bookman Old Style" w:cs="Arial"/>
          <w:b/>
          <w:bCs/>
          <w:i/>
        </w:rPr>
        <w:t>.</w:t>
      </w:r>
      <w:r w:rsidRPr="007D4CA3">
        <w:rPr>
          <w:rFonts w:ascii="Bookman Old Style" w:hAnsi="Bookman Old Style" w:cs="Arial"/>
          <w:bCs/>
          <w:i/>
        </w:rPr>
        <w:t xml:space="preserve">  Decretar la práctica de la prueba consistente en el envío de toda la documentación soporte que demuestre el cumplimiento de los 3 requisitos contemplados en el concepto CREG del año 2002, en relación con la inclusión de cláusulas excepcionales al contrato de distribución y comercialización que EMCARTAGO, quiere incluir en el contrato de distribución y comercialización de energía en su área de influencia. </w:t>
      </w:r>
    </w:p>
    <w:p w14:paraId="3D8AB94E" w14:textId="6314E040" w:rsidR="006639F8" w:rsidRPr="007D4CA3" w:rsidRDefault="006639F8" w:rsidP="006639F8">
      <w:pPr>
        <w:spacing w:after="240"/>
        <w:ind w:left="927"/>
        <w:jc w:val="both"/>
        <w:rPr>
          <w:rFonts w:ascii="Bookman Old Style" w:hAnsi="Bookman Old Style" w:cs="Arial"/>
          <w:bCs/>
          <w:i/>
        </w:rPr>
      </w:pPr>
      <w:r w:rsidRPr="007D4CA3">
        <w:rPr>
          <w:rFonts w:ascii="Bookman Old Style" w:hAnsi="Bookman Old Style" w:cs="Arial"/>
          <w:bCs/>
          <w:i/>
        </w:rPr>
        <w:t>El período probatorio estará comprendido entre el día 16 de mayo y el día 3 de junio de 2019.</w:t>
      </w:r>
    </w:p>
    <w:p w14:paraId="06F81F06" w14:textId="752016B6" w:rsidR="0055149F" w:rsidRPr="00A66772" w:rsidRDefault="0055149F" w:rsidP="00A66772">
      <w:pPr>
        <w:spacing w:after="240"/>
        <w:ind w:left="0"/>
        <w:jc w:val="both"/>
        <w:rPr>
          <w:rFonts w:ascii="Bookman Old Style" w:hAnsi="Bookman Old Style" w:cs="Arial"/>
          <w:bCs/>
        </w:rPr>
      </w:pPr>
      <w:r w:rsidRPr="00A66772">
        <w:rPr>
          <w:rFonts w:ascii="Bookman Old Style" w:hAnsi="Bookman Old Style" w:cs="Arial"/>
          <w:bCs/>
        </w:rPr>
        <w:t xml:space="preserve">Como </w:t>
      </w:r>
      <w:r w:rsidR="003808B0" w:rsidRPr="00A66772">
        <w:rPr>
          <w:rFonts w:ascii="Bookman Old Style" w:hAnsi="Bookman Old Style" w:cs="Arial"/>
          <w:bCs/>
        </w:rPr>
        <w:t>consecuencia</w:t>
      </w:r>
      <w:r w:rsidRPr="00A66772">
        <w:rPr>
          <w:rFonts w:ascii="Bookman Old Style" w:hAnsi="Bookman Old Style" w:cs="Arial"/>
          <w:bCs/>
        </w:rPr>
        <w:t xml:space="preserve"> de lo anterior, mediante radicado E-2019-006318 se dio respuesta manifestando lo siguiente:</w:t>
      </w:r>
    </w:p>
    <w:p w14:paraId="46E92DD5" w14:textId="692D9E1C" w:rsidR="0055149F" w:rsidRPr="00857B67" w:rsidRDefault="007D4CA3" w:rsidP="007D4CA3">
      <w:pPr>
        <w:pStyle w:val="Prrafodelista"/>
        <w:spacing w:after="240"/>
        <w:ind w:left="927"/>
        <w:jc w:val="both"/>
        <w:rPr>
          <w:rFonts w:ascii="Bookman Old Style" w:hAnsi="Bookman Old Style" w:cs="Arial"/>
          <w:bCs/>
          <w:i/>
          <w:sz w:val="24"/>
          <w:szCs w:val="24"/>
        </w:rPr>
      </w:pPr>
      <w:r w:rsidRPr="00857B67">
        <w:rPr>
          <w:rFonts w:ascii="Bookman Old Style" w:hAnsi="Bookman Old Style" w:cs="Arial"/>
          <w:bCs/>
          <w:i/>
          <w:sz w:val="24"/>
          <w:szCs w:val="24"/>
        </w:rPr>
        <w:t xml:space="preserve">La operación de la contratación que realizará EMCARTAGO E.S.P., tiene como propósito la prestación del servicio de energía eléctrica en las actividades de distribución y comercialización en el área de prestación de EMCARTAGO, que corresponde al casco urbano del municipio de Cartago y sus corregimientos de Santa Ana, Zaragoza, Cauca, el Guanábano, la zona rural de Cartago aledaña al rio Cauca; corregimiento de cruces de Obando; las zonas aledañas al rio Cauca que son jurisdicción del municipio de Ansermanuevo y la Virginia; y el corregimiento de Puerto </w:t>
      </w:r>
      <w:r w:rsidRPr="00857B67">
        <w:rPr>
          <w:rFonts w:ascii="Bookman Old Style" w:hAnsi="Bookman Old Style" w:cs="Arial"/>
          <w:bCs/>
          <w:i/>
          <w:sz w:val="24"/>
          <w:szCs w:val="24"/>
        </w:rPr>
        <w:lastRenderedPageBreak/>
        <w:t xml:space="preserve">Caldas del municipio de Pereira; en la que se atienden más de 45.000 suscriptores, entre los que se encuentran hospitales, centros educativos, acueductos, entre otros servicios de carácter fundamental para garantizar la calidad de vida de los habitantes de la zona. </w:t>
      </w:r>
    </w:p>
    <w:p w14:paraId="3F86B6A1" w14:textId="7A528740" w:rsidR="0055149F" w:rsidRPr="00857B67" w:rsidRDefault="0055149F" w:rsidP="0055149F">
      <w:pPr>
        <w:pStyle w:val="Prrafodelista"/>
        <w:spacing w:after="240"/>
        <w:ind w:left="927"/>
        <w:jc w:val="both"/>
        <w:rPr>
          <w:rFonts w:ascii="Bookman Old Style" w:hAnsi="Bookman Old Style" w:cs="Arial"/>
          <w:bCs/>
          <w:i/>
          <w:sz w:val="24"/>
          <w:szCs w:val="24"/>
        </w:rPr>
      </w:pPr>
      <w:r w:rsidRPr="00857B67">
        <w:rPr>
          <w:rFonts w:ascii="Bookman Old Style" w:hAnsi="Bookman Old Style" w:cs="Arial"/>
          <w:bCs/>
          <w:i/>
          <w:sz w:val="24"/>
          <w:szCs w:val="24"/>
        </w:rPr>
        <w:t>De igual forma, se transcribe el objeto del contrato, así:</w:t>
      </w:r>
    </w:p>
    <w:p w14:paraId="4B1B8C7F" w14:textId="11B7F8A3" w:rsidR="007D4CA3" w:rsidRPr="00857B67" w:rsidRDefault="007D4CA3" w:rsidP="0055149F">
      <w:pPr>
        <w:pStyle w:val="Prrafodelista"/>
        <w:spacing w:after="240"/>
        <w:ind w:left="927"/>
        <w:jc w:val="both"/>
        <w:rPr>
          <w:rFonts w:ascii="Bookman Old Style" w:hAnsi="Bookman Old Style" w:cs="Arial"/>
          <w:b/>
          <w:bCs/>
          <w:i/>
          <w:sz w:val="24"/>
          <w:szCs w:val="24"/>
        </w:rPr>
      </w:pPr>
      <w:r w:rsidRPr="00857B67">
        <w:rPr>
          <w:rFonts w:ascii="Bookman Old Style" w:hAnsi="Bookman Old Style" w:cs="Arial"/>
          <w:b/>
          <w:bCs/>
          <w:i/>
          <w:sz w:val="24"/>
          <w:szCs w:val="24"/>
        </w:rPr>
        <w:t>Objeto de contrato:</w:t>
      </w:r>
    </w:p>
    <w:p w14:paraId="69D99E5A" w14:textId="636989BB" w:rsidR="00C74B0F" w:rsidRPr="00857B67" w:rsidRDefault="00C74B0F" w:rsidP="0055149F">
      <w:pPr>
        <w:pStyle w:val="Prrafodelista"/>
        <w:spacing w:after="240"/>
        <w:ind w:left="927"/>
        <w:jc w:val="both"/>
        <w:rPr>
          <w:rFonts w:ascii="Bookman Old Style" w:hAnsi="Bookman Old Style" w:cs="Arial"/>
          <w:bCs/>
          <w:i/>
          <w:sz w:val="24"/>
          <w:szCs w:val="24"/>
        </w:rPr>
      </w:pPr>
      <w:r w:rsidRPr="00857B67">
        <w:rPr>
          <w:rFonts w:ascii="Bookman Old Style" w:hAnsi="Bookman Old Style" w:cs="Arial"/>
          <w:bCs/>
          <w:i/>
          <w:sz w:val="24"/>
          <w:szCs w:val="24"/>
        </w:rPr>
        <w:t xml:space="preserve">El objeto el presente contrato es la </w:t>
      </w:r>
      <w:r w:rsidRPr="00857B67">
        <w:rPr>
          <w:rFonts w:ascii="Bookman Old Style" w:hAnsi="Bookman Old Style" w:cs="Arial"/>
          <w:bCs/>
          <w:i/>
          <w:sz w:val="24"/>
          <w:szCs w:val="24"/>
          <w:u w:val="single"/>
        </w:rPr>
        <w:t xml:space="preserve">operación del servicio de energía eléctrica por parte del operador, </w:t>
      </w:r>
      <w:r w:rsidRPr="00857B67">
        <w:rPr>
          <w:rFonts w:ascii="Bookman Old Style" w:hAnsi="Bookman Old Style" w:cs="Arial"/>
          <w:bCs/>
          <w:i/>
          <w:sz w:val="24"/>
          <w:szCs w:val="24"/>
        </w:rPr>
        <w:t>quien p</w:t>
      </w:r>
      <w:r w:rsidR="00926401">
        <w:rPr>
          <w:rFonts w:ascii="Bookman Old Style" w:hAnsi="Bookman Old Style" w:cs="Arial"/>
          <w:bCs/>
          <w:i/>
          <w:sz w:val="24"/>
          <w:szCs w:val="24"/>
        </w:rPr>
        <w:t>or su cuenta y riesgo, asumirá l</w:t>
      </w:r>
      <w:r w:rsidRPr="00857B67">
        <w:rPr>
          <w:rFonts w:ascii="Bookman Old Style" w:hAnsi="Bookman Old Style" w:cs="Arial"/>
          <w:bCs/>
          <w:i/>
          <w:sz w:val="24"/>
          <w:szCs w:val="24"/>
        </w:rPr>
        <w:t>as actividades de comercialización y distribución en el área de presentación de EMCARTAGO E.S.P., con la infraestructura de distribución y comercialización de energía que le será entregada temporalmente por EMCARTAGO E.S.P., incluidas en las inversiones a que haya lugar, conforme al anexo técnico, y las demás que se requieran por la normatividad vigente y futura.</w:t>
      </w:r>
    </w:p>
    <w:p w14:paraId="59CA3CCF" w14:textId="4E076BDF" w:rsidR="00C74B0F" w:rsidRPr="00857B67" w:rsidRDefault="00C74B0F" w:rsidP="0055149F">
      <w:pPr>
        <w:pStyle w:val="Prrafodelista"/>
        <w:spacing w:after="240"/>
        <w:ind w:left="927"/>
        <w:jc w:val="both"/>
        <w:rPr>
          <w:rFonts w:ascii="Bookman Old Style" w:hAnsi="Bookman Old Style" w:cs="Arial"/>
          <w:bCs/>
          <w:i/>
          <w:sz w:val="24"/>
          <w:szCs w:val="24"/>
        </w:rPr>
      </w:pPr>
      <w:r w:rsidRPr="00857B67">
        <w:rPr>
          <w:rFonts w:ascii="Bookman Old Style" w:hAnsi="Bookman Old Style" w:cs="Arial"/>
          <w:bCs/>
          <w:i/>
          <w:sz w:val="24"/>
          <w:szCs w:val="24"/>
        </w:rPr>
        <w:t xml:space="preserve">El OPERADOR deberá prestar dichas actividades dando estricto cumplimiento a los reglamentos de distribución y comercialización de energía expedidos por la CREG mediante las resoluciones 70 de 1998 y 156 de 2011 y aquellas que las modifiquen o sustituyan; y con los niveles de calidad exigidos tanto en el anexo técnico, como en la regulación. </w:t>
      </w:r>
    </w:p>
    <w:p w14:paraId="0DC22727" w14:textId="03C12E09" w:rsidR="00C74B0F" w:rsidRPr="00857B67" w:rsidRDefault="00C74B0F" w:rsidP="0055149F">
      <w:pPr>
        <w:pStyle w:val="Prrafodelista"/>
        <w:spacing w:after="240"/>
        <w:ind w:left="927"/>
        <w:jc w:val="both"/>
        <w:rPr>
          <w:rFonts w:ascii="Bookman Old Style" w:hAnsi="Bookman Old Style" w:cs="Arial"/>
          <w:bCs/>
          <w:i/>
          <w:sz w:val="24"/>
          <w:szCs w:val="24"/>
        </w:rPr>
      </w:pPr>
      <w:r w:rsidRPr="00857B67">
        <w:rPr>
          <w:rFonts w:ascii="Bookman Old Style" w:hAnsi="Bookman Old Style" w:cs="Arial"/>
          <w:bCs/>
          <w:i/>
          <w:sz w:val="24"/>
          <w:szCs w:val="24"/>
        </w:rPr>
        <w:t xml:space="preserve">Con ocasión de lo dispuesto en el presente contrato, </w:t>
      </w:r>
      <w:r w:rsidRPr="00857B67">
        <w:rPr>
          <w:rFonts w:ascii="Bookman Old Style" w:hAnsi="Bookman Old Style" w:cs="Arial"/>
          <w:bCs/>
          <w:i/>
          <w:sz w:val="24"/>
          <w:szCs w:val="24"/>
          <w:u w:val="single"/>
        </w:rPr>
        <w:t xml:space="preserve">el OPERADOR asume la responsabilidad integral por la prestación del servicio de energía eléctrica en los componentes de distribución y comercialización, </w:t>
      </w:r>
      <w:r w:rsidRPr="00857B67">
        <w:rPr>
          <w:rFonts w:ascii="Bookman Old Style" w:hAnsi="Bookman Old Style" w:cs="Arial"/>
          <w:bCs/>
          <w:i/>
          <w:sz w:val="24"/>
          <w:szCs w:val="24"/>
        </w:rPr>
        <w:t>y, por lo tanto, responderá integralmente ante los usuarios y la superintendencia de servicios púb</w:t>
      </w:r>
      <w:r w:rsidR="00926401">
        <w:rPr>
          <w:rFonts w:ascii="Bookman Old Style" w:hAnsi="Bookman Old Style" w:cs="Arial"/>
          <w:bCs/>
          <w:i/>
          <w:sz w:val="24"/>
          <w:szCs w:val="24"/>
        </w:rPr>
        <w:t>licos, sin que se pueda configu</w:t>
      </w:r>
      <w:r w:rsidRPr="00857B67">
        <w:rPr>
          <w:rFonts w:ascii="Bookman Old Style" w:hAnsi="Bookman Old Style" w:cs="Arial"/>
          <w:bCs/>
          <w:i/>
          <w:sz w:val="24"/>
          <w:szCs w:val="24"/>
        </w:rPr>
        <w:t>ra</w:t>
      </w:r>
      <w:r w:rsidR="00926401">
        <w:rPr>
          <w:rFonts w:ascii="Bookman Old Style" w:hAnsi="Bookman Old Style" w:cs="Arial"/>
          <w:bCs/>
          <w:i/>
          <w:sz w:val="24"/>
          <w:szCs w:val="24"/>
        </w:rPr>
        <w:t>r</w:t>
      </w:r>
      <w:r w:rsidRPr="00857B67">
        <w:rPr>
          <w:rFonts w:ascii="Bookman Old Style" w:hAnsi="Bookman Old Style" w:cs="Arial"/>
          <w:bCs/>
          <w:i/>
          <w:sz w:val="24"/>
          <w:szCs w:val="24"/>
        </w:rPr>
        <w:t xml:space="preserve"> una corresponsabilidad en la prestación entre el OPERADOR y la CONTRATANTE.</w:t>
      </w:r>
    </w:p>
    <w:p w14:paraId="5DA64820" w14:textId="5285BC77" w:rsidR="0055149F" w:rsidRPr="00857B67" w:rsidRDefault="00C74B0F" w:rsidP="00605DD6">
      <w:pPr>
        <w:pStyle w:val="Prrafodelista"/>
        <w:spacing w:after="240"/>
        <w:ind w:left="927"/>
        <w:jc w:val="both"/>
        <w:rPr>
          <w:rFonts w:ascii="Bookman Old Style" w:hAnsi="Bookman Old Style" w:cs="Arial"/>
          <w:bCs/>
          <w:i/>
          <w:sz w:val="24"/>
          <w:szCs w:val="24"/>
        </w:rPr>
      </w:pPr>
      <w:r w:rsidRPr="00857B67">
        <w:rPr>
          <w:rFonts w:ascii="Bookman Old Style" w:hAnsi="Bookman Old Style" w:cs="Arial"/>
          <w:bCs/>
          <w:i/>
          <w:sz w:val="24"/>
          <w:szCs w:val="24"/>
        </w:rPr>
        <w:t xml:space="preserve">A la terminación del contrato, el OPERADOR deberá restituir, libres de deuda y de cualquier gravamen, a la CONTRATANTE, o a la entidad que haga sus veces, la infraestructura destinada para la prestación del servicio de energía </w:t>
      </w:r>
      <w:r w:rsidR="00605DD6" w:rsidRPr="00857B67">
        <w:rPr>
          <w:rFonts w:ascii="Bookman Old Style" w:hAnsi="Bookman Old Style" w:cs="Arial"/>
          <w:bCs/>
          <w:i/>
          <w:sz w:val="24"/>
          <w:szCs w:val="24"/>
        </w:rPr>
        <w:t>en sus actividades de distribución y comercialización y los demás bienes de cualquier naturaleza que adquiera, adicione, mejore o construya el OPERADOR con la finalidad de cumplir con el objeto del contrato. El CONTRATANTE se hará propietario de los mismo sin que se cause compensación o pago adicional a favor del OPERADOR por este concepto. “(Subrayas intencionales.)</w:t>
      </w:r>
    </w:p>
    <w:p w14:paraId="2FF76FF3" w14:textId="44866802" w:rsidR="007D063F" w:rsidRPr="00A66772" w:rsidRDefault="007D063F" w:rsidP="00A66772">
      <w:pPr>
        <w:spacing w:after="240"/>
        <w:ind w:left="0"/>
        <w:jc w:val="both"/>
        <w:rPr>
          <w:rFonts w:ascii="Bookman Old Style" w:hAnsi="Bookman Old Style" w:cs="Arial"/>
          <w:bCs/>
        </w:rPr>
      </w:pPr>
      <w:r w:rsidRPr="00A66772">
        <w:rPr>
          <w:rFonts w:ascii="Bookman Old Style" w:hAnsi="Bookman Old Style" w:cs="Arial"/>
          <w:bCs/>
        </w:rPr>
        <w:t>Con base en lo dispuesto en el modelo de contrato, de parte de EMCARTAGO SA ESP, se manifiesta lo siguiente:</w:t>
      </w:r>
    </w:p>
    <w:p w14:paraId="1821DC21" w14:textId="6F3A6A82" w:rsidR="007D063F" w:rsidRPr="009C00B4" w:rsidRDefault="007D063F" w:rsidP="00365D5C">
      <w:pPr>
        <w:pStyle w:val="Prrafodelista"/>
        <w:numPr>
          <w:ilvl w:val="0"/>
          <w:numId w:val="7"/>
        </w:numPr>
        <w:spacing w:after="240"/>
        <w:jc w:val="both"/>
        <w:rPr>
          <w:rFonts w:ascii="Bookman Old Style" w:hAnsi="Bookman Old Style" w:cs="Arial"/>
          <w:bCs/>
          <w:sz w:val="24"/>
          <w:szCs w:val="24"/>
        </w:rPr>
      </w:pPr>
      <w:r w:rsidRPr="009C00B4">
        <w:rPr>
          <w:rFonts w:ascii="Bookman Old Style" w:hAnsi="Bookman Old Style" w:cs="Arial"/>
          <w:bCs/>
          <w:sz w:val="24"/>
          <w:szCs w:val="24"/>
        </w:rPr>
        <w:t xml:space="preserve">El contratista asume la prestación del servicio público domiciliario de energía, el cual debe prestarse en condiciones de eficiencia. </w:t>
      </w:r>
    </w:p>
    <w:p w14:paraId="3182BFF9" w14:textId="77777777" w:rsidR="00D11667" w:rsidRDefault="007D063F" w:rsidP="00365D5C">
      <w:pPr>
        <w:pStyle w:val="Prrafodelista"/>
        <w:numPr>
          <w:ilvl w:val="0"/>
          <w:numId w:val="7"/>
        </w:numPr>
        <w:spacing w:after="240"/>
        <w:jc w:val="both"/>
        <w:rPr>
          <w:rFonts w:ascii="Bookman Old Style" w:hAnsi="Bookman Old Style" w:cs="Arial"/>
          <w:bCs/>
          <w:sz w:val="24"/>
          <w:szCs w:val="24"/>
        </w:rPr>
      </w:pPr>
      <w:r w:rsidRPr="009C00B4">
        <w:rPr>
          <w:rFonts w:ascii="Bookman Old Style" w:hAnsi="Bookman Old Style" w:cs="Arial"/>
          <w:bCs/>
          <w:sz w:val="24"/>
          <w:szCs w:val="24"/>
        </w:rPr>
        <w:t>Es decir que con la inclusión de las cláusulas exorbitantes se busca en primera instancia la protección de los usuarios y la reducción del riesgo de que el contratista afecte la adecuada prestación del servicio.</w:t>
      </w:r>
    </w:p>
    <w:p w14:paraId="62A3C418" w14:textId="77777777" w:rsidR="00D11667" w:rsidRDefault="00D11667" w:rsidP="00D11667">
      <w:pPr>
        <w:pStyle w:val="Prrafodelista"/>
        <w:spacing w:after="240"/>
        <w:ind w:left="1287"/>
        <w:jc w:val="both"/>
        <w:rPr>
          <w:rFonts w:ascii="Bookman Old Style" w:hAnsi="Bookman Old Style" w:cs="Arial"/>
          <w:bCs/>
          <w:sz w:val="24"/>
          <w:szCs w:val="24"/>
        </w:rPr>
      </w:pPr>
    </w:p>
    <w:p w14:paraId="2F14E740" w14:textId="7707004F" w:rsidR="007D063F" w:rsidRPr="009C00B4" w:rsidRDefault="007D063F" w:rsidP="00D11667">
      <w:pPr>
        <w:pStyle w:val="Prrafodelista"/>
        <w:ind w:left="1287"/>
        <w:jc w:val="both"/>
        <w:rPr>
          <w:rFonts w:ascii="Bookman Old Style" w:hAnsi="Bookman Old Style" w:cs="Arial"/>
          <w:bCs/>
          <w:sz w:val="24"/>
          <w:szCs w:val="24"/>
        </w:rPr>
      </w:pPr>
      <w:r w:rsidRPr="009C00B4">
        <w:rPr>
          <w:rFonts w:ascii="Bookman Old Style" w:hAnsi="Bookman Old Style" w:cs="Arial"/>
          <w:bCs/>
          <w:sz w:val="24"/>
          <w:szCs w:val="24"/>
        </w:rPr>
        <w:lastRenderedPageBreak/>
        <w:t xml:space="preserve"> </w:t>
      </w:r>
    </w:p>
    <w:p w14:paraId="1BF4A989" w14:textId="793D408E" w:rsidR="007D063F" w:rsidRPr="009C00B4" w:rsidRDefault="007D063F" w:rsidP="00365D5C">
      <w:pPr>
        <w:pStyle w:val="Prrafodelista"/>
        <w:numPr>
          <w:ilvl w:val="0"/>
          <w:numId w:val="7"/>
        </w:numPr>
        <w:spacing w:after="240"/>
        <w:jc w:val="both"/>
        <w:rPr>
          <w:rFonts w:ascii="Bookman Old Style" w:hAnsi="Bookman Old Style" w:cs="Arial"/>
          <w:bCs/>
          <w:sz w:val="24"/>
          <w:szCs w:val="24"/>
        </w:rPr>
      </w:pPr>
      <w:r w:rsidRPr="009C00B4">
        <w:rPr>
          <w:rFonts w:ascii="Bookman Old Style" w:hAnsi="Bookman Old Style" w:cs="Arial"/>
          <w:bCs/>
          <w:sz w:val="24"/>
          <w:szCs w:val="24"/>
        </w:rPr>
        <w:t xml:space="preserve">Consideran que la paralización o </w:t>
      </w:r>
      <w:r w:rsidR="009C00B4" w:rsidRPr="009C00B4">
        <w:rPr>
          <w:rFonts w:ascii="Bookman Old Style" w:hAnsi="Bookman Old Style" w:cs="Arial"/>
          <w:bCs/>
          <w:sz w:val="24"/>
          <w:szCs w:val="24"/>
        </w:rPr>
        <w:t>afectación de los usuarios antes su ausencia requeriría de acciones que</w:t>
      </w:r>
      <w:r w:rsidR="003808B0">
        <w:rPr>
          <w:rFonts w:ascii="Bookman Old Style" w:hAnsi="Bookman Old Style" w:cs="Arial"/>
          <w:bCs/>
          <w:sz w:val="24"/>
          <w:szCs w:val="24"/>
        </w:rPr>
        <w:t>,</w:t>
      </w:r>
      <w:r w:rsidR="009C00B4" w:rsidRPr="009C00B4">
        <w:rPr>
          <w:rFonts w:ascii="Bookman Old Style" w:hAnsi="Bookman Old Style" w:cs="Arial"/>
          <w:bCs/>
          <w:sz w:val="24"/>
          <w:szCs w:val="24"/>
        </w:rPr>
        <w:t xml:space="preserve"> de no ser previstas en el contrato, afectarían la ejecución del mismo, puesto que se tendría que llegar a acuerdos para solucionar la situación lo cual implicaría demoras en la prestación del servicio.</w:t>
      </w:r>
    </w:p>
    <w:p w14:paraId="33CB27EB" w14:textId="38EA715A" w:rsidR="009C00B4" w:rsidRDefault="009C00B4" w:rsidP="00365D5C">
      <w:pPr>
        <w:pStyle w:val="Prrafodelista"/>
        <w:numPr>
          <w:ilvl w:val="0"/>
          <w:numId w:val="7"/>
        </w:numPr>
        <w:jc w:val="both"/>
        <w:rPr>
          <w:rFonts w:ascii="Bookman Old Style" w:hAnsi="Bookman Old Style" w:cs="Arial"/>
          <w:bCs/>
          <w:sz w:val="24"/>
          <w:szCs w:val="24"/>
        </w:rPr>
      </w:pPr>
      <w:r w:rsidRPr="009C00B4">
        <w:rPr>
          <w:rFonts w:ascii="Bookman Old Style" w:hAnsi="Bookman Old Style" w:cs="Arial"/>
          <w:bCs/>
          <w:sz w:val="24"/>
          <w:szCs w:val="24"/>
        </w:rPr>
        <w:t>EMCARTAGO SA ESP, considera que debe tomar una posición activa desde el punto de vista contractual, toda vez que el accionar del contratista puede repercutir en la calidad y eficiencia del servicio o alterar su prestación ininterrumpida.</w:t>
      </w:r>
    </w:p>
    <w:p w14:paraId="4917D3ED" w14:textId="77777777" w:rsidR="002A204C" w:rsidRPr="00370BC8" w:rsidRDefault="002A204C" w:rsidP="002A204C">
      <w:pPr>
        <w:pStyle w:val="Prrafodelista"/>
        <w:rPr>
          <w:rFonts w:ascii="Bookman Old Style" w:hAnsi="Bookman Old Style"/>
          <w:sz w:val="24"/>
          <w:szCs w:val="24"/>
        </w:rPr>
      </w:pPr>
    </w:p>
    <w:p w14:paraId="322A0430" w14:textId="77777777" w:rsidR="002A204C" w:rsidRPr="00A66772" w:rsidRDefault="002A204C" w:rsidP="00A66772">
      <w:pPr>
        <w:ind w:left="0"/>
        <w:jc w:val="both"/>
        <w:rPr>
          <w:rFonts w:ascii="Bookman Old Style" w:hAnsi="Bookman Old Style"/>
        </w:rPr>
      </w:pPr>
      <w:r w:rsidRPr="00A66772">
        <w:rPr>
          <w:rFonts w:ascii="Bookman Old Style" w:hAnsi="Bookman Old Style"/>
        </w:rPr>
        <w:t xml:space="preserve">Revisada la solicitud presentada por parte de EMCARTAGO SA ESP se observa que de parte de ella se justifica su solicitud en el cumplimiento de los 3 ítems antes mencionados, teniendo en cuenta lo siguiente: </w:t>
      </w:r>
    </w:p>
    <w:p w14:paraId="10EF7E28" w14:textId="77777777" w:rsidR="002A204C" w:rsidRPr="004E3CCF" w:rsidRDefault="002A204C" w:rsidP="002A204C">
      <w:pPr>
        <w:jc w:val="both"/>
        <w:rPr>
          <w:rFonts w:ascii="Bookman Old Style" w:hAnsi="Bookman Old Style"/>
        </w:rPr>
      </w:pPr>
    </w:p>
    <w:p w14:paraId="4EC77A67" w14:textId="77777777" w:rsidR="002A204C" w:rsidRPr="004E3CCF" w:rsidRDefault="002A204C" w:rsidP="00365D5C">
      <w:pPr>
        <w:pStyle w:val="Prrafodelista"/>
        <w:numPr>
          <w:ilvl w:val="0"/>
          <w:numId w:val="5"/>
        </w:numPr>
        <w:jc w:val="both"/>
        <w:rPr>
          <w:rFonts w:ascii="Bookman Old Style" w:hAnsi="Bookman Old Style"/>
          <w:sz w:val="24"/>
          <w:szCs w:val="24"/>
        </w:rPr>
      </w:pPr>
      <w:r w:rsidRPr="004E3CCF">
        <w:rPr>
          <w:rFonts w:ascii="Bookman Old Style" w:hAnsi="Bookman Old Style"/>
          <w:sz w:val="24"/>
          <w:szCs w:val="24"/>
        </w:rPr>
        <w:t xml:space="preserve">Se busca proteger al usuario de los incumplimientos contractuales en términos de calidad, pérdidas, recaudo, inversiones, medición, conexión de usuarios que afecten la calidad del servicio, lo cual puede poner en riesgo la continuidad del servicio y afectar al usuario de manera directa. </w:t>
      </w:r>
    </w:p>
    <w:p w14:paraId="55AFB242" w14:textId="77777777" w:rsidR="002A204C" w:rsidRPr="004E3CCF" w:rsidRDefault="002A204C" w:rsidP="00365D5C">
      <w:pPr>
        <w:pStyle w:val="Prrafodelista"/>
        <w:numPr>
          <w:ilvl w:val="0"/>
          <w:numId w:val="5"/>
        </w:numPr>
        <w:jc w:val="both"/>
        <w:rPr>
          <w:rFonts w:ascii="Bookman Old Style" w:hAnsi="Bookman Old Style"/>
          <w:sz w:val="24"/>
          <w:szCs w:val="24"/>
        </w:rPr>
      </w:pPr>
      <w:r w:rsidRPr="004E3CCF">
        <w:rPr>
          <w:rFonts w:ascii="Bookman Old Style" w:hAnsi="Bookman Old Style"/>
          <w:sz w:val="24"/>
          <w:szCs w:val="24"/>
        </w:rPr>
        <w:t xml:space="preserve">Son un mecanismo de reacción ante una situación de alto nivel de pérdidas y bajo nivel de recaudo, que afecte los ingresos de la empresa, comprometiendo cumplimiento de compromisos económicos para compra de energía y el llevar a cabo las inversiones a las que se comprometió. Luego el no incluir estas cláusulas pondría en grave riesgo la prestación del servicio. </w:t>
      </w:r>
    </w:p>
    <w:p w14:paraId="50567CF2" w14:textId="77777777" w:rsidR="002A204C" w:rsidRPr="004E3CCF" w:rsidRDefault="002A204C" w:rsidP="00365D5C">
      <w:pPr>
        <w:pStyle w:val="Prrafodelista"/>
        <w:numPr>
          <w:ilvl w:val="0"/>
          <w:numId w:val="5"/>
        </w:numPr>
        <w:jc w:val="both"/>
        <w:rPr>
          <w:rFonts w:ascii="Bookman Old Style" w:hAnsi="Bookman Old Style"/>
          <w:sz w:val="24"/>
          <w:szCs w:val="24"/>
        </w:rPr>
      </w:pPr>
      <w:r w:rsidRPr="004E3CCF">
        <w:rPr>
          <w:rFonts w:ascii="Bookman Old Style" w:hAnsi="Bookman Old Style"/>
          <w:sz w:val="24"/>
          <w:szCs w:val="24"/>
        </w:rPr>
        <w:t xml:space="preserve">La normatividad contractual del derecho privado basado en el principio de igualdad de las partes impediría garantizar la prestación continua del servicio de energía eléctrica. Por lo que las partes en caso tal, lo que podrían sería pactarlas entre ellos mismos, sin embargo, en el evento en que no se lograra un acuerdo, se podrían enfrentar a una situación asimétrica, que daría a una ejecución ineficiente del contrato. </w:t>
      </w:r>
    </w:p>
    <w:p w14:paraId="3D047392" w14:textId="1BD15C4D" w:rsidR="004E3CCF" w:rsidRDefault="004E3CCF" w:rsidP="002A204C">
      <w:pPr>
        <w:ind w:left="0"/>
        <w:jc w:val="both"/>
        <w:rPr>
          <w:rFonts w:ascii="Bookman Old Style" w:hAnsi="Bookman Old Style"/>
        </w:rPr>
      </w:pPr>
    </w:p>
    <w:p w14:paraId="20413A78" w14:textId="69515D26" w:rsidR="004E3CCF" w:rsidRDefault="004E3CCF" w:rsidP="002A204C">
      <w:pPr>
        <w:ind w:left="0"/>
        <w:jc w:val="both"/>
        <w:rPr>
          <w:rFonts w:ascii="Bookman Old Style" w:hAnsi="Bookman Old Style"/>
        </w:rPr>
      </w:pPr>
      <w:r>
        <w:rPr>
          <w:rFonts w:ascii="Bookman Old Style" w:hAnsi="Bookman Old Style"/>
        </w:rPr>
        <w:t xml:space="preserve">Bajo ese entendido y teniendo en cuenta lo expuesto por el solicitante en relación con las condiciones de ejecución del contrato de operación de las actividades de comercialización y distribución de energía eléctrica en el área de prestación del servicio de EMCARTAGO, se observa en este caso en particular la necesidad de aprobar la solicitud por ellos presentada. </w:t>
      </w:r>
    </w:p>
    <w:p w14:paraId="716F7456" w14:textId="7995A1CD" w:rsidR="004E3CCF" w:rsidRDefault="004E3CCF" w:rsidP="004E3CCF">
      <w:pPr>
        <w:jc w:val="both"/>
        <w:rPr>
          <w:rFonts w:ascii="Bookman Old Style" w:hAnsi="Bookman Old Style"/>
        </w:rPr>
      </w:pPr>
    </w:p>
    <w:p w14:paraId="5633FA6E" w14:textId="3BC14F3C" w:rsidR="004E3CCF" w:rsidRDefault="004E3CCF" w:rsidP="004E3CCF">
      <w:pPr>
        <w:ind w:left="0"/>
        <w:jc w:val="both"/>
        <w:rPr>
          <w:rFonts w:ascii="Bookman Old Style" w:hAnsi="Bookman Old Style"/>
        </w:rPr>
      </w:pPr>
      <w:r w:rsidRPr="003F0CA0">
        <w:rPr>
          <w:rFonts w:ascii="Bookman Old Style" w:hAnsi="Bookman Old Style"/>
        </w:rPr>
        <w:t xml:space="preserve">La Comisión, en sesión No. </w:t>
      </w:r>
      <w:r w:rsidR="00A66772">
        <w:rPr>
          <w:rFonts w:ascii="Bookman Old Style" w:hAnsi="Bookman Old Style"/>
        </w:rPr>
        <w:t>933</w:t>
      </w:r>
      <w:r w:rsidRPr="003F0CA0">
        <w:rPr>
          <w:rFonts w:ascii="Bookman Old Style" w:hAnsi="Bookman Old Style"/>
        </w:rPr>
        <w:t xml:space="preserve"> del </w:t>
      </w:r>
      <w:r w:rsidR="00A66772">
        <w:rPr>
          <w:rFonts w:ascii="Bookman Old Style" w:hAnsi="Bookman Old Style"/>
        </w:rPr>
        <w:t>17</w:t>
      </w:r>
      <w:r w:rsidRPr="003F0CA0">
        <w:rPr>
          <w:rFonts w:ascii="Bookman Old Style" w:hAnsi="Bookman Old Style"/>
        </w:rPr>
        <w:t xml:space="preserve"> de </w:t>
      </w:r>
      <w:r w:rsidR="00A66772">
        <w:rPr>
          <w:rFonts w:ascii="Bookman Old Style" w:hAnsi="Bookman Old Style"/>
        </w:rPr>
        <w:t xml:space="preserve">julio </w:t>
      </w:r>
      <w:r w:rsidRPr="003F0CA0">
        <w:rPr>
          <w:rFonts w:ascii="Bookman Old Style" w:hAnsi="Bookman Old Style"/>
        </w:rPr>
        <w:t>de 201</w:t>
      </w:r>
      <w:r>
        <w:rPr>
          <w:rFonts w:ascii="Bookman Old Style" w:hAnsi="Bookman Old Style"/>
        </w:rPr>
        <w:t>9</w:t>
      </w:r>
      <w:r w:rsidRPr="003F0CA0">
        <w:rPr>
          <w:rFonts w:ascii="Bookman Old Style" w:hAnsi="Bookman Old Style"/>
        </w:rPr>
        <w:t xml:space="preserve">, aprobó </w:t>
      </w:r>
      <w:r>
        <w:rPr>
          <w:rFonts w:ascii="Bookman Old Style" w:hAnsi="Bookman Old Style"/>
        </w:rPr>
        <w:t xml:space="preserve">la </w:t>
      </w:r>
      <w:r>
        <w:rPr>
          <w:rFonts w:ascii="Bookman Old Style" w:hAnsi="Bookman Old Style" w:cs="Arial"/>
          <w:bCs/>
          <w:spacing w:val="-3"/>
        </w:rPr>
        <w:t>solicitud de inclusión de Cláusulas Exorbitantes en un Contrato de Operación de las actividades de comercialización y distribución del servicio de energía eléctrica en el área de prestación del servicio de Emcartago SA ESP</w:t>
      </w:r>
    </w:p>
    <w:p w14:paraId="407A8454" w14:textId="77777777" w:rsidR="004E3CCF" w:rsidRPr="003F0CA0" w:rsidRDefault="004E3CCF" w:rsidP="004E3CCF">
      <w:pPr>
        <w:suppressAutoHyphens/>
        <w:jc w:val="center"/>
        <w:rPr>
          <w:rFonts w:ascii="Bookman Old Style" w:hAnsi="Bookman Old Style" w:cs="Arial"/>
          <w:b/>
          <w:spacing w:val="-3"/>
          <w:sz w:val="26"/>
        </w:rPr>
      </w:pPr>
    </w:p>
    <w:p w14:paraId="37336900" w14:textId="77777777" w:rsidR="004E3CCF" w:rsidRPr="003F0CA0" w:rsidRDefault="004E3CCF" w:rsidP="004E3CCF">
      <w:pPr>
        <w:suppressAutoHyphens/>
        <w:jc w:val="center"/>
        <w:rPr>
          <w:rFonts w:ascii="Bookman Old Style" w:hAnsi="Bookman Old Style" w:cs="Arial"/>
          <w:spacing w:val="-3"/>
          <w:sz w:val="26"/>
        </w:rPr>
      </w:pPr>
      <w:r w:rsidRPr="003F0CA0">
        <w:rPr>
          <w:rFonts w:ascii="Bookman Old Style" w:hAnsi="Bookman Old Style" w:cs="Arial"/>
          <w:b/>
          <w:spacing w:val="-3"/>
          <w:sz w:val="26"/>
        </w:rPr>
        <w:t>R E S U E L V E:</w:t>
      </w:r>
    </w:p>
    <w:p w14:paraId="4A5000B6" w14:textId="77777777" w:rsidR="004E3CCF" w:rsidRPr="003F0CA0" w:rsidRDefault="004E3CCF" w:rsidP="004E3CCF">
      <w:pPr>
        <w:jc w:val="center"/>
        <w:rPr>
          <w:rFonts w:ascii="Bookman Old Style" w:hAnsi="Bookman Old Style"/>
        </w:rPr>
      </w:pPr>
    </w:p>
    <w:p w14:paraId="7A382C8A" w14:textId="77777777" w:rsidR="004E3CCF" w:rsidRDefault="004E3CCF" w:rsidP="004E3CCF">
      <w:pPr>
        <w:widowControl w:val="0"/>
        <w:adjustRightInd w:val="0"/>
        <w:ind w:left="1361"/>
        <w:jc w:val="both"/>
        <w:textAlignment w:val="baseline"/>
        <w:rPr>
          <w:rFonts w:ascii="Bookman Old Style" w:hAnsi="Bookman Old Style"/>
        </w:rPr>
      </w:pPr>
    </w:p>
    <w:p w14:paraId="63D76CC0" w14:textId="52D659A3" w:rsidR="004E3CCF" w:rsidRPr="004E3CCF" w:rsidRDefault="004E3CCF" w:rsidP="00365D5C">
      <w:pPr>
        <w:widowControl w:val="0"/>
        <w:numPr>
          <w:ilvl w:val="0"/>
          <w:numId w:val="6"/>
        </w:numPr>
        <w:adjustRightInd w:val="0"/>
        <w:jc w:val="both"/>
        <w:textAlignment w:val="baseline"/>
        <w:rPr>
          <w:rFonts w:ascii="Bookman Old Style" w:hAnsi="Bookman Old Style"/>
        </w:rPr>
      </w:pPr>
      <w:r>
        <w:rPr>
          <w:rFonts w:ascii="Bookman Old Style" w:hAnsi="Bookman Old Style"/>
        </w:rPr>
        <w:t xml:space="preserve">Con base en lo dispuesto en las leyes 142 y 143 de 1994, se aprueba </w:t>
      </w:r>
      <w:r w:rsidRPr="004E3CCF">
        <w:rPr>
          <w:rFonts w:ascii="Bookman Old Style" w:hAnsi="Bookman Old Style"/>
        </w:rPr>
        <w:t xml:space="preserve">la </w:t>
      </w:r>
      <w:r w:rsidRPr="004E3CCF">
        <w:rPr>
          <w:rFonts w:ascii="Bookman Old Style" w:hAnsi="Bookman Old Style" w:cs="Arial"/>
          <w:bCs/>
          <w:spacing w:val="-3"/>
        </w:rPr>
        <w:t xml:space="preserve">solicitud de inclusión de Cláusulas Exorbitantes en un Contrato de </w:t>
      </w:r>
      <w:r w:rsidRPr="004E3CCF">
        <w:rPr>
          <w:rFonts w:ascii="Bookman Old Style" w:hAnsi="Bookman Old Style" w:cs="Arial"/>
          <w:bCs/>
          <w:spacing w:val="-3"/>
        </w:rPr>
        <w:lastRenderedPageBreak/>
        <w:t>Operación de las actividades de comercialización y distribución del servicio de energía eléctrica en el área de prestación del servicio de Emcartago SA ESP</w:t>
      </w:r>
      <w:r w:rsidR="00857B67">
        <w:rPr>
          <w:rFonts w:ascii="Bookman Old Style" w:hAnsi="Bookman Old Style" w:cs="Arial"/>
          <w:bCs/>
          <w:spacing w:val="-3"/>
        </w:rPr>
        <w:t xml:space="preserve">. </w:t>
      </w:r>
      <w:r w:rsidR="00F11D05">
        <w:rPr>
          <w:rFonts w:ascii="Bookman Old Style" w:hAnsi="Bookman Old Style" w:cs="Arial"/>
          <w:bCs/>
          <w:spacing w:val="-3"/>
        </w:rPr>
        <w:t>Las cláusulas excepcionales que se autorizan son las de</w:t>
      </w:r>
      <w:r w:rsidR="00857B67">
        <w:rPr>
          <w:rFonts w:ascii="Bookman Old Style" w:hAnsi="Bookman Old Style" w:cs="Arial"/>
          <w:bCs/>
          <w:spacing w:val="-3"/>
        </w:rPr>
        <w:t xml:space="preserve"> caducidad, interpretación unilateral, modificación unilateral y terminación unilateral</w:t>
      </w:r>
      <w:r w:rsidR="006C22C3">
        <w:rPr>
          <w:rFonts w:ascii="Bookman Old Style" w:hAnsi="Bookman Old Style" w:cs="Arial"/>
          <w:bCs/>
          <w:spacing w:val="-3"/>
        </w:rPr>
        <w:t xml:space="preserve"> del contrato</w:t>
      </w:r>
      <w:r w:rsidR="00857B67">
        <w:rPr>
          <w:rFonts w:ascii="Bookman Old Style" w:hAnsi="Bookman Old Style" w:cs="Arial"/>
          <w:bCs/>
          <w:spacing w:val="-3"/>
        </w:rPr>
        <w:t>.</w:t>
      </w:r>
    </w:p>
    <w:p w14:paraId="41A03A4F" w14:textId="77777777" w:rsidR="004E3CCF" w:rsidRDefault="004E3CCF" w:rsidP="004E3CCF">
      <w:pPr>
        <w:widowControl w:val="0"/>
        <w:adjustRightInd w:val="0"/>
        <w:ind w:left="1361"/>
        <w:jc w:val="both"/>
        <w:textAlignment w:val="baseline"/>
        <w:rPr>
          <w:rFonts w:ascii="Bookman Old Style" w:hAnsi="Bookman Old Style"/>
        </w:rPr>
      </w:pPr>
    </w:p>
    <w:p w14:paraId="6B1CE9CD" w14:textId="6FF661E3" w:rsidR="004E3CCF" w:rsidRPr="00CB075A" w:rsidRDefault="004E3CCF" w:rsidP="00365D5C">
      <w:pPr>
        <w:widowControl w:val="0"/>
        <w:numPr>
          <w:ilvl w:val="0"/>
          <w:numId w:val="6"/>
        </w:numPr>
        <w:adjustRightInd w:val="0"/>
        <w:jc w:val="both"/>
        <w:textAlignment w:val="baseline"/>
        <w:rPr>
          <w:rFonts w:ascii="Bookman Old Style" w:hAnsi="Bookman Old Style"/>
          <w:b/>
        </w:rPr>
      </w:pPr>
      <w:r w:rsidRPr="00CB075A">
        <w:rPr>
          <w:rFonts w:ascii="Bookman Old Style" w:hAnsi="Bookman Old Style"/>
          <w:b/>
        </w:rPr>
        <w:t xml:space="preserve">Recursos. </w:t>
      </w:r>
      <w:r w:rsidRPr="00CB075A">
        <w:rPr>
          <w:rFonts w:ascii="Bookman Old Style" w:hAnsi="Bookman Old Style"/>
        </w:rPr>
        <w:t xml:space="preserve">La presente resolución deberá notificarse a </w:t>
      </w:r>
      <w:r>
        <w:rPr>
          <w:rFonts w:ascii="Bookman Old Style" w:hAnsi="Bookman Old Style"/>
        </w:rPr>
        <w:t>la E</w:t>
      </w:r>
      <w:r w:rsidR="008B440A">
        <w:rPr>
          <w:rFonts w:ascii="Bookman Old Style" w:hAnsi="Bookman Old Style"/>
        </w:rPr>
        <w:t>mpresa Municipal de Cartago SA ESP</w:t>
      </w:r>
      <w:r w:rsidR="001A7248">
        <w:rPr>
          <w:rFonts w:ascii="Bookman Old Style" w:hAnsi="Bookman Old Style"/>
        </w:rPr>
        <w:t xml:space="preserve"> y publicar</w:t>
      </w:r>
      <w:r w:rsidR="007E5A5C">
        <w:rPr>
          <w:rFonts w:ascii="Bookman Old Style" w:hAnsi="Bookman Old Style"/>
        </w:rPr>
        <w:t>se</w:t>
      </w:r>
      <w:r w:rsidR="001A7248">
        <w:rPr>
          <w:rFonts w:ascii="Bookman Old Style" w:hAnsi="Bookman Old Style"/>
        </w:rPr>
        <w:t xml:space="preserve"> en el </w:t>
      </w:r>
      <w:r w:rsidR="001A7248" w:rsidRPr="001A7248">
        <w:rPr>
          <w:rFonts w:ascii="Bookman Old Style" w:hAnsi="Bookman Old Style"/>
          <w:i/>
        </w:rPr>
        <w:t>Diario Oficial</w:t>
      </w:r>
      <w:r w:rsidRPr="00CB075A">
        <w:rPr>
          <w:rFonts w:ascii="Bookman Old Style" w:hAnsi="Bookman Old Style"/>
        </w:rPr>
        <w:t>. Contra lo dispuesto en este acto procede el recurso de reposición, el cual se podrá interponer ante la Dirección Ejecutiva de la CREG dentro de los cinco (5) días hábiles siguientes a la fecha de su notificación.</w:t>
      </w:r>
    </w:p>
    <w:p w14:paraId="4F42532F" w14:textId="77777777" w:rsidR="004E3CCF" w:rsidRPr="00CB075A" w:rsidRDefault="004E3CCF" w:rsidP="004E3CCF">
      <w:pPr>
        <w:widowControl w:val="0"/>
        <w:adjustRightInd w:val="0"/>
        <w:ind w:left="1361"/>
        <w:jc w:val="both"/>
        <w:textAlignment w:val="baseline"/>
        <w:rPr>
          <w:rFonts w:ascii="Bookman Old Style" w:hAnsi="Bookman Old Style"/>
        </w:rPr>
      </w:pPr>
    </w:p>
    <w:p w14:paraId="3E7E19B3" w14:textId="77777777" w:rsidR="004E3CCF" w:rsidRPr="00CB075A" w:rsidRDefault="004E3CCF" w:rsidP="004E3CCF">
      <w:pPr>
        <w:widowControl w:val="0"/>
        <w:adjustRightInd w:val="0"/>
        <w:ind w:left="1361"/>
        <w:jc w:val="both"/>
        <w:textAlignment w:val="baseline"/>
        <w:rPr>
          <w:rFonts w:ascii="Bookman Old Style" w:hAnsi="Bookman Old Style"/>
        </w:rPr>
      </w:pPr>
    </w:p>
    <w:p w14:paraId="06ACC9E3" w14:textId="77777777" w:rsidR="004E3CCF" w:rsidRPr="00CB075A" w:rsidRDefault="004E3CCF" w:rsidP="004E3CCF">
      <w:pPr>
        <w:ind w:left="0"/>
        <w:jc w:val="center"/>
        <w:rPr>
          <w:rFonts w:ascii="Bookman Old Style" w:hAnsi="Bookman Old Style"/>
          <w:b/>
        </w:rPr>
      </w:pPr>
      <w:r w:rsidRPr="00CB075A">
        <w:rPr>
          <w:rFonts w:ascii="Bookman Old Style" w:hAnsi="Bookman Old Style"/>
          <w:b/>
        </w:rPr>
        <w:t>NOTIFÍQUESE, PUBLÍQUESE Y CÚMPLASE</w:t>
      </w:r>
    </w:p>
    <w:p w14:paraId="037C066D" w14:textId="77777777" w:rsidR="004E3CCF" w:rsidRDefault="004E3CCF" w:rsidP="004E3CCF">
      <w:pPr>
        <w:jc w:val="both"/>
        <w:rPr>
          <w:rFonts w:ascii="Bookman Old Style" w:hAnsi="Bookman Old Style"/>
        </w:rPr>
      </w:pPr>
    </w:p>
    <w:p w14:paraId="6B83D956" w14:textId="77777777" w:rsidR="004E3CCF" w:rsidRDefault="004E3CCF" w:rsidP="004E3CCF">
      <w:pPr>
        <w:jc w:val="both"/>
        <w:rPr>
          <w:rFonts w:ascii="Bookman Old Style" w:hAnsi="Bookman Old Style"/>
        </w:rPr>
      </w:pPr>
    </w:p>
    <w:p w14:paraId="6875B482" w14:textId="137071E7" w:rsidR="00045D3D" w:rsidRPr="00C435C3" w:rsidRDefault="00D11667" w:rsidP="00D11667">
      <w:pPr>
        <w:ind w:left="0"/>
        <w:rPr>
          <w:rFonts w:ascii="Bookman Old Style" w:hAnsi="Bookman Old Style"/>
        </w:rPr>
      </w:pPr>
      <w:r>
        <w:rPr>
          <w:rFonts w:ascii="Bookman Old Style" w:hAnsi="Bookman Old Style"/>
        </w:rPr>
        <w:t>Dada en Bogotá, D.C., a</w:t>
      </w:r>
    </w:p>
    <w:p w14:paraId="7CD0E3C5" w14:textId="77777777" w:rsidR="000B1313" w:rsidRDefault="000B1313" w:rsidP="00A42FDA">
      <w:pPr>
        <w:ind w:left="0"/>
      </w:pPr>
      <w:bookmarkStart w:id="1" w:name="_Ref527628317"/>
      <w:bookmarkStart w:id="2" w:name="_Ref528683801"/>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8A5C28" w:rsidRPr="00576D9E" w14:paraId="03E1A113" w14:textId="77777777" w:rsidTr="008A5C28">
        <w:trPr>
          <w:tblCellSpacing w:w="0" w:type="dxa"/>
          <w:jc w:val="center"/>
        </w:trPr>
        <w:tc>
          <w:tcPr>
            <w:tcW w:w="5033" w:type="dxa"/>
          </w:tcPr>
          <w:p w14:paraId="1A7424E1" w14:textId="77777777" w:rsidR="008A5C28" w:rsidRPr="00576D9E" w:rsidRDefault="008A5C28" w:rsidP="008A5C28">
            <w:pPr>
              <w:rPr>
                <w:rFonts w:ascii="Bookman Old Style" w:hAnsi="Bookman Old Style" w:cs="Arial"/>
                <w:b/>
                <w:spacing w:val="-3"/>
              </w:rPr>
            </w:pPr>
          </w:p>
          <w:p w14:paraId="74B79D7B" w14:textId="27E0D19B" w:rsidR="008A5C28" w:rsidRDefault="008A5C28" w:rsidP="008A5C28">
            <w:pPr>
              <w:rPr>
                <w:rFonts w:ascii="Bookman Old Style" w:hAnsi="Bookman Old Style" w:cs="Arial"/>
                <w:b/>
                <w:spacing w:val="-3"/>
              </w:rPr>
            </w:pPr>
          </w:p>
          <w:p w14:paraId="76D5E81E" w14:textId="77777777" w:rsidR="008A5C28" w:rsidRPr="00576D9E" w:rsidRDefault="008A5C28" w:rsidP="008A5C28">
            <w:pPr>
              <w:rPr>
                <w:rFonts w:ascii="Bookman Old Style" w:hAnsi="Bookman Old Style" w:cs="Arial"/>
                <w:b/>
                <w:spacing w:val="-3"/>
              </w:rPr>
            </w:pPr>
          </w:p>
          <w:p w14:paraId="43217E68" w14:textId="77777777" w:rsidR="008A5C28" w:rsidRPr="00576D9E" w:rsidRDefault="008A5C28" w:rsidP="008A5C28">
            <w:pPr>
              <w:ind w:left="66"/>
              <w:jc w:val="center"/>
              <w:rPr>
                <w:rFonts w:ascii="Bookman Old Style" w:hAnsi="Bookman Old Style" w:cs="Arial"/>
                <w:b/>
                <w:spacing w:val="-3"/>
              </w:rPr>
            </w:pPr>
          </w:p>
          <w:p w14:paraId="76FB2608" w14:textId="77777777" w:rsidR="008A5C28" w:rsidRPr="00576D9E" w:rsidRDefault="008A5C28" w:rsidP="008A5C28">
            <w:pPr>
              <w:ind w:left="66"/>
              <w:jc w:val="center"/>
              <w:rPr>
                <w:rFonts w:ascii="Bookman Old Style" w:hAnsi="Bookman Old Style" w:cs="Arial"/>
                <w:b/>
                <w:spacing w:val="-3"/>
              </w:rPr>
            </w:pPr>
            <w:r>
              <w:rPr>
                <w:rFonts w:ascii="Bookman Old Style" w:hAnsi="Bookman Old Style" w:cs="Arial"/>
                <w:b/>
              </w:rPr>
              <w:t>DIEGO MESA PUYO</w:t>
            </w:r>
          </w:p>
        </w:tc>
        <w:tc>
          <w:tcPr>
            <w:tcW w:w="4465" w:type="dxa"/>
          </w:tcPr>
          <w:p w14:paraId="1BEF0156" w14:textId="77777777" w:rsidR="008A5C28" w:rsidRPr="00576D9E" w:rsidRDefault="008A5C28" w:rsidP="008A5C28">
            <w:pPr>
              <w:ind w:left="89"/>
              <w:jc w:val="center"/>
              <w:rPr>
                <w:rFonts w:ascii="Bookman Old Style" w:hAnsi="Bookman Old Style" w:cs="Arial"/>
                <w:b/>
                <w:spacing w:val="-3"/>
              </w:rPr>
            </w:pPr>
          </w:p>
          <w:p w14:paraId="3B13009B" w14:textId="672CC562" w:rsidR="008A5C28" w:rsidRDefault="008A5C28" w:rsidP="008A5C28">
            <w:pPr>
              <w:ind w:left="89"/>
              <w:jc w:val="center"/>
              <w:rPr>
                <w:rFonts w:ascii="Bookman Old Style" w:hAnsi="Bookman Old Style" w:cs="Arial"/>
                <w:b/>
                <w:spacing w:val="-3"/>
              </w:rPr>
            </w:pPr>
          </w:p>
          <w:p w14:paraId="3B9D23F5" w14:textId="77777777" w:rsidR="008A5C28" w:rsidRPr="00576D9E" w:rsidRDefault="008A5C28" w:rsidP="008A5C28">
            <w:pPr>
              <w:ind w:left="89"/>
              <w:jc w:val="center"/>
              <w:rPr>
                <w:rFonts w:ascii="Bookman Old Style" w:hAnsi="Bookman Old Style" w:cs="Arial"/>
                <w:b/>
                <w:spacing w:val="-3"/>
              </w:rPr>
            </w:pPr>
          </w:p>
          <w:p w14:paraId="630B1545" w14:textId="77777777" w:rsidR="008A5C28" w:rsidRPr="00576D9E" w:rsidRDefault="008A5C28" w:rsidP="008A5C28">
            <w:pPr>
              <w:ind w:left="89"/>
              <w:jc w:val="center"/>
              <w:rPr>
                <w:rFonts w:ascii="Bookman Old Style" w:hAnsi="Bookman Old Style" w:cs="Arial"/>
                <w:b/>
                <w:spacing w:val="-3"/>
              </w:rPr>
            </w:pPr>
          </w:p>
          <w:p w14:paraId="3B3BE58A" w14:textId="77777777" w:rsidR="008A5C28" w:rsidRPr="00576D9E" w:rsidRDefault="008A5C28" w:rsidP="008A5C28">
            <w:pPr>
              <w:ind w:left="89"/>
              <w:jc w:val="center"/>
              <w:rPr>
                <w:rFonts w:ascii="Bookman Old Style" w:hAnsi="Bookman Old Style" w:cs="Arial"/>
                <w:b/>
                <w:spacing w:val="-3"/>
              </w:rPr>
            </w:pPr>
            <w:r>
              <w:rPr>
                <w:rFonts w:ascii="Bookman Old Style" w:hAnsi="Bookman Old Style" w:cs="Arial"/>
                <w:b/>
                <w:spacing w:val="-3"/>
              </w:rPr>
              <w:t>CHRISTIAN JARAMILLO HERRERA</w:t>
            </w:r>
          </w:p>
        </w:tc>
      </w:tr>
      <w:tr w:rsidR="008A5C28" w:rsidRPr="00D472A2" w14:paraId="4E3C3947" w14:textId="77777777" w:rsidTr="008A5C28">
        <w:trPr>
          <w:tblCellSpacing w:w="0" w:type="dxa"/>
          <w:jc w:val="center"/>
        </w:trPr>
        <w:tc>
          <w:tcPr>
            <w:tcW w:w="5033" w:type="dxa"/>
            <w:hideMark/>
          </w:tcPr>
          <w:p w14:paraId="01ED0363" w14:textId="77777777" w:rsidR="008A5C28" w:rsidRPr="00D472A2" w:rsidRDefault="008A5C28" w:rsidP="008A5C28">
            <w:pPr>
              <w:ind w:left="66"/>
              <w:jc w:val="center"/>
              <w:rPr>
                <w:rFonts w:ascii="Bookman Old Style" w:hAnsi="Bookman Old Style" w:cs="Arial"/>
                <w:spacing w:val="-3"/>
                <w:sz w:val="22"/>
              </w:rPr>
            </w:pPr>
            <w:r w:rsidRPr="00D472A2">
              <w:rPr>
                <w:rFonts w:ascii="Bookman Old Style" w:hAnsi="Bookman Old Style" w:cs="Arial"/>
                <w:spacing w:val="-3"/>
                <w:sz w:val="22"/>
              </w:rPr>
              <w:t>Viceministro de Energía</w:t>
            </w:r>
          </w:p>
          <w:p w14:paraId="7CA7AA41" w14:textId="77777777" w:rsidR="008A5C28" w:rsidRPr="00D472A2" w:rsidRDefault="008A5C28" w:rsidP="008A5C28">
            <w:pPr>
              <w:ind w:left="66"/>
              <w:jc w:val="center"/>
              <w:rPr>
                <w:rFonts w:ascii="Bookman Old Style" w:eastAsia="Arial Unicode MS" w:hAnsi="Bookman Old Style" w:cs="Arial"/>
                <w:color w:val="000000"/>
                <w:sz w:val="22"/>
              </w:rPr>
            </w:pPr>
            <w:r w:rsidRPr="00D472A2">
              <w:rPr>
                <w:rFonts w:ascii="Bookman Old Style" w:hAnsi="Bookman Old Style" w:cs="Arial"/>
                <w:spacing w:val="-3"/>
                <w:sz w:val="22"/>
              </w:rPr>
              <w:t>Delegado de la Ministra de Minas y Energía</w:t>
            </w:r>
          </w:p>
        </w:tc>
        <w:tc>
          <w:tcPr>
            <w:tcW w:w="4465" w:type="dxa"/>
            <w:hideMark/>
          </w:tcPr>
          <w:p w14:paraId="473B6FC8" w14:textId="77777777" w:rsidR="008A5C28" w:rsidRPr="00D472A2" w:rsidRDefault="008A5C28" w:rsidP="008A5C28">
            <w:pPr>
              <w:jc w:val="center"/>
              <w:rPr>
                <w:rFonts w:ascii="Bookman Old Style" w:eastAsia="Arial Unicode MS" w:hAnsi="Bookman Old Style" w:cs="Arial"/>
                <w:color w:val="000000"/>
                <w:sz w:val="22"/>
              </w:rPr>
            </w:pPr>
            <w:r w:rsidRPr="00D472A2">
              <w:rPr>
                <w:rFonts w:ascii="Bookman Old Style" w:hAnsi="Bookman Old Style" w:cs="Arial"/>
                <w:spacing w:val="-3"/>
                <w:sz w:val="22"/>
              </w:rPr>
              <w:t>Director Ejecutivo</w:t>
            </w:r>
          </w:p>
        </w:tc>
      </w:tr>
      <w:tr w:rsidR="008A5C28" w:rsidRPr="00D472A2" w14:paraId="1D04E4B0" w14:textId="77777777" w:rsidTr="008A5C28">
        <w:trPr>
          <w:tblCellSpacing w:w="0" w:type="dxa"/>
          <w:jc w:val="center"/>
        </w:trPr>
        <w:tc>
          <w:tcPr>
            <w:tcW w:w="5033" w:type="dxa"/>
            <w:hideMark/>
          </w:tcPr>
          <w:p w14:paraId="776E28AA" w14:textId="77777777" w:rsidR="008A5C28" w:rsidRPr="00D472A2" w:rsidRDefault="008A5C28" w:rsidP="008A5C28">
            <w:pPr>
              <w:ind w:left="66"/>
              <w:jc w:val="center"/>
              <w:rPr>
                <w:rFonts w:ascii="Bookman Old Style" w:eastAsia="Arial Unicode MS" w:hAnsi="Bookman Old Style" w:cs="Arial"/>
                <w:color w:val="000000"/>
                <w:sz w:val="22"/>
              </w:rPr>
            </w:pPr>
            <w:r w:rsidRPr="00D472A2">
              <w:rPr>
                <w:rFonts w:ascii="Bookman Old Style" w:hAnsi="Bookman Old Style" w:cs="Arial"/>
                <w:spacing w:val="-3"/>
                <w:sz w:val="22"/>
              </w:rPr>
              <w:t>Presidente</w:t>
            </w:r>
          </w:p>
        </w:tc>
        <w:tc>
          <w:tcPr>
            <w:tcW w:w="4465" w:type="dxa"/>
          </w:tcPr>
          <w:p w14:paraId="581AF3B9" w14:textId="77777777" w:rsidR="008A5C28" w:rsidRPr="00D472A2" w:rsidRDefault="008A5C28" w:rsidP="008A5C28">
            <w:pPr>
              <w:jc w:val="center"/>
              <w:rPr>
                <w:rFonts w:ascii="Bookman Old Style" w:eastAsia="Arial Unicode MS" w:hAnsi="Bookman Old Style" w:cs="Arial"/>
                <w:color w:val="000000"/>
                <w:sz w:val="22"/>
              </w:rPr>
            </w:pPr>
          </w:p>
        </w:tc>
      </w:tr>
    </w:tbl>
    <w:p w14:paraId="5FC5FDAA" w14:textId="77777777" w:rsidR="008A5C28" w:rsidRPr="00D472A2" w:rsidRDefault="008A5C28" w:rsidP="008A5C28">
      <w:pPr>
        <w:ind w:left="0"/>
        <w:rPr>
          <w:rFonts w:ascii="Bookman Old Style" w:hAnsi="Bookman Old Style"/>
          <w:sz w:val="22"/>
        </w:rPr>
      </w:pPr>
    </w:p>
    <w:bookmarkEnd w:id="1"/>
    <w:bookmarkEnd w:id="2"/>
    <w:p w14:paraId="747056D5" w14:textId="6705BD34" w:rsidR="00A42FDA" w:rsidRDefault="00A42FDA" w:rsidP="00A42FDA">
      <w:pPr>
        <w:ind w:left="0"/>
      </w:pPr>
    </w:p>
    <w:sectPr w:rsidR="00A42FDA"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8F1593" w16cid:durableId="1FA562EA"/>
  <w16cid:commentId w16cid:paraId="0848060F" w16cid:durableId="1FA562EB"/>
  <w16cid:commentId w16cid:paraId="38DD6FA4" w16cid:durableId="1FA562EC"/>
  <w16cid:commentId w16cid:paraId="687F3810" w16cid:durableId="1FA562E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A30B3" w14:textId="77777777" w:rsidR="00F1769E" w:rsidRDefault="00F1769E">
      <w:r>
        <w:separator/>
      </w:r>
    </w:p>
  </w:endnote>
  <w:endnote w:type="continuationSeparator" w:id="0">
    <w:p w14:paraId="6E46A8DB" w14:textId="77777777" w:rsidR="00F1769E" w:rsidRDefault="00F17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90694" w14:textId="77777777" w:rsidR="00F1769E" w:rsidRDefault="00F1769E">
      <w:r>
        <w:separator/>
      </w:r>
    </w:p>
  </w:footnote>
  <w:footnote w:type="continuationSeparator" w:id="0">
    <w:p w14:paraId="3A42EDAF" w14:textId="77777777" w:rsidR="00F1769E" w:rsidRDefault="00F176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D12B6" w14:textId="77777777" w:rsidR="00AF38B3" w:rsidRDefault="00AF38B3" w:rsidP="00951F79">
    <w:pPr>
      <w:pStyle w:val="Ttulo1"/>
      <w:ind w:right="6"/>
      <w:jc w:val="left"/>
      <w:rPr>
        <w:rFonts w:ascii="Bookman Old Style" w:hAnsi="Bookman Old Style" w:cs="Arial"/>
        <w:b w:val="0"/>
        <w:sz w:val="22"/>
        <w:szCs w:val="22"/>
      </w:rPr>
    </w:pPr>
  </w:p>
  <w:p w14:paraId="4BC382EB" w14:textId="6CC59CD8" w:rsidR="00AF38B3" w:rsidRPr="00951F79" w:rsidRDefault="00AF38B3" w:rsidP="009F4BEC">
    <w:pPr>
      <w:pStyle w:val="Ttulo1"/>
      <w:ind w:left="0" w:right="6"/>
      <w:jc w:val="left"/>
      <w:rPr>
        <w:rFonts w:ascii="Bookman Old Style" w:hAnsi="Bookman Old Style" w:cs="Arial"/>
        <w:b w:val="0"/>
        <w:sz w:val="22"/>
        <w:szCs w:val="22"/>
      </w:rPr>
    </w:pPr>
    <w:r>
      <w:rPr>
        <w:rFonts w:ascii="Bookman Old Style" w:hAnsi="Bookman Old Style" w:cs="Arial"/>
        <w:b w:val="0"/>
        <w:sz w:val="22"/>
        <w:szCs w:val="22"/>
      </w:rPr>
      <w:t>RESOLUCIÓN</w:t>
    </w:r>
    <w:r w:rsidRPr="00654384">
      <w:rPr>
        <w:rFonts w:ascii="Bookman Old Style" w:hAnsi="Bookman Old Style" w:cs="Arial"/>
        <w:b w:val="0"/>
        <w:sz w:val="22"/>
        <w:szCs w:val="22"/>
      </w:rPr>
      <w:t xml:space="preserve">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685E51">
      <w:rPr>
        <w:rFonts w:ascii="Bookman Old Style" w:hAnsi="Bookman Old Style" w:cs="Arial"/>
        <w:b w:val="0"/>
        <w:noProof/>
        <w:sz w:val="22"/>
        <w:szCs w:val="22"/>
      </w:rPr>
      <w:t>9</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 xml:space="preserve"> NUMPAGES  \* MERGEFORMAT </w:instrText>
    </w:r>
    <w:r>
      <w:rPr>
        <w:rFonts w:ascii="Bookman Old Style" w:hAnsi="Bookman Old Style" w:cs="Arial"/>
        <w:b w:val="0"/>
        <w:noProof/>
        <w:sz w:val="22"/>
        <w:szCs w:val="22"/>
      </w:rPr>
      <w:fldChar w:fldCharType="separate"/>
    </w:r>
    <w:r w:rsidR="00685E51">
      <w:rPr>
        <w:rFonts w:ascii="Bookman Old Style" w:hAnsi="Bookman Old Style" w:cs="Arial"/>
        <w:b w:val="0"/>
        <w:noProof/>
        <w:sz w:val="22"/>
        <w:szCs w:val="22"/>
      </w:rPr>
      <w:t>9</w:t>
    </w:r>
    <w:r>
      <w:rPr>
        <w:rFonts w:ascii="Bookman Old Style" w:hAnsi="Bookman Old Style" w:cs="Arial"/>
        <w:b w:val="0"/>
        <w:noProof/>
        <w:sz w:val="22"/>
        <w:szCs w:val="22"/>
      </w:rPr>
      <w:fldChar w:fldCharType="end"/>
    </w:r>
  </w:p>
  <w:p w14:paraId="2682510E" w14:textId="77777777" w:rsidR="00AF38B3" w:rsidRDefault="00AF38B3"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6A442B47" wp14:editId="543D3176">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F848296"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061272A2" w14:textId="3262DAC4" w:rsidR="00AF38B3" w:rsidRPr="00D11667" w:rsidRDefault="00AF38B3" w:rsidP="00D11667">
    <w:pPr>
      <w:ind w:left="0" w:right="51"/>
      <w:jc w:val="both"/>
      <w:rPr>
        <w:rFonts w:ascii="Bookman Old Style" w:hAnsi="Bookman Old Style"/>
        <w:sz w:val="22"/>
        <w:szCs w:val="22"/>
      </w:rPr>
    </w:pPr>
    <w:r w:rsidRPr="00D11667">
      <w:rPr>
        <w:rFonts w:ascii="Bookman Old Style" w:hAnsi="Bookman Old Style" w:cs="Arial"/>
        <w:bCs/>
        <w:spacing w:val="-3"/>
        <w:sz w:val="22"/>
        <w:szCs w:val="22"/>
      </w:rPr>
      <w:t>Por la cual se resuelve la solicitud de inclusión de Cláusulas Exorbitantes en un Contrato de Operación de las actividades de comercialización y distribución del servicio de energía eléctrica en el área de prestación del servicio de Emcartago SA ESP</w:t>
    </w:r>
  </w:p>
  <w:p w14:paraId="0866BBBF" w14:textId="77777777" w:rsidR="00AF38B3" w:rsidRPr="00045D3D" w:rsidRDefault="00AF38B3" w:rsidP="00AD01E4">
    <w:pPr>
      <w:pBdr>
        <w:bottom w:val="single" w:sz="4" w:space="1" w:color="auto"/>
      </w:pBdr>
      <w:ind w:left="142" w:right="148"/>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AEE70" w14:textId="77777777" w:rsidR="00AF38B3" w:rsidRDefault="00AF38B3"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055A0A98" w14:textId="77777777" w:rsidR="00AF38B3" w:rsidRDefault="00AF38B3">
    <w:pPr>
      <w:pStyle w:val="Encabezado"/>
      <w:jc w:val="center"/>
      <w:rPr>
        <w:rFonts w:ascii="Arial" w:hAnsi="Arial" w:cs="Arial"/>
        <w:spacing w:val="20"/>
        <w:sz w:val="20"/>
      </w:rPr>
    </w:pPr>
  </w:p>
  <w:p w14:paraId="6A551CC4" w14:textId="77777777" w:rsidR="00AF38B3" w:rsidRDefault="00AF38B3"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A9F6092" wp14:editId="5F489FAC">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EA0886A"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150877CB"/>
    <w:multiLevelType w:val="hybridMultilevel"/>
    <w:tmpl w:val="349CB0CA"/>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83B2A8F"/>
    <w:multiLevelType w:val="hybridMultilevel"/>
    <w:tmpl w:val="6268BFDC"/>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3060223F"/>
    <w:multiLevelType w:val="hybridMultilevel"/>
    <w:tmpl w:val="630660C0"/>
    <w:lvl w:ilvl="0" w:tplc="C374AF80">
      <w:start w:val="7"/>
      <w:numFmt w:val="bullet"/>
      <w:lvlText w:val="-"/>
      <w:lvlJc w:val="left"/>
      <w:pPr>
        <w:ind w:left="1287" w:hanging="360"/>
      </w:pPr>
      <w:rPr>
        <w:rFonts w:ascii="Arial" w:eastAsia="Times New Roman" w:hAnsi="Arial" w:cs="Aria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5" w15:restartNumberingAfterBreak="0">
    <w:nsid w:val="31304270"/>
    <w:multiLevelType w:val="hybridMultilevel"/>
    <w:tmpl w:val="189EE2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B9B75D7"/>
    <w:multiLevelType w:val="hybridMultilevel"/>
    <w:tmpl w:val="1E1ED6D6"/>
    <w:lvl w:ilvl="0" w:tplc="240A0001">
      <w:start w:val="1"/>
      <w:numFmt w:val="bullet"/>
      <w:lvlText w:val=""/>
      <w:lvlJc w:val="left"/>
      <w:pPr>
        <w:ind w:left="927" w:hanging="360"/>
      </w:pPr>
      <w:rPr>
        <w:rFonts w:ascii="Symbol" w:hAnsi="Symbo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7" w15:restartNumberingAfterBreak="0">
    <w:nsid w:val="3ED771DC"/>
    <w:multiLevelType w:val="multilevel"/>
    <w:tmpl w:val="DBB070D4"/>
    <w:styleLink w:val="Artculo"/>
    <w:lvl w:ilvl="0">
      <w:start w:val="1"/>
      <w:numFmt w:val="decimal"/>
      <w:lvlText w:val="ARTÍCULO %1."/>
      <w:lvlJc w:val="left"/>
      <w:pPr>
        <w:ind w:left="360" w:hanging="360"/>
      </w:pPr>
      <w:rPr>
        <w:rFonts w:ascii="Bookman Old Style" w:hAnsi="Bookman Old Style" w:hint="default"/>
        <w:b/>
        <w:i w:val="0"/>
        <w:spacing w:val="0"/>
        <w:position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E63F7A"/>
    <w:multiLevelType w:val="hybridMultilevel"/>
    <w:tmpl w:val="449A2176"/>
    <w:lvl w:ilvl="0" w:tplc="1C6473BA">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0" w15:restartNumberingAfterBreak="0">
    <w:nsid w:val="6CE150A3"/>
    <w:multiLevelType w:val="hybridMultilevel"/>
    <w:tmpl w:val="19BA6EF6"/>
    <w:lvl w:ilvl="0" w:tplc="53708A74">
      <w:start w:val="4"/>
      <w:numFmt w:val="bullet"/>
      <w:lvlText w:val="-"/>
      <w:lvlJc w:val="left"/>
      <w:pPr>
        <w:ind w:left="1264" w:hanging="360"/>
      </w:pPr>
      <w:rPr>
        <w:rFonts w:ascii="Bookman Old Style" w:eastAsia="Times New Roman" w:hAnsi="Bookman Old Style" w:cs="Times New Roman" w:hint="default"/>
      </w:rPr>
    </w:lvl>
    <w:lvl w:ilvl="1" w:tplc="240A0003" w:tentative="1">
      <w:start w:val="1"/>
      <w:numFmt w:val="bullet"/>
      <w:lvlText w:val="o"/>
      <w:lvlJc w:val="left"/>
      <w:pPr>
        <w:ind w:left="1984" w:hanging="360"/>
      </w:pPr>
      <w:rPr>
        <w:rFonts w:ascii="Courier New" w:hAnsi="Courier New" w:cs="Courier New" w:hint="default"/>
      </w:rPr>
    </w:lvl>
    <w:lvl w:ilvl="2" w:tplc="240A0005" w:tentative="1">
      <w:start w:val="1"/>
      <w:numFmt w:val="bullet"/>
      <w:lvlText w:val=""/>
      <w:lvlJc w:val="left"/>
      <w:pPr>
        <w:ind w:left="2704" w:hanging="360"/>
      </w:pPr>
      <w:rPr>
        <w:rFonts w:ascii="Wingdings" w:hAnsi="Wingdings" w:hint="default"/>
      </w:rPr>
    </w:lvl>
    <w:lvl w:ilvl="3" w:tplc="240A0001" w:tentative="1">
      <w:start w:val="1"/>
      <w:numFmt w:val="bullet"/>
      <w:lvlText w:val=""/>
      <w:lvlJc w:val="left"/>
      <w:pPr>
        <w:ind w:left="3424" w:hanging="360"/>
      </w:pPr>
      <w:rPr>
        <w:rFonts w:ascii="Symbol" w:hAnsi="Symbol" w:hint="default"/>
      </w:rPr>
    </w:lvl>
    <w:lvl w:ilvl="4" w:tplc="240A0003" w:tentative="1">
      <w:start w:val="1"/>
      <w:numFmt w:val="bullet"/>
      <w:lvlText w:val="o"/>
      <w:lvlJc w:val="left"/>
      <w:pPr>
        <w:ind w:left="4144" w:hanging="360"/>
      </w:pPr>
      <w:rPr>
        <w:rFonts w:ascii="Courier New" w:hAnsi="Courier New" w:cs="Courier New" w:hint="default"/>
      </w:rPr>
    </w:lvl>
    <w:lvl w:ilvl="5" w:tplc="240A0005" w:tentative="1">
      <w:start w:val="1"/>
      <w:numFmt w:val="bullet"/>
      <w:lvlText w:val=""/>
      <w:lvlJc w:val="left"/>
      <w:pPr>
        <w:ind w:left="4864" w:hanging="360"/>
      </w:pPr>
      <w:rPr>
        <w:rFonts w:ascii="Wingdings" w:hAnsi="Wingdings" w:hint="default"/>
      </w:rPr>
    </w:lvl>
    <w:lvl w:ilvl="6" w:tplc="240A0001" w:tentative="1">
      <w:start w:val="1"/>
      <w:numFmt w:val="bullet"/>
      <w:lvlText w:val=""/>
      <w:lvlJc w:val="left"/>
      <w:pPr>
        <w:ind w:left="5584" w:hanging="360"/>
      </w:pPr>
      <w:rPr>
        <w:rFonts w:ascii="Symbol" w:hAnsi="Symbol" w:hint="default"/>
      </w:rPr>
    </w:lvl>
    <w:lvl w:ilvl="7" w:tplc="240A0003" w:tentative="1">
      <w:start w:val="1"/>
      <w:numFmt w:val="bullet"/>
      <w:lvlText w:val="o"/>
      <w:lvlJc w:val="left"/>
      <w:pPr>
        <w:ind w:left="6304" w:hanging="360"/>
      </w:pPr>
      <w:rPr>
        <w:rFonts w:ascii="Courier New" w:hAnsi="Courier New" w:cs="Courier New" w:hint="default"/>
      </w:rPr>
    </w:lvl>
    <w:lvl w:ilvl="8" w:tplc="240A0005" w:tentative="1">
      <w:start w:val="1"/>
      <w:numFmt w:val="bullet"/>
      <w:lvlText w:val=""/>
      <w:lvlJc w:val="left"/>
      <w:pPr>
        <w:ind w:left="7024" w:hanging="360"/>
      </w:pPr>
      <w:rPr>
        <w:rFonts w:ascii="Wingdings" w:hAnsi="Wingdings" w:hint="default"/>
      </w:rPr>
    </w:lvl>
  </w:abstractNum>
  <w:abstractNum w:abstractNumId="11" w15:restartNumberingAfterBreak="0">
    <w:nsid w:val="705836EB"/>
    <w:multiLevelType w:val="hybridMultilevel"/>
    <w:tmpl w:val="469677C0"/>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num w:numId="1">
    <w:abstractNumId w:val="1"/>
  </w:num>
  <w:num w:numId="2">
    <w:abstractNumId w:val="7"/>
  </w:num>
  <w:num w:numId="3">
    <w:abstractNumId w:val="8"/>
  </w:num>
  <w:num w:numId="4">
    <w:abstractNumId w:val="6"/>
  </w:num>
  <w:num w:numId="5">
    <w:abstractNumId w:val="10"/>
  </w:num>
  <w:num w:numId="6">
    <w:abstractNumId w:val="9"/>
  </w:num>
  <w:num w:numId="7">
    <w:abstractNumId w:val="4"/>
  </w:num>
  <w:num w:numId="8">
    <w:abstractNumId w:val="11"/>
  </w:num>
  <w:num w:numId="9">
    <w:abstractNumId w:val="5"/>
  </w:num>
  <w:num w:numId="10">
    <w:abstractNumId w:val="2"/>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13"/>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6EA2"/>
    <w:rsid w:val="000076A1"/>
    <w:rsid w:val="00011DE1"/>
    <w:rsid w:val="00012259"/>
    <w:rsid w:val="0001355E"/>
    <w:rsid w:val="00014325"/>
    <w:rsid w:val="0001640B"/>
    <w:rsid w:val="0002213A"/>
    <w:rsid w:val="00025383"/>
    <w:rsid w:val="000365D4"/>
    <w:rsid w:val="00036C3D"/>
    <w:rsid w:val="000425CF"/>
    <w:rsid w:val="00045D3D"/>
    <w:rsid w:val="00051906"/>
    <w:rsid w:val="000538CE"/>
    <w:rsid w:val="000539D0"/>
    <w:rsid w:val="0005446F"/>
    <w:rsid w:val="0005533B"/>
    <w:rsid w:val="00063657"/>
    <w:rsid w:val="00065F91"/>
    <w:rsid w:val="0006600E"/>
    <w:rsid w:val="000663AA"/>
    <w:rsid w:val="00071446"/>
    <w:rsid w:val="000722D7"/>
    <w:rsid w:val="0007322F"/>
    <w:rsid w:val="00076680"/>
    <w:rsid w:val="00076A1D"/>
    <w:rsid w:val="0008073E"/>
    <w:rsid w:val="000834DA"/>
    <w:rsid w:val="00084041"/>
    <w:rsid w:val="00085611"/>
    <w:rsid w:val="00091CDB"/>
    <w:rsid w:val="00096ABC"/>
    <w:rsid w:val="00097448"/>
    <w:rsid w:val="000A0147"/>
    <w:rsid w:val="000A19AC"/>
    <w:rsid w:val="000A3386"/>
    <w:rsid w:val="000A78AF"/>
    <w:rsid w:val="000B1313"/>
    <w:rsid w:val="000B2EC7"/>
    <w:rsid w:val="000B2EC9"/>
    <w:rsid w:val="000B3BDA"/>
    <w:rsid w:val="000B5BF1"/>
    <w:rsid w:val="000C46FE"/>
    <w:rsid w:val="000C58FD"/>
    <w:rsid w:val="000C6E7C"/>
    <w:rsid w:val="000C716B"/>
    <w:rsid w:val="000C7385"/>
    <w:rsid w:val="000D1EF1"/>
    <w:rsid w:val="000D26F8"/>
    <w:rsid w:val="000D3654"/>
    <w:rsid w:val="000D47C3"/>
    <w:rsid w:val="000D4F63"/>
    <w:rsid w:val="000E4CD3"/>
    <w:rsid w:val="000F2DB5"/>
    <w:rsid w:val="000F401F"/>
    <w:rsid w:val="00101294"/>
    <w:rsid w:val="00101C1D"/>
    <w:rsid w:val="00101D66"/>
    <w:rsid w:val="00103232"/>
    <w:rsid w:val="00103C85"/>
    <w:rsid w:val="00106654"/>
    <w:rsid w:val="00110C40"/>
    <w:rsid w:val="0011347D"/>
    <w:rsid w:val="00125EF3"/>
    <w:rsid w:val="001270A3"/>
    <w:rsid w:val="001271BA"/>
    <w:rsid w:val="0013404E"/>
    <w:rsid w:val="0013526C"/>
    <w:rsid w:val="001405C6"/>
    <w:rsid w:val="00140DEF"/>
    <w:rsid w:val="00141013"/>
    <w:rsid w:val="001426B2"/>
    <w:rsid w:val="00142854"/>
    <w:rsid w:val="0014748F"/>
    <w:rsid w:val="00147A27"/>
    <w:rsid w:val="0015093F"/>
    <w:rsid w:val="00150D85"/>
    <w:rsid w:val="0015147A"/>
    <w:rsid w:val="00154972"/>
    <w:rsid w:val="0015620B"/>
    <w:rsid w:val="00156E35"/>
    <w:rsid w:val="001574E4"/>
    <w:rsid w:val="00163920"/>
    <w:rsid w:val="00165A8A"/>
    <w:rsid w:val="00167E9E"/>
    <w:rsid w:val="00171B45"/>
    <w:rsid w:val="00192CBF"/>
    <w:rsid w:val="00192FF1"/>
    <w:rsid w:val="00193157"/>
    <w:rsid w:val="001937F9"/>
    <w:rsid w:val="0019403A"/>
    <w:rsid w:val="001978F4"/>
    <w:rsid w:val="001A040C"/>
    <w:rsid w:val="001A0E8A"/>
    <w:rsid w:val="001A283E"/>
    <w:rsid w:val="001A5930"/>
    <w:rsid w:val="001A5F1B"/>
    <w:rsid w:val="001A7248"/>
    <w:rsid w:val="001B1C22"/>
    <w:rsid w:val="001B34C6"/>
    <w:rsid w:val="001C1A71"/>
    <w:rsid w:val="001C617B"/>
    <w:rsid w:val="001C6642"/>
    <w:rsid w:val="001D0A76"/>
    <w:rsid w:val="001D11D4"/>
    <w:rsid w:val="001D19C9"/>
    <w:rsid w:val="001D7832"/>
    <w:rsid w:val="001E4915"/>
    <w:rsid w:val="001E4A90"/>
    <w:rsid w:val="001E6365"/>
    <w:rsid w:val="001F14E8"/>
    <w:rsid w:val="001F1F37"/>
    <w:rsid w:val="00207FF8"/>
    <w:rsid w:val="00210511"/>
    <w:rsid w:val="00210DC1"/>
    <w:rsid w:val="00211D34"/>
    <w:rsid w:val="00212F5E"/>
    <w:rsid w:val="002145BA"/>
    <w:rsid w:val="00214F04"/>
    <w:rsid w:val="002168A3"/>
    <w:rsid w:val="00216FBC"/>
    <w:rsid w:val="00217F36"/>
    <w:rsid w:val="00225120"/>
    <w:rsid w:val="0023286E"/>
    <w:rsid w:val="002352B9"/>
    <w:rsid w:val="00240832"/>
    <w:rsid w:val="0024370F"/>
    <w:rsid w:val="00243CC5"/>
    <w:rsid w:val="00253063"/>
    <w:rsid w:val="00253FFB"/>
    <w:rsid w:val="00254027"/>
    <w:rsid w:val="00266999"/>
    <w:rsid w:val="00266CD6"/>
    <w:rsid w:val="002673AC"/>
    <w:rsid w:val="00273A8F"/>
    <w:rsid w:val="00274043"/>
    <w:rsid w:val="00275DAB"/>
    <w:rsid w:val="00283B38"/>
    <w:rsid w:val="00283DFF"/>
    <w:rsid w:val="002845A0"/>
    <w:rsid w:val="00287D1E"/>
    <w:rsid w:val="002903C0"/>
    <w:rsid w:val="002932E0"/>
    <w:rsid w:val="00294DD7"/>
    <w:rsid w:val="002A1672"/>
    <w:rsid w:val="002A204C"/>
    <w:rsid w:val="002A455D"/>
    <w:rsid w:val="002A69AF"/>
    <w:rsid w:val="002A782A"/>
    <w:rsid w:val="002B11E2"/>
    <w:rsid w:val="002B21B6"/>
    <w:rsid w:val="002B24B8"/>
    <w:rsid w:val="002B3B5B"/>
    <w:rsid w:val="002B3C29"/>
    <w:rsid w:val="002B6183"/>
    <w:rsid w:val="002C3FE8"/>
    <w:rsid w:val="002C5807"/>
    <w:rsid w:val="002C7A98"/>
    <w:rsid w:val="002D0268"/>
    <w:rsid w:val="002D2F35"/>
    <w:rsid w:val="002D3AE9"/>
    <w:rsid w:val="002D4510"/>
    <w:rsid w:val="002D4DCC"/>
    <w:rsid w:val="002E0616"/>
    <w:rsid w:val="002E61E1"/>
    <w:rsid w:val="002E7F39"/>
    <w:rsid w:val="002F0734"/>
    <w:rsid w:val="002F3F8D"/>
    <w:rsid w:val="002F46E7"/>
    <w:rsid w:val="00303A64"/>
    <w:rsid w:val="003101DA"/>
    <w:rsid w:val="003111C3"/>
    <w:rsid w:val="00314757"/>
    <w:rsid w:val="00314A38"/>
    <w:rsid w:val="00314D05"/>
    <w:rsid w:val="00315F1D"/>
    <w:rsid w:val="003163BC"/>
    <w:rsid w:val="003211CE"/>
    <w:rsid w:val="00322DF5"/>
    <w:rsid w:val="00323B90"/>
    <w:rsid w:val="00324091"/>
    <w:rsid w:val="00326B04"/>
    <w:rsid w:val="00332040"/>
    <w:rsid w:val="00333B7D"/>
    <w:rsid w:val="00337446"/>
    <w:rsid w:val="003446DC"/>
    <w:rsid w:val="00344C0A"/>
    <w:rsid w:val="003532B7"/>
    <w:rsid w:val="0035403A"/>
    <w:rsid w:val="003563E0"/>
    <w:rsid w:val="00356EBD"/>
    <w:rsid w:val="00361CC8"/>
    <w:rsid w:val="003631F0"/>
    <w:rsid w:val="0036394B"/>
    <w:rsid w:val="00365D5C"/>
    <w:rsid w:val="00366DB6"/>
    <w:rsid w:val="00367169"/>
    <w:rsid w:val="003709B5"/>
    <w:rsid w:val="00370BC8"/>
    <w:rsid w:val="00371DFA"/>
    <w:rsid w:val="003759C2"/>
    <w:rsid w:val="003776E1"/>
    <w:rsid w:val="003808B0"/>
    <w:rsid w:val="00386DE8"/>
    <w:rsid w:val="00393EBD"/>
    <w:rsid w:val="003965A4"/>
    <w:rsid w:val="00397365"/>
    <w:rsid w:val="003A2221"/>
    <w:rsid w:val="003A31F6"/>
    <w:rsid w:val="003B1348"/>
    <w:rsid w:val="003B2DB5"/>
    <w:rsid w:val="003B6493"/>
    <w:rsid w:val="003C2D9E"/>
    <w:rsid w:val="003C3447"/>
    <w:rsid w:val="003D076C"/>
    <w:rsid w:val="003D101A"/>
    <w:rsid w:val="003D1C06"/>
    <w:rsid w:val="003D260E"/>
    <w:rsid w:val="003E4A5A"/>
    <w:rsid w:val="003E78B5"/>
    <w:rsid w:val="003F13FF"/>
    <w:rsid w:val="0040029E"/>
    <w:rsid w:val="00400890"/>
    <w:rsid w:val="004013CF"/>
    <w:rsid w:val="00401477"/>
    <w:rsid w:val="00402BB9"/>
    <w:rsid w:val="004049B5"/>
    <w:rsid w:val="0040580F"/>
    <w:rsid w:val="00410414"/>
    <w:rsid w:val="0041132E"/>
    <w:rsid w:val="004114F8"/>
    <w:rsid w:val="00414A4B"/>
    <w:rsid w:val="004152C7"/>
    <w:rsid w:val="00415BAB"/>
    <w:rsid w:val="00415ED2"/>
    <w:rsid w:val="0042068C"/>
    <w:rsid w:val="00422B21"/>
    <w:rsid w:val="004274E3"/>
    <w:rsid w:val="00427F70"/>
    <w:rsid w:val="00432335"/>
    <w:rsid w:val="004418A3"/>
    <w:rsid w:val="0044318E"/>
    <w:rsid w:val="00443B35"/>
    <w:rsid w:val="004451E9"/>
    <w:rsid w:val="00452341"/>
    <w:rsid w:val="0045299D"/>
    <w:rsid w:val="00452F89"/>
    <w:rsid w:val="0045308A"/>
    <w:rsid w:val="00460AE8"/>
    <w:rsid w:val="0047122B"/>
    <w:rsid w:val="004725C8"/>
    <w:rsid w:val="004735CA"/>
    <w:rsid w:val="00473B7A"/>
    <w:rsid w:val="00474C97"/>
    <w:rsid w:val="00475A2F"/>
    <w:rsid w:val="00476999"/>
    <w:rsid w:val="00486D2F"/>
    <w:rsid w:val="0049132B"/>
    <w:rsid w:val="00493932"/>
    <w:rsid w:val="004960E9"/>
    <w:rsid w:val="004968BE"/>
    <w:rsid w:val="004A0639"/>
    <w:rsid w:val="004A2E88"/>
    <w:rsid w:val="004A5305"/>
    <w:rsid w:val="004B0E58"/>
    <w:rsid w:val="004B1003"/>
    <w:rsid w:val="004C3D2D"/>
    <w:rsid w:val="004C4FF5"/>
    <w:rsid w:val="004C761C"/>
    <w:rsid w:val="004C798A"/>
    <w:rsid w:val="004D0575"/>
    <w:rsid w:val="004D2932"/>
    <w:rsid w:val="004D35F7"/>
    <w:rsid w:val="004D66C2"/>
    <w:rsid w:val="004D7634"/>
    <w:rsid w:val="004D78DD"/>
    <w:rsid w:val="004E0AC3"/>
    <w:rsid w:val="004E28CC"/>
    <w:rsid w:val="004E3CCF"/>
    <w:rsid w:val="004E5884"/>
    <w:rsid w:val="004E611A"/>
    <w:rsid w:val="004F050D"/>
    <w:rsid w:val="004F4481"/>
    <w:rsid w:val="004F4507"/>
    <w:rsid w:val="004F492C"/>
    <w:rsid w:val="004F6460"/>
    <w:rsid w:val="004F64A7"/>
    <w:rsid w:val="004F77AA"/>
    <w:rsid w:val="0050115A"/>
    <w:rsid w:val="00502336"/>
    <w:rsid w:val="00506676"/>
    <w:rsid w:val="00510451"/>
    <w:rsid w:val="005110F5"/>
    <w:rsid w:val="00511C1E"/>
    <w:rsid w:val="00511FED"/>
    <w:rsid w:val="00513B66"/>
    <w:rsid w:val="005149FE"/>
    <w:rsid w:val="00523BCD"/>
    <w:rsid w:val="0052463E"/>
    <w:rsid w:val="005300D3"/>
    <w:rsid w:val="00530A3D"/>
    <w:rsid w:val="005345CD"/>
    <w:rsid w:val="00537CEF"/>
    <w:rsid w:val="0054189A"/>
    <w:rsid w:val="00542A10"/>
    <w:rsid w:val="00543640"/>
    <w:rsid w:val="005444E6"/>
    <w:rsid w:val="00544F82"/>
    <w:rsid w:val="005461C4"/>
    <w:rsid w:val="005467E3"/>
    <w:rsid w:val="005509D2"/>
    <w:rsid w:val="0055149F"/>
    <w:rsid w:val="005525DD"/>
    <w:rsid w:val="00554225"/>
    <w:rsid w:val="005567BE"/>
    <w:rsid w:val="005605D6"/>
    <w:rsid w:val="00563718"/>
    <w:rsid w:val="00566260"/>
    <w:rsid w:val="00574939"/>
    <w:rsid w:val="005754F7"/>
    <w:rsid w:val="00577D1A"/>
    <w:rsid w:val="005834DF"/>
    <w:rsid w:val="0058495F"/>
    <w:rsid w:val="0058645B"/>
    <w:rsid w:val="00586A5F"/>
    <w:rsid w:val="0058757D"/>
    <w:rsid w:val="00590F99"/>
    <w:rsid w:val="00593C4F"/>
    <w:rsid w:val="005946A8"/>
    <w:rsid w:val="005972DB"/>
    <w:rsid w:val="005A0034"/>
    <w:rsid w:val="005A0E5D"/>
    <w:rsid w:val="005A4407"/>
    <w:rsid w:val="005A5089"/>
    <w:rsid w:val="005A59EF"/>
    <w:rsid w:val="005B0877"/>
    <w:rsid w:val="005B1C7E"/>
    <w:rsid w:val="005B1D00"/>
    <w:rsid w:val="005B5C10"/>
    <w:rsid w:val="005C4944"/>
    <w:rsid w:val="005C4D5F"/>
    <w:rsid w:val="005C55DA"/>
    <w:rsid w:val="005C6976"/>
    <w:rsid w:val="005D0598"/>
    <w:rsid w:val="005D25AD"/>
    <w:rsid w:val="005D41B2"/>
    <w:rsid w:val="005D61C0"/>
    <w:rsid w:val="005E4039"/>
    <w:rsid w:val="005E6E7C"/>
    <w:rsid w:val="005F2262"/>
    <w:rsid w:val="005F4D67"/>
    <w:rsid w:val="005F6E13"/>
    <w:rsid w:val="005F6F41"/>
    <w:rsid w:val="006048AF"/>
    <w:rsid w:val="00605DD6"/>
    <w:rsid w:val="0060713B"/>
    <w:rsid w:val="00607CC5"/>
    <w:rsid w:val="00610272"/>
    <w:rsid w:val="006158B5"/>
    <w:rsid w:val="006160A2"/>
    <w:rsid w:val="00623543"/>
    <w:rsid w:val="0062502D"/>
    <w:rsid w:val="00625DC6"/>
    <w:rsid w:val="00626AAB"/>
    <w:rsid w:val="00631D6D"/>
    <w:rsid w:val="00632ED2"/>
    <w:rsid w:val="006339F8"/>
    <w:rsid w:val="0064391D"/>
    <w:rsid w:val="006443F5"/>
    <w:rsid w:val="00646780"/>
    <w:rsid w:val="00651821"/>
    <w:rsid w:val="00654384"/>
    <w:rsid w:val="00660153"/>
    <w:rsid w:val="00660AC2"/>
    <w:rsid w:val="006639F8"/>
    <w:rsid w:val="00664877"/>
    <w:rsid w:val="00664C98"/>
    <w:rsid w:val="00665CC3"/>
    <w:rsid w:val="0066637A"/>
    <w:rsid w:val="00667018"/>
    <w:rsid w:val="006675CD"/>
    <w:rsid w:val="0067511B"/>
    <w:rsid w:val="006808A9"/>
    <w:rsid w:val="0068105C"/>
    <w:rsid w:val="0068308F"/>
    <w:rsid w:val="00683444"/>
    <w:rsid w:val="00684D9B"/>
    <w:rsid w:val="0068510A"/>
    <w:rsid w:val="00685E51"/>
    <w:rsid w:val="00687131"/>
    <w:rsid w:val="006910FC"/>
    <w:rsid w:val="0069250E"/>
    <w:rsid w:val="00697556"/>
    <w:rsid w:val="006A38BE"/>
    <w:rsid w:val="006A3E7C"/>
    <w:rsid w:val="006B1435"/>
    <w:rsid w:val="006B39A9"/>
    <w:rsid w:val="006B4265"/>
    <w:rsid w:val="006B4647"/>
    <w:rsid w:val="006B4C2B"/>
    <w:rsid w:val="006B6194"/>
    <w:rsid w:val="006B6D47"/>
    <w:rsid w:val="006C0C3D"/>
    <w:rsid w:val="006C1CDE"/>
    <w:rsid w:val="006C1D36"/>
    <w:rsid w:val="006C22C3"/>
    <w:rsid w:val="006C2C01"/>
    <w:rsid w:val="006C5AFE"/>
    <w:rsid w:val="006C6652"/>
    <w:rsid w:val="006C6D60"/>
    <w:rsid w:val="006C78F3"/>
    <w:rsid w:val="006D4010"/>
    <w:rsid w:val="006D7031"/>
    <w:rsid w:val="006E26A3"/>
    <w:rsid w:val="006E3B41"/>
    <w:rsid w:val="006E50A5"/>
    <w:rsid w:val="006E580B"/>
    <w:rsid w:val="006E7BFA"/>
    <w:rsid w:val="006F2EC8"/>
    <w:rsid w:val="006F620D"/>
    <w:rsid w:val="006F6D95"/>
    <w:rsid w:val="007007C6"/>
    <w:rsid w:val="00706F13"/>
    <w:rsid w:val="00707272"/>
    <w:rsid w:val="007072E8"/>
    <w:rsid w:val="0070756A"/>
    <w:rsid w:val="00707D35"/>
    <w:rsid w:val="00711FD4"/>
    <w:rsid w:val="00712033"/>
    <w:rsid w:val="0071618D"/>
    <w:rsid w:val="007176EA"/>
    <w:rsid w:val="00721BB6"/>
    <w:rsid w:val="00725FA4"/>
    <w:rsid w:val="0072684B"/>
    <w:rsid w:val="00737CB1"/>
    <w:rsid w:val="007401A6"/>
    <w:rsid w:val="00740446"/>
    <w:rsid w:val="007419C0"/>
    <w:rsid w:val="007438A9"/>
    <w:rsid w:val="0074491E"/>
    <w:rsid w:val="007463DA"/>
    <w:rsid w:val="007474D9"/>
    <w:rsid w:val="00752367"/>
    <w:rsid w:val="00753F04"/>
    <w:rsid w:val="00756742"/>
    <w:rsid w:val="007570B9"/>
    <w:rsid w:val="00761838"/>
    <w:rsid w:val="0076247A"/>
    <w:rsid w:val="0076290B"/>
    <w:rsid w:val="00765A60"/>
    <w:rsid w:val="00775964"/>
    <w:rsid w:val="007765FE"/>
    <w:rsid w:val="007779AF"/>
    <w:rsid w:val="00781986"/>
    <w:rsid w:val="0078214E"/>
    <w:rsid w:val="0078307E"/>
    <w:rsid w:val="00785897"/>
    <w:rsid w:val="00791517"/>
    <w:rsid w:val="00791D5A"/>
    <w:rsid w:val="00794D7E"/>
    <w:rsid w:val="00794E2E"/>
    <w:rsid w:val="00795BFB"/>
    <w:rsid w:val="007A4054"/>
    <w:rsid w:val="007A4165"/>
    <w:rsid w:val="007B0FDE"/>
    <w:rsid w:val="007B1565"/>
    <w:rsid w:val="007B2760"/>
    <w:rsid w:val="007B6CE8"/>
    <w:rsid w:val="007C0AA2"/>
    <w:rsid w:val="007C4F71"/>
    <w:rsid w:val="007C66FB"/>
    <w:rsid w:val="007D063F"/>
    <w:rsid w:val="007D4CA3"/>
    <w:rsid w:val="007D518A"/>
    <w:rsid w:val="007E4424"/>
    <w:rsid w:val="007E5A5C"/>
    <w:rsid w:val="007F5373"/>
    <w:rsid w:val="007F59EC"/>
    <w:rsid w:val="007F6E8F"/>
    <w:rsid w:val="00800D36"/>
    <w:rsid w:val="00806C01"/>
    <w:rsid w:val="00810070"/>
    <w:rsid w:val="008148CC"/>
    <w:rsid w:val="00815381"/>
    <w:rsid w:val="008211A4"/>
    <w:rsid w:val="00824D22"/>
    <w:rsid w:val="00825CD7"/>
    <w:rsid w:val="00826BCF"/>
    <w:rsid w:val="0083007D"/>
    <w:rsid w:val="008316A6"/>
    <w:rsid w:val="008321C6"/>
    <w:rsid w:val="008323DF"/>
    <w:rsid w:val="00836BD9"/>
    <w:rsid w:val="00837AFF"/>
    <w:rsid w:val="0084693A"/>
    <w:rsid w:val="00847629"/>
    <w:rsid w:val="00851931"/>
    <w:rsid w:val="00852F59"/>
    <w:rsid w:val="00857137"/>
    <w:rsid w:val="00857B50"/>
    <w:rsid w:val="00857B67"/>
    <w:rsid w:val="008603EC"/>
    <w:rsid w:val="00860701"/>
    <w:rsid w:val="00861840"/>
    <w:rsid w:val="00865AE7"/>
    <w:rsid w:val="00865B8D"/>
    <w:rsid w:val="008667C1"/>
    <w:rsid w:val="00870DEF"/>
    <w:rsid w:val="00873150"/>
    <w:rsid w:val="00874330"/>
    <w:rsid w:val="00875920"/>
    <w:rsid w:val="0087657D"/>
    <w:rsid w:val="00877B94"/>
    <w:rsid w:val="008807D5"/>
    <w:rsid w:val="00880832"/>
    <w:rsid w:val="00886EE1"/>
    <w:rsid w:val="0088710C"/>
    <w:rsid w:val="0088727D"/>
    <w:rsid w:val="008973D9"/>
    <w:rsid w:val="00897C75"/>
    <w:rsid w:val="008A088A"/>
    <w:rsid w:val="008A4D7D"/>
    <w:rsid w:val="008A5855"/>
    <w:rsid w:val="008A5C28"/>
    <w:rsid w:val="008A5CDC"/>
    <w:rsid w:val="008B2A43"/>
    <w:rsid w:val="008B2D74"/>
    <w:rsid w:val="008B440A"/>
    <w:rsid w:val="008B5115"/>
    <w:rsid w:val="008C1130"/>
    <w:rsid w:val="008C4B86"/>
    <w:rsid w:val="008D18E6"/>
    <w:rsid w:val="008D6818"/>
    <w:rsid w:val="008D7A9B"/>
    <w:rsid w:val="008E0060"/>
    <w:rsid w:val="008E3471"/>
    <w:rsid w:val="008E7091"/>
    <w:rsid w:val="008E76AC"/>
    <w:rsid w:val="008E7EFC"/>
    <w:rsid w:val="008F0F4B"/>
    <w:rsid w:val="008F21F6"/>
    <w:rsid w:val="008F4C9A"/>
    <w:rsid w:val="008F4CD0"/>
    <w:rsid w:val="008F4D2A"/>
    <w:rsid w:val="008F79DF"/>
    <w:rsid w:val="00905B35"/>
    <w:rsid w:val="0091335E"/>
    <w:rsid w:val="009157BC"/>
    <w:rsid w:val="00915D5C"/>
    <w:rsid w:val="0091748C"/>
    <w:rsid w:val="00925A8A"/>
    <w:rsid w:val="00926401"/>
    <w:rsid w:val="009264A4"/>
    <w:rsid w:val="009264EE"/>
    <w:rsid w:val="00927F44"/>
    <w:rsid w:val="00934286"/>
    <w:rsid w:val="00935462"/>
    <w:rsid w:val="00937A4E"/>
    <w:rsid w:val="00937B2D"/>
    <w:rsid w:val="00940BA0"/>
    <w:rsid w:val="0094488C"/>
    <w:rsid w:val="00950013"/>
    <w:rsid w:val="0095197B"/>
    <w:rsid w:val="00951F79"/>
    <w:rsid w:val="00953564"/>
    <w:rsid w:val="00954166"/>
    <w:rsid w:val="00955FBF"/>
    <w:rsid w:val="00956D1D"/>
    <w:rsid w:val="00961088"/>
    <w:rsid w:val="00970FEA"/>
    <w:rsid w:val="0097305A"/>
    <w:rsid w:val="00974AB5"/>
    <w:rsid w:val="009757C6"/>
    <w:rsid w:val="00976B40"/>
    <w:rsid w:val="00981571"/>
    <w:rsid w:val="009818DC"/>
    <w:rsid w:val="009835E0"/>
    <w:rsid w:val="00986CF3"/>
    <w:rsid w:val="0098706D"/>
    <w:rsid w:val="009915EA"/>
    <w:rsid w:val="009935FB"/>
    <w:rsid w:val="0099759C"/>
    <w:rsid w:val="009B46D1"/>
    <w:rsid w:val="009B4E4A"/>
    <w:rsid w:val="009B5EC7"/>
    <w:rsid w:val="009B63D8"/>
    <w:rsid w:val="009C00B4"/>
    <w:rsid w:val="009C4ED9"/>
    <w:rsid w:val="009C6544"/>
    <w:rsid w:val="009D1F97"/>
    <w:rsid w:val="009D5A4B"/>
    <w:rsid w:val="009D7284"/>
    <w:rsid w:val="009E0430"/>
    <w:rsid w:val="009E0781"/>
    <w:rsid w:val="009E1F87"/>
    <w:rsid w:val="009E48B8"/>
    <w:rsid w:val="009F0037"/>
    <w:rsid w:val="009F4A54"/>
    <w:rsid w:val="009F4BEC"/>
    <w:rsid w:val="009F5874"/>
    <w:rsid w:val="009F6D43"/>
    <w:rsid w:val="00A02FED"/>
    <w:rsid w:val="00A062BF"/>
    <w:rsid w:val="00A07059"/>
    <w:rsid w:val="00A121E6"/>
    <w:rsid w:val="00A1233C"/>
    <w:rsid w:val="00A12890"/>
    <w:rsid w:val="00A12BDB"/>
    <w:rsid w:val="00A232DD"/>
    <w:rsid w:val="00A2361A"/>
    <w:rsid w:val="00A25AEC"/>
    <w:rsid w:val="00A25FD7"/>
    <w:rsid w:val="00A2669D"/>
    <w:rsid w:val="00A271A7"/>
    <w:rsid w:val="00A35816"/>
    <w:rsid w:val="00A4184F"/>
    <w:rsid w:val="00A41C1A"/>
    <w:rsid w:val="00A42546"/>
    <w:rsid w:val="00A42FDA"/>
    <w:rsid w:val="00A43AFF"/>
    <w:rsid w:val="00A448C5"/>
    <w:rsid w:val="00A449DE"/>
    <w:rsid w:val="00A51F53"/>
    <w:rsid w:val="00A567E0"/>
    <w:rsid w:val="00A607C3"/>
    <w:rsid w:val="00A60F24"/>
    <w:rsid w:val="00A62170"/>
    <w:rsid w:val="00A663C2"/>
    <w:rsid w:val="00A66772"/>
    <w:rsid w:val="00A66C7F"/>
    <w:rsid w:val="00A74177"/>
    <w:rsid w:val="00A7793A"/>
    <w:rsid w:val="00A80AE4"/>
    <w:rsid w:val="00A82B05"/>
    <w:rsid w:val="00A84BDB"/>
    <w:rsid w:val="00A86825"/>
    <w:rsid w:val="00AA4CC7"/>
    <w:rsid w:val="00AA5E8E"/>
    <w:rsid w:val="00AB0AF1"/>
    <w:rsid w:val="00AB1635"/>
    <w:rsid w:val="00AB2BAD"/>
    <w:rsid w:val="00AB5E49"/>
    <w:rsid w:val="00AB6CA7"/>
    <w:rsid w:val="00AB7B1D"/>
    <w:rsid w:val="00AC0E29"/>
    <w:rsid w:val="00AC14C2"/>
    <w:rsid w:val="00AC375C"/>
    <w:rsid w:val="00AC383B"/>
    <w:rsid w:val="00AC73FE"/>
    <w:rsid w:val="00AD01E4"/>
    <w:rsid w:val="00AD0858"/>
    <w:rsid w:val="00AD441E"/>
    <w:rsid w:val="00AD5AA0"/>
    <w:rsid w:val="00AD5B72"/>
    <w:rsid w:val="00AD73B4"/>
    <w:rsid w:val="00AE02E3"/>
    <w:rsid w:val="00AE18EA"/>
    <w:rsid w:val="00AE6692"/>
    <w:rsid w:val="00AE7340"/>
    <w:rsid w:val="00AF1BBD"/>
    <w:rsid w:val="00AF3066"/>
    <w:rsid w:val="00AF38B3"/>
    <w:rsid w:val="00AF4FB9"/>
    <w:rsid w:val="00AF7E09"/>
    <w:rsid w:val="00B02242"/>
    <w:rsid w:val="00B022FD"/>
    <w:rsid w:val="00B02545"/>
    <w:rsid w:val="00B04971"/>
    <w:rsid w:val="00B06437"/>
    <w:rsid w:val="00B06F4B"/>
    <w:rsid w:val="00B10207"/>
    <w:rsid w:val="00B10EA0"/>
    <w:rsid w:val="00B13EFD"/>
    <w:rsid w:val="00B1419D"/>
    <w:rsid w:val="00B141E7"/>
    <w:rsid w:val="00B15B9C"/>
    <w:rsid w:val="00B26287"/>
    <w:rsid w:val="00B32222"/>
    <w:rsid w:val="00B32263"/>
    <w:rsid w:val="00B34EE4"/>
    <w:rsid w:val="00B351B4"/>
    <w:rsid w:val="00B46BCA"/>
    <w:rsid w:val="00B478AA"/>
    <w:rsid w:val="00B50D77"/>
    <w:rsid w:val="00B52D44"/>
    <w:rsid w:val="00B53C77"/>
    <w:rsid w:val="00B55B49"/>
    <w:rsid w:val="00B608CF"/>
    <w:rsid w:val="00B6483F"/>
    <w:rsid w:val="00B64DFD"/>
    <w:rsid w:val="00B77899"/>
    <w:rsid w:val="00B801AC"/>
    <w:rsid w:val="00B8245A"/>
    <w:rsid w:val="00B83F69"/>
    <w:rsid w:val="00B84042"/>
    <w:rsid w:val="00B84D17"/>
    <w:rsid w:val="00B854E7"/>
    <w:rsid w:val="00B86D04"/>
    <w:rsid w:val="00B873A8"/>
    <w:rsid w:val="00B87806"/>
    <w:rsid w:val="00B87EC9"/>
    <w:rsid w:val="00B90D6B"/>
    <w:rsid w:val="00B94C41"/>
    <w:rsid w:val="00B96E19"/>
    <w:rsid w:val="00BA0BF0"/>
    <w:rsid w:val="00BA4D25"/>
    <w:rsid w:val="00BB0951"/>
    <w:rsid w:val="00BB3DFE"/>
    <w:rsid w:val="00BB5A8B"/>
    <w:rsid w:val="00BB6A29"/>
    <w:rsid w:val="00BC065A"/>
    <w:rsid w:val="00BC1F42"/>
    <w:rsid w:val="00BC35B9"/>
    <w:rsid w:val="00BC38FD"/>
    <w:rsid w:val="00BC5249"/>
    <w:rsid w:val="00BD0C88"/>
    <w:rsid w:val="00BD1B26"/>
    <w:rsid w:val="00BD2AAB"/>
    <w:rsid w:val="00BD3A7C"/>
    <w:rsid w:val="00BD7207"/>
    <w:rsid w:val="00BE1112"/>
    <w:rsid w:val="00BE5EF0"/>
    <w:rsid w:val="00BE772B"/>
    <w:rsid w:val="00BE7962"/>
    <w:rsid w:val="00BF3046"/>
    <w:rsid w:val="00BF672D"/>
    <w:rsid w:val="00C0257C"/>
    <w:rsid w:val="00C034CB"/>
    <w:rsid w:val="00C051A8"/>
    <w:rsid w:val="00C054BC"/>
    <w:rsid w:val="00C17897"/>
    <w:rsid w:val="00C2227C"/>
    <w:rsid w:val="00C24E59"/>
    <w:rsid w:val="00C3172D"/>
    <w:rsid w:val="00C409D5"/>
    <w:rsid w:val="00C435C3"/>
    <w:rsid w:val="00C44E5F"/>
    <w:rsid w:val="00C51B7C"/>
    <w:rsid w:val="00C54C25"/>
    <w:rsid w:val="00C550E6"/>
    <w:rsid w:val="00C553DC"/>
    <w:rsid w:val="00C6234B"/>
    <w:rsid w:val="00C63EAE"/>
    <w:rsid w:val="00C677EA"/>
    <w:rsid w:val="00C715CE"/>
    <w:rsid w:val="00C7248A"/>
    <w:rsid w:val="00C73260"/>
    <w:rsid w:val="00C74B0F"/>
    <w:rsid w:val="00C7629F"/>
    <w:rsid w:val="00C77AB6"/>
    <w:rsid w:val="00C80AED"/>
    <w:rsid w:val="00C839EF"/>
    <w:rsid w:val="00C86030"/>
    <w:rsid w:val="00C8661B"/>
    <w:rsid w:val="00C9027F"/>
    <w:rsid w:val="00CA0219"/>
    <w:rsid w:val="00CA03C8"/>
    <w:rsid w:val="00CA139A"/>
    <w:rsid w:val="00CA2899"/>
    <w:rsid w:val="00CA3A3D"/>
    <w:rsid w:val="00CA3AA6"/>
    <w:rsid w:val="00CA603C"/>
    <w:rsid w:val="00CA77FB"/>
    <w:rsid w:val="00CA7DC9"/>
    <w:rsid w:val="00CB1610"/>
    <w:rsid w:val="00CB2C0F"/>
    <w:rsid w:val="00CB379B"/>
    <w:rsid w:val="00CB468D"/>
    <w:rsid w:val="00CB5DD0"/>
    <w:rsid w:val="00CB67A6"/>
    <w:rsid w:val="00CC4E40"/>
    <w:rsid w:val="00CC4ED6"/>
    <w:rsid w:val="00CC51D4"/>
    <w:rsid w:val="00CC65DA"/>
    <w:rsid w:val="00CD0E31"/>
    <w:rsid w:val="00CD47BA"/>
    <w:rsid w:val="00CD6416"/>
    <w:rsid w:val="00CE0321"/>
    <w:rsid w:val="00CE2E71"/>
    <w:rsid w:val="00CE5F16"/>
    <w:rsid w:val="00CE63CC"/>
    <w:rsid w:val="00CE7FFD"/>
    <w:rsid w:val="00CF21B9"/>
    <w:rsid w:val="00CF24F9"/>
    <w:rsid w:val="00CF4179"/>
    <w:rsid w:val="00CF67F7"/>
    <w:rsid w:val="00CF68B8"/>
    <w:rsid w:val="00CF6BF9"/>
    <w:rsid w:val="00CF75CD"/>
    <w:rsid w:val="00D00164"/>
    <w:rsid w:val="00D00E2D"/>
    <w:rsid w:val="00D02618"/>
    <w:rsid w:val="00D03800"/>
    <w:rsid w:val="00D0530F"/>
    <w:rsid w:val="00D065D3"/>
    <w:rsid w:val="00D06B8B"/>
    <w:rsid w:val="00D1123D"/>
    <w:rsid w:val="00D11667"/>
    <w:rsid w:val="00D14C94"/>
    <w:rsid w:val="00D14CDC"/>
    <w:rsid w:val="00D204B8"/>
    <w:rsid w:val="00D20D23"/>
    <w:rsid w:val="00D21273"/>
    <w:rsid w:val="00D21493"/>
    <w:rsid w:val="00D21816"/>
    <w:rsid w:val="00D319D4"/>
    <w:rsid w:val="00D342A6"/>
    <w:rsid w:val="00D43AD9"/>
    <w:rsid w:val="00D45C67"/>
    <w:rsid w:val="00D45CA6"/>
    <w:rsid w:val="00D464BF"/>
    <w:rsid w:val="00D50754"/>
    <w:rsid w:val="00D5301E"/>
    <w:rsid w:val="00D53E26"/>
    <w:rsid w:val="00D60706"/>
    <w:rsid w:val="00D632C8"/>
    <w:rsid w:val="00D657DD"/>
    <w:rsid w:val="00D72E66"/>
    <w:rsid w:val="00D812BC"/>
    <w:rsid w:val="00D922B1"/>
    <w:rsid w:val="00D95AF3"/>
    <w:rsid w:val="00D97AE0"/>
    <w:rsid w:val="00DA0CCD"/>
    <w:rsid w:val="00DA22D8"/>
    <w:rsid w:val="00DA44BC"/>
    <w:rsid w:val="00DB1752"/>
    <w:rsid w:val="00DB182C"/>
    <w:rsid w:val="00DB4510"/>
    <w:rsid w:val="00DC1D05"/>
    <w:rsid w:val="00DC40A3"/>
    <w:rsid w:val="00DC6F94"/>
    <w:rsid w:val="00DD4373"/>
    <w:rsid w:val="00DD4F0E"/>
    <w:rsid w:val="00DD5D71"/>
    <w:rsid w:val="00DE0317"/>
    <w:rsid w:val="00DE1736"/>
    <w:rsid w:val="00DE189A"/>
    <w:rsid w:val="00DE331A"/>
    <w:rsid w:val="00DE3E43"/>
    <w:rsid w:val="00DE5CD3"/>
    <w:rsid w:val="00DF0BF0"/>
    <w:rsid w:val="00DF3CA2"/>
    <w:rsid w:val="00DF6B40"/>
    <w:rsid w:val="00E00092"/>
    <w:rsid w:val="00E01463"/>
    <w:rsid w:val="00E035E6"/>
    <w:rsid w:val="00E04D61"/>
    <w:rsid w:val="00E05E0A"/>
    <w:rsid w:val="00E060BE"/>
    <w:rsid w:val="00E10A14"/>
    <w:rsid w:val="00E15547"/>
    <w:rsid w:val="00E25636"/>
    <w:rsid w:val="00E2583F"/>
    <w:rsid w:val="00E27430"/>
    <w:rsid w:val="00E36268"/>
    <w:rsid w:val="00E43143"/>
    <w:rsid w:val="00E44D42"/>
    <w:rsid w:val="00E50D27"/>
    <w:rsid w:val="00E534CF"/>
    <w:rsid w:val="00E652CF"/>
    <w:rsid w:val="00E806F4"/>
    <w:rsid w:val="00E81CB4"/>
    <w:rsid w:val="00E8585B"/>
    <w:rsid w:val="00E864C6"/>
    <w:rsid w:val="00E87F41"/>
    <w:rsid w:val="00E925E3"/>
    <w:rsid w:val="00E931D3"/>
    <w:rsid w:val="00EA3F15"/>
    <w:rsid w:val="00EA7847"/>
    <w:rsid w:val="00EB4C2F"/>
    <w:rsid w:val="00EB6226"/>
    <w:rsid w:val="00EB6DA6"/>
    <w:rsid w:val="00EC0373"/>
    <w:rsid w:val="00EC09E9"/>
    <w:rsid w:val="00EC0CCC"/>
    <w:rsid w:val="00EC3CF8"/>
    <w:rsid w:val="00EC73A0"/>
    <w:rsid w:val="00EE1057"/>
    <w:rsid w:val="00EE2E6E"/>
    <w:rsid w:val="00EE311A"/>
    <w:rsid w:val="00EF1414"/>
    <w:rsid w:val="00EF17E6"/>
    <w:rsid w:val="00EF19D5"/>
    <w:rsid w:val="00EF23F1"/>
    <w:rsid w:val="00EF5457"/>
    <w:rsid w:val="00EF5D2A"/>
    <w:rsid w:val="00F03D29"/>
    <w:rsid w:val="00F061B6"/>
    <w:rsid w:val="00F0759E"/>
    <w:rsid w:val="00F11D05"/>
    <w:rsid w:val="00F134BC"/>
    <w:rsid w:val="00F14310"/>
    <w:rsid w:val="00F15F94"/>
    <w:rsid w:val="00F16A43"/>
    <w:rsid w:val="00F17363"/>
    <w:rsid w:val="00F1746E"/>
    <w:rsid w:val="00F1769E"/>
    <w:rsid w:val="00F178E2"/>
    <w:rsid w:val="00F21A6B"/>
    <w:rsid w:val="00F27CB8"/>
    <w:rsid w:val="00F37277"/>
    <w:rsid w:val="00F450B9"/>
    <w:rsid w:val="00F45F87"/>
    <w:rsid w:val="00F46780"/>
    <w:rsid w:val="00F473D2"/>
    <w:rsid w:val="00F50AD0"/>
    <w:rsid w:val="00F54355"/>
    <w:rsid w:val="00F550F9"/>
    <w:rsid w:val="00F601C0"/>
    <w:rsid w:val="00F60646"/>
    <w:rsid w:val="00F62F07"/>
    <w:rsid w:val="00F66495"/>
    <w:rsid w:val="00F71F29"/>
    <w:rsid w:val="00F7244E"/>
    <w:rsid w:val="00F7389E"/>
    <w:rsid w:val="00F755B7"/>
    <w:rsid w:val="00F77D2D"/>
    <w:rsid w:val="00F81727"/>
    <w:rsid w:val="00F821A3"/>
    <w:rsid w:val="00F84609"/>
    <w:rsid w:val="00F8648B"/>
    <w:rsid w:val="00F91B40"/>
    <w:rsid w:val="00F922E1"/>
    <w:rsid w:val="00F9314A"/>
    <w:rsid w:val="00F940B2"/>
    <w:rsid w:val="00F96636"/>
    <w:rsid w:val="00F97B4A"/>
    <w:rsid w:val="00FA077D"/>
    <w:rsid w:val="00FA4052"/>
    <w:rsid w:val="00FA4311"/>
    <w:rsid w:val="00FB13F5"/>
    <w:rsid w:val="00FC4D21"/>
    <w:rsid w:val="00FC58EF"/>
    <w:rsid w:val="00FC7BAD"/>
    <w:rsid w:val="00FD33DF"/>
    <w:rsid w:val="00FD68CC"/>
    <w:rsid w:val="00FD7DD6"/>
    <w:rsid w:val="00FE39D7"/>
    <w:rsid w:val="00FF4702"/>
    <w:rsid w:val="00FF4A22"/>
    <w:rsid w:val="00FF70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D30515"/>
  <w15:chartTrackingRefBased/>
  <w15:docId w15:val="{39EA13B0-2284-4ABF-8256-E9BB88AC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1C4"/>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autoRedefine/>
    <w:qFormat/>
    <w:rsid w:val="00A12BDB"/>
    <w:pPr>
      <w:widowControl w:val="0"/>
      <w:adjustRightInd w:val="0"/>
      <w:ind w:left="0"/>
      <w:textAlignment w:val="baseline"/>
    </w:pPr>
    <w:rPr>
      <w:rFonts w:ascii="Bookman Old Style" w:hAnsi="Bookman Old Style"/>
      <w:bCs/>
      <w:lang w:val="x-none" w:eastAsia="x-none"/>
    </w:rPr>
  </w:style>
  <w:style w:type="character" w:customStyle="1" w:styleId="ARTICULOSCar">
    <w:name w:val="ARTICULOS Car"/>
    <w:link w:val="ARTICULOS"/>
    <w:rsid w:val="00A12BDB"/>
    <w:rPr>
      <w:rFonts w:ascii="Bookman Old Style" w:hAnsi="Bookman Old Style"/>
      <w:bCs/>
      <w:sz w:val="24"/>
      <w:szCs w:val="24"/>
      <w:lang w:val="x-none" w:eastAsia="x-none"/>
    </w:rPr>
  </w:style>
  <w:style w:type="paragraph" w:customStyle="1" w:styleId="Default">
    <w:name w:val="Default"/>
    <w:rsid w:val="00F1746E"/>
    <w:pPr>
      <w:autoSpaceDE w:val="0"/>
      <w:autoSpaceDN w:val="0"/>
      <w:adjustRightInd w:val="0"/>
    </w:pPr>
    <w:rPr>
      <w:rFonts w:ascii="Verdana" w:eastAsia="Calibri" w:hAnsi="Verdana" w:cs="Verdana"/>
      <w:color w:val="000000"/>
      <w:sz w:val="24"/>
      <w:szCs w:val="24"/>
      <w:lang w:eastAsia="en-US"/>
    </w:rPr>
  </w:style>
  <w:style w:type="character" w:styleId="Refdecomentario">
    <w:name w:val="annotation reference"/>
    <w:uiPriority w:val="99"/>
    <w:semiHidden/>
    <w:rsid w:val="00940BA0"/>
    <w:rPr>
      <w:sz w:val="16"/>
      <w:szCs w:val="16"/>
    </w:rPr>
  </w:style>
  <w:style w:type="paragraph" w:styleId="Textocomentario">
    <w:name w:val="annotation text"/>
    <w:basedOn w:val="Normal"/>
    <w:link w:val="TextocomentarioCar"/>
    <w:uiPriority w:val="99"/>
    <w:rsid w:val="00940BA0"/>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uiPriority w:val="99"/>
    <w:rsid w:val="00940BA0"/>
    <w:rPr>
      <w:lang w:val="es-ES" w:eastAsia="es-ES"/>
    </w:rPr>
  </w:style>
  <w:style w:type="numbering" w:customStyle="1" w:styleId="Artculo">
    <w:name w:val="Artículo"/>
    <w:uiPriority w:val="99"/>
    <w:rsid w:val="006E26A3"/>
    <w:pPr>
      <w:numPr>
        <w:numId w:val="2"/>
      </w:numPr>
    </w:pPr>
  </w:style>
  <w:style w:type="paragraph" w:styleId="Descripcin">
    <w:name w:val="caption"/>
    <w:basedOn w:val="Normal"/>
    <w:next w:val="Normal"/>
    <w:uiPriority w:val="35"/>
    <w:unhideWhenUsed/>
    <w:qFormat/>
    <w:rsid w:val="00CE0321"/>
    <w:pPr>
      <w:spacing w:after="200"/>
    </w:pPr>
    <w:rPr>
      <w:i/>
      <w:iCs/>
      <w:color w:val="44546A" w:themeColor="text2"/>
      <w:sz w:val="18"/>
      <w:szCs w:val="18"/>
    </w:rPr>
  </w:style>
  <w:style w:type="paragraph" w:styleId="Asuntodelcomentario">
    <w:name w:val="annotation subject"/>
    <w:basedOn w:val="Textocomentario"/>
    <w:next w:val="Textocomentario"/>
    <w:link w:val="AsuntodelcomentarioCar"/>
    <w:uiPriority w:val="99"/>
    <w:semiHidden/>
    <w:unhideWhenUsed/>
    <w:rsid w:val="001A040C"/>
    <w:pPr>
      <w:widowControl/>
      <w:adjustRightInd/>
      <w:spacing w:line="240" w:lineRule="auto"/>
      <w:ind w:left="567"/>
      <w:jc w:val="left"/>
      <w:textAlignment w:val="auto"/>
    </w:pPr>
    <w:rPr>
      <w:b/>
      <w:bCs/>
    </w:rPr>
  </w:style>
  <w:style w:type="character" w:customStyle="1" w:styleId="AsuntodelcomentarioCar">
    <w:name w:val="Asunto del comentario Car"/>
    <w:basedOn w:val="TextocomentarioCar"/>
    <w:link w:val="Asuntodelcomentario"/>
    <w:uiPriority w:val="99"/>
    <w:semiHidden/>
    <w:rsid w:val="001A040C"/>
    <w:rPr>
      <w:b/>
      <w:bCs/>
      <w:lang w:val="es-ES" w:eastAsia="es-ES"/>
    </w:rPr>
  </w:style>
  <w:style w:type="paragraph" w:styleId="Tabladeilustraciones">
    <w:name w:val="table of figures"/>
    <w:basedOn w:val="Normal"/>
    <w:next w:val="Normal"/>
    <w:uiPriority w:val="99"/>
    <w:unhideWhenUsed/>
    <w:rsid w:val="00337446"/>
    <w:pPr>
      <w:ind w:left="0"/>
    </w:pPr>
  </w:style>
  <w:style w:type="character" w:styleId="Hipervnculo">
    <w:name w:val="Hyperlink"/>
    <w:basedOn w:val="Fuentedeprrafopredeter"/>
    <w:uiPriority w:val="99"/>
    <w:unhideWhenUsed/>
    <w:rsid w:val="00337446"/>
    <w:rPr>
      <w:color w:val="0563C1" w:themeColor="hyperlink"/>
      <w:u w:val="single"/>
    </w:rPr>
  </w:style>
  <w:style w:type="paragraph" w:styleId="NormalWeb">
    <w:name w:val="Normal (Web)"/>
    <w:basedOn w:val="Normal"/>
    <w:uiPriority w:val="99"/>
    <w:unhideWhenUsed/>
    <w:rsid w:val="009D7284"/>
    <w:pPr>
      <w:spacing w:before="100" w:beforeAutospacing="1" w:after="100" w:afterAutospacing="1"/>
      <w:ind w:left="0"/>
    </w:pPr>
    <w:rPr>
      <w:lang w:val="es-CO" w:eastAsia="es-CO"/>
    </w:rPr>
  </w:style>
  <w:style w:type="paragraph" w:styleId="Revisin">
    <w:name w:val="Revision"/>
    <w:hidden/>
    <w:uiPriority w:val="99"/>
    <w:semiHidden/>
    <w:rsid w:val="00A567E0"/>
    <w:rPr>
      <w:sz w:val="24"/>
      <w:szCs w:val="24"/>
      <w:lang w:val="es-ES" w:eastAsia="es-ES"/>
    </w:rPr>
  </w:style>
  <w:style w:type="paragraph" w:styleId="Textonotapie">
    <w:name w:val="footnote text"/>
    <w:basedOn w:val="Normal"/>
    <w:link w:val="TextonotapieCar"/>
    <w:uiPriority w:val="99"/>
    <w:semiHidden/>
    <w:unhideWhenUsed/>
    <w:rsid w:val="00F450B9"/>
    <w:rPr>
      <w:sz w:val="20"/>
      <w:szCs w:val="20"/>
    </w:rPr>
  </w:style>
  <w:style w:type="character" w:customStyle="1" w:styleId="TextonotapieCar">
    <w:name w:val="Texto nota pie Car"/>
    <w:basedOn w:val="Fuentedeprrafopredeter"/>
    <w:link w:val="Textonotapie"/>
    <w:uiPriority w:val="99"/>
    <w:semiHidden/>
    <w:rsid w:val="00F450B9"/>
    <w:rPr>
      <w:lang w:val="es-ES" w:eastAsia="es-ES"/>
    </w:rPr>
  </w:style>
  <w:style w:type="character" w:styleId="Refdenotaalpie">
    <w:name w:val="footnote reference"/>
    <w:basedOn w:val="Fuentedeprrafopredeter"/>
    <w:uiPriority w:val="99"/>
    <w:semiHidden/>
    <w:unhideWhenUsed/>
    <w:rsid w:val="00F450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09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42B31-9C66-4555-8138-365C12018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9</Pages>
  <Words>3604</Words>
  <Characters>19311</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2019-07-17T13:53:00Z</cp:lastPrinted>
  <dcterms:created xsi:type="dcterms:W3CDTF">2019-07-26T15:26:00Z</dcterms:created>
  <dcterms:modified xsi:type="dcterms:W3CDTF">2019-07-26T15:26:00Z</dcterms:modified>
</cp:coreProperties>
</file>