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FDD3" w14:textId="227EB9F1" w:rsidR="00CA77FB" w:rsidRPr="00E060BE" w:rsidRDefault="004B24B2" w:rsidP="00D041AD">
      <w:pPr>
        <w:pStyle w:val="Encabezado"/>
        <w:tabs>
          <w:tab w:val="clear" w:pos="8504"/>
          <w:tab w:val="left" w:pos="0"/>
          <w:tab w:val="right" w:pos="9356"/>
        </w:tabs>
        <w:ind w:left="0"/>
        <w:jc w:val="center"/>
        <w:rPr>
          <w:rFonts w:ascii="Bookman Old Style" w:hAnsi="Bookman Old Style"/>
          <w:b/>
          <w:bCs/>
          <w:noProof/>
          <w:szCs w:val="24"/>
          <w:lang w:val="es-ES"/>
        </w:rPr>
      </w:pPr>
      <w:r>
        <w:rPr>
          <w:rFonts w:ascii="Bookman Old Style" w:hAnsi="Bookman Old Style"/>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pt;margin-top:-49.15pt;width:38.2pt;height:39.05pt;z-index:251657728" fillcolor="#0c9">
            <v:imagedata r:id="rId7" o:title=""/>
          </v:shape>
          <o:OLEObject Type="Embed" ProgID="PBrush" ShapeID="_x0000_s2050" DrawAspect="Content" ObjectID="_1746204929" r:id="rId8"/>
        </w:object>
      </w:r>
      <w:r w:rsidR="00CA77FB" w:rsidRPr="00E060BE">
        <w:rPr>
          <w:rFonts w:ascii="Bookman Old Style" w:hAnsi="Bookman Old Style"/>
          <w:bCs/>
          <w:szCs w:val="24"/>
        </w:rPr>
        <w:t>Ministerio de Minas y Energía</w:t>
      </w:r>
    </w:p>
    <w:p w14:paraId="0B8E60E5"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7027F17A"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4767CFAE"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7AC44F2" w14:textId="77777777" w:rsidR="00A06511" w:rsidRPr="00D65F86" w:rsidRDefault="00A06511" w:rsidP="00A06511">
      <w:pPr>
        <w:pStyle w:val="Ttulo5"/>
        <w:tabs>
          <w:tab w:val="left" w:pos="0"/>
          <w:tab w:val="right" w:pos="9356"/>
        </w:tabs>
        <w:ind w:left="0"/>
        <w:rPr>
          <w:rFonts w:ascii="Bookman Old Style" w:hAnsi="Bookman Old Style"/>
          <w:sz w:val="32"/>
          <w:szCs w:val="32"/>
        </w:rPr>
      </w:pPr>
      <w:r w:rsidRPr="00E060BE">
        <w:rPr>
          <w:rFonts w:ascii="Bookman Old Style" w:hAnsi="Bookman Old Style"/>
          <w:sz w:val="24"/>
          <w:szCs w:val="24"/>
        </w:rPr>
        <w:t xml:space="preserve">RESOLUCIÓN No. </w:t>
      </w:r>
      <w:r w:rsidRPr="00D65F86">
        <w:rPr>
          <w:rFonts w:ascii="Bookman Old Style" w:hAnsi="Bookman Old Style"/>
          <w:sz w:val="32"/>
          <w:szCs w:val="32"/>
        </w:rPr>
        <w:fldChar w:fldCharType="begin"/>
      </w:r>
      <w:r w:rsidRPr="00D65F86">
        <w:rPr>
          <w:rFonts w:ascii="Bookman Old Style" w:hAnsi="Bookman Old Style"/>
          <w:sz w:val="32"/>
          <w:szCs w:val="32"/>
        </w:rPr>
        <w:instrText xml:space="preserve"> MERGEFIELD  NumeroResolucion  \* MERGEFORMAT </w:instrText>
      </w:r>
      <w:r w:rsidRPr="00D65F86">
        <w:rPr>
          <w:rFonts w:ascii="Bookman Old Style" w:hAnsi="Bookman Old Style"/>
          <w:sz w:val="32"/>
          <w:szCs w:val="32"/>
        </w:rPr>
        <w:fldChar w:fldCharType="separate"/>
      </w:r>
      <w:r w:rsidRPr="00D65F86">
        <w:rPr>
          <w:rFonts w:ascii="Bookman Old Style" w:hAnsi="Bookman Old Style"/>
          <w:sz w:val="32"/>
          <w:szCs w:val="32"/>
        </w:rPr>
        <w:t>101 014</w:t>
      </w:r>
      <w:r w:rsidRPr="00D65F86">
        <w:rPr>
          <w:rFonts w:ascii="Bookman Old Style" w:hAnsi="Bookman Old Style"/>
          <w:sz w:val="32"/>
          <w:szCs w:val="32"/>
        </w:rPr>
        <w:fldChar w:fldCharType="end"/>
      </w:r>
      <w:r w:rsidRPr="00D65F86">
        <w:rPr>
          <w:rFonts w:ascii="Bookman Old Style" w:hAnsi="Bookman Old Style"/>
          <w:sz w:val="32"/>
          <w:szCs w:val="32"/>
        </w:rPr>
        <w:t xml:space="preserve"> DE </w:t>
      </w:r>
      <w:r w:rsidRPr="00D65F86">
        <w:rPr>
          <w:rFonts w:ascii="Bookman Old Style" w:hAnsi="Bookman Old Style"/>
          <w:sz w:val="32"/>
          <w:szCs w:val="32"/>
        </w:rPr>
        <w:fldChar w:fldCharType="begin"/>
      </w:r>
      <w:r w:rsidRPr="00D65F86">
        <w:rPr>
          <w:rFonts w:ascii="Bookman Old Style" w:hAnsi="Bookman Old Style"/>
          <w:sz w:val="32"/>
          <w:szCs w:val="32"/>
        </w:rPr>
        <w:instrText xml:space="preserve"> MERGEFIELD  Anio  \* MERGEFORMAT </w:instrText>
      </w:r>
      <w:r w:rsidRPr="00D65F86">
        <w:rPr>
          <w:rFonts w:ascii="Bookman Old Style" w:hAnsi="Bookman Old Style"/>
          <w:sz w:val="32"/>
          <w:szCs w:val="32"/>
        </w:rPr>
        <w:fldChar w:fldCharType="separate"/>
      </w:r>
      <w:r w:rsidRPr="00D65F86">
        <w:rPr>
          <w:rFonts w:ascii="Bookman Old Style" w:hAnsi="Bookman Old Style"/>
          <w:noProof/>
          <w:sz w:val="32"/>
          <w:szCs w:val="32"/>
        </w:rPr>
        <w:t>2023</w:t>
      </w:r>
      <w:r w:rsidRPr="00D65F86">
        <w:rPr>
          <w:rFonts w:ascii="Bookman Old Style" w:hAnsi="Bookman Old Style"/>
          <w:sz w:val="32"/>
          <w:szCs w:val="32"/>
        </w:rPr>
        <w:fldChar w:fldCharType="end"/>
      </w:r>
    </w:p>
    <w:p w14:paraId="0C7D114C"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50D3C85" w14:textId="01B1F249" w:rsidR="00CA77FB" w:rsidRPr="00D65F86" w:rsidRDefault="00CA77FB" w:rsidP="00012259">
      <w:pPr>
        <w:pStyle w:val="Ttulo3"/>
        <w:tabs>
          <w:tab w:val="left" w:pos="0"/>
          <w:tab w:val="right" w:pos="9356"/>
        </w:tabs>
        <w:ind w:left="0"/>
        <w:rPr>
          <w:rFonts w:ascii="Bookman Old Style" w:hAnsi="Bookman Old Style"/>
          <w:b w:val="0"/>
          <w:sz w:val="28"/>
          <w:szCs w:val="28"/>
        </w:rPr>
      </w:pPr>
      <w:r w:rsidRPr="00D65F86">
        <w:rPr>
          <w:rFonts w:ascii="Bookman Old Style" w:hAnsi="Bookman Old Style"/>
          <w:b w:val="0"/>
          <w:sz w:val="28"/>
          <w:szCs w:val="28"/>
        </w:rPr>
        <w:t>(</w:t>
      </w:r>
      <w:r w:rsidR="00F67BCD" w:rsidRPr="00D65F86">
        <w:rPr>
          <w:rFonts w:ascii="Bookman Old Style" w:hAnsi="Bookman Old Style"/>
          <w:sz w:val="28"/>
          <w:szCs w:val="28"/>
        </w:rPr>
        <w:t>2</w:t>
      </w:r>
      <w:r w:rsidR="005B7BB1" w:rsidRPr="00D65F86">
        <w:rPr>
          <w:rFonts w:ascii="Bookman Old Style" w:hAnsi="Bookman Old Style"/>
          <w:sz w:val="28"/>
          <w:szCs w:val="28"/>
        </w:rPr>
        <w:t>1</w:t>
      </w:r>
      <w:r w:rsidR="00F67BCD" w:rsidRPr="00D65F86">
        <w:rPr>
          <w:rFonts w:ascii="Bookman Old Style" w:hAnsi="Bookman Old Style"/>
          <w:sz w:val="28"/>
          <w:szCs w:val="28"/>
        </w:rPr>
        <w:t xml:space="preserve"> MAY</w:t>
      </w:r>
      <w:r w:rsidR="00F67BCD" w:rsidRPr="00D65F86">
        <w:rPr>
          <w:rFonts w:ascii="Bookman Old Style" w:hAnsi="Bookman Old Style"/>
          <w:bCs/>
          <w:sz w:val="28"/>
          <w:szCs w:val="28"/>
        </w:rPr>
        <w:t>. 2023</w:t>
      </w:r>
      <w:r w:rsidRPr="00D65F86">
        <w:rPr>
          <w:rFonts w:ascii="Bookman Old Style" w:hAnsi="Bookman Old Style"/>
          <w:b w:val="0"/>
          <w:sz w:val="28"/>
          <w:szCs w:val="28"/>
        </w:rPr>
        <w:t>)</w:t>
      </w:r>
    </w:p>
    <w:p w14:paraId="57D77EBA" w14:textId="77777777" w:rsidR="00CA77FB" w:rsidRPr="00E060BE" w:rsidRDefault="00CA77FB" w:rsidP="0016706B">
      <w:pPr>
        <w:tabs>
          <w:tab w:val="left" w:pos="0"/>
          <w:tab w:val="right" w:pos="9356"/>
        </w:tabs>
        <w:ind w:left="0"/>
        <w:jc w:val="center"/>
        <w:rPr>
          <w:rFonts w:ascii="Bookman Old Style" w:hAnsi="Bookman Old Style"/>
          <w:lang w:val="es-ES_tradnl"/>
        </w:rPr>
      </w:pPr>
    </w:p>
    <w:p w14:paraId="15A71B8E" w14:textId="77777777" w:rsidR="00B351B4" w:rsidRPr="00E060BE" w:rsidRDefault="00B351B4" w:rsidP="0016706B">
      <w:pPr>
        <w:tabs>
          <w:tab w:val="left" w:pos="0"/>
          <w:tab w:val="right" w:pos="9356"/>
        </w:tabs>
        <w:ind w:left="0"/>
        <w:jc w:val="center"/>
        <w:rPr>
          <w:rFonts w:ascii="Bookman Old Style" w:hAnsi="Bookman Old Style"/>
          <w:bCs/>
          <w:lang w:val="es-CO"/>
        </w:rPr>
      </w:pPr>
    </w:p>
    <w:p w14:paraId="053FCB54" w14:textId="2A06FC69" w:rsidR="00045D3D" w:rsidRDefault="00F67BCD" w:rsidP="0016706B">
      <w:pPr>
        <w:tabs>
          <w:tab w:val="left" w:pos="0"/>
        </w:tabs>
        <w:ind w:right="567"/>
        <w:jc w:val="center"/>
        <w:rPr>
          <w:rFonts w:ascii="Bookman Old Style" w:hAnsi="Bookman Old Style"/>
        </w:rPr>
      </w:pPr>
      <w:r w:rsidRPr="00F67BCD">
        <w:rPr>
          <w:rFonts w:ascii="Bookman Old Style" w:hAnsi="Bookman Old Style"/>
        </w:rPr>
        <w:t>Por la cual se amplían los plazos para las actividades pendientes en el proceso de subasta de asignación de las obligaciones de energía firme del cargo por confiabilidad para el período comprendido entre el 1 de diciembre de 2027 y el 30 de noviembre de 2028, convocada mediante Resolución CREG 101 034A de 2022.</w:t>
      </w:r>
    </w:p>
    <w:p w14:paraId="59554A9B" w14:textId="77777777" w:rsidR="00F67BCD" w:rsidRPr="0016706B" w:rsidRDefault="00F67BCD" w:rsidP="0016706B">
      <w:pPr>
        <w:tabs>
          <w:tab w:val="left" w:pos="0"/>
          <w:tab w:val="right" w:pos="9356"/>
        </w:tabs>
        <w:ind w:left="0"/>
        <w:jc w:val="center"/>
        <w:rPr>
          <w:rFonts w:ascii="Bookman Old Style" w:hAnsi="Bookman Old Style"/>
          <w:lang w:val="es-ES_tradnl"/>
        </w:rPr>
      </w:pPr>
    </w:p>
    <w:p w14:paraId="22BC2D1E" w14:textId="77777777" w:rsidR="00F67BCD" w:rsidRPr="0016706B" w:rsidRDefault="00F67BCD" w:rsidP="0016706B">
      <w:pPr>
        <w:tabs>
          <w:tab w:val="left" w:pos="0"/>
          <w:tab w:val="right" w:pos="9356"/>
        </w:tabs>
        <w:ind w:left="0"/>
        <w:jc w:val="center"/>
        <w:rPr>
          <w:rFonts w:ascii="Bookman Old Style" w:hAnsi="Bookman Old Style"/>
          <w:lang w:val="es-ES_tradnl"/>
        </w:rPr>
      </w:pPr>
    </w:p>
    <w:p w14:paraId="7B67FAFA" w14:textId="77777777" w:rsidR="00045D3D" w:rsidRDefault="00045D3D" w:rsidP="0016706B">
      <w:pPr>
        <w:ind w:left="0" w:right="51"/>
        <w:jc w:val="center"/>
        <w:rPr>
          <w:rFonts w:ascii="Bookman Old Style" w:hAnsi="Bookman Old Style"/>
          <w:b/>
        </w:rPr>
      </w:pPr>
      <w:r w:rsidRPr="00C435C3">
        <w:rPr>
          <w:rFonts w:ascii="Bookman Old Style" w:hAnsi="Bookman Old Style"/>
          <w:b/>
        </w:rPr>
        <w:t xml:space="preserve">LA COMISIÓN DE REGULACIÓN </w:t>
      </w:r>
      <w:r w:rsidR="007B5A60" w:rsidRPr="00C435C3">
        <w:rPr>
          <w:rFonts w:ascii="Bookman Old Style" w:hAnsi="Bookman Old Style"/>
          <w:b/>
        </w:rPr>
        <w:t>DE ENERGÍA</w:t>
      </w:r>
      <w:r w:rsidRPr="00C435C3">
        <w:rPr>
          <w:rFonts w:ascii="Bookman Old Style" w:hAnsi="Bookman Old Style"/>
          <w:b/>
        </w:rPr>
        <w:t xml:space="preserve"> Y GAS</w:t>
      </w:r>
    </w:p>
    <w:p w14:paraId="6376C751" w14:textId="77777777" w:rsidR="0016706B" w:rsidRPr="00C435C3" w:rsidRDefault="0016706B" w:rsidP="0016706B">
      <w:pPr>
        <w:ind w:left="0" w:right="51"/>
        <w:jc w:val="center"/>
        <w:rPr>
          <w:rFonts w:ascii="Bookman Old Style" w:hAnsi="Bookman Old Style"/>
          <w:b/>
        </w:rPr>
      </w:pPr>
    </w:p>
    <w:p w14:paraId="416AEFF4" w14:textId="1B6DF11A" w:rsidR="00045D3D" w:rsidRDefault="00F67BCD" w:rsidP="0016706B">
      <w:pPr>
        <w:ind w:right="567"/>
        <w:jc w:val="center"/>
        <w:rPr>
          <w:rFonts w:ascii="Bookman Old Style" w:hAnsi="Bookman Old Style" w:cs="Arial"/>
          <w:bCs/>
          <w:spacing w:val="-3"/>
        </w:rPr>
      </w:pPr>
      <w:r w:rsidRPr="00F67BCD">
        <w:rPr>
          <w:rFonts w:ascii="Bookman Old Style" w:hAnsi="Bookman Old Style" w:cs="Arial"/>
          <w:bCs/>
          <w:spacing w:val="-3"/>
        </w:rPr>
        <w:t>En ejercicio de sus atribuciones constitucionales y legales, en especial las conferidas por las Leyes 142 y 143 de 1994, y en desarrollo de los Decretos 1524 y 2253 de 1994, y 1260 de 2013</w:t>
      </w:r>
      <w:r w:rsidR="00D041AD">
        <w:rPr>
          <w:rFonts w:ascii="Bookman Old Style" w:hAnsi="Bookman Old Style" w:cs="Arial"/>
          <w:bCs/>
          <w:spacing w:val="-3"/>
        </w:rPr>
        <w:t xml:space="preserve"> y</w:t>
      </w:r>
    </w:p>
    <w:p w14:paraId="5E350840" w14:textId="77777777" w:rsidR="00F67BCD" w:rsidRDefault="00F67BCD" w:rsidP="0016706B">
      <w:pPr>
        <w:ind w:left="0" w:right="51"/>
        <w:jc w:val="center"/>
        <w:rPr>
          <w:rFonts w:ascii="Bookman Old Style" w:hAnsi="Bookman Old Style" w:cs="Arial"/>
          <w:bCs/>
          <w:spacing w:val="-3"/>
        </w:rPr>
      </w:pPr>
    </w:p>
    <w:p w14:paraId="3E8440ED" w14:textId="77777777" w:rsidR="00045D3D" w:rsidRDefault="00045D3D" w:rsidP="0016706B">
      <w:pPr>
        <w:ind w:left="0" w:right="51"/>
        <w:jc w:val="center"/>
        <w:rPr>
          <w:rFonts w:ascii="Bookman Old Style" w:hAnsi="Bookman Old Style"/>
        </w:rPr>
      </w:pPr>
    </w:p>
    <w:p w14:paraId="72BBA367" w14:textId="2E1D9232" w:rsidR="00045D3D" w:rsidRPr="00C435C3" w:rsidRDefault="00045D3D" w:rsidP="0016706B">
      <w:pPr>
        <w:ind w:left="0" w:right="51"/>
        <w:jc w:val="center"/>
        <w:rPr>
          <w:rFonts w:ascii="Bookman Old Style" w:hAnsi="Bookman Old Style"/>
          <w:b/>
        </w:rPr>
      </w:pPr>
      <w:r w:rsidRPr="00C435C3">
        <w:rPr>
          <w:rFonts w:ascii="Bookman Old Style" w:hAnsi="Bookman Old Style"/>
          <w:b/>
        </w:rPr>
        <w:t xml:space="preserve">C O N S I D E R A N D </w:t>
      </w:r>
      <w:proofErr w:type="gramStart"/>
      <w:r w:rsidR="007B5A60" w:rsidRPr="00C435C3">
        <w:rPr>
          <w:rFonts w:ascii="Bookman Old Style" w:hAnsi="Bookman Old Style"/>
          <w:b/>
        </w:rPr>
        <w:t>O</w:t>
      </w:r>
      <w:r w:rsidR="0016706B">
        <w:rPr>
          <w:rFonts w:ascii="Bookman Old Style" w:hAnsi="Bookman Old Style"/>
          <w:b/>
        </w:rPr>
        <w:t xml:space="preserve">  </w:t>
      </w:r>
      <w:r w:rsidR="007B5A60">
        <w:rPr>
          <w:rFonts w:ascii="Bookman Old Style" w:hAnsi="Bookman Old Style"/>
          <w:b/>
        </w:rPr>
        <w:t>Q</w:t>
      </w:r>
      <w:proofErr w:type="gramEnd"/>
      <w:r>
        <w:rPr>
          <w:rFonts w:ascii="Bookman Old Style" w:hAnsi="Bookman Old Style"/>
          <w:b/>
        </w:rPr>
        <w:t xml:space="preserve"> U E</w:t>
      </w:r>
      <w:r w:rsidRPr="00C435C3">
        <w:rPr>
          <w:rFonts w:ascii="Bookman Old Style" w:hAnsi="Bookman Old Style"/>
          <w:b/>
        </w:rPr>
        <w:t>:</w:t>
      </w:r>
    </w:p>
    <w:p w14:paraId="2378A86C" w14:textId="77777777" w:rsidR="00045D3D" w:rsidRPr="00C435C3" w:rsidRDefault="00045D3D" w:rsidP="0016706B">
      <w:pPr>
        <w:ind w:left="0" w:right="51"/>
        <w:jc w:val="center"/>
        <w:rPr>
          <w:rFonts w:ascii="Bookman Old Style" w:hAnsi="Bookman Old Style"/>
          <w:b/>
        </w:rPr>
      </w:pPr>
    </w:p>
    <w:p w14:paraId="21E18E96" w14:textId="77777777" w:rsidR="00F67BCD" w:rsidRDefault="00F67BCD" w:rsidP="00F67BCD">
      <w:pPr>
        <w:ind w:left="0"/>
        <w:rPr>
          <w:rFonts w:ascii="Bookman Old Style" w:hAnsi="Bookman Old Style"/>
        </w:rPr>
      </w:pPr>
      <w:r w:rsidRPr="00F67BCD">
        <w:rPr>
          <w:rFonts w:ascii="Bookman Old Style" w:hAnsi="Bookman Old Style"/>
        </w:rPr>
        <w:t>En cumplimiento de las funciones y objetivos establecidos en la Ley 142 de 1994 y especialmente de lo señalado en el artículo 23 de la Ley 143 de 1994, la Comisión de Regulación de Energía y Gas, mediante Resolución CREG 071 de 2006, adoptó la metodología para la remuneración del Cargo por Confiabilidad en el Mercado de Energía Mayorista.</w:t>
      </w:r>
    </w:p>
    <w:p w14:paraId="0EC1F413" w14:textId="77777777" w:rsidR="00F67BCD" w:rsidRDefault="00F67BCD" w:rsidP="00F67BCD">
      <w:pPr>
        <w:ind w:left="0"/>
        <w:rPr>
          <w:rFonts w:ascii="Bookman Old Style" w:hAnsi="Bookman Old Style"/>
        </w:rPr>
      </w:pPr>
    </w:p>
    <w:p w14:paraId="6F38507F" w14:textId="77777777" w:rsidR="00F67BCD" w:rsidRPr="00F67BCD" w:rsidRDefault="00F67BCD" w:rsidP="00F67BCD">
      <w:pPr>
        <w:ind w:left="0"/>
        <w:rPr>
          <w:rFonts w:ascii="Bookman Old Style" w:hAnsi="Bookman Old Style"/>
        </w:rPr>
      </w:pPr>
      <w:r w:rsidRPr="00F67BCD">
        <w:rPr>
          <w:rFonts w:ascii="Bookman Old Style" w:hAnsi="Bookman Old Style"/>
        </w:rPr>
        <w:t>La Resolución CREG 101 024 de 2022 definió los procedimientos para las subastas del Cargo por Confiabilidad y señaló en el artículo 12 que la Comisión fijará mediante resolución la fecha en la que se debe llevar a cabo la subasta para la asignación de obligaciones de energía firme.</w:t>
      </w:r>
    </w:p>
    <w:p w14:paraId="5E750D40" w14:textId="77777777" w:rsidR="00F67BCD" w:rsidRPr="00F67BCD" w:rsidRDefault="00F67BCD" w:rsidP="00F67BCD">
      <w:pPr>
        <w:ind w:left="0"/>
        <w:rPr>
          <w:rFonts w:ascii="Bookman Old Style" w:hAnsi="Bookman Old Style"/>
        </w:rPr>
      </w:pPr>
    </w:p>
    <w:p w14:paraId="4B8A267E" w14:textId="77777777" w:rsidR="00F67BCD" w:rsidRPr="00F67BCD" w:rsidRDefault="00F67BCD" w:rsidP="00F67BCD">
      <w:pPr>
        <w:ind w:left="0"/>
        <w:rPr>
          <w:rFonts w:ascii="Bookman Old Style" w:hAnsi="Bookman Old Style"/>
        </w:rPr>
      </w:pPr>
      <w:r w:rsidRPr="00F67BCD">
        <w:rPr>
          <w:rFonts w:ascii="Bookman Old Style" w:hAnsi="Bookman Old Style"/>
        </w:rPr>
        <w:t xml:space="preserve">En el parágrafo del citado artículo 12 de la Resolución CREG 101 024 de 2022 se estableció que “El día de </w:t>
      </w:r>
      <w:proofErr w:type="gramStart"/>
      <w:r w:rsidRPr="00F67BCD">
        <w:rPr>
          <w:rFonts w:ascii="Bookman Old Style" w:hAnsi="Bookman Old Style"/>
        </w:rPr>
        <w:t>entrada en vigencia</w:t>
      </w:r>
      <w:proofErr w:type="gramEnd"/>
      <w:r w:rsidRPr="00F67BCD">
        <w:rPr>
          <w:rFonts w:ascii="Bookman Old Style" w:hAnsi="Bookman Old Style"/>
        </w:rPr>
        <w:t xml:space="preserve"> de la resolución que convoque la subasta de que habla este artículo será establecido como el día D, el cual servirá como referencia para los cronogramas, fechas límite y demás tiempos establecidos en esta resolución”.</w:t>
      </w:r>
    </w:p>
    <w:p w14:paraId="0DF38C3D" w14:textId="77777777" w:rsidR="00F67BCD" w:rsidRPr="00F67BCD" w:rsidRDefault="00F67BCD" w:rsidP="00F67BCD">
      <w:pPr>
        <w:ind w:left="0"/>
        <w:rPr>
          <w:rFonts w:ascii="Bookman Old Style" w:hAnsi="Bookman Old Style"/>
        </w:rPr>
      </w:pPr>
    </w:p>
    <w:p w14:paraId="14D5A9CE" w14:textId="7692287A" w:rsidR="00F67BCD" w:rsidRDefault="00F67BCD" w:rsidP="00F67BCD">
      <w:pPr>
        <w:ind w:left="0"/>
        <w:rPr>
          <w:rFonts w:ascii="Bookman Old Style" w:hAnsi="Bookman Old Style"/>
        </w:rPr>
      </w:pPr>
      <w:r w:rsidRPr="00F67BCD">
        <w:rPr>
          <w:rFonts w:ascii="Bookman Old Style" w:hAnsi="Bookman Old Style"/>
        </w:rPr>
        <w:t>En aplicación de lo señalado en el artículo 12 de la Resolución CREG 101 024 de 2022, mediante Resolución CREG 101 034A de 2022</w:t>
      </w:r>
      <w:r w:rsidR="00DE613A">
        <w:rPr>
          <w:rFonts w:ascii="Bookman Old Style" w:hAnsi="Bookman Old Style"/>
        </w:rPr>
        <w:t>,</w:t>
      </w:r>
      <w:r w:rsidRPr="00F67BCD">
        <w:rPr>
          <w:rFonts w:ascii="Bookman Old Style" w:hAnsi="Bookman Old Style"/>
        </w:rPr>
        <w:t xml:space="preserve"> la CREG fijó la oportunidad para llevar a cabo la subasta de asignación de las obligaciones de energía firme, OEF, del cargo por confiabilidad para el período comprendido entre el 1 de diciembre de 2027 y el 30 de noviembre de 2028.</w:t>
      </w:r>
    </w:p>
    <w:p w14:paraId="56D24DFC" w14:textId="77777777" w:rsidR="00F67BCD" w:rsidRDefault="00F67BCD" w:rsidP="00F67BCD">
      <w:pPr>
        <w:ind w:left="0"/>
        <w:rPr>
          <w:rFonts w:ascii="Bookman Old Style" w:hAnsi="Bookman Old Style"/>
        </w:rPr>
      </w:pPr>
    </w:p>
    <w:p w14:paraId="5F993316" w14:textId="4F6964E5" w:rsidR="00F67BCD" w:rsidRDefault="00F67BCD" w:rsidP="00F67BCD">
      <w:pPr>
        <w:ind w:left="0"/>
        <w:rPr>
          <w:rFonts w:ascii="Bookman Old Style" w:hAnsi="Bookman Old Style"/>
        </w:rPr>
      </w:pPr>
      <w:r w:rsidRPr="00F67BCD">
        <w:rPr>
          <w:rFonts w:ascii="Bookman Old Style" w:hAnsi="Bookman Old Style"/>
        </w:rPr>
        <w:t>La resolución fue publicada en el Diario Oficial el día 15 de febrero de 2023 fecha a partir de la cual se empezaron contar los plazos para las actividades de la subasta conforme a lo previsto en la Resolución Creg 101 024 de 2022.</w:t>
      </w:r>
    </w:p>
    <w:p w14:paraId="1B478AC4" w14:textId="77777777" w:rsidR="00F67BCD" w:rsidRDefault="00F67BCD" w:rsidP="00F67BCD">
      <w:pPr>
        <w:ind w:left="0"/>
        <w:rPr>
          <w:rFonts w:ascii="Bookman Old Style" w:hAnsi="Bookman Old Style"/>
        </w:rPr>
      </w:pPr>
    </w:p>
    <w:p w14:paraId="502277A3" w14:textId="5E636E8C" w:rsidR="0032637B" w:rsidRPr="0032637B" w:rsidRDefault="0032637B" w:rsidP="0032637B">
      <w:pPr>
        <w:ind w:left="0"/>
        <w:jc w:val="both"/>
        <w:rPr>
          <w:rFonts w:ascii="Bookman Old Style" w:hAnsi="Bookman Old Style"/>
        </w:rPr>
      </w:pPr>
      <w:r w:rsidRPr="0032637B">
        <w:rPr>
          <w:rFonts w:ascii="Bookman Old Style" w:hAnsi="Bookman Old Style"/>
        </w:rPr>
        <w:t xml:space="preserve">En cumplimiento de lo ordenado en la Resolución 101 034A de 2022, XM SA ESP publicó en la página web del SUICC el cronograma con las obligaciones y plazos para la realización de subasta convocada. </w:t>
      </w:r>
    </w:p>
    <w:p w14:paraId="55549070" w14:textId="77777777" w:rsidR="0032637B" w:rsidRPr="0032637B" w:rsidRDefault="0032637B" w:rsidP="0032637B">
      <w:pPr>
        <w:ind w:left="0"/>
        <w:rPr>
          <w:rFonts w:ascii="Bookman Old Style" w:hAnsi="Bookman Old Style"/>
        </w:rPr>
      </w:pPr>
    </w:p>
    <w:p w14:paraId="28360BEE" w14:textId="2C3B2312" w:rsidR="0032637B" w:rsidRPr="0032637B" w:rsidRDefault="0032637B" w:rsidP="0032637B">
      <w:pPr>
        <w:ind w:left="0"/>
        <w:rPr>
          <w:rFonts w:ascii="Bookman Old Style" w:hAnsi="Bookman Old Style"/>
        </w:rPr>
      </w:pPr>
      <w:r w:rsidRPr="0032637B">
        <w:rPr>
          <w:rFonts w:ascii="Bookman Old Style" w:hAnsi="Bookman Old Style"/>
        </w:rPr>
        <w:t>A la fecha se ha cumplido la actividad prevista en el artículo 17 de la</w:t>
      </w:r>
      <w:r w:rsidR="00D041AD">
        <w:rPr>
          <w:rFonts w:ascii="Bookman Old Style" w:hAnsi="Bookman Old Style"/>
        </w:rPr>
        <w:t xml:space="preserve"> </w:t>
      </w:r>
      <w:r w:rsidRPr="0032637B">
        <w:rPr>
          <w:rFonts w:ascii="Bookman Old Style" w:hAnsi="Bookman Old Style"/>
        </w:rPr>
        <w:t>Resolución 101 024 de 2022 quedando pendientes las actividades previstas en los artículos 21 y siguientes</w:t>
      </w:r>
      <w:r w:rsidR="00DC65CE">
        <w:rPr>
          <w:rFonts w:ascii="Bookman Old Style" w:hAnsi="Bookman Old Style"/>
        </w:rPr>
        <w:t xml:space="preserve"> de la citada resolución</w:t>
      </w:r>
      <w:r w:rsidRPr="0032637B">
        <w:rPr>
          <w:rFonts w:ascii="Bookman Old Style" w:hAnsi="Bookman Old Style"/>
        </w:rPr>
        <w:t xml:space="preserve">. </w:t>
      </w:r>
    </w:p>
    <w:p w14:paraId="3C746AE0" w14:textId="77777777" w:rsidR="0032637B" w:rsidRPr="0032637B" w:rsidRDefault="0032637B" w:rsidP="0032637B">
      <w:pPr>
        <w:ind w:left="0"/>
        <w:rPr>
          <w:rFonts w:ascii="Bookman Old Style" w:hAnsi="Bookman Old Style"/>
        </w:rPr>
      </w:pPr>
    </w:p>
    <w:p w14:paraId="5934DCCE" w14:textId="590E6183" w:rsidR="0032637B" w:rsidRPr="0032637B" w:rsidRDefault="0032637B" w:rsidP="0032637B">
      <w:pPr>
        <w:ind w:left="0"/>
        <w:rPr>
          <w:rFonts w:ascii="Bookman Old Style" w:hAnsi="Bookman Old Style"/>
        </w:rPr>
      </w:pPr>
      <w:r w:rsidRPr="0032637B">
        <w:rPr>
          <w:rFonts w:ascii="Bookman Old Style" w:hAnsi="Bookman Old Style"/>
        </w:rPr>
        <w:t xml:space="preserve">Se recibieron comunicaciones de </w:t>
      </w:r>
      <w:proofErr w:type="spellStart"/>
      <w:r w:rsidRPr="0032637B">
        <w:rPr>
          <w:rFonts w:ascii="Bookman Old Style" w:hAnsi="Bookman Old Style"/>
        </w:rPr>
        <w:t>Gecelca</w:t>
      </w:r>
      <w:proofErr w:type="spellEnd"/>
      <w:r w:rsidRPr="0032637B">
        <w:rPr>
          <w:rFonts w:ascii="Bookman Old Style" w:hAnsi="Bookman Old Style"/>
        </w:rPr>
        <w:t>,</w:t>
      </w:r>
      <w:r w:rsidR="0070701A">
        <w:rPr>
          <w:rFonts w:ascii="Bookman Old Style" w:hAnsi="Bookman Old Style"/>
        </w:rPr>
        <w:t xml:space="preserve"> radicado E2023004226,</w:t>
      </w:r>
      <w:r w:rsidRPr="0032637B">
        <w:rPr>
          <w:rFonts w:ascii="Bookman Old Style" w:hAnsi="Bookman Old Style"/>
        </w:rPr>
        <w:t xml:space="preserve"> y </w:t>
      </w:r>
      <w:proofErr w:type="spellStart"/>
      <w:r w:rsidRPr="0032637B">
        <w:rPr>
          <w:rFonts w:ascii="Bookman Old Style" w:hAnsi="Bookman Old Style"/>
        </w:rPr>
        <w:t>Tebsa</w:t>
      </w:r>
      <w:proofErr w:type="spellEnd"/>
      <w:r w:rsidR="0070701A" w:rsidRPr="0032637B">
        <w:rPr>
          <w:rFonts w:ascii="Bookman Old Style" w:hAnsi="Bookman Old Style"/>
        </w:rPr>
        <w:t>,</w:t>
      </w:r>
      <w:r w:rsidR="0070701A">
        <w:rPr>
          <w:rFonts w:ascii="Bookman Old Style" w:hAnsi="Bookman Old Style"/>
        </w:rPr>
        <w:t xml:space="preserve"> radicado E2023004394,</w:t>
      </w:r>
      <w:r w:rsidRPr="0032637B">
        <w:rPr>
          <w:rFonts w:ascii="Bookman Old Style" w:hAnsi="Bookman Old Style"/>
        </w:rPr>
        <w:t xml:space="preserve"> solicitando el aplazamiento de la subasta con el fin de contar con mayor plazo y asegurar así su participación en la misma. </w:t>
      </w:r>
    </w:p>
    <w:p w14:paraId="5C07A4F9" w14:textId="77777777" w:rsidR="0032637B" w:rsidRPr="0032637B" w:rsidRDefault="0032637B" w:rsidP="0032637B">
      <w:pPr>
        <w:ind w:left="0"/>
        <w:rPr>
          <w:rFonts w:ascii="Bookman Old Style" w:hAnsi="Bookman Old Style"/>
        </w:rPr>
      </w:pPr>
    </w:p>
    <w:p w14:paraId="2C50D201" w14:textId="77777777" w:rsidR="0032637B" w:rsidRPr="0032637B" w:rsidRDefault="0032637B" w:rsidP="0032637B">
      <w:pPr>
        <w:ind w:left="0"/>
        <w:rPr>
          <w:rFonts w:ascii="Bookman Old Style" w:hAnsi="Bookman Old Style"/>
        </w:rPr>
      </w:pPr>
      <w:r w:rsidRPr="0032637B">
        <w:rPr>
          <w:rFonts w:ascii="Bookman Old Style" w:hAnsi="Bookman Old Style"/>
        </w:rPr>
        <w:t>Al respecto la Comisión considera que, con el fin de habilitar una mayor participación de oferentes en la subasta, contar con una oferta de ENFICC suficiente y con ello promover una mayor competencia, es pertinente atender las solicitudes formuladas ampliando los plazos de ejecución de las actividades pendientes del proceso de subasta.</w:t>
      </w:r>
    </w:p>
    <w:p w14:paraId="33953945" w14:textId="77777777" w:rsidR="0032637B" w:rsidRPr="0032637B" w:rsidRDefault="0032637B" w:rsidP="0032637B">
      <w:pPr>
        <w:ind w:left="0"/>
        <w:rPr>
          <w:rFonts w:ascii="Bookman Old Style" w:hAnsi="Bookman Old Style"/>
        </w:rPr>
      </w:pPr>
    </w:p>
    <w:p w14:paraId="445BD2D2" w14:textId="2C4B437B" w:rsidR="00F67BCD" w:rsidRDefault="0032637B" w:rsidP="0032637B">
      <w:pPr>
        <w:ind w:left="0"/>
        <w:rPr>
          <w:rFonts w:ascii="Bookman Old Style" w:hAnsi="Bookman Old Style"/>
        </w:rPr>
      </w:pPr>
      <w:r w:rsidRPr="0032637B">
        <w:rPr>
          <w:rFonts w:ascii="Bookman Old Style" w:hAnsi="Bookman Old Style"/>
        </w:rPr>
        <w:t>Mediante el proyecto de resolución 701 010 de 2023 la Comisión presentó</w:t>
      </w:r>
      <w:r w:rsidR="003B4B74">
        <w:rPr>
          <w:rFonts w:ascii="Bookman Old Style" w:hAnsi="Bookman Old Style"/>
        </w:rPr>
        <w:t xml:space="preserve">, entre otras, </w:t>
      </w:r>
      <w:r w:rsidRPr="0032637B">
        <w:rPr>
          <w:rFonts w:ascii="Bookman Old Style" w:hAnsi="Bookman Old Style"/>
        </w:rPr>
        <w:t xml:space="preserve">la propuesta de ampliación de los plazos para la ejecución de las actividades pendientes de la subasta convocada con la Resolución CREG </w:t>
      </w:r>
      <w:r w:rsidR="003B4B74">
        <w:rPr>
          <w:rFonts w:ascii="Bookman Old Style" w:hAnsi="Bookman Old Style"/>
        </w:rPr>
        <w:t xml:space="preserve">101 </w:t>
      </w:r>
      <w:r w:rsidRPr="0032637B">
        <w:rPr>
          <w:rFonts w:ascii="Bookman Old Style" w:hAnsi="Bookman Old Style"/>
        </w:rPr>
        <w:t>034A de 2022.</w:t>
      </w:r>
    </w:p>
    <w:p w14:paraId="2D15F060" w14:textId="77777777" w:rsidR="0032637B" w:rsidRDefault="0032637B" w:rsidP="0032637B">
      <w:pPr>
        <w:ind w:left="0"/>
        <w:rPr>
          <w:rFonts w:ascii="Bookman Old Style" w:hAnsi="Bookman Old Style"/>
        </w:rPr>
      </w:pPr>
    </w:p>
    <w:p w14:paraId="5851782A" w14:textId="30B68B7F" w:rsidR="0032637B" w:rsidRPr="0032637B" w:rsidRDefault="0032637B" w:rsidP="0032637B">
      <w:pPr>
        <w:ind w:left="0"/>
        <w:rPr>
          <w:rFonts w:ascii="Bookman Old Style" w:hAnsi="Bookman Old Style"/>
        </w:rPr>
      </w:pPr>
      <w:r w:rsidRPr="0032637B">
        <w:rPr>
          <w:rFonts w:ascii="Bookman Old Style" w:hAnsi="Bookman Old Style"/>
        </w:rPr>
        <w:t>Surtido el período de consulta</w:t>
      </w:r>
      <w:r w:rsidR="00662C59">
        <w:rPr>
          <w:rFonts w:ascii="Bookman Old Style" w:hAnsi="Bookman Old Style"/>
        </w:rPr>
        <w:t xml:space="preserve"> y dentro del plazo establecido,</w:t>
      </w:r>
      <w:r w:rsidRPr="0032637B">
        <w:rPr>
          <w:rFonts w:ascii="Bookman Old Style" w:hAnsi="Bookman Old Style"/>
        </w:rPr>
        <w:t xml:space="preserve"> se recibieron los comentarios de Cerrito Capital, </w:t>
      </w:r>
      <w:proofErr w:type="spellStart"/>
      <w:r w:rsidRPr="0032637B">
        <w:rPr>
          <w:rFonts w:ascii="Bookman Old Style" w:hAnsi="Bookman Old Style"/>
        </w:rPr>
        <w:t>Indigo</w:t>
      </w:r>
      <w:proofErr w:type="spellEnd"/>
      <w:r w:rsidRPr="0032637B">
        <w:rPr>
          <w:rFonts w:ascii="Bookman Old Style" w:hAnsi="Bookman Old Style"/>
        </w:rPr>
        <w:t xml:space="preserve"> Arena, Celsia, Optima Consultores, </w:t>
      </w:r>
      <w:proofErr w:type="spellStart"/>
      <w:r w:rsidRPr="0032637B">
        <w:rPr>
          <w:rFonts w:ascii="Bookman Old Style" w:hAnsi="Bookman Old Style"/>
        </w:rPr>
        <w:t>Gecelca</w:t>
      </w:r>
      <w:proofErr w:type="spellEnd"/>
      <w:r w:rsidRPr="0032637B">
        <w:rPr>
          <w:rFonts w:ascii="Bookman Old Style" w:hAnsi="Bookman Old Style"/>
        </w:rPr>
        <w:t xml:space="preserve">, Prime Energía Colombia, </w:t>
      </w:r>
      <w:proofErr w:type="spellStart"/>
      <w:r w:rsidRPr="0032637B">
        <w:rPr>
          <w:rFonts w:ascii="Bookman Old Style" w:hAnsi="Bookman Old Style"/>
        </w:rPr>
        <w:t>Termopalmero</w:t>
      </w:r>
      <w:proofErr w:type="spellEnd"/>
      <w:r w:rsidRPr="0032637B">
        <w:rPr>
          <w:rFonts w:ascii="Bookman Old Style" w:hAnsi="Bookman Old Style"/>
        </w:rPr>
        <w:t xml:space="preserve">, </w:t>
      </w:r>
      <w:proofErr w:type="spellStart"/>
      <w:r w:rsidRPr="0032637B">
        <w:rPr>
          <w:rFonts w:ascii="Bookman Old Style" w:hAnsi="Bookman Old Style"/>
        </w:rPr>
        <w:t>Andesco</w:t>
      </w:r>
      <w:proofErr w:type="spellEnd"/>
      <w:r w:rsidRPr="0032637B">
        <w:rPr>
          <w:rFonts w:ascii="Bookman Old Style" w:hAnsi="Bookman Old Style"/>
        </w:rPr>
        <w:t xml:space="preserve">, </w:t>
      </w:r>
      <w:proofErr w:type="spellStart"/>
      <w:r w:rsidRPr="0032637B">
        <w:rPr>
          <w:rFonts w:ascii="Bookman Old Style" w:hAnsi="Bookman Old Style"/>
        </w:rPr>
        <w:t>Acolgen</w:t>
      </w:r>
      <w:proofErr w:type="spellEnd"/>
      <w:r w:rsidRPr="0032637B">
        <w:rPr>
          <w:rFonts w:ascii="Bookman Old Style" w:hAnsi="Bookman Old Style"/>
        </w:rPr>
        <w:t xml:space="preserve">, XM y Ser Colombia, los cuales se analizan y responden en el </w:t>
      </w:r>
      <w:r w:rsidR="00C6381A">
        <w:rPr>
          <w:rFonts w:ascii="Bookman Old Style" w:hAnsi="Bookman Old Style"/>
        </w:rPr>
        <w:t>D</w:t>
      </w:r>
      <w:r w:rsidRPr="0032637B">
        <w:rPr>
          <w:rFonts w:ascii="Bookman Old Style" w:hAnsi="Bookman Old Style"/>
        </w:rPr>
        <w:t xml:space="preserve">ocumento Creg que acompaña esta resolución. </w:t>
      </w:r>
    </w:p>
    <w:p w14:paraId="487BC03E" w14:textId="77777777" w:rsidR="0032637B" w:rsidRPr="0032637B" w:rsidRDefault="0032637B" w:rsidP="0032637B">
      <w:pPr>
        <w:ind w:left="0"/>
        <w:rPr>
          <w:rFonts w:ascii="Bookman Old Style" w:hAnsi="Bookman Old Style"/>
        </w:rPr>
      </w:pPr>
    </w:p>
    <w:p w14:paraId="4E8AF452" w14:textId="77777777" w:rsidR="0032637B" w:rsidRPr="0032637B" w:rsidRDefault="0032637B" w:rsidP="0032637B">
      <w:pPr>
        <w:ind w:left="0"/>
        <w:rPr>
          <w:rFonts w:ascii="Bookman Old Style" w:hAnsi="Bookman Old Style"/>
        </w:rPr>
      </w:pPr>
      <w:r w:rsidRPr="0032637B">
        <w:rPr>
          <w:rFonts w:ascii="Bookman Old Style" w:hAnsi="Bookman Old Style"/>
        </w:rPr>
        <w:t xml:space="preserve">Como resultado del diligenciamiento del formulario sobre prácticas restrictivas a la competencia, en cumplimiento de lo establecido en el Decreto 1074 de 2015, se concluyó que esta normativa no es restrictiva de la competencia. Por lo anterior, no se informó a la Superintendencia de Industria y Comercio, SIC, sobre la presente resolución.  </w:t>
      </w:r>
    </w:p>
    <w:p w14:paraId="43CBD9E9" w14:textId="77777777" w:rsidR="0032637B" w:rsidRPr="0032637B" w:rsidRDefault="0032637B" w:rsidP="0032637B">
      <w:pPr>
        <w:ind w:left="0"/>
        <w:rPr>
          <w:rFonts w:ascii="Bookman Old Style" w:hAnsi="Bookman Old Style"/>
        </w:rPr>
      </w:pPr>
    </w:p>
    <w:p w14:paraId="26CBE0C0" w14:textId="1F0BD7B2" w:rsidR="0032637B" w:rsidRDefault="0032637B" w:rsidP="0032637B">
      <w:pPr>
        <w:ind w:left="0"/>
        <w:rPr>
          <w:rFonts w:ascii="Bookman Old Style" w:hAnsi="Bookman Old Style"/>
        </w:rPr>
      </w:pPr>
      <w:r w:rsidRPr="0032637B">
        <w:rPr>
          <w:rFonts w:ascii="Bookman Old Style" w:hAnsi="Bookman Old Style"/>
        </w:rPr>
        <w:t>Con base en lo anterior</w:t>
      </w:r>
      <w:r w:rsidR="00C6381A">
        <w:rPr>
          <w:rFonts w:ascii="Bookman Old Style" w:hAnsi="Bookman Old Style"/>
        </w:rPr>
        <w:t>,</w:t>
      </w:r>
      <w:r w:rsidRPr="0032637B">
        <w:rPr>
          <w:rFonts w:ascii="Bookman Old Style" w:hAnsi="Bookman Old Style"/>
        </w:rPr>
        <w:t xml:space="preserve"> la Comisión de Regulación de Energía y Gas en su sesión No.</w:t>
      </w:r>
      <w:r w:rsidR="003B4B74">
        <w:rPr>
          <w:rFonts w:ascii="Bookman Old Style" w:hAnsi="Bookman Old Style"/>
        </w:rPr>
        <w:t xml:space="preserve"> </w:t>
      </w:r>
      <w:r w:rsidRPr="0032637B">
        <w:rPr>
          <w:rFonts w:ascii="Bookman Old Style" w:hAnsi="Bookman Old Style"/>
        </w:rPr>
        <w:t>1267 acordó expedir esta resolución.</w:t>
      </w:r>
    </w:p>
    <w:p w14:paraId="3E3E58D5" w14:textId="77777777" w:rsidR="0032637B" w:rsidRDefault="0032637B" w:rsidP="0032637B">
      <w:pPr>
        <w:ind w:left="0"/>
        <w:rPr>
          <w:rFonts w:ascii="Bookman Old Style" w:hAnsi="Bookman Old Style"/>
        </w:rPr>
      </w:pPr>
    </w:p>
    <w:p w14:paraId="361EBA52" w14:textId="77777777" w:rsidR="0016706B" w:rsidRDefault="0016706B" w:rsidP="0032637B">
      <w:pPr>
        <w:ind w:left="0"/>
        <w:rPr>
          <w:rFonts w:ascii="Bookman Old Style" w:hAnsi="Bookman Old Style"/>
        </w:rPr>
      </w:pPr>
    </w:p>
    <w:p w14:paraId="40EFC463" w14:textId="77777777" w:rsidR="00045D3D" w:rsidRDefault="00045D3D" w:rsidP="0016706B">
      <w:pPr>
        <w:suppressAutoHyphens/>
        <w:ind w:left="0"/>
        <w:jc w:val="center"/>
        <w:rPr>
          <w:rFonts w:ascii="Bookman Old Style" w:hAnsi="Bookman Old Style"/>
          <w:b/>
          <w:spacing w:val="-3"/>
        </w:rPr>
      </w:pPr>
      <w:r w:rsidRPr="00C435C3">
        <w:rPr>
          <w:rFonts w:ascii="Bookman Old Style" w:hAnsi="Bookman Old Style"/>
          <w:b/>
          <w:spacing w:val="-3"/>
        </w:rPr>
        <w:t>R E S U E L V E:</w:t>
      </w:r>
    </w:p>
    <w:p w14:paraId="10C76D4A" w14:textId="77777777" w:rsidR="0016706B" w:rsidRPr="0016706B" w:rsidRDefault="0016706B" w:rsidP="0016706B">
      <w:pPr>
        <w:suppressAutoHyphens/>
        <w:ind w:left="0"/>
        <w:jc w:val="center"/>
        <w:rPr>
          <w:rFonts w:ascii="Bookman Old Style" w:hAnsi="Bookman Old Style"/>
          <w:b/>
          <w:bCs/>
          <w:spacing w:val="-3"/>
        </w:rPr>
      </w:pPr>
    </w:p>
    <w:p w14:paraId="61224CD6" w14:textId="3BCD7DFC" w:rsidR="002E6CA9" w:rsidRPr="005D6759" w:rsidRDefault="002E6CA9" w:rsidP="0016706B">
      <w:pPr>
        <w:pStyle w:val="Estilo5"/>
        <w:keepNext w:val="0"/>
        <w:numPr>
          <w:ilvl w:val="0"/>
          <w:numId w:val="23"/>
        </w:numPr>
        <w:tabs>
          <w:tab w:val="left" w:pos="1560"/>
        </w:tabs>
        <w:spacing w:before="120" w:after="0"/>
        <w:ind w:left="0"/>
        <w:jc w:val="left"/>
        <w:outlineLvl w:val="9"/>
      </w:pPr>
      <w:r w:rsidRPr="005D6759">
        <w:t>Ampliación</w:t>
      </w:r>
      <w:r w:rsidRPr="005D6759">
        <w:rPr>
          <w:bCs/>
        </w:rPr>
        <w:t xml:space="preserve"> de los plazos de ejecución de las actividades de la subasta del cargo por confiabilidad convocada mediante Resolución CREG </w:t>
      </w:r>
      <w:r>
        <w:rPr>
          <w:bCs/>
        </w:rPr>
        <w:t xml:space="preserve">101 </w:t>
      </w:r>
      <w:r w:rsidRPr="005D6759">
        <w:rPr>
          <w:bCs/>
        </w:rPr>
        <w:t xml:space="preserve">034A de 2022. </w:t>
      </w:r>
      <w:r w:rsidRPr="005D6759">
        <w:rPr>
          <w:b w:val="0"/>
          <w:bCs/>
        </w:rPr>
        <w:t>Para efectos del cumplimiento de las actividades del proceso de la subasta del cargo por confiabilidad</w:t>
      </w:r>
      <w:r w:rsidR="006A5E47">
        <w:rPr>
          <w:b w:val="0"/>
          <w:bCs/>
        </w:rPr>
        <w:t>,</w:t>
      </w:r>
      <w:r w:rsidRPr="005D6759">
        <w:rPr>
          <w:b w:val="0"/>
          <w:bCs/>
        </w:rPr>
        <w:t xml:space="preserve"> convocada mediante la Resolución CREG 101 034A de 2022</w:t>
      </w:r>
      <w:r w:rsidR="006A5E47">
        <w:rPr>
          <w:b w:val="0"/>
          <w:bCs/>
        </w:rPr>
        <w:t>,</w:t>
      </w:r>
      <w:r w:rsidRPr="005D6759">
        <w:rPr>
          <w:b w:val="0"/>
          <w:bCs/>
        </w:rPr>
        <w:t xml:space="preserve"> que a la fecha de </w:t>
      </w:r>
      <w:proofErr w:type="gramStart"/>
      <w:r w:rsidRPr="005D6759">
        <w:rPr>
          <w:b w:val="0"/>
          <w:bCs/>
        </w:rPr>
        <w:t>entrada en vigencia</w:t>
      </w:r>
      <w:proofErr w:type="gramEnd"/>
      <w:r w:rsidRPr="005D6759">
        <w:rPr>
          <w:b w:val="0"/>
          <w:bCs/>
        </w:rPr>
        <w:t xml:space="preserve"> de esta resolución no se hayan realizado, se adicionarán sesenta (60) días hábiles a los plazos máximos definidos en la Resolución CREG 101 024 de 2022.</w:t>
      </w:r>
    </w:p>
    <w:p w14:paraId="7BEA8EB2" w14:textId="77777777" w:rsidR="002E6CA9" w:rsidRPr="005D6759" w:rsidRDefault="002E6CA9" w:rsidP="002E6CA9">
      <w:pPr>
        <w:pStyle w:val="Prrafodelista"/>
        <w:ind w:left="568"/>
      </w:pPr>
    </w:p>
    <w:p w14:paraId="4B8DEE7E" w14:textId="70714483" w:rsidR="00045D3D" w:rsidRPr="00DE613A" w:rsidRDefault="002E6CA9" w:rsidP="003B4B74">
      <w:pPr>
        <w:ind w:left="0"/>
        <w:rPr>
          <w:rFonts w:ascii="Bookman Old Style" w:hAnsi="Bookman Old Style"/>
          <w:bCs/>
          <w:kern w:val="28"/>
          <w:szCs w:val="22"/>
          <w:lang w:val="es-ES_tradnl" w:eastAsia="es-CO"/>
        </w:rPr>
      </w:pPr>
      <w:r w:rsidRPr="00DE613A">
        <w:rPr>
          <w:rFonts w:ascii="Bookman Old Style" w:hAnsi="Bookman Old Style"/>
          <w:bCs/>
          <w:kern w:val="28"/>
          <w:szCs w:val="22"/>
          <w:lang w:val="es-ES_tradnl" w:eastAsia="es-CO"/>
        </w:rPr>
        <w:lastRenderedPageBreak/>
        <w:t>Dentro de los cinco (5) días hábiles siguientes a la publicación de esta resolución, el ASIC deberá publicar en la página web del SUICC el cronograma con las obligaciones y plazos establecidos en la Resolución CREG 101 024 de 2022 que sigan en el proceso de realización de la subasta convocada.</w:t>
      </w:r>
    </w:p>
    <w:p w14:paraId="1F032986" w14:textId="77777777" w:rsidR="00045D3D" w:rsidRPr="00C435C3" w:rsidRDefault="00045D3D" w:rsidP="00045D3D">
      <w:pPr>
        <w:rPr>
          <w:rFonts w:ascii="Bookman Old Style" w:hAnsi="Bookman Old Style"/>
        </w:rPr>
      </w:pPr>
    </w:p>
    <w:p w14:paraId="4C85039B" w14:textId="592D6EAC" w:rsidR="002E6CA9" w:rsidRPr="006D562B" w:rsidRDefault="00045D3D" w:rsidP="003B4B74">
      <w:pPr>
        <w:pStyle w:val="Estilo5"/>
        <w:keepNext w:val="0"/>
        <w:numPr>
          <w:ilvl w:val="0"/>
          <w:numId w:val="23"/>
        </w:numPr>
        <w:tabs>
          <w:tab w:val="left" w:pos="1560"/>
        </w:tabs>
        <w:spacing w:before="120" w:after="0"/>
        <w:ind w:left="0" w:right="142"/>
        <w:jc w:val="left"/>
        <w:outlineLvl w:val="9"/>
      </w:pPr>
      <w:r w:rsidRPr="002A782A">
        <w:t>.</w:t>
      </w:r>
      <w:r w:rsidR="002E6CA9">
        <w:rPr>
          <w:b w:val="0"/>
        </w:rPr>
        <w:t xml:space="preserve"> </w:t>
      </w:r>
      <w:r w:rsidR="002E6CA9">
        <w:t xml:space="preserve">Derogatorias y vigencia. </w:t>
      </w:r>
      <w:r w:rsidR="002E6CA9">
        <w:rPr>
          <w:b w:val="0"/>
        </w:rPr>
        <w:t xml:space="preserve">La presente rige a partir de su publicación en el </w:t>
      </w:r>
      <w:r w:rsidR="002E6CA9" w:rsidRPr="00815DFA">
        <w:rPr>
          <w:b w:val="0"/>
          <w:i/>
        </w:rPr>
        <w:t>Diario Oficia</w:t>
      </w:r>
      <w:r w:rsidR="002E6CA9">
        <w:rPr>
          <w:b w:val="0"/>
        </w:rPr>
        <w:t>l.</w:t>
      </w:r>
    </w:p>
    <w:p w14:paraId="1A65BDF4" w14:textId="77777777" w:rsidR="00045D3D" w:rsidRPr="0016706B" w:rsidRDefault="00045D3D" w:rsidP="0016706B">
      <w:pPr>
        <w:rPr>
          <w:rFonts w:ascii="Bookman Old Style" w:hAnsi="Bookman Old Style"/>
        </w:rPr>
      </w:pPr>
    </w:p>
    <w:p w14:paraId="4C3505C4" w14:textId="77777777" w:rsidR="00045D3D" w:rsidRPr="00C435C3" w:rsidRDefault="00045D3D" w:rsidP="0016706B">
      <w:pPr>
        <w:rPr>
          <w:rFonts w:ascii="Bookman Old Style" w:hAnsi="Bookman Old Style"/>
        </w:rPr>
      </w:pPr>
    </w:p>
    <w:p w14:paraId="292B1F06" w14:textId="685E4DC6" w:rsidR="00045D3D" w:rsidRPr="00C435C3" w:rsidRDefault="00045D3D" w:rsidP="0016706B">
      <w:pPr>
        <w:ind w:left="0"/>
        <w:jc w:val="center"/>
        <w:rPr>
          <w:rFonts w:ascii="Bookman Old Style" w:hAnsi="Bookman Old Style"/>
          <w:b/>
        </w:rPr>
      </w:pPr>
      <w:r w:rsidRPr="00C435C3">
        <w:rPr>
          <w:rFonts w:ascii="Bookman Old Style" w:hAnsi="Bookman Old Style"/>
          <w:b/>
        </w:rPr>
        <w:t>PU</w:t>
      </w:r>
      <w:r w:rsidR="00CA03C8">
        <w:rPr>
          <w:rFonts w:ascii="Bookman Old Style" w:hAnsi="Bookman Old Style"/>
          <w:b/>
        </w:rPr>
        <w:t>B</w:t>
      </w:r>
      <w:r w:rsidRPr="00C435C3">
        <w:rPr>
          <w:rFonts w:ascii="Bookman Old Style" w:hAnsi="Bookman Old Style"/>
          <w:b/>
        </w:rPr>
        <w:t>LÍQUESE Y CÚMPLASE</w:t>
      </w:r>
    </w:p>
    <w:p w14:paraId="7651F574" w14:textId="77777777" w:rsidR="00045D3D" w:rsidRPr="00C435C3" w:rsidRDefault="00045D3D" w:rsidP="00045D3D">
      <w:pPr>
        <w:rPr>
          <w:rFonts w:ascii="Bookman Old Style" w:hAnsi="Bookman Old Style"/>
        </w:rPr>
      </w:pPr>
    </w:p>
    <w:p w14:paraId="51B06A06" w14:textId="77777777" w:rsidR="002E6CA9" w:rsidRDefault="002E6CA9" w:rsidP="0016706B">
      <w:pPr>
        <w:rPr>
          <w:rFonts w:ascii="Bookman Old Style" w:hAnsi="Bookman Old Style"/>
        </w:rPr>
      </w:pPr>
    </w:p>
    <w:p w14:paraId="41425FE5" w14:textId="6B39C476" w:rsidR="00045D3D" w:rsidRDefault="00045D3D" w:rsidP="00045D3D">
      <w:pPr>
        <w:ind w:left="0"/>
        <w:rPr>
          <w:rFonts w:ascii="Bookman Old Style" w:hAnsi="Bookman Old Style"/>
        </w:rPr>
      </w:pPr>
      <w:r>
        <w:rPr>
          <w:rFonts w:ascii="Bookman Old Style" w:hAnsi="Bookman Old Style"/>
        </w:rPr>
        <w:t>Dada en Bogotá, D.C.</w:t>
      </w:r>
      <w:r w:rsidR="00CA3AA6">
        <w:rPr>
          <w:rFonts w:ascii="Bookman Old Style" w:hAnsi="Bookman Old Style"/>
        </w:rPr>
        <w:t xml:space="preserve"> </w:t>
      </w:r>
      <w:r w:rsidR="0032637B">
        <w:rPr>
          <w:rFonts w:ascii="Bookman Old Style" w:hAnsi="Bookman Old Style"/>
        </w:rPr>
        <w:t>el 2</w:t>
      </w:r>
      <w:r w:rsidR="004B24B2">
        <w:rPr>
          <w:rFonts w:ascii="Bookman Old Style" w:hAnsi="Bookman Old Style"/>
        </w:rPr>
        <w:t>1</w:t>
      </w:r>
      <w:r w:rsidR="0032637B">
        <w:rPr>
          <w:rFonts w:ascii="Bookman Old Style" w:hAnsi="Bookman Old Style"/>
        </w:rPr>
        <w:t xml:space="preserve"> de mayo de 2023.</w:t>
      </w:r>
    </w:p>
    <w:p w14:paraId="0ED69D37" w14:textId="77777777" w:rsidR="0032637B" w:rsidRDefault="0032637B" w:rsidP="00045D3D">
      <w:pPr>
        <w:ind w:left="0"/>
        <w:rPr>
          <w:rFonts w:ascii="Bookman Old Style" w:hAnsi="Bookman Old Style"/>
        </w:rPr>
      </w:pPr>
    </w:p>
    <w:p w14:paraId="1B7E1098" w14:textId="77777777" w:rsidR="002E6CA9" w:rsidRDefault="002E6CA9" w:rsidP="00045D3D">
      <w:pPr>
        <w:ind w:left="0"/>
        <w:rPr>
          <w:rFonts w:ascii="Bookman Old Style" w:hAnsi="Bookman Old Style"/>
        </w:rPr>
      </w:pPr>
    </w:p>
    <w:p w14:paraId="4B5FAFDA" w14:textId="77777777" w:rsidR="0032637B" w:rsidRDefault="0032637B" w:rsidP="00045D3D">
      <w:pPr>
        <w:ind w:left="0"/>
        <w:rPr>
          <w:rFonts w:ascii="Bookman Old Style" w:hAnsi="Bookman Old Style"/>
        </w:rPr>
      </w:pPr>
    </w:p>
    <w:p w14:paraId="2A65BEAB" w14:textId="77777777" w:rsidR="00045D3D" w:rsidRDefault="00045D3D" w:rsidP="00045D3D">
      <w:pPr>
        <w:ind w:left="0"/>
        <w:rPr>
          <w:rFonts w:ascii="Bookman Old Style" w:hAnsi="Bookman Old Sty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32637B" w14:paraId="14AA461F" w14:textId="77777777" w:rsidTr="00303693">
        <w:tc>
          <w:tcPr>
            <w:tcW w:w="4673" w:type="dxa"/>
          </w:tcPr>
          <w:p w14:paraId="58AA7B32" w14:textId="77777777" w:rsidR="0032637B" w:rsidRPr="00095C78" w:rsidRDefault="0032637B" w:rsidP="00303693">
            <w:pPr>
              <w:spacing w:line="259" w:lineRule="auto"/>
              <w:jc w:val="center"/>
              <w:rPr>
                <w:rFonts w:ascii="Bookman Old Style" w:hAnsi="Bookman Old Style"/>
                <w:b/>
                <w:bCs/>
              </w:rPr>
            </w:pPr>
            <w:r w:rsidRPr="00095C78">
              <w:rPr>
                <w:rFonts w:ascii="Bookman Old Style" w:hAnsi="Bookman Old Style"/>
                <w:b/>
                <w:bCs/>
              </w:rPr>
              <w:t>IRENE VÉLEZ TORRES</w:t>
            </w:r>
          </w:p>
          <w:p w14:paraId="1F451EAF" w14:textId="77777777" w:rsidR="0032637B" w:rsidRDefault="0032637B" w:rsidP="00303693">
            <w:pPr>
              <w:spacing w:line="259" w:lineRule="auto"/>
              <w:jc w:val="center"/>
              <w:rPr>
                <w:rFonts w:ascii="Bookman Old Style" w:hAnsi="Bookman Old Style"/>
              </w:rPr>
            </w:pPr>
            <w:r>
              <w:rPr>
                <w:rFonts w:ascii="Bookman Old Style" w:hAnsi="Bookman Old Style"/>
              </w:rPr>
              <w:t>Ministra de Minas y Energía</w:t>
            </w:r>
          </w:p>
          <w:p w14:paraId="39B6DA2B" w14:textId="77777777" w:rsidR="0032637B" w:rsidRDefault="0032637B" w:rsidP="00303693">
            <w:pPr>
              <w:spacing w:line="259" w:lineRule="auto"/>
              <w:jc w:val="center"/>
              <w:rPr>
                <w:rFonts w:ascii="Bookman Old Style" w:hAnsi="Bookman Old Style"/>
              </w:rPr>
            </w:pPr>
            <w:r>
              <w:rPr>
                <w:rFonts w:ascii="Bookman Old Style" w:hAnsi="Bookman Old Style"/>
              </w:rPr>
              <w:t>Presidente</w:t>
            </w:r>
          </w:p>
        </w:tc>
        <w:tc>
          <w:tcPr>
            <w:tcW w:w="4673" w:type="dxa"/>
          </w:tcPr>
          <w:p w14:paraId="36DC7F1C" w14:textId="57552043" w:rsidR="0032637B" w:rsidRPr="00095C78" w:rsidRDefault="0032637B" w:rsidP="00303693">
            <w:pPr>
              <w:spacing w:line="259" w:lineRule="auto"/>
              <w:jc w:val="center"/>
              <w:rPr>
                <w:rFonts w:ascii="Bookman Old Style" w:hAnsi="Bookman Old Style"/>
                <w:b/>
                <w:bCs/>
              </w:rPr>
            </w:pPr>
            <w:r w:rsidRPr="00095C78">
              <w:rPr>
                <w:rFonts w:ascii="Bookman Old Style" w:hAnsi="Bookman Old Style"/>
                <w:b/>
                <w:bCs/>
              </w:rPr>
              <w:t>JOS</w:t>
            </w:r>
            <w:r w:rsidR="00D65F86">
              <w:rPr>
                <w:rFonts w:ascii="Bookman Old Style" w:hAnsi="Bookman Old Style"/>
                <w:b/>
                <w:bCs/>
              </w:rPr>
              <w:t>E</w:t>
            </w:r>
            <w:r w:rsidRPr="00095C78">
              <w:rPr>
                <w:rFonts w:ascii="Bookman Old Style" w:hAnsi="Bookman Old Style"/>
                <w:b/>
                <w:bCs/>
              </w:rPr>
              <w:t xml:space="preserve"> FERNANDO PRADA RÍOS</w:t>
            </w:r>
          </w:p>
          <w:p w14:paraId="440526B2" w14:textId="77777777" w:rsidR="0032637B" w:rsidRDefault="0032637B" w:rsidP="00303693">
            <w:pPr>
              <w:spacing w:line="259" w:lineRule="auto"/>
              <w:jc w:val="center"/>
              <w:rPr>
                <w:rFonts w:ascii="Bookman Old Style" w:hAnsi="Bookman Old Style"/>
              </w:rPr>
            </w:pPr>
            <w:r>
              <w:rPr>
                <w:rFonts w:ascii="Bookman Old Style" w:hAnsi="Bookman Old Style"/>
              </w:rPr>
              <w:t>Director Ejecutivo</w:t>
            </w:r>
          </w:p>
        </w:tc>
      </w:tr>
    </w:tbl>
    <w:p w14:paraId="1C505DDF" w14:textId="77777777" w:rsidR="00045D3D" w:rsidRDefault="00045D3D" w:rsidP="00045D3D">
      <w:pPr>
        <w:ind w:left="0"/>
        <w:rPr>
          <w:rFonts w:ascii="Bookman Old Style" w:hAnsi="Bookman Old Style"/>
        </w:rPr>
      </w:pPr>
    </w:p>
    <w:sectPr w:rsidR="00045D3D" w:rsidSect="005A59EF">
      <w:headerReference w:type="default" r:id="rId9"/>
      <w:headerReference w:type="first" r:id="rId1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2607" w14:textId="77777777" w:rsidR="00855BBF" w:rsidRDefault="00855BBF">
      <w:r>
        <w:separator/>
      </w:r>
    </w:p>
  </w:endnote>
  <w:endnote w:type="continuationSeparator" w:id="0">
    <w:p w14:paraId="35EA7032" w14:textId="77777777" w:rsidR="00855BBF" w:rsidRDefault="0085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CA7D" w14:textId="77777777" w:rsidR="00855BBF" w:rsidRDefault="00855BBF">
      <w:r>
        <w:separator/>
      </w:r>
    </w:p>
  </w:footnote>
  <w:footnote w:type="continuationSeparator" w:id="0">
    <w:p w14:paraId="7E552E6F" w14:textId="77777777" w:rsidR="00855BBF" w:rsidRDefault="0085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5795A71D"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D65F86" w:rsidRPr="00D65F86">
      <w:rPr>
        <w:rFonts w:ascii="Bookman Old Style" w:hAnsi="Bookman Old Style" w:cs="Arial"/>
        <w:bCs/>
        <w:szCs w:val="24"/>
        <w:u w:val="single"/>
      </w:rPr>
      <w:t>101 014</w:t>
    </w:r>
    <w:r w:rsidR="00D65F86">
      <w:rPr>
        <w:rFonts w:ascii="Bookman Old Style" w:hAnsi="Bookman Old Style" w:cs="Arial"/>
        <w:b w:val="0"/>
        <w:szCs w:val="24"/>
      </w:rPr>
      <w:t xml:space="preserve">   </w:t>
    </w:r>
    <w:r w:rsidR="00886EE1" w:rsidRPr="00D65F86">
      <w:rPr>
        <w:rFonts w:ascii="Bookman Old Style" w:hAnsi="Bookman Old Style" w:cs="Arial"/>
        <w:b w:val="0"/>
        <w:szCs w:val="24"/>
      </w:rPr>
      <w:t>DE</w:t>
    </w:r>
    <w:r w:rsidR="000D26F8" w:rsidRPr="00D65F86">
      <w:rPr>
        <w:rFonts w:ascii="Bookman Old Style" w:hAnsi="Bookman Old Style" w:cs="Arial"/>
        <w:b w:val="0"/>
        <w:szCs w:val="24"/>
      </w:rPr>
      <w:t xml:space="preserve"> </w:t>
    </w:r>
    <w:r w:rsidR="00D65F86">
      <w:rPr>
        <w:rFonts w:ascii="Bookman Old Style" w:hAnsi="Bookman Old Style" w:cs="Arial"/>
        <w:b w:val="0"/>
        <w:szCs w:val="24"/>
      </w:rPr>
      <w:t xml:space="preserve"> </w:t>
    </w:r>
    <w:r w:rsidR="00D65F86" w:rsidRPr="00D65F86">
      <w:rPr>
        <w:rFonts w:ascii="Bookman Old Style" w:hAnsi="Bookman Old Style" w:cs="Arial"/>
        <w:bCs/>
        <w:szCs w:val="24"/>
        <w:u w:val="single"/>
      </w:rPr>
      <w:t>21 MAY. 2023</w:t>
    </w:r>
    <w:r w:rsidR="003D076C">
      <w:rPr>
        <w:rFonts w:ascii="Bookman Old Style" w:hAnsi="Bookman Old Style" w:cs="Arial"/>
        <w:b w:val="0"/>
        <w:sz w:val="22"/>
        <w:szCs w:val="22"/>
      </w:rPr>
      <w:tab/>
    </w:r>
    <w:r w:rsidR="00D65F86">
      <w:rPr>
        <w:rFonts w:ascii="Bookman Old Style" w:hAnsi="Bookman Old Style" w:cs="Arial"/>
        <w:b w:val="0"/>
        <w:sz w:val="22"/>
        <w:szCs w:val="22"/>
      </w:rPr>
      <w:t xml:space="preserve">                            </w:t>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B24B2">
      <w:fldChar w:fldCharType="begin"/>
    </w:r>
    <w:r w:rsidR="004B24B2">
      <w:instrText xml:space="preserve"> NUMPAGES  \* MERGEFORMAT </w:instrText>
    </w:r>
    <w:r w:rsidR="004B24B2">
      <w:fldChar w:fldCharType="separate"/>
    </w:r>
    <w:r w:rsidR="00F77D2D" w:rsidRPr="00F77D2D">
      <w:rPr>
        <w:rFonts w:ascii="Bookman Old Style" w:hAnsi="Bookman Old Style" w:cs="Arial"/>
        <w:b w:val="0"/>
        <w:noProof/>
        <w:sz w:val="22"/>
        <w:szCs w:val="22"/>
      </w:rPr>
      <w:t>2</w:t>
    </w:r>
    <w:r w:rsidR="004B24B2">
      <w:rPr>
        <w:rFonts w:ascii="Bookman Old Style" w:hAnsi="Bookman Old Style" w:cs="Arial"/>
        <w:b w:val="0"/>
        <w:noProof/>
        <w:sz w:val="22"/>
        <w:szCs w:val="22"/>
      </w:rPr>
      <w:fldChar w:fldCharType="end"/>
    </w:r>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3C70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30B7CB8B" w14:textId="150E9E5C" w:rsidR="00045D3D" w:rsidRPr="0016706B" w:rsidRDefault="007E0EB2" w:rsidP="0016706B">
    <w:pPr>
      <w:pBdr>
        <w:bottom w:val="single" w:sz="4" w:space="6" w:color="auto"/>
      </w:pBdr>
      <w:spacing w:before="60"/>
      <w:ind w:left="0"/>
      <w:rPr>
        <w:rFonts w:ascii="Bookman Old Style" w:hAnsi="Bookman Old Style"/>
        <w:i/>
        <w:iCs/>
        <w:sz w:val="22"/>
        <w:szCs w:val="22"/>
      </w:rPr>
    </w:pPr>
    <w:r w:rsidRPr="0016706B">
      <w:rPr>
        <w:rFonts w:ascii="Bookman Old Style" w:hAnsi="Bookman Old Style"/>
        <w:i/>
        <w:iCs/>
        <w:sz w:val="22"/>
        <w:szCs w:val="22"/>
      </w:rPr>
      <w:t>Por la cual se amplían los plazos para las actividades pendientes en el proceso de subasta de asignación de las obligaciones de energía firme del cargo por confiabilidad para el período comprendido entre el 1 de diciembre de 2027 y el 30 de noviembre de 2028, convocada mediante Resolución CREG 101 034A de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27DA5F0E" w:rsidR="00725FA4" w:rsidRDefault="00725FA4" w:rsidP="0016706B">
    <w:pPr>
      <w:pStyle w:val="Encabezado"/>
      <w:ind w:left="0"/>
      <w:jc w:val="center"/>
      <w:rPr>
        <w:rFonts w:ascii="Arial" w:hAnsi="Arial" w:cs="Arial"/>
        <w:spacing w:val="20"/>
        <w:sz w:val="20"/>
      </w:rPr>
    </w:pPr>
    <w:r>
      <w:rPr>
        <w:rFonts w:ascii="Arial" w:hAnsi="Arial" w:cs="Arial"/>
        <w:spacing w:val="20"/>
        <w:sz w:val="20"/>
      </w:rPr>
      <w:t>República de Colombia</w:t>
    </w:r>
  </w:p>
  <w:p w14:paraId="273850B7" w14:textId="77777777" w:rsidR="00725FA4" w:rsidRDefault="00725FA4" w:rsidP="0016706B">
    <w:pPr>
      <w:pStyle w:val="Encabezado"/>
      <w:ind w:left="0"/>
      <w:jc w:val="center"/>
      <w:rPr>
        <w:rFonts w:ascii="Arial" w:hAnsi="Arial" w:cs="Arial"/>
        <w:spacing w:val="20"/>
        <w:sz w:val="20"/>
      </w:rPr>
    </w:pPr>
  </w:p>
  <w:p w14:paraId="367D4456" w14:textId="76DA3229" w:rsidR="00725FA4" w:rsidRDefault="00DF16F5" w:rsidP="0016706B">
    <w:pPr>
      <w:pStyle w:val="Encabezado"/>
      <w:ind w:left="0"/>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678A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8F13D4"/>
    <w:multiLevelType w:val="multilevel"/>
    <w:tmpl w:val="E39C708C"/>
    <w:lvl w:ilvl="0">
      <w:start w:val="1"/>
      <w:numFmt w:val="decimal"/>
      <w:lvlText w:val="Artículo %1."/>
      <w:lvlJc w:val="left"/>
      <w:pPr>
        <w:ind w:left="568" w:firstLine="0"/>
      </w:pPr>
      <w:rPr>
        <w:b/>
        <w:i w:val="0"/>
        <w:sz w:val="24"/>
      </w:rPr>
    </w:lvl>
    <w:lvl w:ilvl="1">
      <w:start w:val="1"/>
      <w:numFmt w:val="decimal"/>
      <w:lvlText w:val="%1.%2."/>
      <w:lvlJc w:val="left"/>
      <w:pPr>
        <w:ind w:left="-1843" w:firstLine="0"/>
      </w:pPr>
      <w:rPr>
        <w:rFonts w:ascii="Bookman Old Style" w:hAnsi="Bookman Old Style" w:hint="default"/>
        <w:b/>
        <w:i w:val="0"/>
        <w:sz w:val="24"/>
        <w:szCs w:val="24"/>
      </w:rPr>
    </w:lvl>
    <w:lvl w:ilvl="2">
      <w:start w:val="1"/>
      <w:numFmt w:val="decimal"/>
      <w:suff w:val="nothing"/>
      <w:lvlText w:val="%1.%2.%3. "/>
      <w:lvlJc w:val="left"/>
      <w:pPr>
        <w:ind w:left="-1843" w:firstLine="0"/>
      </w:pPr>
      <w:rPr>
        <w:rFonts w:ascii="Bookman Old Style" w:hAnsi="Bookman Old Style" w:hint="default"/>
        <w:b/>
        <w:i w:val="0"/>
        <w:sz w:val="24"/>
      </w:rPr>
    </w:lvl>
    <w:lvl w:ilvl="3">
      <w:start w:val="1"/>
      <w:numFmt w:val="lowerRoman"/>
      <w:lvlText w:val="(%4)"/>
      <w:lvlJc w:val="right"/>
      <w:pPr>
        <w:ind w:left="-2978" w:firstLine="0"/>
      </w:pPr>
    </w:lvl>
    <w:lvl w:ilvl="4">
      <w:start w:val="1"/>
      <w:numFmt w:val="decimal"/>
      <w:lvlText w:val="%5)"/>
      <w:lvlJc w:val="left"/>
      <w:pPr>
        <w:ind w:left="-2978" w:firstLine="0"/>
      </w:pPr>
    </w:lvl>
    <w:lvl w:ilvl="5">
      <w:start w:val="1"/>
      <w:numFmt w:val="lowerLetter"/>
      <w:lvlText w:val="%6)"/>
      <w:lvlJc w:val="left"/>
      <w:pPr>
        <w:ind w:left="-2978" w:firstLine="0"/>
      </w:pPr>
    </w:lvl>
    <w:lvl w:ilvl="6">
      <w:start w:val="1"/>
      <w:numFmt w:val="lowerRoman"/>
      <w:lvlText w:val="%7)"/>
      <w:lvlJc w:val="right"/>
      <w:pPr>
        <w:ind w:left="-2978" w:firstLine="0"/>
      </w:pPr>
    </w:lvl>
    <w:lvl w:ilvl="7">
      <w:start w:val="1"/>
      <w:numFmt w:val="lowerLetter"/>
      <w:lvlText w:val="%8."/>
      <w:lvlJc w:val="left"/>
      <w:pPr>
        <w:ind w:left="-2978" w:firstLine="0"/>
      </w:pPr>
    </w:lvl>
    <w:lvl w:ilvl="8">
      <w:start w:val="1"/>
      <w:numFmt w:val="lowerRoman"/>
      <w:lvlText w:val="%9."/>
      <w:lvlJc w:val="right"/>
      <w:pPr>
        <w:ind w:left="-2978" w:firstLine="0"/>
      </w:pPr>
      <w:rPr>
        <w:rFonts w:ascii="Bookman Old Style" w:hAnsi="Bookman Old Style" w:hint="default"/>
        <w:b w:val="0"/>
        <w:sz w:val="24"/>
        <w:szCs w:val="24"/>
      </w:r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57953B2B"/>
    <w:multiLevelType w:val="multilevel"/>
    <w:tmpl w:val="E39C708C"/>
    <w:lvl w:ilvl="0">
      <w:start w:val="1"/>
      <w:numFmt w:val="decimal"/>
      <w:lvlText w:val="Artículo %1."/>
      <w:lvlJc w:val="left"/>
      <w:pPr>
        <w:ind w:left="568" w:firstLine="0"/>
      </w:pPr>
      <w:rPr>
        <w:b/>
        <w:i w:val="0"/>
        <w:sz w:val="24"/>
      </w:rPr>
    </w:lvl>
    <w:lvl w:ilvl="1">
      <w:start w:val="1"/>
      <w:numFmt w:val="decimal"/>
      <w:lvlText w:val="%1.%2."/>
      <w:lvlJc w:val="left"/>
      <w:pPr>
        <w:ind w:left="-1843" w:firstLine="0"/>
      </w:pPr>
      <w:rPr>
        <w:rFonts w:ascii="Bookman Old Style" w:hAnsi="Bookman Old Style" w:hint="default"/>
        <w:b/>
        <w:i w:val="0"/>
        <w:sz w:val="24"/>
        <w:szCs w:val="24"/>
      </w:rPr>
    </w:lvl>
    <w:lvl w:ilvl="2">
      <w:start w:val="1"/>
      <w:numFmt w:val="decimal"/>
      <w:suff w:val="nothing"/>
      <w:lvlText w:val="%1.%2.%3. "/>
      <w:lvlJc w:val="left"/>
      <w:pPr>
        <w:ind w:left="-1843" w:firstLine="0"/>
      </w:pPr>
      <w:rPr>
        <w:rFonts w:ascii="Bookman Old Style" w:hAnsi="Bookman Old Style" w:hint="default"/>
        <w:b/>
        <w:i w:val="0"/>
        <w:sz w:val="24"/>
      </w:rPr>
    </w:lvl>
    <w:lvl w:ilvl="3">
      <w:start w:val="1"/>
      <w:numFmt w:val="lowerRoman"/>
      <w:lvlText w:val="(%4)"/>
      <w:lvlJc w:val="right"/>
      <w:pPr>
        <w:ind w:left="-2978" w:firstLine="0"/>
      </w:pPr>
    </w:lvl>
    <w:lvl w:ilvl="4">
      <w:start w:val="1"/>
      <w:numFmt w:val="decimal"/>
      <w:lvlText w:val="%5)"/>
      <w:lvlJc w:val="left"/>
      <w:pPr>
        <w:ind w:left="-2978" w:firstLine="0"/>
      </w:pPr>
    </w:lvl>
    <w:lvl w:ilvl="5">
      <w:start w:val="1"/>
      <w:numFmt w:val="lowerLetter"/>
      <w:lvlText w:val="%6)"/>
      <w:lvlJc w:val="left"/>
      <w:pPr>
        <w:ind w:left="-2978" w:firstLine="0"/>
      </w:pPr>
    </w:lvl>
    <w:lvl w:ilvl="6">
      <w:start w:val="1"/>
      <w:numFmt w:val="lowerRoman"/>
      <w:lvlText w:val="%7)"/>
      <w:lvlJc w:val="right"/>
      <w:pPr>
        <w:ind w:left="-2978" w:firstLine="0"/>
      </w:pPr>
    </w:lvl>
    <w:lvl w:ilvl="7">
      <w:start w:val="1"/>
      <w:numFmt w:val="lowerLetter"/>
      <w:lvlText w:val="%8."/>
      <w:lvlJc w:val="left"/>
      <w:pPr>
        <w:ind w:left="-2978" w:firstLine="0"/>
      </w:pPr>
    </w:lvl>
    <w:lvl w:ilvl="8">
      <w:start w:val="1"/>
      <w:numFmt w:val="lowerRoman"/>
      <w:lvlText w:val="%9."/>
      <w:lvlJc w:val="right"/>
      <w:pPr>
        <w:ind w:left="-2978" w:firstLine="0"/>
      </w:pPr>
      <w:rPr>
        <w:rFonts w:ascii="Bookman Old Style" w:hAnsi="Bookman Old Style" w:hint="default"/>
        <w:b w:val="0"/>
        <w:sz w:val="24"/>
        <w:szCs w:val="24"/>
      </w:rPr>
    </w:lvl>
  </w:abstractNum>
  <w:abstractNum w:abstractNumId="17"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0953670">
    <w:abstractNumId w:val="12"/>
  </w:num>
  <w:num w:numId="2" w16cid:durableId="1497382030">
    <w:abstractNumId w:val="5"/>
  </w:num>
  <w:num w:numId="3" w16cid:durableId="1643658739">
    <w:abstractNumId w:val="22"/>
  </w:num>
  <w:num w:numId="4" w16cid:durableId="1416053916">
    <w:abstractNumId w:val="6"/>
  </w:num>
  <w:num w:numId="5" w16cid:durableId="1460681335">
    <w:abstractNumId w:val="17"/>
  </w:num>
  <w:num w:numId="6" w16cid:durableId="432214895">
    <w:abstractNumId w:val="4"/>
  </w:num>
  <w:num w:numId="7" w16cid:durableId="845751384">
    <w:abstractNumId w:val="3"/>
  </w:num>
  <w:num w:numId="8" w16cid:durableId="29301030">
    <w:abstractNumId w:val="19"/>
  </w:num>
  <w:num w:numId="9" w16cid:durableId="2003662021">
    <w:abstractNumId w:val="18"/>
  </w:num>
  <w:num w:numId="10" w16cid:durableId="2014674860">
    <w:abstractNumId w:val="13"/>
  </w:num>
  <w:num w:numId="11" w16cid:durableId="958032325">
    <w:abstractNumId w:val="23"/>
  </w:num>
  <w:num w:numId="12" w16cid:durableId="1838691975">
    <w:abstractNumId w:val="21"/>
  </w:num>
  <w:num w:numId="13" w16cid:durableId="273679532">
    <w:abstractNumId w:val="11"/>
  </w:num>
  <w:num w:numId="14" w16cid:durableId="2070683866">
    <w:abstractNumId w:val="2"/>
  </w:num>
  <w:num w:numId="15" w16cid:durableId="1975476040">
    <w:abstractNumId w:val="14"/>
  </w:num>
  <w:num w:numId="16" w16cid:durableId="83963299">
    <w:abstractNumId w:val="1"/>
  </w:num>
  <w:num w:numId="17" w16cid:durableId="353533871">
    <w:abstractNumId w:val="9"/>
  </w:num>
  <w:num w:numId="18" w16cid:durableId="788664195">
    <w:abstractNumId w:val="0"/>
  </w:num>
  <w:num w:numId="19" w16cid:durableId="1454788596">
    <w:abstractNumId w:val="20"/>
  </w:num>
  <w:num w:numId="20" w16cid:durableId="1999069271">
    <w:abstractNumId w:val="15"/>
  </w:num>
  <w:num w:numId="21" w16cid:durableId="1075667280">
    <w:abstractNumId w:val="7"/>
  </w:num>
  <w:num w:numId="22" w16cid:durableId="40371620">
    <w:abstractNumId w:val="8"/>
  </w:num>
  <w:num w:numId="23" w16cid:durableId="337275535">
    <w:abstractNumId w:val="10"/>
  </w:num>
  <w:num w:numId="24" w16cid:durableId="340395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6AE2"/>
    <w:rsid w:val="000076A1"/>
    <w:rsid w:val="00012259"/>
    <w:rsid w:val="00025383"/>
    <w:rsid w:val="00045D3D"/>
    <w:rsid w:val="000535EA"/>
    <w:rsid w:val="00063657"/>
    <w:rsid w:val="00076680"/>
    <w:rsid w:val="00076A1D"/>
    <w:rsid w:val="0008073E"/>
    <w:rsid w:val="00091CDB"/>
    <w:rsid w:val="000A19AC"/>
    <w:rsid w:val="000B2EC9"/>
    <w:rsid w:val="000C436C"/>
    <w:rsid w:val="000D26F8"/>
    <w:rsid w:val="00106654"/>
    <w:rsid w:val="0013526C"/>
    <w:rsid w:val="001405C6"/>
    <w:rsid w:val="00141013"/>
    <w:rsid w:val="0016706B"/>
    <w:rsid w:val="00192CBF"/>
    <w:rsid w:val="00192FF1"/>
    <w:rsid w:val="001A5F1B"/>
    <w:rsid w:val="001B1C22"/>
    <w:rsid w:val="001B34C6"/>
    <w:rsid w:val="001D7832"/>
    <w:rsid w:val="00210DC1"/>
    <w:rsid w:val="00211D34"/>
    <w:rsid w:val="00214F04"/>
    <w:rsid w:val="002352B9"/>
    <w:rsid w:val="00266CD6"/>
    <w:rsid w:val="002673AC"/>
    <w:rsid w:val="00275DAB"/>
    <w:rsid w:val="002903C0"/>
    <w:rsid w:val="002A782A"/>
    <w:rsid w:val="002B11E2"/>
    <w:rsid w:val="002B24B8"/>
    <w:rsid w:val="002D3AE9"/>
    <w:rsid w:val="002D4510"/>
    <w:rsid w:val="002E6CA9"/>
    <w:rsid w:val="002F0734"/>
    <w:rsid w:val="002F175F"/>
    <w:rsid w:val="002F46E7"/>
    <w:rsid w:val="003101DA"/>
    <w:rsid w:val="003111C3"/>
    <w:rsid w:val="00314757"/>
    <w:rsid w:val="003163BC"/>
    <w:rsid w:val="003211CE"/>
    <w:rsid w:val="0032637B"/>
    <w:rsid w:val="0035403A"/>
    <w:rsid w:val="0036394B"/>
    <w:rsid w:val="00366DB6"/>
    <w:rsid w:val="003709B5"/>
    <w:rsid w:val="003759C2"/>
    <w:rsid w:val="00397365"/>
    <w:rsid w:val="0039787B"/>
    <w:rsid w:val="003A31F6"/>
    <w:rsid w:val="003B4B74"/>
    <w:rsid w:val="003C3447"/>
    <w:rsid w:val="003D076C"/>
    <w:rsid w:val="003E78B5"/>
    <w:rsid w:val="00415BAB"/>
    <w:rsid w:val="00415ED2"/>
    <w:rsid w:val="0042068C"/>
    <w:rsid w:val="0044318E"/>
    <w:rsid w:val="00443B35"/>
    <w:rsid w:val="0045488D"/>
    <w:rsid w:val="0047122B"/>
    <w:rsid w:val="00473B7A"/>
    <w:rsid w:val="004960E9"/>
    <w:rsid w:val="004A2E88"/>
    <w:rsid w:val="004A5305"/>
    <w:rsid w:val="004B24B2"/>
    <w:rsid w:val="004D7634"/>
    <w:rsid w:val="004E611A"/>
    <w:rsid w:val="004F6460"/>
    <w:rsid w:val="00507AC6"/>
    <w:rsid w:val="005300D3"/>
    <w:rsid w:val="00542A10"/>
    <w:rsid w:val="00544F82"/>
    <w:rsid w:val="005509D2"/>
    <w:rsid w:val="00593C4F"/>
    <w:rsid w:val="005946A8"/>
    <w:rsid w:val="005A4407"/>
    <w:rsid w:val="005A59EF"/>
    <w:rsid w:val="005B1C7E"/>
    <w:rsid w:val="005B7BB1"/>
    <w:rsid w:val="005C6976"/>
    <w:rsid w:val="005F6F41"/>
    <w:rsid w:val="00625DC6"/>
    <w:rsid w:val="0064391D"/>
    <w:rsid w:val="00651821"/>
    <w:rsid w:val="00654384"/>
    <w:rsid w:val="00662C59"/>
    <w:rsid w:val="006675CD"/>
    <w:rsid w:val="00681E39"/>
    <w:rsid w:val="00684D9B"/>
    <w:rsid w:val="0068510A"/>
    <w:rsid w:val="00697556"/>
    <w:rsid w:val="006A5E47"/>
    <w:rsid w:val="006B4647"/>
    <w:rsid w:val="006B4C2B"/>
    <w:rsid w:val="006B6194"/>
    <w:rsid w:val="006B6D47"/>
    <w:rsid w:val="006C5AFE"/>
    <w:rsid w:val="006F2EC8"/>
    <w:rsid w:val="006F6D95"/>
    <w:rsid w:val="00706F13"/>
    <w:rsid w:val="0070701A"/>
    <w:rsid w:val="007072E8"/>
    <w:rsid w:val="0071618D"/>
    <w:rsid w:val="00725FA4"/>
    <w:rsid w:val="00740446"/>
    <w:rsid w:val="007438A9"/>
    <w:rsid w:val="0074491E"/>
    <w:rsid w:val="0076247A"/>
    <w:rsid w:val="00775964"/>
    <w:rsid w:val="007765FE"/>
    <w:rsid w:val="00794E2E"/>
    <w:rsid w:val="00795BFB"/>
    <w:rsid w:val="007A6181"/>
    <w:rsid w:val="007B2760"/>
    <w:rsid w:val="007B5A60"/>
    <w:rsid w:val="007C1503"/>
    <w:rsid w:val="007E0EB2"/>
    <w:rsid w:val="00806C01"/>
    <w:rsid w:val="008148CC"/>
    <w:rsid w:val="008211A4"/>
    <w:rsid w:val="0084693A"/>
    <w:rsid w:val="008555C6"/>
    <w:rsid w:val="00855BBF"/>
    <w:rsid w:val="00873150"/>
    <w:rsid w:val="0087657D"/>
    <w:rsid w:val="008807D5"/>
    <w:rsid w:val="00880832"/>
    <w:rsid w:val="00886EE1"/>
    <w:rsid w:val="0088727D"/>
    <w:rsid w:val="00897C75"/>
    <w:rsid w:val="008C1130"/>
    <w:rsid w:val="008D18E6"/>
    <w:rsid w:val="008D7A9B"/>
    <w:rsid w:val="008E0060"/>
    <w:rsid w:val="008E7091"/>
    <w:rsid w:val="008E76AC"/>
    <w:rsid w:val="008F21F6"/>
    <w:rsid w:val="00951F79"/>
    <w:rsid w:val="00974AB5"/>
    <w:rsid w:val="0098706D"/>
    <w:rsid w:val="009935FB"/>
    <w:rsid w:val="009F4A54"/>
    <w:rsid w:val="009F4BEC"/>
    <w:rsid w:val="009F5874"/>
    <w:rsid w:val="00A06511"/>
    <w:rsid w:val="00A21F96"/>
    <w:rsid w:val="00A25FD7"/>
    <w:rsid w:val="00A43AFF"/>
    <w:rsid w:val="00A7793A"/>
    <w:rsid w:val="00AA4CC7"/>
    <w:rsid w:val="00AA5E8E"/>
    <w:rsid w:val="00AB2BAD"/>
    <w:rsid w:val="00AB6CA7"/>
    <w:rsid w:val="00AD01E4"/>
    <w:rsid w:val="00AD0858"/>
    <w:rsid w:val="00AE02E3"/>
    <w:rsid w:val="00AE7340"/>
    <w:rsid w:val="00AF1BBD"/>
    <w:rsid w:val="00B10207"/>
    <w:rsid w:val="00B141E7"/>
    <w:rsid w:val="00B351B4"/>
    <w:rsid w:val="00B46BCA"/>
    <w:rsid w:val="00B478AA"/>
    <w:rsid w:val="00B87806"/>
    <w:rsid w:val="00B87EC9"/>
    <w:rsid w:val="00BC38FD"/>
    <w:rsid w:val="00C034CB"/>
    <w:rsid w:val="00C051A8"/>
    <w:rsid w:val="00C054BC"/>
    <w:rsid w:val="00C17897"/>
    <w:rsid w:val="00C409D5"/>
    <w:rsid w:val="00C435C3"/>
    <w:rsid w:val="00C44E5F"/>
    <w:rsid w:val="00C51B7C"/>
    <w:rsid w:val="00C6234B"/>
    <w:rsid w:val="00C6381A"/>
    <w:rsid w:val="00C63EAE"/>
    <w:rsid w:val="00C73260"/>
    <w:rsid w:val="00C7629F"/>
    <w:rsid w:val="00C8661B"/>
    <w:rsid w:val="00CA03C8"/>
    <w:rsid w:val="00CA139A"/>
    <w:rsid w:val="00CA2899"/>
    <w:rsid w:val="00CA3A3D"/>
    <w:rsid w:val="00CA3AA6"/>
    <w:rsid w:val="00CA77FB"/>
    <w:rsid w:val="00CB379B"/>
    <w:rsid w:val="00CB5DD0"/>
    <w:rsid w:val="00CC51D4"/>
    <w:rsid w:val="00CC65DA"/>
    <w:rsid w:val="00CF21B9"/>
    <w:rsid w:val="00CF6BF9"/>
    <w:rsid w:val="00D03800"/>
    <w:rsid w:val="00D041AD"/>
    <w:rsid w:val="00D065D3"/>
    <w:rsid w:val="00D14C94"/>
    <w:rsid w:val="00D16FED"/>
    <w:rsid w:val="00D26304"/>
    <w:rsid w:val="00D342A6"/>
    <w:rsid w:val="00D45CA6"/>
    <w:rsid w:val="00D464BF"/>
    <w:rsid w:val="00D53E26"/>
    <w:rsid w:val="00D65F86"/>
    <w:rsid w:val="00D83F43"/>
    <w:rsid w:val="00DB182C"/>
    <w:rsid w:val="00DC65CE"/>
    <w:rsid w:val="00DD4F0E"/>
    <w:rsid w:val="00DE613A"/>
    <w:rsid w:val="00DF0BF0"/>
    <w:rsid w:val="00DF16F5"/>
    <w:rsid w:val="00DF3CA2"/>
    <w:rsid w:val="00DF753F"/>
    <w:rsid w:val="00E01463"/>
    <w:rsid w:val="00E05E0A"/>
    <w:rsid w:val="00E060BE"/>
    <w:rsid w:val="00E534CF"/>
    <w:rsid w:val="00E63920"/>
    <w:rsid w:val="00E81CB4"/>
    <w:rsid w:val="00E8585B"/>
    <w:rsid w:val="00E87F41"/>
    <w:rsid w:val="00EA3F15"/>
    <w:rsid w:val="00EA7847"/>
    <w:rsid w:val="00EB4C2F"/>
    <w:rsid w:val="00EE2E6E"/>
    <w:rsid w:val="00F0759E"/>
    <w:rsid w:val="00F16A43"/>
    <w:rsid w:val="00F46780"/>
    <w:rsid w:val="00F55DB1"/>
    <w:rsid w:val="00F67BCD"/>
    <w:rsid w:val="00F77D2D"/>
    <w:rsid w:val="00F821A3"/>
    <w:rsid w:val="00F9314A"/>
    <w:rsid w:val="00F940B2"/>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Estilo5">
    <w:name w:val="Estilo5"/>
    <w:basedOn w:val="Normal"/>
    <w:qFormat/>
    <w:rsid w:val="002E6CA9"/>
    <w:pPr>
      <w:keepNext/>
      <w:spacing w:before="240" w:after="60"/>
      <w:ind w:left="0"/>
      <w:jc w:val="both"/>
      <w:outlineLvl w:val="0"/>
    </w:pPr>
    <w:rPr>
      <w:rFonts w:ascii="Bookman Old Style" w:hAnsi="Bookman Old Style"/>
      <w:b/>
      <w:kern w:val="28"/>
      <w:szCs w:val="22"/>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54</TotalTime>
  <Pages>3</Pages>
  <Words>917</Words>
  <Characters>4531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Yeimy Rodriguez</cp:lastModifiedBy>
  <cp:revision>2</cp:revision>
  <cp:lastPrinted>2011-07-21T13:53:00Z</cp:lastPrinted>
  <dcterms:created xsi:type="dcterms:W3CDTF">2023-05-22T01:09:00Z</dcterms:created>
  <dcterms:modified xsi:type="dcterms:W3CDTF">2023-05-22T01:09:00Z</dcterms:modified>
</cp:coreProperties>
</file>