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B132C6"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30710401"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B77F5">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4B72F0">
        <w:rPr>
          <w:rFonts w:ascii="Bookman Old Style" w:hAnsi="Bookman Old Style" w:cs="Arial"/>
          <w:szCs w:val="24"/>
        </w:rPr>
        <w:t xml:space="preserve">Interconexión Eléctrica S.A. </w:t>
      </w:r>
      <w:r w:rsidR="007F69F2">
        <w:rPr>
          <w:rFonts w:ascii="Bookman Old Style" w:hAnsi="Bookman Old Style" w:cs="Arial"/>
          <w:szCs w:val="24"/>
        </w:rPr>
        <w:t>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6B77F5">
        <w:rPr>
          <w:rFonts w:ascii="Bookman Old Style" w:hAnsi="Bookman Old Style" w:cs="Arial"/>
          <w:szCs w:val="24"/>
          <w:lang w:val="es-ES"/>
        </w:rPr>
        <w:t>la subestación San Antonio, 230 kV, y líneas asociadas</w:t>
      </w:r>
      <w:r w:rsidR="006D279A" w:rsidRPr="0041407C">
        <w:rPr>
          <w:rFonts w:ascii="Bookman Old Style" w:hAnsi="Bookman Old Style" w:cs="Arial"/>
          <w:szCs w:val="24"/>
          <w:lang w:val="es-ES"/>
        </w:rPr>
        <w:t xml:space="preserve">, de acuerdo con la convocatoria </w:t>
      </w:r>
      <w:r w:rsidR="004B72F0">
        <w:rPr>
          <w:rFonts w:ascii="Bookman Old Style" w:hAnsi="Bookman Old Style" w:cs="Arial"/>
          <w:szCs w:val="24"/>
          <w:lang w:val="es-ES"/>
        </w:rPr>
        <w:t xml:space="preserve">UPME </w:t>
      </w:r>
      <w:r w:rsidR="00244FF7">
        <w:rPr>
          <w:rFonts w:ascii="Bookman Old Style" w:hAnsi="Bookman Old Style" w:cs="Arial"/>
          <w:szCs w:val="24"/>
          <w:lang w:val="es-ES"/>
        </w:rPr>
        <w:t>03-2016</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sidR="006B77F5">
        <w:rPr>
          <w:rFonts w:ascii="Bookman Old Style" w:hAnsi="Bookman Old Style" w:cs="Arial"/>
        </w:rPr>
        <w:t>special las conferidas por las l</w:t>
      </w:r>
      <w:r w:rsidRPr="0041407C">
        <w:rPr>
          <w:rFonts w:ascii="Bookman Old Style" w:hAnsi="Bookman Old Style" w:cs="Arial"/>
        </w:rPr>
        <w:t>eyes 142 y 143 d</w:t>
      </w:r>
      <w:r w:rsidR="006B77F5">
        <w:rPr>
          <w:rFonts w:ascii="Bookman Old Style" w:hAnsi="Bookman Old Style" w:cs="Arial"/>
        </w:rPr>
        <w:t>e 1994, y en desarrollo de los d</w:t>
      </w:r>
      <w:r w:rsidRPr="0041407C">
        <w:rPr>
          <w:rFonts w:ascii="Bookman Old Style" w:hAnsi="Bookman Old Style" w:cs="Arial"/>
        </w:rPr>
        <w:t>ecretos 1524 y 2253 de 1994</w:t>
      </w:r>
      <w:r w:rsidR="006B77F5">
        <w:rPr>
          <w:rFonts w:ascii="Bookman Old Style" w:hAnsi="Bookman Old Style" w:cs="Arial"/>
        </w:rPr>
        <w:t xml:space="preserve"> y 1260 de 2013</w:t>
      </w:r>
      <w:r w:rsidRPr="0041407C">
        <w:rPr>
          <w:rFonts w:ascii="Bookman Old Style" w:hAnsi="Bookman Old Style" w:cs="Arial"/>
        </w:rPr>
        <w:t>,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03404A" w:rsidRPr="0041407C" w:rsidRDefault="0003404A"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 xml:space="preserve">adoptó el Plan de Expansión de Referencia Generación – Transmisión </w:t>
      </w:r>
      <w:r w:rsidR="005B069D" w:rsidRPr="0041407C">
        <w:rPr>
          <w:rFonts w:ascii="Bookman Old Style" w:hAnsi="Bookman Old Style" w:cs="Arial"/>
        </w:rPr>
        <w:t>201</w:t>
      </w:r>
      <w:r w:rsidR="005B069D">
        <w:rPr>
          <w:rFonts w:ascii="Bookman Old Style" w:hAnsi="Bookman Old Style" w:cs="Arial"/>
        </w:rPr>
        <w:t>4</w:t>
      </w:r>
      <w:r w:rsidR="001E219B" w:rsidRPr="0041407C">
        <w:rPr>
          <w:rFonts w:ascii="Bookman Old Style" w:hAnsi="Bookman Old Style" w:cs="Arial"/>
        </w:rPr>
        <w:t>-</w:t>
      </w:r>
      <w:r w:rsidR="005B069D" w:rsidRPr="0041407C">
        <w:rPr>
          <w:rFonts w:ascii="Bookman Old Style" w:hAnsi="Bookman Old Style" w:cs="Arial"/>
        </w:rPr>
        <w:t>202</w:t>
      </w:r>
      <w:r w:rsidR="005B069D">
        <w:rPr>
          <w:rFonts w:ascii="Bookman Old Style" w:hAnsi="Bookman Old Style" w:cs="Arial"/>
        </w:rPr>
        <w:t>8</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615D63">
        <w:rPr>
          <w:rFonts w:ascii="Bookman Old Style" w:hAnsi="Bookman Old Style" w:cs="Arial"/>
        </w:rPr>
        <w:t xml:space="preserve">la </w:t>
      </w:r>
      <w:r w:rsidR="005B069D">
        <w:rPr>
          <w:rFonts w:ascii="Bookman Old Style" w:hAnsi="Bookman Old Style" w:cs="Arial"/>
        </w:rPr>
        <w:t xml:space="preserve">construcción </w:t>
      </w:r>
      <w:r w:rsidR="00615D63">
        <w:rPr>
          <w:rFonts w:ascii="Bookman Old Style" w:hAnsi="Bookman Old Style" w:cs="Arial"/>
        </w:rPr>
        <w:t xml:space="preserve">de </w:t>
      </w:r>
      <w:r w:rsidR="006B77F5">
        <w:rPr>
          <w:rFonts w:ascii="Bookman Old Style" w:hAnsi="Bookman Old Style" w:cs="Arial"/>
        </w:rPr>
        <w:t>la subestación San Antonio, 230 kV, y líneas asociadas</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5B069D" w:rsidP="00A812C7">
      <w:pPr>
        <w:ind w:left="0" w:right="51"/>
        <w:jc w:val="both"/>
        <w:rPr>
          <w:rFonts w:ascii="Bookman Old Style" w:hAnsi="Bookman Old Style" w:cs="Arial"/>
          <w:lang w:val="es-ES_tradnl"/>
        </w:rPr>
      </w:pPr>
      <w:r>
        <w:rPr>
          <w:rFonts w:ascii="Bookman Old Style" w:hAnsi="Bookman Old Style" w:cs="Arial"/>
        </w:rPr>
        <w:t xml:space="preserve">La </w:t>
      </w:r>
      <w:r w:rsidR="009627D4" w:rsidRPr="0041407C">
        <w:rPr>
          <w:rFonts w:ascii="Bookman Old Style" w:hAnsi="Bookman Old Style" w:cs="Arial"/>
        </w:rPr>
        <w:t xml:space="preserve">UPME abrió la Convocatoria Pública </w:t>
      </w:r>
      <w:r w:rsidR="004B72F0">
        <w:rPr>
          <w:rFonts w:ascii="Bookman Old Style" w:hAnsi="Bookman Old Style" w:cs="Arial"/>
        </w:rPr>
        <w:t xml:space="preserve">UPME </w:t>
      </w:r>
      <w:r w:rsidR="00244FF7">
        <w:rPr>
          <w:rFonts w:ascii="Bookman Old Style" w:hAnsi="Bookman Old Style" w:cs="Arial"/>
        </w:rPr>
        <w:t>03-2016</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de</w:t>
      </w:r>
      <w:r w:rsidR="006B77F5">
        <w:rPr>
          <w:rFonts w:ascii="Bookman Old Style" w:hAnsi="Bookman Old Style" w:cs="Arial"/>
        </w:rPr>
        <w:t>l mencionado proyecto</w:t>
      </w:r>
      <w:r w:rsidR="009627D4"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3</w:t>
      </w:r>
      <w:r w:rsidR="00E172A5" w:rsidRPr="00912226">
        <w:rPr>
          <w:rFonts w:ascii="Bookman Old Style" w:hAnsi="Bookman Old Style" w:cs="Arial"/>
        </w:rPr>
        <w:t>0</w:t>
      </w:r>
      <w:r w:rsidRPr="00912226">
        <w:rPr>
          <w:rFonts w:ascii="Bookman Old Style" w:hAnsi="Bookman Old Style" w:cs="Arial"/>
        </w:rPr>
        <w:t xml:space="preserve"> de </w:t>
      </w:r>
      <w:r w:rsidR="006B77F5">
        <w:rPr>
          <w:rFonts w:ascii="Bookman Old Style" w:hAnsi="Bookman Old Style" w:cs="Arial"/>
        </w:rPr>
        <w:t xml:space="preserve">junio </w:t>
      </w:r>
      <w:r w:rsidRPr="00912226">
        <w:rPr>
          <w:rFonts w:ascii="Bookman Old Style" w:hAnsi="Bookman Old Style" w:cs="Arial"/>
        </w:rPr>
        <w:t xml:space="preserve">de </w:t>
      </w:r>
      <w:r w:rsidR="00413642" w:rsidRPr="00912226">
        <w:rPr>
          <w:rFonts w:ascii="Bookman Old Style" w:hAnsi="Bookman Old Style" w:cs="Arial"/>
        </w:rPr>
        <w:t>201</w:t>
      </w:r>
      <w:r w:rsidR="006B77F5">
        <w:rPr>
          <w:rFonts w:ascii="Bookman Old Style" w:hAnsi="Bookman Old Style" w:cs="Arial"/>
        </w:rPr>
        <w:t>8</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p>
    <w:p w:rsidR="0051403F" w:rsidRPr="0041407C"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DB33A8">
        <w:rPr>
          <w:rFonts w:ascii="Bookman Old Style" w:hAnsi="Bookman Old Style" w:cs="Arial"/>
        </w:rPr>
        <w:t>6</w:t>
      </w:r>
      <w:r w:rsidR="004D39D4" w:rsidRPr="0041407C">
        <w:rPr>
          <w:rFonts w:ascii="Bookman Old Style" w:hAnsi="Bookman Old Style" w:cs="Arial"/>
        </w:rPr>
        <w:noBreakHyphen/>
      </w:r>
      <w:r w:rsidR="00915EB6" w:rsidRPr="0041407C">
        <w:rPr>
          <w:rFonts w:ascii="Bookman Old Style" w:hAnsi="Bookman Old Style" w:cs="Arial"/>
        </w:rPr>
        <w:t>0</w:t>
      </w:r>
      <w:r w:rsidR="00DB33A8">
        <w:rPr>
          <w:rFonts w:ascii="Bookman Old Style" w:hAnsi="Bookman Old Style" w:cs="Arial"/>
        </w:rPr>
        <w:t>06322</w:t>
      </w:r>
      <w:r w:rsidR="00915EB6" w:rsidRPr="0041407C">
        <w:rPr>
          <w:rFonts w:ascii="Bookman Old Style" w:hAnsi="Bookman Old Style" w:cs="Arial"/>
        </w:rPr>
        <w:t xml:space="preserve"> </w:t>
      </w:r>
      <w:r w:rsidR="004D39D4" w:rsidRPr="0041407C">
        <w:rPr>
          <w:rFonts w:ascii="Bookman Old Style" w:hAnsi="Bookman Old Style" w:cs="Arial"/>
        </w:rPr>
        <w:t xml:space="preserve">del </w:t>
      </w:r>
      <w:r w:rsidR="00DB33A8">
        <w:rPr>
          <w:rFonts w:ascii="Bookman Old Style" w:hAnsi="Bookman Old Style" w:cs="Arial"/>
        </w:rPr>
        <w:t xml:space="preserve">1 de junio </w:t>
      </w:r>
      <w:r w:rsidR="006A5016">
        <w:rPr>
          <w:rFonts w:ascii="Bookman Old Style" w:hAnsi="Bookman Old Style" w:cs="Arial"/>
        </w:rPr>
        <w:t>de 201</w:t>
      </w:r>
      <w:r w:rsidR="00DB33A8">
        <w:rPr>
          <w:rFonts w:ascii="Bookman Old Style" w:hAnsi="Bookman Old Style" w:cs="Arial"/>
        </w:rPr>
        <w:t>6</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4B72F0">
        <w:rPr>
          <w:rFonts w:ascii="Bookman Old Style" w:hAnsi="Bookman Old Style" w:cs="Arial"/>
        </w:rPr>
        <w:t xml:space="preserve">Interconexión Eléctrica S.A. </w:t>
      </w:r>
      <w:r w:rsidR="007F69F2">
        <w:rPr>
          <w:rFonts w:ascii="Bookman Old Style" w:hAnsi="Bookman Old Style" w:cs="Arial"/>
        </w:rPr>
        <w:t>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4B72F0">
        <w:rPr>
          <w:rFonts w:ascii="Bookman Old Style" w:hAnsi="Bookman Old Style" w:cs="Arial"/>
        </w:rPr>
        <w:t xml:space="preserve">UPME </w:t>
      </w:r>
      <w:r w:rsidR="00244FF7">
        <w:rPr>
          <w:rFonts w:ascii="Bookman Old Style" w:hAnsi="Bookman Old Style" w:cs="Arial"/>
        </w:rPr>
        <w:t>03-2016</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DB33A8">
        <w:rPr>
          <w:rFonts w:ascii="Bookman Old Style" w:hAnsi="Bookman Old Style" w:cs="Arial"/>
        </w:rPr>
        <w:t>6</w:t>
      </w:r>
      <w:r w:rsidRPr="0041407C">
        <w:rPr>
          <w:rFonts w:ascii="Bookman Old Style" w:hAnsi="Bookman Old Style" w:cs="Arial"/>
        </w:rPr>
        <w:noBreakHyphen/>
      </w:r>
      <w:r w:rsidR="00915EB6" w:rsidRPr="0041407C">
        <w:rPr>
          <w:rFonts w:ascii="Bookman Old Style" w:hAnsi="Bookman Old Style" w:cs="Arial"/>
        </w:rPr>
        <w:t>0</w:t>
      </w:r>
      <w:r w:rsidR="00DB33A8">
        <w:rPr>
          <w:rFonts w:ascii="Bookman Old Style" w:hAnsi="Bookman Old Style" w:cs="Arial"/>
        </w:rPr>
        <w:t>06934</w:t>
      </w:r>
      <w:r w:rsidR="00915EB6" w:rsidRPr="0041407C">
        <w:rPr>
          <w:rFonts w:ascii="Bookman Old Style" w:hAnsi="Bookman Old Style" w:cs="Arial"/>
        </w:rPr>
        <w:t xml:space="preserve"> </w:t>
      </w:r>
      <w:r w:rsidRPr="0041407C">
        <w:rPr>
          <w:rFonts w:ascii="Bookman Old Style" w:hAnsi="Bookman Old Style" w:cs="Arial"/>
        </w:rPr>
        <w:t xml:space="preserve">del </w:t>
      </w:r>
      <w:r w:rsidR="00DB33A8">
        <w:rPr>
          <w:rFonts w:ascii="Bookman Old Style" w:hAnsi="Bookman Old Style" w:cs="Arial"/>
        </w:rPr>
        <w:t>17</w:t>
      </w:r>
      <w:r w:rsidR="00915EB6">
        <w:rPr>
          <w:rFonts w:ascii="Bookman Old Style" w:hAnsi="Bookman Old Style" w:cs="Arial"/>
        </w:rPr>
        <w:t xml:space="preserve"> de </w:t>
      </w:r>
      <w:r w:rsidR="00DB33A8">
        <w:rPr>
          <w:rFonts w:ascii="Bookman Old Style" w:hAnsi="Bookman Old Style" w:cs="Arial"/>
        </w:rPr>
        <w:t xml:space="preserve">junio </w:t>
      </w:r>
      <w:r w:rsidR="006A5016">
        <w:rPr>
          <w:rFonts w:ascii="Bookman Old Style" w:hAnsi="Bookman Old Style" w:cs="Arial"/>
        </w:rPr>
        <w:t>de 201</w:t>
      </w:r>
      <w:r w:rsidR="00DB33A8">
        <w:rPr>
          <w:rFonts w:ascii="Bookman Old Style" w:hAnsi="Bookman Old Style" w:cs="Arial"/>
        </w:rPr>
        <w:t>6</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xml:space="preserve">, adjunta copia de los </w:t>
      </w:r>
      <w:r w:rsidR="00190BA7" w:rsidRPr="0041407C">
        <w:rPr>
          <w:rFonts w:ascii="Bookman Old Style" w:hAnsi="Bookman Old Style" w:cs="Arial"/>
        </w:rPr>
        <w:lastRenderedPageBreak/>
        <w:t>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990640">
        <w:rPr>
          <w:rFonts w:ascii="Bookman Old Style" w:hAnsi="Bookman Old Style" w:cs="Arial"/>
        </w:rPr>
        <w:t xml:space="preserve">copia de la </w:t>
      </w:r>
      <w:r w:rsidRPr="0041407C">
        <w:rPr>
          <w:rFonts w:ascii="Bookman Old Style" w:hAnsi="Bookman Old Style" w:cs="Arial"/>
        </w:rPr>
        <w:t xml:space="preserve">garantía </w:t>
      </w:r>
      <w:r w:rsidR="00DB33A8">
        <w:rPr>
          <w:rFonts w:ascii="Bookman Old Style" w:hAnsi="Bookman Old Style" w:cs="Arial"/>
        </w:rPr>
        <w:t>07003036400121691</w:t>
      </w:r>
      <w:r w:rsidR="007B00A8" w:rsidRPr="0041407C">
        <w:rPr>
          <w:rFonts w:ascii="Bookman Old Style" w:hAnsi="Bookman Old Style" w:cs="Arial"/>
        </w:rPr>
        <w:t xml:space="preserve"> </w:t>
      </w:r>
      <w:r w:rsidRPr="0041407C">
        <w:rPr>
          <w:rFonts w:ascii="Bookman Old Style" w:hAnsi="Bookman Old Style" w:cs="Arial"/>
        </w:rPr>
        <w:t xml:space="preserve">expedida por </w:t>
      </w:r>
      <w:r w:rsidR="00512B6A">
        <w:rPr>
          <w:rFonts w:ascii="Bookman Old Style" w:hAnsi="Bookman Old Style" w:cs="Arial"/>
        </w:rPr>
        <w:t xml:space="preserve">el </w:t>
      </w:r>
      <w:r w:rsidR="006A5016" w:rsidRPr="0041407C">
        <w:rPr>
          <w:rFonts w:ascii="Bookman Old Style" w:hAnsi="Bookman Old Style" w:cs="Arial"/>
        </w:rPr>
        <w:t>Banco</w:t>
      </w:r>
      <w:r w:rsidR="006A5016">
        <w:rPr>
          <w:rFonts w:ascii="Bookman Old Style" w:hAnsi="Bookman Old Style" w:cs="Arial"/>
        </w:rPr>
        <w:t xml:space="preserve"> </w:t>
      </w:r>
      <w:r w:rsidR="00DB33A8">
        <w:rPr>
          <w:rFonts w:ascii="Bookman Old Style" w:hAnsi="Bookman Old Style" w:cs="Arial"/>
        </w:rPr>
        <w:t>Davivienda</w:t>
      </w:r>
      <w:r w:rsidRPr="0041407C">
        <w:rPr>
          <w:rFonts w:ascii="Bookman Old Style" w:hAnsi="Bookman Old Style" w:cs="Arial"/>
        </w:rPr>
        <w:t xml:space="preserve">, que ampara el cumplimiento de la Convocatoria Pública </w:t>
      </w:r>
      <w:r w:rsidR="004B72F0">
        <w:rPr>
          <w:rFonts w:ascii="Bookman Old Style" w:hAnsi="Bookman Old Style" w:cs="Arial"/>
        </w:rPr>
        <w:t xml:space="preserve">UPME </w:t>
      </w:r>
      <w:r w:rsidR="00244FF7">
        <w:rPr>
          <w:rFonts w:ascii="Bookman Old Style" w:hAnsi="Bookman Old Style" w:cs="Arial"/>
        </w:rPr>
        <w:t>03-2016</w:t>
      </w:r>
      <w:r w:rsidRPr="0041407C">
        <w:rPr>
          <w:rFonts w:ascii="Bookman Old Style" w:hAnsi="Bookman Old Style" w:cs="Arial"/>
        </w:rPr>
        <w:t>,</w:t>
      </w:r>
    </w:p>
    <w:p w:rsidR="00847AC6" w:rsidRDefault="00847AC6" w:rsidP="00847AC6">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Pr>
          <w:rFonts w:ascii="Bookman Old Style" w:hAnsi="Bookman Old Style" w:cs="Arial"/>
        </w:rPr>
        <w:t xml:space="preserve">copia de la </w:t>
      </w:r>
      <w:r w:rsidRPr="0041407C">
        <w:rPr>
          <w:rFonts w:ascii="Bookman Old Style" w:hAnsi="Bookman Old Style" w:cs="Arial"/>
        </w:rPr>
        <w:t xml:space="preserve">comunicación </w:t>
      </w:r>
      <w:r>
        <w:rPr>
          <w:rFonts w:ascii="Bookman Old Style" w:hAnsi="Bookman Old Style" w:cs="Arial"/>
        </w:rPr>
        <w:t xml:space="preserve">010373-1 del 3 de junio de 2016, </w:t>
      </w:r>
      <w:r w:rsidRPr="0041407C">
        <w:rPr>
          <w:rFonts w:ascii="Bookman Old Style" w:hAnsi="Bookman Old Style" w:cs="Arial"/>
        </w:rPr>
        <w:t xml:space="preserve">de XM Compañía de Expertos en Mercados S.A., en su calidad de ASIC, donde informa de la aprobación de la garantía suscrita por </w:t>
      </w:r>
      <w:r>
        <w:rPr>
          <w:rFonts w:ascii="Bookman Old Style" w:hAnsi="Bookman Old Style" w:cs="Arial"/>
        </w:rPr>
        <w:t>Interconexión Eléctrica S.A. E.S.P.</w:t>
      </w:r>
      <w:r w:rsidRPr="0041407C">
        <w:rPr>
          <w:rFonts w:ascii="Bookman Old Style" w:hAnsi="Bookman Old Style" w:cs="Arial"/>
        </w:rPr>
        <w:t xml:space="preserve"> para respaldar las obligaciones derivadas del cumplimiento de la convocatoria </w:t>
      </w:r>
      <w:r>
        <w:rPr>
          <w:rFonts w:ascii="Bookman Old Style" w:hAnsi="Bookman Old Style" w:cs="Arial"/>
        </w:rPr>
        <w:t>UPME 03-2016</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w:t>
      </w:r>
      <w:r>
        <w:rPr>
          <w:rFonts w:ascii="Bookman Old Style" w:hAnsi="Bookman Old Style" w:cs="Arial"/>
        </w:rPr>
        <w:t xml:space="preserve"> y</w:t>
      </w:r>
    </w:p>
    <w:p w:rsidR="006E001C" w:rsidRDefault="00847AC6" w:rsidP="00847AC6">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6E001C">
        <w:rPr>
          <w:rFonts w:ascii="Bookman Old Style" w:hAnsi="Bookman Old Style" w:cs="Arial"/>
        </w:rPr>
        <w:t xml:space="preserve">copia de la garantía bancaria 07017176000987556, del Banco Davivienda,  </w:t>
      </w:r>
      <w:r w:rsidR="006E001C" w:rsidRPr="0041407C">
        <w:rPr>
          <w:rFonts w:ascii="Bookman Old Style" w:hAnsi="Bookman Old Style" w:cs="Arial"/>
        </w:rPr>
        <w:t xml:space="preserve">suscrita por </w:t>
      </w:r>
      <w:r w:rsidR="006E001C">
        <w:rPr>
          <w:rFonts w:ascii="Bookman Old Style" w:hAnsi="Bookman Old Style" w:cs="Arial"/>
        </w:rPr>
        <w:t>la Empresa de Energía de Boyacá para garantizar la conexión al proyecto objeto de la convocatoria, la cual fue aprobada por el ASIC, según comunicación del 29 de diciembre de 2015,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w:t>
      </w:r>
      <w:r w:rsidR="004B72F0">
        <w:rPr>
          <w:rFonts w:ascii="Bookman Old Style" w:hAnsi="Bookman Old Style" w:cs="Arial"/>
          <w:szCs w:val="22"/>
        </w:rPr>
        <w:t xml:space="preserve">UPME </w:t>
      </w:r>
      <w:r w:rsidR="00244FF7">
        <w:rPr>
          <w:rFonts w:ascii="Bookman Old Style" w:hAnsi="Bookman Old Style" w:cs="Arial"/>
          <w:szCs w:val="22"/>
        </w:rPr>
        <w:t>03-2016</w:t>
      </w:r>
      <w:r w:rsidRPr="0041407C">
        <w:rPr>
          <w:rFonts w:ascii="Bookman Old Style" w:hAnsi="Bookman Old Style" w:cs="Arial"/>
          <w:szCs w:val="22"/>
        </w:rPr>
        <w:t xml:space="preserve">, del </w:t>
      </w:r>
      <w:r w:rsidR="006E001C">
        <w:rPr>
          <w:rFonts w:ascii="Bookman Old Style" w:hAnsi="Bookman Old Style" w:cs="Arial"/>
          <w:szCs w:val="22"/>
        </w:rPr>
        <w:t>26</w:t>
      </w:r>
      <w:r w:rsidR="00AB114B">
        <w:rPr>
          <w:rFonts w:ascii="Bookman Old Style" w:hAnsi="Bookman Old Style" w:cs="Arial"/>
          <w:szCs w:val="22"/>
        </w:rPr>
        <w:t xml:space="preserve"> de </w:t>
      </w:r>
      <w:r w:rsidR="006E001C">
        <w:rPr>
          <w:rFonts w:ascii="Bookman Old Style" w:hAnsi="Bookman Old Style" w:cs="Arial"/>
          <w:szCs w:val="22"/>
        </w:rPr>
        <w:t>mayo</w:t>
      </w:r>
      <w:r w:rsidR="00413642">
        <w:rPr>
          <w:rFonts w:ascii="Bookman Old Style" w:hAnsi="Bookman Old Style" w:cs="Arial"/>
          <w:szCs w:val="22"/>
        </w:rPr>
        <w:t xml:space="preserve"> </w:t>
      </w:r>
      <w:r w:rsidR="006A5016">
        <w:rPr>
          <w:rFonts w:ascii="Bookman Old Style" w:hAnsi="Bookman Old Style" w:cs="Arial"/>
          <w:szCs w:val="22"/>
        </w:rPr>
        <w:t>de 201</w:t>
      </w:r>
      <w:r w:rsidR="006E001C">
        <w:rPr>
          <w:rFonts w:ascii="Bookman Old Style" w:hAnsi="Bookman Old Style" w:cs="Arial"/>
          <w:szCs w:val="22"/>
        </w:rPr>
        <w:t>6</w:t>
      </w:r>
      <w:r w:rsidRPr="0041407C">
        <w:rPr>
          <w:rFonts w:ascii="Bookman Old Style" w:hAnsi="Bookman Old Style" w:cs="Arial"/>
          <w:szCs w:val="22"/>
        </w:rPr>
        <w:t>,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4B72F0">
        <w:rPr>
          <w:rFonts w:ascii="Bookman Old Style" w:hAnsi="Bookman Old Style" w:cs="Arial"/>
          <w:szCs w:val="22"/>
        </w:rPr>
        <w:t xml:space="preserve">Interconexión Eléctrica S.A. </w:t>
      </w:r>
      <w:r w:rsidR="007F69F2">
        <w:rPr>
          <w:rFonts w:ascii="Bookman Old Style" w:hAnsi="Bookman Old Style" w:cs="Arial"/>
          <w:szCs w:val="22"/>
        </w:rPr>
        <w:t>E.S.P.</w:t>
      </w:r>
      <w:r w:rsidR="002478FA" w:rsidRPr="0041407C">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4B72F0">
        <w:rPr>
          <w:rFonts w:ascii="Bookman Old Style" w:hAnsi="Bookman Old Style" w:cs="Arial"/>
          <w:szCs w:val="22"/>
        </w:rPr>
        <w:t xml:space="preserve">UPME </w:t>
      </w:r>
      <w:r w:rsidR="00244FF7">
        <w:rPr>
          <w:rFonts w:ascii="Bookman Old Style" w:hAnsi="Bookman Old Style" w:cs="Arial"/>
          <w:szCs w:val="22"/>
        </w:rPr>
        <w:t>03-2016</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03404A">
        <w:rPr>
          <w:rFonts w:ascii="Bookman Old Style" w:hAnsi="Bookman Old Style" w:cs="Arial"/>
        </w:rPr>
        <w:t xml:space="preserve">Sesión </w:t>
      </w:r>
      <w:r w:rsidR="0003404A" w:rsidRPr="0003404A">
        <w:rPr>
          <w:rFonts w:ascii="Bookman Old Style" w:hAnsi="Bookman Old Style" w:cs="Arial"/>
        </w:rPr>
        <w:t>724</w:t>
      </w:r>
      <w:r w:rsidR="006D279A" w:rsidRPr="0003404A">
        <w:rPr>
          <w:rFonts w:ascii="Bookman Old Style" w:hAnsi="Bookman Old Style" w:cs="Arial"/>
        </w:rPr>
        <w:t xml:space="preserve"> </w:t>
      </w:r>
      <w:r w:rsidRPr="0003404A">
        <w:rPr>
          <w:rFonts w:ascii="Bookman Old Style" w:hAnsi="Bookman Old Style" w:cs="Arial"/>
        </w:rPr>
        <w:t xml:space="preserve">del </w:t>
      </w:r>
      <w:r w:rsidR="0003404A" w:rsidRPr="0003404A">
        <w:rPr>
          <w:rFonts w:ascii="Bookman Old Style" w:hAnsi="Bookman Old Style" w:cs="Arial"/>
        </w:rPr>
        <w:t>11</w:t>
      </w:r>
      <w:r w:rsidR="006D279A" w:rsidRPr="0003404A">
        <w:rPr>
          <w:rFonts w:ascii="Bookman Old Style" w:hAnsi="Bookman Old Style" w:cs="Arial"/>
        </w:rPr>
        <w:t xml:space="preserve"> </w:t>
      </w:r>
      <w:r w:rsidRPr="0003404A">
        <w:rPr>
          <w:rFonts w:ascii="Bookman Old Style" w:hAnsi="Bookman Old Style" w:cs="Arial"/>
        </w:rPr>
        <w:t xml:space="preserve">de </w:t>
      </w:r>
      <w:r w:rsidR="006E001C" w:rsidRPr="0003404A">
        <w:rPr>
          <w:rFonts w:ascii="Bookman Old Style" w:hAnsi="Bookman Old Style" w:cs="Arial"/>
        </w:rPr>
        <w:t>julio</w:t>
      </w:r>
      <w:r w:rsidR="00AB114B" w:rsidRPr="0003404A">
        <w:rPr>
          <w:rFonts w:ascii="Bookman Old Style" w:hAnsi="Bookman Old Style" w:cs="Arial"/>
        </w:rPr>
        <w:t xml:space="preserve"> </w:t>
      </w:r>
      <w:r w:rsidRPr="0003404A">
        <w:rPr>
          <w:rFonts w:ascii="Bookman Old Style" w:hAnsi="Bookman Old Style" w:cs="Arial"/>
        </w:rPr>
        <w:t>de</w:t>
      </w:r>
      <w:r w:rsidRPr="0041407C">
        <w:rPr>
          <w:rFonts w:ascii="Bookman Old Style" w:hAnsi="Bookman Old Style" w:cs="Arial"/>
        </w:rPr>
        <w:t xml:space="preserve"> </w:t>
      </w:r>
      <w:r w:rsidR="006A5016" w:rsidRPr="0041407C">
        <w:rPr>
          <w:rFonts w:ascii="Bookman Old Style" w:hAnsi="Bookman Old Style" w:cs="Arial"/>
        </w:rPr>
        <w:t>201</w:t>
      </w:r>
      <w:r w:rsidR="006E001C">
        <w:rPr>
          <w:rFonts w:ascii="Bookman Old Style" w:hAnsi="Bookman Old Style" w:cs="Arial"/>
        </w:rPr>
        <w:t>6</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3404A" w:rsidRPr="0041407C" w:rsidRDefault="0003404A" w:rsidP="00912226">
      <w:pPr>
        <w:keepNext/>
        <w:ind w:left="0"/>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4B72F0">
        <w:rPr>
          <w:b w:val="0"/>
        </w:rPr>
        <w:t xml:space="preserve">Interconexión Eléctrica S.A. </w:t>
      </w:r>
      <w:r w:rsidR="007F69F2">
        <w:rPr>
          <w:b w:val="0"/>
        </w:rPr>
        <w:t>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615D63">
        <w:rPr>
          <w:b w:val="0"/>
        </w:rPr>
        <w:t xml:space="preserve">de </w:t>
      </w:r>
      <w:r w:rsidR="006B77F5">
        <w:rPr>
          <w:b w:val="0"/>
        </w:rPr>
        <w:t>la subestación San Antonio, 230 kV, y líneas asociadas</w:t>
      </w:r>
      <w:r w:rsidR="006D279A" w:rsidRPr="0041407C">
        <w:rPr>
          <w:b w:val="0"/>
        </w:rPr>
        <w:t xml:space="preserve">, de acuerdo con la convocatoria </w:t>
      </w:r>
      <w:r w:rsidR="004B72F0">
        <w:rPr>
          <w:b w:val="0"/>
        </w:rPr>
        <w:t xml:space="preserve">UPME </w:t>
      </w:r>
      <w:r w:rsidR="00244FF7">
        <w:rPr>
          <w:b w:val="0"/>
        </w:rPr>
        <w:t>03-2016</w:t>
      </w:r>
      <w:r w:rsidRPr="0041407C">
        <w:rPr>
          <w:b w:val="0"/>
        </w:rPr>
        <w:t xml:space="preserve">, expresado en dólares de los Estados Unidos de América del 31 de diciembre de </w:t>
      </w:r>
      <w:r w:rsidR="006A5016" w:rsidRPr="0041407C">
        <w:rPr>
          <w:b w:val="0"/>
        </w:rPr>
        <w:t>201</w:t>
      </w:r>
      <w:r w:rsidR="006E001C">
        <w:rPr>
          <w:b w:val="0"/>
        </w:rPr>
        <w:t>5</w:t>
      </w:r>
      <w:r w:rsidRPr="0041407C">
        <w:rPr>
          <w:b w:val="0"/>
        </w:rPr>
        <w:t xml:space="preserve">, para los primeros 25 </w:t>
      </w:r>
      <w:r w:rsidRPr="0041407C">
        <w:rPr>
          <w:b w:val="0"/>
        </w:rPr>
        <w:lastRenderedPageBreak/>
        <w:t xml:space="preserve">años contados a partir del primero de </w:t>
      </w:r>
      <w:r w:rsidR="006E001C">
        <w:rPr>
          <w:b w:val="0"/>
        </w:rPr>
        <w:t>julio</w:t>
      </w:r>
      <w:r w:rsidR="00413642" w:rsidRPr="0041407C">
        <w:rPr>
          <w:b w:val="0"/>
        </w:rPr>
        <w:t xml:space="preserve"> </w:t>
      </w:r>
      <w:r w:rsidRPr="0041407C">
        <w:rPr>
          <w:b w:val="0"/>
        </w:rPr>
        <w:t xml:space="preserve">de </w:t>
      </w:r>
      <w:r w:rsidR="00413642" w:rsidRPr="0041407C">
        <w:rPr>
          <w:b w:val="0"/>
        </w:rPr>
        <w:t>201</w:t>
      </w:r>
      <w:r w:rsidR="006E001C">
        <w:rPr>
          <w:b w:val="0"/>
        </w:rPr>
        <w:t>8</w:t>
      </w:r>
      <w:r w:rsidRPr="0041407C">
        <w:rPr>
          <w:b w:val="0"/>
        </w:rPr>
        <w:t xml:space="preserve">, de conformidad con la propuesta seleccionada dentro de la Convocatoria Pública </w:t>
      </w:r>
      <w:r w:rsidR="004B72F0">
        <w:rPr>
          <w:b w:val="0"/>
        </w:rPr>
        <w:t xml:space="preserve">UPME </w:t>
      </w:r>
      <w:r w:rsidR="00244FF7">
        <w:rPr>
          <w:b w:val="0"/>
        </w:rPr>
        <w:t>03-2016</w:t>
      </w:r>
      <w:r w:rsidRPr="0041407C">
        <w:rPr>
          <w:b w:val="0"/>
        </w:rPr>
        <w:t>, es el siguiente:</w:t>
      </w:r>
    </w:p>
    <w:bookmarkEnd w:id="1"/>
    <w:p w:rsidR="00512B6A" w:rsidRDefault="00512B6A"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5154"/>
      </w:tblGrid>
      <w:tr w:rsidR="009627D4" w:rsidRPr="00BA215B" w:rsidTr="00BA215B">
        <w:trPr>
          <w:cantSplit/>
          <w:trHeight w:val="386"/>
          <w:tblHeader/>
          <w:jc w:val="center"/>
        </w:trPr>
        <w:tc>
          <w:tcPr>
            <w:tcW w:w="676" w:type="dxa"/>
            <w:vMerge w:val="restart"/>
            <w:vAlign w:val="center"/>
          </w:tcPr>
          <w:p w:rsidR="009627D4" w:rsidRPr="00BA215B" w:rsidRDefault="009627D4"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1632" w:type="dxa"/>
            <w:vMerge w:val="restart"/>
            <w:vAlign w:val="center"/>
          </w:tcPr>
          <w:p w:rsidR="009627D4" w:rsidRPr="00BA215B" w:rsidRDefault="009627D4" w:rsidP="00BA215B">
            <w:pPr>
              <w:keepNext/>
              <w:ind w:left="0"/>
              <w:jc w:val="center"/>
              <w:rPr>
                <w:rFonts w:ascii="Bookman Old Style" w:hAnsi="Bookman Old Style" w:cs="Arial"/>
                <w:b/>
                <w:sz w:val="20"/>
                <w:szCs w:val="20"/>
              </w:rPr>
            </w:pPr>
            <w:r w:rsidRPr="00BA215B">
              <w:rPr>
                <w:rFonts w:ascii="Bookman Old Style" w:hAnsi="Bookman Old Style" w:cs="Arial"/>
                <w:b/>
                <w:sz w:val="20"/>
                <w:szCs w:val="20"/>
              </w:rPr>
              <w:t>Fechas</w:t>
            </w:r>
          </w:p>
        </w:tc>
        <w:tc>
          <w:tcPr>
            <w:tcW w:w="6571" w:type="dxa"/>
            <w:gridSpan w:val="2"/>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9627D4" w:rsidRPr="00BA215B" w:rsidRDefault="009627D4" w:rsidP="006D39BC">
            <w:pPr>
              <w:keepNext/>
              <w:ind w:left="0"/>
              <w:jc w:val="center"/>
              <w:rPr>
                <w:rFonts w:ascii="Bookman Old Style" w:hAnsi="Bookman Old Style" w:cs="Arial"/>
                <w:bCs/>
                <w:sz w:val="20"/>
                <w:szCs w:val="20"/>
              </w:rPr>
            </w:pPr>
            <w:r w:rsidRPr="00BA215B">
              <w:rPr>
                <w:rFonts w:ascii="Bookman Old Style" w:hAnsi="Bookman Old Style" w:cs="Arial"/>
                <w:bCs/>
                <w:sz w:val="20"/>
                <w:szCs w:val="20"/>
              </w:rPr>
              <w:t>(Dólares del 31 de diciembre de 201</w:t>
            </w:r>
            <w:r w:rsidR="006D39BC">
              <w:rPr>
                <w:rFonts w:ascii="Bookman Old Style" w:hAnsi="Bookman Old Style" w:cs="Arial"/>
                <w:bCs/>
                <w:sz w:val="20"/>
                <w:szCs w:val="20"/>
              </w:rPr>
              <w:t>5</w:t>
            </w:r>
            <w:r w:rsidRPr="00BA215B">
              <w:rPr>
                <w:rFonts w:ascii="Bookman Old Style" w:hAnsi="Bookman Old Style" w:cs="Arial"/>
                <w:bCs/>
                <w:sz w:val="20"/>
                <w:szCs w:val="20"/>
              </w:rPr>
              <w:t>)</w:t>
            </w:r>
          </w:p>
        </w:tc>
      </w:tr>
      <w:tr w:rsidR="009627D4" w:rsidRPr="00BA215B" w:rsidTr="00BA215B">
        <w:trPr>
          <w:cantSplit/>
          <w:trHeight w:val="296"/>
          <w:tblHeader/>
          <w:jc w:val="center"/>
        </w:trPr>
        <w:tc>
          <w:tcPr>
            <w:tcW w:w="676" w:type="dxa"/>
            <w:vMerge/>
            <w:vAlign w:val="center"/>
          </w:tcPr>
          <w:p w:rsidR="009627D4" w:rsidRPr="00BA215B" w:rsidRDefault="009627D4" w:rsidP="00983AF8">
            <w:pPr>
              <w:keepNext/>
              <w:ind w:left="0"/>
              <w:jc w:val="center"/>
              <w:rPr>
                <w:rFonts w:ascii="Bookman Old Style" w:hAnsi="Bookman Old Style" w:cs="Arial"/>
                <w:b/>
                <w:sz w:val="20"/>
                <w:szCs w:val="20"/>
              </w:rPr>
            </w:pPr>
          </w:p>
        </w:tc>
        <w:tc>
          <w:tcPr>
            <w:tcW w:w="1632" w:type="dxa"/>
            <w:vMerge/>
            <w:vAlign w:val="center"/>
          </w:tcPr>
          <w:p w:rsidR="009627D4" w:rsidRPr="00BA215B" w:rsidRDefault="009627D4" w:rsidP="00BA215B">
            <w:pPr>
              <w:keepNext/>
              <w:ind w:left="0"/>
              <w:jc w:val="center"/>
              <w:rPr>
                <w:rFonts w:ascii="Bookman Old Style" w:hAnsi="Bookman Old Style" w:cs="Arial"/>
                <w:b/>
                <w:sz w:val="20"/>
                <w:szCs w:val="20"/>
              </w:rPr>
            </w:pPr>
          </w:p>
        </w:tc>
        <w:tc>
          <w:tcPr>
            <w:tcW w:w="1417"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154" w:type="dxa"/>
            <w:vAlign w:val="center"/>
          </w:tcPr>
          <w:p w:rsidR="009627D4" w:rsidRPr="00BA215B" w:rsidRDefault="009627D4"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D39BC" w:rsidRPr="00BA215B" w:rsidTr="006D39BC">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1-jul-2018  a  30-jun-2019</w:t>
            </w:r>
          </w:p>
        </w:tc>
        <w:tc>
          <w:tcPr>
            <w:tcW w:w="1417" w:type="dxa"/>
            <w:vAlign w:val="center"/>
          </w:tcPr>
          <w:p w:rsidR="006D39BC" w:rsidRPr="006D39BC" w:rsidRDefault="006D39BC" w:rsidP="006D39BC">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6D39BC">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1-jul-2019  a  30-jun-2020</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1-jul-2020  a  30-jun-2021</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1-jul-2021  a  30-jun-2022</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1-jul-2022  a  30-jun-2023</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1-jul-2023  a  30-jun-2024</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1-jul-2024  a  30-jun-2025</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1-jul-2025  a  30-jun-2026</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9</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1-jul-2026  a  30-jun-2027</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1-jul-2027  a  30-jun-2028</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1-jul-2028  a  30-jun-2029</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1-jul-2029  a  30-jun-2030</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1-jul-2030  a  30-jun-2031</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1-jul-2031  a  30-jun-2032</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1-jul-2032  a  30-jun-2033</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1-jul-2033  a  30-jun-2034</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1-jul-2034  a  30-jun-2035</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1-jul-2035  a  30-jun-2036</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1-jul-2036  a  30-jun-2037</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1-jul-2037  a  30-jun-2038</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1-jul-2038  a  30-jun-2039</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1-jul-2039  a  30-jun-2040</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1-jul-2040  a  30-jun-2041</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1-jul-2041  a  30-jun-2042</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r w:rsidR="006D39BC" w:rsidRPr="00BA215B" w:rsidTr="00FB4A0F">
        <w:trPr>
          <w:cantSplit/>
          <w:jc w:val="center"/>
        </w:trPr>
        <w:tc>
          <w:tcPr>
            <w:tcW w:w="676" w:type="dxa"/>
            <w:vAlign w:val="center"/>
          </w:tcPr>
          <w:p w:rsidR="006D39BC" w:rsidRPr="00BA215B" w:rsidRDefault="006D39BC"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632" w:type="dxa"/>
          </w:tcPr>
          <w:p w:rsidR="006D39BC" w:rsidRPr="006D39BC" w:rsidRDefault="006D39BC" w:rsidP="006D39BC">
            <w:pPr>
              <w:ind w:left="9"/>
              <w:rPr>
                <w:rFonts w:ascii="Bookman Old Style" w:hAnsi="Bookman Old Style"/>
                <w:sz w:val="20"/>
              </w:rPr>
            </w:pPr>
            <w:r w:rsidRPr="006D39BC">
              <w:rPr>
                <w:rFonts w:ascii="Bookman Old Style" w:hAnsi="Bookman Old Style"/>
                <w:sz w:val="20"/>
              </w:rPr>
              <w:t>1-jul-2042  a  30-jun-2043</w:t>
            </w:r>
          </w:p>
        </w:tc>
        <w:tc>
          <w:tcPr>
            <w:tcW w:w="1417" w:type="dxa"/>
            <w:vAlign w:val="center"/>
          </w:tcPr>
          <w:p w:rsidR="006D39BC" w:rsidRPr="006D39BC" w:rsidRDefault="006D39BC" w:rsidP="003F151A">
            <w:pPr>
              <w:ind w:left="0"/>
              <w:jc w:val="center"/>
              <w:rPr>
                <w:rFonts w:ascii="Bookman Old Style" w:hAnsi="Bookman Old Style"/>
                <w:sz w:val="20"/>
              </w:rPr>
            </w:pPr>
            <w:r w:rsidRPr="006D39BC">
              <w:rPr>
                <w:rFonts w:ascii="Bookman Old Style" w:hAnsi="Bookman Old Style"/>
                <w:sz w:val="20"/>
              </w:rPr>
              <w:t>7.018.903</w:t>
            </w:r>
          </w:p>
        </w:tc>
        <w:tc>
          <w:tcPr>
            <w:tcW w:w="5154" w:type="dxa"/>
            <w:vAlign w:val="bottom"/>
          </w:tcPr>
          <w:p w:rsidR="006D39BC" w:rsidRPr="006D39BC" w:rsidRDefault="006D39BC" w:rsidP="003F151A">
            <w:pPr>
              <w:ind w:left="0"/>
              <w:rPr>
                <w:rFonts w:ascii="Bookman Old Style" w:hAnsi="Bookman Old Style"/>
                <w:sz w:val="20"/>
              </w:rPr>
            </w:pPr>
            <w:r w:rsidRPr="006D39BC">
              <w:rPr>
                <w:rFonts w:ascii="Bookman Old Style" w:hAnsi="Bookman Old Style"/>
                <w:sz w:val="20"/>
              </w:rPr>
              <w:t>siete millones dieciocho mil novecientos tres dólares</w:t>
            </w:r>
          </w:p>
        </w:tc>
      </w:tr>
    </w:tbl>
    <w:p w:rsidR="0051403F" w:rsidRPr="0051403F" w:rsidRDefault="0051403F" w:rsidP="00912226">
      <w:pPr>
        <w:ind w:left="0"/>
      </w:pPr>
    </w:p>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BA215B">
        <w:rPr>
          <w:rFonts w:ascii="Bookman Old Style" w:hAnsi="Bookman Old Style" w:cs="Arial"/>
        </w:rPr>
        <w:t>o</w:t>
      </w:r>
      <w:r w:rsidR="00BA215B"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4B72F0">
        <w:rPr>
          <w:rFonts w:ascii="Bookman Old Style" w:hAnsi="Bookman Old Style" w:cs="Arial"/>
        </w:rPr>
        <w:t xml:space="preserve">Interconexión Eléctrica S.A. </w:t>
      </w:r>
      <w:r w:rsidR="007F69F2">
        <w:rPr>
          <w:rFonts w:ascii="Bookman Old Style" w:hAnsi="Bookman Old Style" w:cs="Arial"/>
        </w:rPr>
        <w:t>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esolución será el Liquidador y Administrador de Cuentas</w:t>
      </w:r>
      <w:r w:rsidR="003A72CA">
        <w:rPr>
          <w:b w:val="0"/>
        </w:rPr>
        <w:t>, LAC</w:t>
      </w:r>
      <w:r w:rsidRPr="0041407C">
        <w:rPr>
          <w:b w:val="0"/>
        </w:rPr>
        <w:t xml:space="preserve">.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4B72F0">
        <w:rPr>
          <w:b w:val="0"/>
        </w:rPr>
        <w:t xml:space="preserve">Interconexión Eléctrica S.A. </w:t>
      </w:r>
      <w:r w:rsidR="007F69F2">
        <w:rPr>
          <w:b w:val="0"/>
        </w:rPr>
        <w:t>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246"/>
        <w:gridCol w:w="4536"/>
      </w:tblGrid>
      <w:tr w:rsidR="008A182F" w:rsidRPr="0041407C" w:rsidTr="003E79E0">
        <w:trPr>
          <w:tblCellSpacing w:w="0" w:type="dxa"/>
        </w:trPr>
        <w:tc>
          <w:tcPr>
            <w:tcW w:w="5246" w:type="dxa"/>
          </w:tcPr>
          <w:p w:rsidR="0003404A" w:rsidRDefault="0003404A" w:rsidP="00D979C4">
            <w:pPr>
              <w:ind w:left="66"/>
              <w:jc w:val="center"/>
              <w:rPr>
                <w:rFonts w:ascii="Bookman Old Style" w:hAnsi="Bookman Old Style" w:cs="Arial"/>
                <w:b/>
                <w:spacing w:val="-3"/>
              </w:rPr>
            </w:pPr>
            <w:r>
              <w:rPr>
                <w:rFonts w:ascii="Bookman Old Style" w:hAnsi="Bookman Old Style" w:cs="Arial"/>
                <w:b/>
                <w:spacing w:val="-3"/>
              </w:rPr>
              <w:t>GERMÁN ARCE ZAPATA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Ministro de Minas y Energía</w:t>
            </w:r>
          </w:p>
        </w:tc>
        <w:tc>
          <w:tcPr>
            <w:tcW w:w="4536"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3E79E0">
        <w:trPr>
          <w:tblCellSpacing w:w="0" w:type="dxa"/>
        </w:trPr>
        <w:tc>
          <w:tcPr>
            <w:tcW w:w="5246"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536"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3F" w:rsidRPr="000E4B55" w:rsidRDefault="00852D3F">
      <w:pPr>
        <w:rPr>
          <w:sz w:val="23"/>
          <w:szCs w:val="23"/>
        </w:rPr>
      </w:pPr>
      <w:r w:rsidRPr="000E4B55">
        <w:rPr>
          <w:sz w:val="23"/>
          <w:szCs w:val="23"/>
        </w:rPr>
        <w:separator/>
      </w:r>
    </w:p>
  </w:endnote>
  <w:endnote w:type="continuationSeparator" w:id="0">
    <w:p w:rsidR="00852D3F" w:rsidRPr="000E4B55" w:rsidRDefault="00852D3F">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3F" w:rsidRPr="000E4B55" w:rsidRDefault="00852D3F">
      <w:pPr>
        <w:rPr>
          <w:sz w:val="23"/>
          <w:szCs w:val="23"/>
        </w:rPr>
      </w:pPr>
      <w:r w:rsidRPr="000E4B55">
        <w:rPr>
          <w:sz w:val="23"/>
          <w:szCs w:val="23"/>
        </w:rPr>
        <w:separator/>
      </w:r>
    </w:p>
  </w:footnote>
  <w:footnote w:type="continuationSeparator" w:id="0">
    <w:p w:rsidR="00852D3F" w:rsidRPr="000E4B55" w:rsidRDefault="00852D3F">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951F79">
    <w:pPr>
      <w:pStyle w:val="Ttulo1"/>
      <w:ind w:right="6"/>
      <w:jc w:val="left"/>
      <w:rPr>
        <w:rFonts w:ascii="Bookman Old Style" w:hAnsi="Bookman Old Style" w:cs="Arial"/>
        <w:b w:val="0"/>
        <w:sz w:val="21"/>
        <w:szCs w:val="21"/>
      </w:rPr>
    </w:pPr>
  </w:p>
  <w:p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B132C6">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B132C6" w:rsidRPr="00B132C6">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BC59759" wp14:editId="164C19C9">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B1FCD" w:rsidRPr="0003404A" w:rsidRDefault="000B1FCD" w:rsidP="009F6B61">
    <w:pPr>
      <w:pStyle w:val="Textodebloque"/>
      <w:pBdr>
        <w:bottom w:val="single" w:sz="4" w:space="1" w:color="auto"/>
      </w:pBdr>
      <w:spacing w:after="0"/>
      <w:ind w:left="0" w:right="0"/>
      <w:rPr>
        <w:rFonts w:ascii="Bookman Old Style" w:hAnsi="Bookman Old Style" w:cs="Arial"/>
        <w:sz w:val="22"/>
        <w:szCs w:val="22"/>
      </w:rPr>
    </w:pPr>
    <w:r w:rsidRPr="0003404A">
      <w:rPr>
        <w:rFonts w:ascii="Bookman Old Style" w:hAnsi="Bookman Old Style" w:cs="Arial"/>
        <w:sz w:val="22"/>
        <w:szCs w:val="22"/>
      </w:rPr>
      <w:t xml:space="preserve">Por la cual se oficializan los ingresos anuales esperados para </w:t>
    </w:r>
    <w:r w:rsidR="004B72F0" w:rsidRPr="0003404A">
      <w:rPr>
        <w:rFonts w:ascii="Bookman Old Style" w:hAnsi="Bookman Old Style" w:cs="Arial"/>
        <w:sz w:val="22"/>
        <w:szCs w:val="22"/>
      </w:rPr>
      <w:t xml:space="preserve">Interconexión Eléctrica S.A. </w:t>
    </w:r>
    <w:r w:rsidR="003E79E0" w:rsidRPr="0003404A">
      <w:rPr>
        <w:rFonts w:ascii="Bookman Old Style" w:hAnsi="Bookman Old Style" w:cs="Arial"/>
        <w:sz w:val="22"/>
        <w:szCs w:val="22"/>
      </w:rPr>
      <w:t>E.S.P.</w:t>
    </w:r>
    <w:r w:rsidRPr="0003404A">
      <w:rPr>
        <w:rFonts w:ascii="Bookman Old Style" w:hAnsi="Bookman Old Style" w:cs="Arial"/>
        <w:sz w:val="22"/>
        <w:szCs w:val="22"/>
      </w:rPr>
      <w:t xml:space="preserve"> por el diseño, construcción, operación y mantenimiento de la subestación </w:t>
    </w:r>
    <w:r w:rsidR="006B77F5" w:rsidRPr="0003404A">
      <w:rPr>
        <w:rFonts w:ascii="Bookman Old Style" w:hAnsi="Bookman Old Style" w:cs="Arial"/>
        <w:sz w:val="22"/>
        <w:szCs w:val="22"/>
      </w:rPr>
      <w:t>San Antonio, 230 kV, y líneas asociadas</w:t>
    </w:r>
    <w:r w:rsidRPr="0003404A">
      <w:rPr>
        <w:rFonts w:ascii="Bookman Old Style" w:hAnsi="Bookman Old Style" w:cs="Arial"/>
        <w:sz w:val="22"/>
        <w:szCs w:val="22"/>
      </w:rPr>
      <w:t xml:space="preserve">, de acuerdo con la convocatoria </w:t>
    </w:r>
    <w:r w:rsidR="004B72F0" w:rsidRPr="0003404A">
      <w:rPr>
        <w:rFonts w:ascii="Bookman Old Style" w:hAnsi="Bookman Old Style" w:cs="Arial"/>
        <w:sz w:val="22"/>
        <w:szCs w:val="22"/>
      </w:rPr>
      <w:t>UPME 0</w:t>
    </w:r>
    <w:r w:rsidR="005E3DD2" w:rsidRPr="0003404A">
      <w:rPr>
        <w:rFonts w:ascii="Bookman Old Style" w:hAnsi="Bookman Old Style" w:cs="Arial"/>
        <w:sz w:val="22"/>
        <w:szCs w:val="22"/>
      </w:rPr>
      <w:t>3</w:t>
    </w:r>
    <w:r w:rsidR="004B72F0" w:rsidRPr="0003404A">
      <w:rPr>
        <w:rFonts w:ascii="Bookman Old Style" w:hAnsi="Bookman Old Style" w:cs="Arial"/>
        <w:sz w:val="22"/>
        <w:szCs w:val="22"/>
      </w:rPr>
      <w:t>-201</w:t>
    </w:r>
    <w:r w:rsidR="005E3DD2" w:rsidRPr="0003404A">
      <w:rPr>
        <w:rFonts w:ascii="Bookman Old Style" w:hAnsi="Bookman Old Style" w:cs="Arial"/>
        <w:sz w:val="22"/>
        <w:szCs w:val="22"/>
      </w:rPr>
      <w:t>6</w:t>
    </w:r>
    <w:r w:rsidRPr="0003404A">
      <w:rPr>
        <w:rFonts w:ascii="Bookman Old Style" w:hAnsi="Bookman Old Style" w:cs="Arial"/>
        <w:sz w:val="22"/>
        <w:szCs w:val="22"/>
      </w:rPr>
      <w:t>.</w:t>
    </w:r>
  </w:p>
  <w:p w:rsidR="000B1FCD" w:rsidRPr="000E4B55" w:rsidRDefault="000B1FCD"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0B1FCD" w:rsidRPr="000E4B55" w:rsidRDefault="000B1FCD">
    <w:pPr>
      <w:pStyle w:val="Encabezado"/>
      <w:jc w:val="center"/>
      <w:rPr>
        <w:rFonts w:ascii="Arial" w:hAnsi="Arial" w:cs="Arial"/>
        <w:spacing w:val="20"/>
        <w:sz w:val="19"/>
        <w:szCs w:val="19"/>
      </w:rPr>
    </w:pPr>
  </w:p>
  <w:p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4FA7B22C" wp14:editId="6F6B1FF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3404A"/>
    <w:rsid w:val="00035FCB"/>
    <w:rsid w:val="000465EA"/>
    <w:rsid w:val="00063657"/>
    <w:rsid w:val="00073B6C"/>
    <w:rsid w:val="00076680"/>
    <w:rsid w:val="0008073E"/>
    <w:rsid w:val="00091CDB"/>
    <w:rsid w:val="0009326E"/>
    <w:rsid w:val="000954CA"/>
    <w:rsid w:val="000A19AC"/>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4FF7"/>
    <w:rsid w:val="002478FA"/>
    <w:rsid w:val="00266CD6"/>
    <w:rsid w:val="00277FEE"/>
    <w:rsid w:val="00284E4C"/>
    <w:rsid w:val="00290AF7"/>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2CA"/>
    <w:rsid w:val="003A75C1"/>
    <w:rsid w:val="003C3447"/>
    <w:rsid w:val="003D076C"/>
    <w:rsid w:val="003D42DE"/>
    <w:rsid w:val="003E79E0"/>
    <w:rsid w:val="003F793E"/>
    <w:rsid w:val="0040096F"/>
    <w:rsid w:val="004058B1"/>
    <w:rsid w:val="00413642"/>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A7B26"/>
    <w:rsid w:val="004B2297"/>
    <w:rsid w:val="004B6AEE"/>
    <w:rsid w:val="004B72F0"/>
    <w:rsid w:val="004D39D4"/>
    <w:rsid w:val="004D7634"/>
    <w:rsid w:val="004E0AE2"/>
    <w:rsid w:val="005017C9"/>
    <w:rsid w:val="005070F9"/>
    <w:rsid w:val="00512B6A"/>
    <w:rsid w:val="0051403F"/>
    <w:rsid w:val="00514F93"/>
    <w:rsid w:val="005235AF"/>
    <w:rsid w:val="005300D3"/>
    <w:rsid w:val="00531349"/>
    <w:rsid w:val="00544F82"/>
    <w:rsid w:val="00577827"/>
    <w:rsid w:val="00593184"/>
    <w:rsid w:val="00593C4F"/>
    <w:rsid w:val="005946A8"/>
    <w:rsid w:val="005A248A"/>
    <w:rsid w:val="005A4407"/>
    <w:rsid w:val="005A59EF"/>
    <w:rsid w:val="005B069D"/>
    <w:rsid w:val="005E3DD2"/>
    <w:rsid w:val="00604ED3"/>
    <w:rsid w:val="00614A0A"/>
    <w:rsid w:val="00615D63"/>
    <w:rsid w:val="00622144"/>
    <w:rsid w:val="00625DC6"/>
    <w:rsid w:val="006341A9"/>
    <w:rsid w:val="006438E6"/>
    <w:rsid w:val="00644260"/>
    <w:rsid w:val="0064774B"/>
    <w:rsid w:val="00647A0D"/>
    <w:rsid w:val="00651821"/>
    <w:rsid w:val="00654384"/>
    <w:rsid w:val="006675CD"/>
    <w:rsid w:val="00671194"/>
    <w:rsid w:val="00684D9B"/>
    <w:rsid w:val="00685B83"/>
    <w:rsid w:val="00697556"/>
    <w:rsid w:val="006A1075"/>
    <w:rsid w:val="006A5016"/>
    <w:rsid w:val="006B2CDA"/>
    <w:rsid w:val="006B4C2B"/>
    <w:rsid w:val="006B51A5"/>
    <w:rsid w:val="006B5FCF"/>
    <w:rsid w:val="006B6D47"/>
    <w:rsid w:val="006B77F5"/>
    <w:rsid w:val="006C4D3C"/>
    <w:rsid w:val="006C6FAC"/>
    <w:rsid w:val="006D019F"/>
    <w:rsid w:val="006D236C"/>
    <w:rsid w:val="006D279A"/>
    <w:rsid w:val="006D39BC"/>
    <w:rsid w:val="006D4CBF"/>
    <w:rsid w:val="006D7283"/>
    <w:rsid w:val="006E001C"/>
    <w:rsid w:val="006E4B89"/>
    <w:rsid w:val="006E710B"/>
    <w:rsid w:val="006F20A3"/>
    <w:rsid w:val="006F6D95"/>
    <w:rsid w:val="00701764"/>
    <w:rsid w:val="007032B9"/>
    <w:rsid w:val="00706F13"/>
    <w:rsid w:val="007072E8"/>
    <w:rsid w:val="0071618D"/>
    <w:rsid w:val="00716CD2"/>
    <w:rsid w:val="00722435"/>
    <w:rsid w:val="007258CD"/>
    <w:rsid w:val="00725FA4"/>
    <w:rsid w:val="00740446"/>
    <w:rsid w:val="007438A9"/>
    <w:rsid w:val="0074491E"/>
    <w:rsid w:val="007501F8"/>
    <w:rsid w:val="00754C05"/>
    <w:rsid w:val="00772476"/>
    <w:rsid w:val="00775964"/>
    <w:rsid w:val="00795BFB"/>
    <w:rsid w:val="007B00A8"/>
    <w:rsid w:val="007B2760"/>
    <w:rsid w:val="007B3029"/>
    <w:rsid w:val="007E653B"/>
    <w:rsid w:val="007F69F2"/>
    <w:rsid w:val="00806C01"/>
    <w:rsid w:val="008148CC"/>
    <w:rsid w:val="0081540B"/>
    <w:rsid w:val="008211A4"/>
    <w:rsid w:val="008475D6"/>
    <w:rsid w:val="00847AC6"/>
    <w:rsid w:val="00847BD0"/>
    <w:rsid w:val="00852D3F"/>
    <w:rsid w:val="00853C27"/>
    <w:rsid w:val="0085500E"/>
    <w:rsid w:val="0086401C"/>
    <w:rsid w:val="00873150"/>
    <w:rsid w:val="0087657D"/>
    <w:rsid w:val="008807D5"/>
    <w:rsid w:val="00880832"/>
    <w:rsid w:val="0088499F"/>
    <w:rsid w:val="00886EE1"/>
    <w:rsid w:val="0088727D"/>
    <w:rsid w:val="00897C75"/>
    <w:rsid w:val="008A182F"/>
    <w:rsid w:val="008A4F7A"/>
    <w:rsid w:val="008B6C95"/>
    <w:rsid w:val="008C1130"/>
    <w:rsid w:val="008C2E57"/>
    <w:rsid w:val="008D18E6"/>
    <w:rsid w:val="008D64E1"/>
    <w:rsid w:val="008D671C"/>
    <w:rsid w:val="008D7A9B"/>
    <w:rsid w:val="008E12E0"/>
    <w:rsid w:val="008E380E"/>
    <w:rsid w:val="008E56A6"/>
    <w:rsid w:val="008F21F6"/>
    <w:rsid w:val="0091040D"/>
    <w:rsid w:val="00912226"/>
    <w:rsid w:val="00913068"/>
    <w:rsid w:val="00915EB6"/>
    <w:rsid w:val="009421C9"/>
    <w:rsid w:val="00951F79"/>
    <w:rsid w:val="0095467A"/>
    <w:rsid w:val="009627D4"/>
    <w:rsid w:val="00974AB5"/>
    <w:rsid w:val="00983AF8"/>
    <w:rsid w:val="0098706D"/>
    <w:rsid w:val="00990640"/>
    <w:rsid w:val="00993534"/>
    <w:rsid w:val="009935FB"/>
    <w:rsid w:val="00996FC9"/>
    <w:rsid w:val="009B38DB"/>
    <w:rsid w:val="009D6F14"/>
    <w:rsid w:val="009E491E"/>
    <w:rsid w:val="009F4A54"/>
    <w:rsid w:val="009F4BEC"/>
    <w:rsid w:val="009F6B61"/>
    <w:rsid w:val="00A03BF8"/>
    <w:rsid w:val="00A0697B"/>
    <w:rsid w:val="00A25FD7"/>
    <w:rsid w:val="00A32091"/>
    <w:rsid w:val="00A34981"/>
    <w:rsid w:val="00A35D3E"/>
    <w:rsid w:val="00A43AFF"/>
    <w:rsid w:val="00A534E6"/>
    <w:rsid w:val="00A537F8"/>
    <w:rsid w:val="00A7793A"/>
    <w:rsid w:val="00A812C7"/>
    <w:rsid w:val="00A95184"/>
    <w:rsid w:val="00AA5F12"/>
    <w:rsid w:val="00AB10DA"/>
    <w:rsid w:val="00AB114B"/>
    <w:rsid w:val="00AB6CA7"/>
    <w:rsid w:val="00AD01E4"/>
    <w:rsid w:val="00AD0858"/>
    <w:rsid w:val="00AE7340"/>
    <w:rsid w:val="00AE74BE"/>
    <w:rsid w:val="00AF1BBD"/>
    <w:rsid w:val="00AF219D"/>
    <w:rsid w:val="00B10207"/>
    <w:rsid w:val="00B132C6"/>
    <w:rsid w:val="00B141E7"/>
    <w:rsid w:val="00B24F17"/>
    <w:rsid w:val="00B46BCA"/>
    <w:rsid w:val="00B47BE4"/>
    <w:rsid w:val="00B87806"/>
    <w:rsid w:val="00B87EC9"/>
    <w:rsid w:val="00BA215B"/>
    <w:rsid w:val="00BC38FD"/>
    <w:rsid w:val="00BC3AC0"/>
    <w:rsid w:val="00BC5DB4"/>
    <w:rsid w:val="00BF6F99"/>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0B9"/>
    <w:rsid w:val="00D50ED9"/>
    <w:rsid w:val="00D510DE"/>
    <w:rsid w:val="00D526EE"/>
    <w:rsid w:val="00D53E26"/>
    <w:rsid w:val="00D55EAE"/>
    <w:rsid w:val="00D60F0E"/>
    <w:rsid w:val="00D66276"/>
    <w:rsid w:val="00D8167B"/>
    <w:rsid w:val="00D979C4"/>
    <w:rsid w:val="00DB33A8"/>
    <w:rsid w:val="00DB370A"/>
    <w:rsid w:val="00DC12BD"/>
    <w:rsid w:val="00DD4F0E"/>
    <w:rsid w:val="00DD6802"/>
    <w:rsid w:val="00E03616"/>
    <w:rsid w:val="00E05E0A"/>
    <w:rsid w:val="00E172A5"/>
    <w:rsid w:val="00E40A2D"/>
    <w:rsid w:val="00E429D1"/>
    <w:rsid w:val="00E534CF"/>
    <w:rsid w:val="00E56F40"/>
    <w:rsid w:val="00E81CB4"/>
    <w:rsid w:val="00E840A3"/>
    <w:rsid w:val="00E8585B"/>
    <w:rsid w:val="00E901DA"/>
    <w:rsid w:val="00EA3F15"/>
    <w:rsid w:val="00EA42DE"/>
    <w:rsid w:val="00EA6857"/>
    <w:rsid w:val="00EA7847"/>
    <w:rsid w:val="00EB4CE1"/>
    <w:rsid w:val="00EB63CE"/>
    <w:rsid w:val="00EC4D7D"/>
    <w:rsid w:val="00EE2E6E"/>
    <w:rsid w:val="00EE5AC7"/>
    <w:rsid w:val="00EF31C6"/>
    <w:rsid w:val="00F00D67"/>
    <w:rsid w:val="00F0759E"/>
    <w:rsid w:val="00F47DAC"/>
    <w:rsid w:val="00F54EA3"/>
    <w:rsid w:val="00F67881"/>
    <w:rsid w:val="00F74E91"/>
    <w:rsid w:val="00F80BDE"/>
    <w:rsid w:val="00F811BA"/>
    <w:rsid w:val="00F821A3"/>
    <w:rsid w:val="00F9314A"/>
    <w:rsid w:val="00FA033F"/>
    <w:rsid w:val="00FB6E6E"/>
    <w:rsid w:val="00FC267E"/>
    <w:rsid w:val="00FC58EF"/>
    <w:rsid w:val="00FC5D20"/>
    <w:rsid w:val="00FD0FA8"/>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361735918">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0731-E135-442E-8A88-07DB4810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1940</Words>
  <Characters>10674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2016-07-12T16:17:00Z</cp:lastPrinted>
  <dcterms:created xsi:type="dcterms:W3CDTF">2016-07-22T21:34:00Z</dcterms:created>
  <dcterms:modified xsi:type="dcterms:W3CDTF">2016-07-22T21:34:00Z</dcterms:modified>
</cp:coreProperties>
</file>