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845CD" w14:textId="03EC30B0" w:rsidR="00625DC6" w:rsidRPr="00E060BE" w:rsidRDefault="00867C6D"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1AD69A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635569471" r:id="rId9"/>
        </w:object>
      </w:r>
    </w:p>
    <w:p w14:paraId="79DA98F8" w14:textId="77777777"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522B5795" w14:textId="77777777" w:rsidR="00CA77FB" w:rsidRPr="00E060BE" w:rsidRDefault="00CA77FB" w:rsidP="00012259">
      <w:pPr>
        <w:pStyle w:val="Ttulo4"/>
        <w:tabs>
          <w:tab w:val="left" w:pos="0"/>
          <w:tab w:val="right" w:pos="9356"/>
        </w:tabs>
        <w:ind w:left="0"/>
        <w:rPr>
          <w:rFonts w:ascii="Bookman Old Style" w:hAnsi="Bookman Old Style"/>
          <w:b w:val="0"/>
          <w:bCs/>
          <w:sz w:val="24"/>
          <w:szCs w:val="24"/>
        </w:rPr>
      </w:pPr>
    </w:p>
    <w:p w14:paraId="63CBC1C6" w14:textId="77777777"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1AD5B02F"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12D4BA18"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05F3D4FB" w14:textId="77777777"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AE3816">
        <w:rPr>
          <w:rFonts w:ascii="Bookman Old Style" w:hAnsi="Bookman Old Style"/>
          <w:sz w:val="24"/>
          <w:szCs w:val="24"/>
        </w:rPr>
        <w:t>9</w:t>
      </w:r>
    </w:p>
    <w:p w14:paraId="763E65BD" w14:textId="77777777"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52D20B94" w14:textId="77777777"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14:paraId="5F1319C9" w14:textId="71F96F2A" w:rsidR="00CA77FB" w:rsidRDefault="00CA77FB" w:rsidP="00012259">
      <w:pPr>
        <w:tabs>
          <w:tab w:val="left" w:pos="0"/>
          <w:tab w:val="right" w:pos="9356"/>
        </w:tabs>
        <w:ind w:left="0"/>
        <w:jc w:val="center"/>
        <w:rPr>
          <w:rFonts w:ascii="Bookman Old Style" w:hAnsi="Bookman Old Style"/>
          <w:lang w:val="es-ES_tradnl"/>
        </w:rPr>
      </w:pPr>
    </w:p>
    <w:p w14:paraId="092A91E0" w14:textId="77777777" w:rsidR="000C3107" w:rsidRPr="00E060BE" w:rsidRDefault="000C3107" w:rsidP="00012259">
      <w:pPr>
        <w:tabs>
          <w:tab w:val="left" w:pos="0"/>
          <w:tab w:val="right" w:pos="9356"/>
        </w:tabs>
        <w:ind w:left="0"/>
        <w:jc w:val="center"/>
        <w:rPr>
          <w:rFonts w:ascii="Bookman Old Style" w:hAnsi="Bookman Old Style"/>
          <w:lang w:val="es-ES_tradnl"/>
        </w:rPr>
      </w:pPr>
    </w:p>
    <w:p w14:paraId="7AD118DF" w14:textId="77777777" w:rsidR="00045D3D" w:rsidRPr="00584E78" w:rsidRDefault="008E10C2" w:rsidP="008E10C2">
      <w:pPr>
        <w:ind w:left="142" w:right="51"/>
        <w:jc w:val="both"/>
        <w:rPr>
          <w:rFonts w:ascii="Bookman Old Style" w:hAnsi="Bookman Old Style"/>
          <w:i/>
        </w:rPr>
      </w:pPr>
      <w:r w:rsidRPr="008E10C2">
        <w:rPr>
          <w:rFonts w:ascii="Bookman Old Style" w:hAnsi="Bookman Old Style"/>
        </w:rPr>
        <w:t xml:space="preserve">Por la cual se </w:t>
      </w:r>
      <w:r w:rsidR="00C413EC">
        <w:rPr>
          <w:rFonts w:ascii="Bookman Old Style" w:hAnsi="Bookman Old Style"/>
        </w:rPr>
        <w:t>resuelve el recurso de reposición interpuesto contra la Resolución CREG 101 de 2019 por la cual se decidió</w:t>
      </w:r>
      <w:r w:rsidRPr="008E10C2">
        <w:rPr>
          <w:rFonts w:ascii="Bookman Old Style" w:hAnsi="Bookman Old Style"/>
        </w:rPr>
        <w:t xml:space="preserve"> </w:t>
      </w:r>
      <w:r w:rsidRPr="00584E78">
        <w:rPr>
          <w:rFonts w:ascii="Bookman Old Style" w:hAnsi="Bookman Old Style"/>
          <w:i/>
        </w:rPr>
        <w:t xml:space="preserve">la actuación administrativa adelantada para </w:t>
      </w:r>
      <w:r w:rsidR="00EB0EE6" w:rsidRPr="00584E78">
        <w:rPr>
          <w:rFonts w:ascii="Bookman Old Style" w:hAnsi="Bookman Old Style"/>
          <w:i/>
        </w:rPr>
        <w:t xml:space="preserve">establecer plenamente la existencia del </w:t>
      </w:r>
      <w:r w:rsidRPr="00584E78">
        <w:rPr>
          <w:rFonts w:ascii="Bookman Old Style" w:hAnsi="Bookman Old Style"/>
          <w:i/>
        </w:rPr>
        <w:t xml:space="preserve">  incumplimiento grave e insalvable en la puesta en operación del Proyecto Hidroeléctrico </w:t>
      </w:r>
      <w:proofErr w:type="spellStart"/>
      <w:r w:rsidRPr="00584E78">
        <w:rPr>
          <w:rFonts w:ascii="Bookman Old Style" w:hAnsi="Bookman Old Style"/>
          <w:i/>
        </w:rPr>
        <w:t>Ituango</w:t>
      </w:r>
      <w:proofErr w:type="spellEnd"/>
      <w:r w:rsidRPr="00584E78">
        <w:rPr>
          <w:rFonts w:ascii="Bookman Old Style" w:hAnsi="Bookman Old Style"/>
          <w:i/>
        </w:rPr>
        <w:t xml:space="preserve">, </w:t>
      </w:r>
      <w:r w:rsidR="00EB0EE6" w:rsidRPr="00584E78">
        <w:rPr>
          <w:rFonts w:ascii="Bookman Old Style" w:hAnsi="Bookman Old Style"/>
          <w:i/>
        </w:rPr>
        <w:t xml:space="preserve">determinar sus consecuencias y garantizar el derecho de defensa de </w:t>
      </w:r>
      <w:r w:rsidRPr="00584E78">
        <w:rPr>
          <w:rFonts w:ascii="Bookman Old Style" w:hAnsi="Bookman Old Style"/>
          <w:i/>
        </w:rPr>
        <w:t>Empresas Públicas de Medellín, EPM ESP.</w:t>
      </w:r>
    </w:p>
    <w:p w14:paraId="42B40F95" w14:textId="77777777" w:rsidR="008E10C2" w:rsidRDefault="008E10C2" w:rsidP="00045D3D">
      <w:pPr>
        <w:ind w:right="51"/>
        <w:rPr>
          <w:rFonts w:ascii="Bookman Old Style" w:hAnsi="Bookman Old Style"/>
        </w:rPr>
      </w:pPr>
    </w:p>
    <w:p w14:paraId="10C6A89D" w14:textId="510EF582" w:rsidR="00045D3D" w:rsidRPr="00C435C3" w:rsidRDefault="00045D3D" w:rsidP="00045D3D">
      <w:pPr>
        <w:ind w:right="51"/>
        <w:jc w:val="center"/>
        <w:rPr>
          <w:rFonts w:ascii="Bookman Old Style" w:hAnsi="Bookman Old Style"/>
          <w:b/>
        </w:rPr>
      </w:pPr>
      <w:r w:rsidRPr="00C435C3">
        <w:rPr>
          <w:rFonts w:ascii="Bookman Old Style" w:hAnsi="Bookman Old Style"/>
          <w:b/>
        </w:rPr>
        <w:t>LA COMISIÓN DE REGULACIÓN DE ENERGÍA Y GAS</w:t>
      </w:r>
    </w:p>
    <w:p w14:paraId="303F4E93" w14:textId="77777777" w:rsidR="00045D3D" w:rsidRPr="00C435C3" w:rsidRDefault="00045D3D" w:rsidP="00045D3D">
      <w:pPr>
        <w:ind w:left="0" w:right="51"/>
        <w:rPr>
          <w:rFonts w:ascii="Bookman Old Style" w:hAnsi="Bookman Old Style"/>
        </w:rPr>
      </w:pPr>
    </w:p>
    <w:p w14:paraId="07B63872" w14:textId="77777777" w:rsidR="00045D3D" w:rsidRPr="00C435C3" w:rsidRDefault="00045D3D" w:rsidP="00045D3D">
      <w:pPr>
        <w:ind w:left="0" w:right="51"/>
        <w:rPr>
          <w:rFonts w:ascii="Bookman Old Style" w:hAnsi="Bookman Old Style"/>
        </w:rPr>
      </w:pPr>
    </w:p>
    <w:p w14:paraId="74A01520" w14:textId="06858C3C" w:rsidR="00045D3D" w:rsidRDefault="008E10C2" w:rsidP="008E10C2">
      <w:pPr>
        <w:ind w:right="51"/>
        <w:jc w:val="center"/>
        <w:rPr>
          <w:rFonts w:ascii="Bookman Old Style" w:hAnsi="Bookman Old Style"/>
        </w:rPr>
      </w:pPr>
      <w:r w:rsidRPr="008E10C2">
        <w:rPr>
          <w:rFonts w:ascii="Bookman Old Style" w:hAnsi="Bookman Old Style" w:cs="Arial"/>
          <w:bCs/>
          <w:spacing w:val="-3"/>
        </w:rPr>
        <w:t xml:space="preserve">En ejercicio de las atribuciones legales, en especial las conferidas por las Leyes 142 y 143 de 1994, y en desarrollo de los Decretos 1524 </w:t>
      </w:r>
      <w:r w:rsidR="003B1925">
        <w:rPr>
          <w:rFonts w:ascii="Bookman Old Style" w:hAnsi="Bookman Old Style" w:cs="Arial"/>
          <w:bCs/>
          <w:spacing w:val="-3"/>
        </w:rPr>
        <w:t xml:space="preserve">y 2253 </w:t>
      </w:r>
      <w:r w:rsidRPr="008E10C2">
        <w:rPr>
          <w:rFonts w:ascii="Bookman Old Style" w:hAnsi="Bookman Old Style" w:cs="Arial"/>
          <w:bCs/>
          <w:spacing w:val="-3"/>
        </w:rPr>
        <w:t>de 1994 y 1260 de 2013 y</w:t>
      </w:r>
    </w:p>
    <w:p w14:paraId="3C5750CE" w14:textId="77777777" w:rsidR="00045D3D" w:rsidRDefault="00045D3D" w:rsidP="00045D3D">
      <w:pPr>
        <w:ind w:right="51"/>
        <w:rPr>
          <w:rFonts w:ascii="Bookman Old Style" w:hAnsi="Bookman Old Style"/>
        </w:rPr>
      </w:pPr>
    </w:p>
    <w:p w14:paraId="7CC3C320" w14:textId="77777777" w:rsidR="00045D3D" w:rsidRPr="00C435C3" w:rsidRDefault="00045D3D" w:rsidP="00045D3D">
      <w:pPr>
        <w:ind w:right="51"/>
        <w:jc w:val="center"/>
        <w:rPr>
          <w:rFonts w:ascii="Bookman Old Style" w:hAnsi="Bookman Old Style"/>
          <w:b/>
        </w:rPr>
      </w:pPr>
      <w:r w:rsidRPr="00C435C3">
        <w:rPr>
          <w:rFonts w:ascii="Bookman Old Style" w:hAnsi="Bookman Old Style"/>
          <w:b/>
        </w:rPr>
        <w:t xml:space="preserve">C O N S I D E R A N D </w:t>
      </w:r>
      <w:proofErr w:type="gramStart"/>
      <w:r w:rsidRPr="00C435C3">
        <w:rPr>
          <w:rFonts w:ascii="Bookman Old Style" w:hAnsi="Bookman Old Style"/>
          <w:b/>
        </w:rPr>
        <w:t>O</w:t>
      </w:r>
      <w:r>
        <w:rPr>
          <w:rFonts w:ascii="Bookman Old Style" w:hAnsi="Bookman Old Style"/>
          <w:b/>
        </w:rPr>
        <w:t xml:space="preserve">  Q</w:t>
      </w:r>
      <w:proofErr w:type="gramEnd"/>
      <w:r>
        <w:rPr>
          <w:rFonts w:ascii="Bookman Old Style" w:hAnsi="Bookman Old Style"/>
          <w:b/>
        </w:rPr>
        <w:t xml:space="preserve"> U E</w:t>
      </w:r>
      <w:r w:rsidRPr="00C435C3">
        <w:rPr>
          <w:rFonts w:ascii="Bookman Old Style" w:hAnsi="Bookman Old Style"/>
          <w:b/>
        </w:rPr>
        <w:t>:</w:t>
      </w:r>
    </w:p>
    <w:p w14:paraId="7D21B016" w14:textId="77777777" w:rsidR="00045D3D" w:rsidRPr="00C435C3" w:rsidRDefault="00045D3D" w:rsidP="00045D3D">
      <w:pPr>
        <w:ind w:right="51"/>
        <w:jc w:val="center"/>
        <w:rPr>
          <w:rFonts w:ascii="Bookman Old Style" w:hAnsi="Bookman Old Style"/>
          <w:b/>
        </w:rPr>
      </w:pPr>
    </w:p>
    <w:p w14:paraId="106D39CD" w14:textId="77777777" w:rsidR="00045D3D" w:rsidRDefault="00045D3D" w:rsidP="008E10C2">
      <w:pPr>
        <w:ind w:left="0"/>
        <w:rPr>
          <w:rFonts w:ascii="Bookman Old Style" w:hAnsi="Bookman Old Style"/>
          <w:b/>
        </w:rPr>
      </w:pPr>
    </w:p>
    <w:p w14:paraId="494F200D" w14:textId="77777777" w:rsidR="008E10C2" w:rsidRPr="00496B75" w:rsidRDefault="008E10C2" w:rsidP="008E10C2">
      <w:pPr>
        <w:numPr>
          <w:ilvl w:val="0"/>
          <w:numId w:val="24"/>
        </w:numPr>
        <w:rPr>
          <w:rFonts w:ascii="Bookman Old Style" w:hAnsi="Bookman Old Style"/>
          <w:b/>
        </w:rPr>
      </w:pPr>
      <w:r w:rsidRPr="00496B75">
        <w:rPr>
          <w:rFonts w:ascii="Bookman Old Style" w:hAnsi="Bookman Old Style"/>
          <w:b/>
        </w:rPr>
        <w:t xml:space="preserve">ANTECEDENTES </w:t>
      </w:r>
    </w:p>
    <w:p w14:paraId="7948DBFA" w14:textId="77777777" w:rsidR="008E10C2" w:rsidRPr="000074D5" w:rsidRDefault="008E10C2" w:rsidP="003B1925">
      <w:pPr>
        <w:ind w:left="0"/>
        <w:jc w:val="both"/>
        <w:rPr>
          <w:rFonts w:ascii="Bookman Old Style" w:hAnsi="Bookman Old Style" w:cs="Arial"/>
          <w:bCs/>
        </w:rPr>
      </w:pPr>
      <w:r>
        <w:rPr>
          <w:rFonts w:ascii="Bookman Old Style" w:hAnsi="Bookman Old Style" w:cs="Arial"/>
          <w:bCs/>
          <w:vanish/>
        </w:rPr>
        <w:t>PORFirme-OEF-s de Energ adquiriTl proyecto respecto de la OEF adquirida en la subasta de 2012.aciademncia de la obligaci</w:t>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r>
        <w:rPr>
          <w:rFonts w:ascii="Bookman Old Style" w:hAnsi="Bookman Old Style" w:cs="Arial"/>
          <w:bCs/>
          <w:vanish/>
        </w:rPr>
        <w:pgNum/>
      </w:r>
    </w:p>
    <w:p w14:paraId="6088C19A" w14:textId="175418A0" w:rsidR="008E10C2" w:rsidRDefault="008E10C2" w:rsidP="008E10C2">
      <w:pPr>
        <w:ind w:left="0"/>
        <w:jc w:val="both"/>
        <w:rPr>
          <w:rFonts w:ascii="Bookman Old Style" w:hAnsi="Bookman Old Style" w:cs="Arial"/>
          <w:bCs/>
        </w:rPr>
      </w:pPr>
      <w:r>
        <w:rPr>
          <w:rFonts w:ascii="Bookman Old Style" w:hAnsi="Bookman Old Style" w:cs="Arial"/>
        </w:rPr>
        <w:t>En aplicación del mecanismo del Cargo por Confiabilidad</w:t>
      </w:r>
      <w:r w:rsidR="00060035">
        <w:rPr>
          <w:rFonts w:ascii="Bookman Old Style" w:hAnsi="Bookman Old Style" w:cs="Arial"/>
        </w:rPr>
        <w:t>,</w:t>
      </w:r>
      <w:r>
        <w:rPr>
          <w:rFonts w:ascii="Bookman Old Style" w:hAnsi="Bookman Old Style" w:cs="Arial"/>
        </w:rPr>
        <w:t xml:space="preserve"> en el año 2008</w:t>
      </w:r>
      <w:r w:rsidR="00077383">
        <w:rPr>
          <w:rFonts w:ascii="Bookman Old Style" w:hAnsi="Bookman Old Style" w:cs="Arial"/>
        </w:rPr>
        <w:t>,</w:t>
      </w:r>
      <w:r>
        <w:rPr>
          <w:rFonts w:ascii="Bookman Old Style" w:hAnsi="Bookman Old Style" w:cs="Arial"/>
        </w:rPr>
        <w:t xml:space="preserve"> </w:t>
      </w:r>
      <w:r w:rsidR="00060035">
        <w:rPr>
          <w:rFonts w:ascii="Bookman Old Style" w:hAnsi="Bookman Old Style" w:cs="Arial"/>
        </w:rPr>
        <w:t>la Comisión convocó</w:t>
      </w:r>
      <w:r>
        <w:rPr>
          <w:rFonts w:ascii="Bookman Old Style" w:hAnsi="Bookman Old Style" w:cs="Arial"/>
        </w:rPr>
        <w:t xml:space="preserve"> una subasta para </w:t>
      </w:r>
      <w:r w:rsidR="00060035">
        <w:rPr>
          <w:rFonts w:ascii="Bookman Old Style" w:hAnsi="Bookman Old Style" w:cs="Arial"/>
        </w:rPr>
        <w:t xml:space="preserve">asignación de obligaciones de energía firme a </w:t>
      </w:r>
      <w:r>
        <w:rPr>
          <w:rFonts w:ascii="Bookman Old Style" w:hAnsi="Bookman Old Style" w:cs="Arial"/>
        </w:rPr>
        <w:t xml:space="preserve">plantas </w:t>
      </w:r>
      <w:r w:rsidR="00060035">
        <w:rPr>
          <w:rFonts w:ascii="Bookman Old Style" w:hAnsi="Bookman Old Style" w:cs="Arial"/>
        </w:rPr>
        <w:t xml:space="preserve">con </w:t>
      </w:r>
      <w:r w:rsidR="00077383">
        <w:rPr>
          <w:rFonts w:ascii="Bookman Old Style" w:hAnsi="Bookman Old Style" w:cs="Arial"/>
        </w:rPr>
        <w:t xml:space="preserve">período </w:t>
      </w:r>
      <w:r w:rsidR="00060035">
        <w:rPr>
          <w:rFonts w:ascii="Bookman Old Style" w:hAnsi="Bookman Old Style" w:cs="Arial"/>
        </w:rPr>
        <w:t xml:space="preserve">de construcción superior al </w:t>
      </w:r>
      <w:r w:rsidR="00077383">
        <w:rPr>
          <w:rFonts w:ascii="Bookman Old Style" w:hAnsi="Bookman Old Style" w:cs="Arial"/>
        </w:rPr>
        <w:t xml:space="preserve">período </w:t>
      </w:r>
      <w:r w:rsidR="00060035">
        <w:rPr>
          <w:rFonts w:ascii="Bookman Old Style" w:hAnsi="Bookman Old Style" w:cs="Arial"/>
        </w:rPr>
        <w:t>de plan</w:t>
      </w:r>
      <w:r w:rsidR="004D015A">
        <w:rPr>
          <w:rFonts w:ascii="Bookman Old Style" w:hAnsi="Bookman Old Style" w:cs="Arial"/>
        </w:rPr>
        <w:t>e</w:t>
      </w:r>
      <w:r w:rsidR="00060035">
        <w:rPr>
          <w:rFonts w:ascii="Bookman Old Style" w:hAnsi="Bookman Old Style" w:cs="Arial"/>
        </w:rPr>
        <w:t xml:space="preserve">ación, </w:t>
      </w:r>
      <w:r>
        <w:rPr>
          <w:rFonts w:ascii="Bookman Old Style" w:hAnsi="Bookman Old Style" w:cs="Arial"/>
        </w:rPr>
        <w:t>GPPS</w:t>
      </w:r>
      <w:r w:rsidR="00060035">
        <w:rPr>
          <w:rFonts w:ascii="Bookman Old Style" w:hAnsi="Bookman Old Style" w:cs="Arial"/>
        </w:rPr>
        <w:t>,</w:t>
      </w:r>
      <w:r>
        <w:rPr>
          <w:rFonts w:ascii="Bookman Old Style" w:hAnsi="Bookman Old Style" w:cs="Arial"/>
        </w:rPr>
        <w:t xml:space="preserve"> </w:t>
      </w:r>
      <w:r w:rsidR="00060035">
        <w:rPr>
          <w:rFonts w:ascii="Bookman Old Style" w:hAnsi="Bookman Old Style" w:cs="Arial"/>
        </w:rPr>
        <w:t>la cual fue administrada por la empresa XM S</w:t>
      </w:r>
      <w:r w:rsidR="00077383">
        <w:rPr>
          <w:rFonts w:ascii="Bookman Old Style" w:hAnsi="Bookman Old Style" w:cs="Arial"/>
        </w:rPr>
        <w:t>.</w:t>
      </w:r>
      <w:r w:rsidR="00060035">
        <w:rPr>
          <w:rFonts w:ascii="Bookman Old Style" w:hAnsi="Bookman Old Style" w:cs="Arial"/>
        </w:rPr>
        <w:t>A</w:t>
      </w:r>
      <w:r w:rsidR="00077383">
        <w:rPr>
          <w:rFonts w:ascii="Bookman Old Style" w:hAnsi="Bookman Old Style" w:cs="Arial"/>
        </w:rPr>
        <w:t>.</w:t>
      </w:r>
      <w:r w:rsidR="00060035">
        <w:rPr>
          <w:rFonts w:ascii="Bookman Old Style" w:hAnsi="Bookman Old Style" w:cs="Arial"/>
        </w:rPr>
        <w:t xml:space="preserve"> E</w:t>
      </w:r>
      <w:r w:rsidR="00077383">
        <w:rPr>
          <w:rFonts w:ascii="Bookman Old Style" w:hAnsi="Bookman Old Style" w:cs="Arial"/>
        </w:rPr>
        <w:t>.</w:t>
      </w:r>
      <w:r w:rsidR="00060035">
        <w:rPr>
          <w:rFonts w:ascii="Bookman Old Style" w:hAnsi="Bookman Old Style" w:cs="Arial"/>
        </w:rPr>
        <w:t>S</w:t>
      </w:r>
      <w:r w:rsidR="00077383">
        <w:rPr>
          <w:rFonts w:ascii="Bookman Old Style" w:hAnsi="Bookman Old Style" w:cs="Arial"/>
        </w:rPr>
        <w:t>.</w:t>
      </w:r>
      <w:r w:rsidR="00060035">
        <w:rPr>
          <w:rFonts w:ascii="Bookman Old Style" w:hAnsi="Bookman Old Style" w:cs="Arial"/>
        </w:rPr>
        <w:t>P</w:t>
      </w:r>
      <w:r w:rsidR="00077383">
        <w:rPr>
          <w:rFonts w:ascii="Bookman Old Style" w:hAnsi="Bookman Old Style" w:cs="Arial"/>
        </w:rPr>
        <w:t>.</w:t>
      </w:r>
      <w:r w:rsidR="00060035">
        <w:rPr>
          <w:rFonts w:ascii="Bookman Old Style" w:hAnsi="Bookman Old Style" w:cs="Arial"/>
        </w:rPr>
        <w:t>, como lo ordena la Resol</w:t>
      </w:r>
      <w:r w:rsidR="004D015A">
        <w:rPr>
          <w:rFonts w:ascii="Bookman Old Style" w:hAnsi="Bookman Old Style" w:cs="Arial"/>
        </w:rPr>
        <w:t>u</w:t>
      </w:r>
      <w:r w:rsidR="00060035">
        <w:rPr>
          <w:rFonts w:ascii="Bookman Old Style" w:hAnsi="Bookman Old Style" w:cs="Arial"/>
        </w:rPr>
        <w:t>ción 071 de 2006. En esta subasta</w:t>
      </w:r>
      <w:r>
        <w:rPr>
          <w:rFonts w:ascii="Bookman Old Style" w:hAnsi="Bookman Old Style" w:cs="Arial"/>
        </w:rPr>
        <w:t xml:space="preserve"> participó el proyecto </w:t>
      </w:r>
      <w:r>
        <w:rPr>
          <w:rFonts w:ascii="Bookman Old Style" w:hAnsi="Bookman Old Style" w:cs="Arial"/>
          <w:bCs/>
        </w:rPr>
        <w:t>Hidroeléctrico Pescadero-</w:t>
      </w:r>
      <w:proofErr w:type="spellStart"/>
      <w:r>
        <w:rPr>
          <w:rFonts w:ascii="Bookman Old Style" w:hAnsi="Bookman Old Style" w:cs="Arial"/>
          <w:bCs/>
        </w:rPr>
        <w:t>Ituango</w:t>
      </w:r>
      <w:proofErr w:type="spellEnd"/>
      <w:r w:rsidRPr="000074D5">
        <w:rPr>
          <w:rFonts w:ascii="Bookman Old Style" w:hAnsi="Bookman Old Style" w:cs="Arial"/>
          <w:bCs/>
        </w:rPr>
        <w:t>,</w:t>
      </w:r>
      <w:r>
        <w:rPr>
          <w:rFonts w:ascii="Bookman Old Style" w:hAnsi="Bookman Old Style" w:cs="Arial"/>
          <w:bCs/>
        </w:rPr>
        <w:t xml:space="preserve"> para lo cual declaró los </w:t>
      </w:r>
      <w:r w:rsidR="00B807C6">
        <w:rPr>
          <w:rFonts w:ascii="Bookman Old Style" w:hAnsi="Bookman Old Style" w:cs="Arial"/>
          <w:bCs/>
        </w:rPr>
        <w:t xml:space="preserve">siguientes </w:t>
      </w:r>
      <w:r>
        <w:rPr>
          <w:rFonts w:ascii="Bookman Old Style" w:hAnsi="Bookman Old Style" w:cs="Arial"/>
          <w:bCs/>
        </w:rPr>
        <w:t>parámetros: la topología de la planta, el IHF, la eficiencia, capacidad efectiva neta de 1.200</w:t>
      </w:r>
      <w:r w:rsidR="00077383">
        <w:rPr>
          <w:rFonts w:ascii="Bookman Old Style" w:hAnsi="Bookman Old Style" w:cs="Arial"/>
          <w:bCs/>
        </w:rPr>
        <w:t xml:space="preserve"> </w:t>
      </w:r>
      <w:r>
        <w:rPr>
          <w:rFonts w:ascii="Bookman Old Style" w:hAnsi="Bookman Old Style" w:cs="Arial"/>
          <w:bCs/>
        </w:rPr>
        <w:t>MW, caudal medio mensual, embalse, capacidad máxima del arco generación.  Así mismo</w:t>
      </w:r>
      <w:r w:rsidR="004D015A">
        <w:rPr>
          <w:rFonts w:ascii="Bookman Old Style" w:hAnsi="Bookman Old Style" w:cs="Arial"/>
          <w:bCs/>
        </w:rPr>
        <w:t>,</w:t>
      </w:r>
      <w:r>
        <w:rPr>
          <w:rFonts w:ascii="Bookman Old Style" w:hAnsi="Bookman Old Style" w:cs="Arial"/>
          <w:bCs/>
        </w:rPr>
        <w:t xml:space="preserve"> el proyecto declaró y se le verificó una ENFICC de </w:t>
      </w:r>
      <w:r w:rsidRPr="003A19E2">
        <w:rPr>
          <w:rFonts w:ascii="Bookman Old Style" w:hAnsi="Bookman Old Style" w:cs="Arial"/>
          <w:bCs/>
        </w:rPr>
        <w:t>23</w:t>
      </w:r>
      <w:r>
        <w:rPr>
          <w:rFonts w:ascii="Bookman Old Style" w:hAnsi="Bookman Old Style" w:cs="Arial"/>
          <w:bCs/>
        </w:rPr>
        <w:t>.</w:t>
      </w:r>
      <w:r w:rsidRPr="003A19E2">
        <w:rPr>
          <w:rFonts w:ascii="Bookman Old Style" w:hAnsi="Bookman Old Style" w:cs="Arial"/>
          <w:bCs/>
        </w:rPr>
        <w:t>459</w:t>
      </w:r>
      <w:r>
        <w:rPr>
          <w:rFonts w:ascii="Bookman Old Style" w:hAnsi="Bookman Old Style" w:cs="Arial"/>
          <w:bCs/>
        </w:rPr>
        <w:t>.</w:t>
      </w:r>
      <w:r w:rsidRPr="003A19E2">
        <w:rPr>
          <w:rFonts w:ascii="Bookman Old Style" w:hAnsi="Bookman Old Style" w:cs="Arial"/>
          <w:bCs/>
        </w:rPr>
        <w:t>253</w:t>
      </w:r>
      <w:r>
        <w:rPr>
          <w:rFonts w:ascii="Bookman Old Style" w:hAnsi="Bookman Old Style" w:cs="Arial"/>
          <w:bCs/>
        </w:rPr>
        <w:t xml:space="preserve"> </w:t>
      </w:r>
      <w:proofErr w:type="spellStart"/>
      <w:r>
        <w:rPr>
          <w:rFonts w:ascii="Bookman Old Style" w:hAnsi="Bookman Old Style" w:cs="Arial"/>
          <w:bCs/>
        </w:rPr>
        <w:t>kWh</w:t>
      </w:r>
      <w:proofErr w:type="spellEnd"/>
      <w:r>
        <w:rPr>
          <w:rFonts w:ascii="Bookman Old Style" w:hAnsi="Bookman Old Style" w:cs="Arial"/>
          <w:bCs/>
        </w:rPr>
        <w:t>/día.</w:t>
      </w:r>
    </w:p>
    <w:p w14:paraId="797810ED" w14:textId="77777777" w:rsidR="008E10C2" w:rsidRDefault="008E10C2" w:rsidP="008E10C2">
      <w:pPr>
        <w:ind w:left="0"/>
        <w:jc w:val="both"/>
        <w:rPr>
          <w:rFonts w:ascii="Bookman Old Style" w:hAnsi="Bookman Old Style" w:cs="Arial"/>
        </w:rPr>
      </w:pPr>
    </w:p>
    <w:p w14:paraId="0E2E4817" w14:textId="3A957794" w:rsidR="008E10C2" w:rsidRDefault="008E10C2" w:rsidP="008E10C2">
      <w:pPr>
        <w:ind w:left="0"/>
        <w:jc w:val="both"/>
        <w:rPr>
          <w:rFonts w:ascii="Bookman Old Style" w:hAnsi="Bookman Old Style" w:cs="Arial"/>
          <w:bCs/>
        </w:rPr>
      </w:pPr>
      <w:r>
        <w:rPr>
          <w:rFonts w:ascii="Bookman Old Style" w:hAnsi="Bookman Old Style" w:cs="Arial"/>
          <w:bCs/>
        </w:rPr>
        <w:t>Como resultado de la subasta</w:t>
      </w:r>
      <w:r w:rsidR="00C307CA">
        <w:rPr>
          <w:rFonts w:ascii="Bookman Old Style" w:hAnsi="Bookman Old Style" w:cs="Arial"/>
          <w:bCs/>
        </w:rPr>
        <w:t>,</w:t>
      </w:r>
      <w:r>
        <w:rPr>
          <w:rFonts w:ascii="Bookman Old Style" w:hAnsi="Bookman Old Style" w:cs="Arial"/>
          <w:bCs/>
        </w:rPr>
        <w:t xml:space="preserve"> el proyecto </w:t>
      </w:r>
      <w:r w:rsidR="004D015A">
        <w:rPr>
          <w:rFonts w:ascii="Bookman Old Style" w:hAnsi="Bookman Old Style" w:cs="Arial"/>
          <w:bCs/>
        </w:rPr>
        <w:t xml:space="preserve">Pescadero </w:t>
      </w:r>
      <w:proofErr w:type="spellStart"/>
      <w:r w:rsidR="004D015A">
        <w:rPr>
          <w:rFonts w:ascii="Bookman Old Style" w:hAnsi="Bookman Old Style" w:cs="Arial"/>
          <w:bCs/>
        </w:rPr>
        <w:t>Ituango</w:t>
      </w:r>
      <w:proofErr w:type="spellEnd"/>
      <w:r w:rsidR="004D015A">
        <w:rPr>
          <w:rFonts w:ascii="Bookman Old Style" w:hAnsi="Bookman Old Style" w:cs="Arial"/>
          <w:bCs/>
        </w:rPr>
        <w:t xml:space="preserve"> </w:t>
      </w:r>
      <w:r>
        <w:rPr>
          <w:rFonts w:ascii="Bookman Old Style" w:hAnsi="Bookman Old Style" w:cs="Arial"/>
          <w:bCs/>
        </w:rPr>
        <w:t xml:space="preserve">obtuvo asignaciones de Obligaciones de Energía Firme, OEF, por 1.085 </w:t>
      </w:r>
      <w:proofErr w:type="spellStart"/>
      <w:r>
        <w:rPr>
          <w:rFonts w:ascii="Bookman Old Style" w:hAnsi="Bookman Old Style" w:cs="Arial"/>
          <w:bCs/>
        </w:rPr>
        <w:t>GWh</w:t>
      </w:r>
      <w:proofErr w:type="spellEnd"/>
      <w:r>
        <w:rPr>
          <w:rFonts w:ascii="Bookman Old Style" w:hAnsi="Bookman Old Style" w:cs="Arial"/>
          <w:bCs/>
        </w:rPr>
        <w:t xml:space="preserve">/año con inicio de </w:t>
      </w:r>
      <w:r w:rsidR="00077383">
        <w:rPr>
          <w:rFonts w:ascii="Bookman Old Style" w:hAnsi="Bookman Old Style" w:cs="Arial"/>
          <w:bCs/>
        </w:rPr>
        <w:t xml:space="preserve">período </w:t>
      </w:r>
      <w:r>
        <w:rPr>
          <w:rFonts w:ascii="Bookman Old Style" w:hAnsi="Bookman Old Style" w:cs="Arial"/>
          <w:bCs/>
        </w:rPr>
        <w:t>de vigencia de la obligación, IPVO, 1 de diciembre de 2018</w:t>
      </w:r>
      <w:r w:rsidR="00077383">
        <w:rPr>
          <w:rFonts w:ascii="Bookman Old Style" w:hAnsi="Bookman Old Style" w:cs="Arial"/>
          <w:bCs/>
        </w:rPr>
        <w:t>,</w:t>
      </w:r>
      <w:r>
        <w:rPr>
          <w:rFonts w:ascii="Bookman Old Style" w:hAnsi="Bookman Old Style" w:cs="Arial"/>
          <w:bCs/>
        </w:rPr>
        <w:t xml:space="preserve"> y terminación </w:t>
      </w:r>
      <w:r w:rsidR="004D015A">
        <w:rPr>
          <w:rFonts w:ascii="Bookman Old Style" w:hAnsi="Bookman Old Style" w:cs="Arial"/>
          <w:bCs/>
        </w:rPr>
        <w:t xml:space="preserve">de dicho </w:t>
      </w:r>
      <w:r w:rsidR="00077383">
        <w:rPr>
          <w:rFonts w:ascii="Bookman Old Style" w:hAnsi="Bookman Old Style" w:cs="Arial"/>
          <w:bCs/>
        </w:rPr>
        <w:t xml:space="preserve">período </w:t>
      </w:r>
      <w:r>
        <w:rPr>
          <w:rFonts w:ascii="Bookman Old Style" w:hAnsi="Bookman Old Style" w:cs="Arial"/>
          <w:bCs/>
        </w:rPr>
        <w:t>en el año 2038</w:t>
      </w:r>
      <w:r w:rsidR="00077383">
        <w:rPr>
          <w:rFonts w:ascii="Bookman Old Style" w:hAnsi="Bookman Old Style" w:cs="Arial"/>
          <w:bCs/>
        </w:rPr>
        <w:t>,</w:t>
      </w:r>
      <w:r w:rsidR="009F436C">
        <w:rPr>
          <w:rFonts w:ascii="Bookman Old Style" w:hAnsi="Bookman Old Style" w:cs="Arial"/>
          <w:bCs/>
        </w:rPr>
        <w:t xml:space="preserve"> y Cargo por Confiabilidad de </w:t>
      </w:r>
      <w:r w:rsidR="009F436C" w:rsidRPr="009F436C">
        <w:rPr>
          <w:rFonts w:ascii="Bookman Old Style" w:hAnsi="Bookman Old Style" w:cs="Arial"/>
          <w:bCs/>
        </w:rPr>
        <w:t>13</w:t>
      </w:r>
      <w:r w:rsidR="00E1475D">
        <w:rPr>
          <w:rFonts w:ascii="Bookman Old Style" w:hAnsi="Bookman Old Style" w:cs="Arial"/>
          <w:bCs/>
        </w:rPr>
        <w:t>,</w:t>
      </w:r>
      <w:r w:rsidR="009F436C" w:rsidRPr="009F436C">
        <w:rPr>
          <w:rFonts w:ascii="Bookman Old Style" w:hAnsi="Bookman Old Style" w:cs="Arial"/>
          <w:bCs/>
        </w:rPr>
        <w:t>998 USD/</w:t>
      </w:r>
      <w:proofErr w:type="spellStart"/>
      <w:r w:rsidR="009F436C" w:rsidRPr="009F436C">
        <w:rPr>
          <w:rFonts w:ascii="Bookman Old Style" w:hAnsi="Bookman Old Style" w:cs="Arial"/>
          <w:bCs/>
        </w:rPr>
        <w:t>MWh</w:t>
      </w:r>
      <w:proofErr w:type="spellEnd"/>
      <w:r>
        <w:rPr>
          <w:rFonts w:ascii="Bookman Old Style" w:hAnsi="Bookman Old Style" w:cs="Arial"/>
          <w:bCs/>
        </w:rPr>
        <w:t>.</w:t>
      </w:r>
    </w:p>
    <w:p w14:paraId="209054BA" w14:textId="77777777" w:rsidR="008E10C2" w:rsidRDefault="008E10C2" w:rsidP="008E10C2">
      <w:pPr>
        <w:ind w:left="0"/>
        <w:jc w:val="both"/>
        <w:rPr>
          <w:rFonts w:ascii="Bookman Old Style" w:hAnsi="Bookman Old Style" w:cs="Arial"/>
          <w:bCs/>
        </w:rPr>
      </w:pPr>
    </w:p>
    <w:p w14:paraId="5C0F2A27" w14:textId="4939395B" w:rsidR="009F436C" w:rsidRDefault="008E10C2" w:rsidP="009F436C">
      <w:pPr>
        <w:ind w:left="0"/>
        <w:jc w:val="both"/>
        <w:rPr>
          <w:rFonts w:ascii="Bookman Old Style" w:hAnsi="Bookman Old Style" w:cs="Arial"/>
          <w:bCs/>
        </w:rPr>
      </w:pPr>
      <w:r>
        <w:rPr>
          <w:rFonts w:ascii="Bookman Old Style" w:hAnsi="Bookman Old Style" w:cs="Arial"/>
          <w:bCs/>
        </w:rPr>
        <w:t>En el 2012</w:t>
      </w:r>
      <w:r w:rsidR="004D015A">
        <w:rPr>
          <w:rFonts w:ascii="Bookman Old Style" w:hAnsi="Bookman Old Style" w:cs="Arial"/>
          <w:bCs/>
        </w:rPr>
        <w:t xml:space="preserve">, </w:t>
      </w:r>
      <w:r w:rsidR="004D015A" w:rsidRPr="004D015A">
        <w:rPr>
          <w:rFonts w:ascii="Bookman Old Style" w:hAnsi="Bookman Old Style" w:cs="Arial"/>
          <w:bCs/>
        </w:rPr>
        <w:t xml:space="preserve">la Comisión convocó una subasta para asignación de obligaciones de energía firme a plantas con </w:t>
      </w:r>
      <w:r w:rsidR="00077383" w:rsidRPr="004D015A">
        <w:rPr>
          <w:rFonts w:ascii="Bookman Old Style" w:hAnsi="Bookman Old Style" w:cs="Arial"/>
          <w:bCs/>
        </w:rPr>
        <w:t>per</w:t>
      </w:r>
      <w:r w:rsidR="00077383">
        <w:rPr>
          <w:rFonts w:ascii="Bookman Old Style" w:hAnsi="Bookman Old Style" w:cs="Arial"/>
          <w:bCs/>
        </w:rPr>
        <w:t>í</w:t>
      </w:r>
      <w:r w:rsidR="00077383" w:rsidRPr="004D015A">
        <w:rPr>
          <w:rFonts w:ascii="Bookman Old Style" w:hAnsi="Bookman Old Style" w:cs="Arial"/>
          <w:bCs/>
        </w:rPr>
        <w:t xml:space="preserve">odo </w:t>
      </w:r>
      <w:r w:rsidR="004D015A" w:rsidRPr="004D015A">
        <w:rPr>
          <w:rFonts w:ascii="Bookman Old Style" w:hAnsi="Bookman Old Style" w:cs="Arial"/>
          <w:bCs/>
        </w:rPr>
        <w:t xml:space="preserve">de construcción superior al </w:t>
      </w:r>
      <w:r w:rsidR="00077383" w:rsidRPr="004D015A">
        <w:rPr>
          <w:rFonts w:ascii="Bookman Old Style" w:hAnsi="Bookman Old Style" w:cs="Arial"/>
          <w:bCs/>
        </w:rPr>
        <w:t>per</w:t>
      </w:r>
      <w:r w:rsidR="00077383">
        <w:rPr>
          <w:rFonts w:ascii="Bookman Old Style" w:hAnsi="Bookman Old Style" w:cs="Arial"/>
          <w:bCs/>
        </w:rPr>
        <w:t>í</w:t>
      </w:r>
      <w:r w:rsidR="00077383" w:rsidRPr="004D015A">
        <w:rPr>
          <w:rFonts w:ascii="Bookman Old Style" w:hAnsi="Bookman Old Style" w:cs="Arial"/>
          <w:bCs/>
        </w:rPr>
        <w:t xml:space="preserve">odo </w:t>
      </w:r>
      <w:r w:rsidR="004D015A" w:rsidRPr="004D015A">
        <w:rPr>
          <w:rFonts w:ascii="Bookman Old Style" w:hAnsi="Bookman Old Style" w:cs="Arial"/>
          <w:bCs/>
        </w:rPr>
        <w:t>de planeación, GPPS</w:t>
      </w:r>
      <w:r w:rsidR="004D015A">
        <w:rPr>
          <w:rFonts w:ascii="Bookman Old Style" w:hAnsi="Bookman Old Style" w:cs="Arial"/>
          <w:bCs/>
        </w:rPr>
        <w:t xml:space="preserve">, para el </w:t>
      </w:r>
      <w:r w:rsidR="00077383">
        <w:rPr>
          <w:rFonts w:ascii="Bookman Old Style" w:hAnsi="Bookman Old Style" w:cs="Arial"/>
          <w:bCs/>
        </w:rPr>
        <w:t xml:space="preserve">período </w:t>
      </w:r>
      <w:r w:rsidR="004D015A">
        <w:rPr>
          <w:rFonts w:ascii="Bookman Old Style" w:hAnsi="Bookman Old Style" w:cs="Arial"/>
          <w:bCs/>
        </w:rPr>
        <w:t xml:space="preserve">2021-2022, </w:t>
      </w:r>
      <w:r>
        <w:rPr>
          <w:rFonts w:ascii="Bookman Old Style" w:hAnsi="Bookman Old Style" w:cs="Arial"/>
          <w:bCs/>
        </w:rPr>
        <w:t xml:space="preserve">en la </w:t>
      </w:r>
      <w:r w:rsidR="004D015A">
        <w:rPr>
          <w:rFonts w:ascii="Bookman Old Style" w:hAnsi="Bookman Old Style" w:cs="Arial"/>
          <w:bCs/>
        </w:rPr>
        <w:t>cual</w:t>
      </w:r>
      <w:r>
        <w:rPr>
          <w:rFonts w:ascii="Bookman Old Style" w:hAnsi="Bookman Old Style" w:cs="Arial"/>
          <w:bCs/>
        </w:rPr>
        <w:t xml:space="preserve"> el proyecto </w:t>
      </w:r>
      <w:r w:rsidR="004D015A">
        <w:rPr>
          <w:rFonts w:ascii="Bookman Old Style" w:hAnsi="Bookman Old Style" w:cs="Arial"/>
          <w:bCs/>
        </w:rPr>
        <w:t>Pe</w:t>
      </w:r>
      <w:r w:rsidR="00774074">
        <w:rPr>
          <w:rFonts w:ascii="Bookman Old Style" w:hAnsi="Bookman Old Style" w:cs="Arial"/>
          <w:bCs/>
        </w:rPr>
        <w:t>s</w:t>
      </w:r>
      <w:r w:rsidR="004D015A">
        <w:rPr>
          <w:rFonts w:ascii="Bookman Old Style" w:hAnsi="Bookman Old Style" w:cs="Arial"/>
          <w:bCs/>
        </w:rPr>
        <w:t xml:space="preserve">cadero </w:t>
      </w:r>
      <w:proofErr w:type="spellStart"/>
      <w:r w:rsidR="004D015A">
        <w:rPr>
          <w:rFonts w:ascii="Bookman Old Style" w:hAnsi="Bookman Old Style" w:cs="Arial"/>
          <w:bCs/>
        </w:rPr>
        <w:t>Ituango</w:t>
      </w:r>
      <w:proofErr w:type="spellEnd"/>
      <w:r w:rsidR="004D015A">
        <w:rPr>
          <w:rFonts w:ascii="Bookman Old Style" w:hAnsi="Bookman Old Style" w:cs="Arial"/>
          <w:bCs/>
        </w:rPr>
        <w:t xml:space="preserve"> </w:t>
      </w:r>
      <w:r>
        <w:rPr>
          <w:rFonts w:ascii="Bookman Old Style" w:hAnsi="Bookman Old Style" w:cs="Arial"/>
          <w:bCs/>
        </w:rPr>
        <w:t xml:space="preserve">obtuvo OEF por 3.482 </w:t>
      </w:r>
      <w:proofErr w:type="spellStart"/>
      <w:r>
        <w:rPr>
          <w:rFonts w:ascii="Bookman Old Style" w:hAnsi="Bookman Old Style" w:cs="Arial"/>
          <w:bCs/>
        </w:rPr>
        <w:t>GWh</w:t>
      </w:r>
      <w:proofErr w:type="spellEnd"/>
      <w:r>
        <w:rPr>
          <w:rFonts w:ascii="Bookman Old Style" w:hAnsi="Bookman Old Style" w:cs="Arial"/>
          <w:bCs/>
        </w:rPr>
        <w:t>/año</w:t>
      </w:r>
      <w:r w:rsidR="00077383">
        <w:rPr>
          <w:rFonts w:ascii="Bookman Old Style" w:hAnsi="Bookman Old Style" w:cs="Arial"/>
          <w:bCs/>
        </w:rPr>
        <w:t>,</w:t>
      </w:r>
      <w:r>
        <w:rPr>
          <w:rFonts w:ascii="Bookman Old Style" w:hAnsi="Bookman Old Style" w:cs="Arial"/>
          <w:bCs/>
        </w:rPr>
        <w:t xml:space="preserve"> con inicio de </w:t>
      </w:r>
      <w:r w:rsidR="00077383">
        <w:rPr>
          <w:rFonts w:ascii="Bookman Old Style" w:hAnsi="Bookman Old Style" w:cs="Arial"/>
          <w:bCs/>
        </w:rPr>
        <w:t xml:space="preserve">período </w:t>
      </w:r>
      <w:r>
        <w:rPr>
          <w:rFonts w:ascii="Bookman Old Style" w:hAnsi="Bookman Old Style" w:cs="Arial"/>
          <w:bCs/>
        </w:rPr>
        <w:t xml:space="preserve">de vigencia de la </w:t>
      </w:r>
      <w:r>
        <w:rPr>
          <w:rFonts w:ascii="Bookman Old Style" w:hAnsi="Bookman Old Style" w:cs="Arial"/>
          <w:bCs/>
        </w:rPr>
        <w:lastRenderedPageBreak/>
        <w:t xml:space="preserve">Obligación, IPVO, 1 de diciembre de 2021 y terminación </w:t>
      </w:r>
      <w:r w:rsidR="004D015A">
        <w:rPr>
          <w:rFonts w:ascii="Bookman Old Style" w:hAnsi="Bookman Old Style" w:cs="Arial"/>
          <w:bCs/>
        </w:rPr>
        <w:t xml:space="preserve">de dicho </w:t>
      </w:r>
      <w:r w:rsidR="00077383">
        <w:rPr>
          <w:rFonts w:ascii="Bookman Old Style" w:hAnsi="Bookman Old Style" w:cs="Arial"/>
          <w:bCs/>
        </w:rPr>
        <w:t xml:space="preserve">período </w:t>
      </w:r>
      <w:r>
        <w:rPr>
          <w:rFonts w:ascii="Bookman Old Style" w:hAnsi="Bookman Old Style" w:cs="Arial"/>
          <w:bCs/>
        </w:rPr>
        <w:t>en el año 2038</w:t>
      </w:r>
      <w:r w:rsidR="00077383">
        <w:rPr>
          <w:rFonts w:ascii="Bookman Old Style" w:hAnsi="Bookman Old Style" w:cs="Arial"/>
          <w:bCs/>
        </w:rPr>
        <w:t>,</w:t>
      </w:r>
      <w:r w:rsidR="009F436C">
        <w:rPr>
          <w:rFonts w:ascii="Bookman Old Style" w:hAnsi="Bookman Old Style" w:cs="Arial"/>
          <w:bCs/>
        </w:rPr>
        <w:t xml:space="preserve"> Cargo por Confiabilidad de </w:t>
      </w:r>
      <w:r w:rsidR="009F436C" w:rsidRPr="009F436C">
        <w:rPr>
          <w:rFonts w:ascii="Bookman Old Style" w:hAnsi="Bookman Old Style" w:cs="Arial"/>
          <w:bCs/>
        </w:rPr>
        <w:t>1</w:t>
      </w:r>
      <w:r w:rsidR="009F436C">
        <w:rPr>
          <w:rFonts w:ascii="Bookman Old Style" w:hAnsi="Bookman Old Style" w:cs="Arial"/>
          <w:bCs/>
        </w:rPr>
        <w:t>7</w:t>
      </w:r>
      <w:r w:rsidR="00E1475D">
        <w:rPr>
          <w:rFonts w:ascii="Bookman Old Style" w:hAnsi="Bookman Old Style" w:cs="Arial"/>
          <w:bCs/>
        </w:rPr>
        <w:t>,</w:t>
      </w:r>
      <w:r w:rsidR="009F436C">
        <w:rPr>
          <w:rFonts w:ascii="Bookman Old Style" w:hAnsi="Bookman Old Style" w:cs="Arial"/>
          <w:bCs/>
        </w:rPr>
        <w:t>70</w:t>
      </w:r>
      <w:r w:rsidR="009F436C" w:rsidRPr="009F436C">
        <w:rPr>
          <w:rFonts w:ascii="Bookman Old Style" w:hAnsi="Bookman Old Style" w:cs="Arial"/>
          <w:bCs/>
        </w:rPr>
        <w:t xml:space="preserve"> USD/</w:t>
      </w:r>
      <w:proofErr w:type="spellStart"/>
      <w:r w:rsidR="009F436C" w:rsidRPr="009F436C">
        <w:rPr>
          <w:rFonts w:ascii="Bookman Old Style" w:hAnsi="Bookman Old Style" w:cs="Arial"/>
          <w:bCs/>
        </w:rPr>
        <w:t>MWh</w:t>
      </w:r>
      <w:proofErr w:type="spellEnd"/>
      <w:r w:rsidR="009F436C">
        <w:rPr>
          <w:rFonts w:ascii="Bookman Old Style" w:hAnsi="Bookman Old Style" w:cs="Arial"/>
          <w:bCs/>
        </w:rPr>
        <w:t>.</w:t>
      </w:r>
    </w:p>
    <w:p w14:paraId="4CD0F80D" w14:textId="77777777" w:rsidR="008E10C2" w:rsidRDefault="008E10C2" w:rsidP="008E10C2">
      <w:pPr>
        <w:ind w:left="0"/>
        <w:jc w:val="both"/>
        <w:rPr>
          <w:rFonts w:ascii="Bookman Old Style" w:hAnsi="Bookman Old Style" w:cs="Arial"/>
          <w:bCs/>
        </w:rPr>
      </w:pPr>
    </w:p>
    <w:p w14:paraId="07C8FB6B" w14:textId="438496EB" w:rsidR="008E10C2" w:rsidRDefault="008E10C2" w:rsidP="008E10C2">
      <w:pPr>
        <w:ind w:left="0"/>
        <w:jc w:val="both"/>
        <w:rPr>
          <w:rFonts w:ascii="Bookman Old Style" w:hAnsi="Bookman Old Style" w:cs="Arial"/>
          <w:bCs/>
        </w:rPr>
      </w:pPr>
      <w:r>
        <w:rPr>
          <w:rFonts w:ascii="Bookman Old Style" w:hAnsi="Bookman Old Style" w:cs="Arial"/>
          <w:bCs/>
        </w:rPr>
        <w:t xml:space="preserve">En el año 2013, la construcción, operación y mantenimiento de la planta y las asignaciones de OEF </w:t>
      </w:r>
      <w:r w:rsidR="004D015A">
        <w:rPr>
          <w:rFonts w:ascii="Bookman Old Style" w:hAnsi="Bookman Old Style" w:cs="Arial"/>
          <w:bCs/>
        </w:rPr>
        <w:t xml:space="preserve">asignadas al proyecto Pescadero </w:t>
      </w:r>
      <w:proofErr w:type="spellStart"/>
      <w:r w:rsidR="004D015A">
        <w:rPr>
          <w:rFonts w:ascii="Bookman Old Style" w:hAnsi="Bookman Old Style" w:cs="Arial"/>
          <w:bCs/>
        </w:rPr>
        <w:t>Ituango</w:t>
      </w:r>
      <w:proofErr w:type="spellEnd"/>
      <w:r>
        <w:rPr>
          <w:rFonts w:ascii="Bookman Old Style" w:hAnsi="Bookman Old Style" w:cs="Arial"/>
          <w:bCs/>
        </w:rPr>
        <w:t xml:space="preserve"> en las subastas </w:t>
      </w:r>
      <w:r>
        <w:rPr>
          <w:rFonts w:ascii="Bookman Old Style" w:hAnsi="Bookman Old Style" w:cs="Arial"/>
        </w:rPr>
        <w:t xml:space="preserve">para plantas GPPS </w:t>
      </w:r>
      <w:r>
        <w:rPr>
          <w:rFonts w:ascii="Bookman Old Style" w:hAnsi="Bookman Old Style" w:cs="Arial"/>
          <w:bCs/>
        </w:rPr>
        <w:t>del 2008 y del 2012</w:t>
      </w:r>
      <w:r w:rsidR="00077383">
        <w:rPr>
          <w:rFonts w:ascii="Bookman Old Style" w:hAnsi="Bookman Old Style" w:cs="Arial"/>
          <w:bCs/>
        </w:rPr>
        <w:t>,</w:t>
      </w:r>
      <w:r>
        <w:rPr>
          <w:rFonts w:ascii="Bookman Old Style" w:hAnsi="Bookman Old Style" w:cs="Arial"/>
          <w:bCs/>
        </w:rPr>
        <w:t xml:space="preserve"> fueron cedidas a Empresas Públicas de Medellín E.S.P.</w:t>
      </w:r>
      <w:r w:rsidR="00077383">
        <w:rPr>
          <w:rFonts w:ascii="Bookman Old Style" w:hAnsi="Bookman Old Style" w:cs="Arial"/>
          <w:bCs/>
        </w:rPr>
        <w:t>,</w:t>
      </w:r>
      <w:r>
        <w:rPr>
          <w:rFonts w:ascii="Bookman Old Style" w:hAnsi="Bookman Old Style" w:cs="Arial"/>
          <w:bCs/>
        </w:rPr>
        <w:t xml:space="preserve"> por quien hasta el momento era el responsable del proyecto</w:t>
      </w:r>
      <w:r w:rsidR="006F744F">
        <w:rPr>
          <w:rFonts w:ascii="Bookman Old Style" w:hAnsi="Bookman Old Style" w:cs="Arial"/>
          <w:bCs/>
        </w:rPr>
        <w:t>:</w:t>
      </w:r>
      <w:r>
        <w:rPr>
          <w:rFonts w:ascii="Bookman Old Style" w:hAnsi="Bookman Old Style" w:cs="Arial"/>
          <w:bCs/>
        </w:rPr>
        <w:t xml:space="preserve"> EPM ITUANGO S.A. E.S.P.</w:t>
      </w:r>
    </w:p>
    <w:p w14:paraId="4461F28A" w14:textId="77777777" w:rsidR="008E10C2" w:rsidRDefault="008E10C2" w:rsidP="008E10C2">
      <w:pPr>
        <w:ind w:left="0"/>
        <w:jc w:val="both"/>
        <w:rPr>
          <w:rFonts w:ascii="Bookman Old Style" w:hAnsi="Bookman Old Style" w:cs="Arial"/>
          <w:bCs/>
        </w:rPr>
      </w:pPr>
    </w:p>
    <w:p w14:paraId="7CA27A96" w14:textId="59D47CDC" w:rsidR="008E10C2" w:rsidRDefault="00E73B4A" w:rsidP="008E10C2">
      <w:pPr>
        <w:ind w:left="0"/>
        <w:jc w:val="both"/>
        <w:rPr>
          <w:rFonts w:ascii="Bookman Old Style" w:hAnsi="Bookman Old Style" w:cs="Arial"/>
          <w:bCs/>
        </w:rPr>
      </w:pPr>
      <w:r>
        <w:rPr>
          <w:rFonts w:ascii="Bookman Old Style" w:hAnsi="Bookman Old Style" w:cs="Arial"/>
          <w:bCs/>
        </w:rPr>
        <w:t>Conforme a lo d</w:t>
      </w:r>
      <w:r w:rsidR="00077383">
        <w:rPr>
          <w:rFonts w:ascii="Bookman Old Style" w:hAnsi="Bookman Old Style" w:cs="Arial"/>
          <w:bCs/>
        </w:rPr>
        <w:t>e</w:t>
      </w:r>
      <w:r>
        <w:rPr>
          <w:rFonts w:ascii="Bookman Old Style" w:hAnsi="Bookman Old Style" w:cs="Arial"/>
          <w:bCs/>
        </w:rPr>
        <w:t>finido en el artículo 8 y el Anexo 1 de la Resolución CREG 071 de 2006</w:t>
      </w:r>
      <w:r w:rsidR="00077383">
        <w:rPr>
          <w:rFonts w:ascii="Bookman Old Style" w:hAnsi="Bookman Old Style" w:cs="Arial"/>
          <w:bCs/>
        </w:rPr>
        <w:t>,</w:t>
      </w:r>
      <w:r>
        <w:rPr>
          <w:rFonts w:ascii="Bookman Old Style" w:hAnsi="Bookman Old Style" w:cs="Arial"/>
          <w:bCs/>
        </w:rPr>
        <w:t xml:space="preserve"> el ASIC contrató a la firma </w:t>
      </w:r>
      <w:proofErr w:type="spellStart"/>
      <w:r>
        <w:rPr>
          <w:rFonts w:ascii="Bookman Old Style" w:hAnsi="Bookman Old Style" w:cs="Arial"/>
          <w:bCs/>
        </w:rPr>
        <w:t>Deloitte</w:t>
      </w:r>
      <w:proofErr w:type="spellEnd"/>
      <w:r>
        <w:rPr>
          <w:rFonts w:ascii="Bookman Old Style" w:hAnsi="Bookman Old Style" w:cs="Arial"/>
          <w:bCs/>
        </w:rPr>
        <w:t xml:space="preserve"> para hacer la verificación del cumplimiento de las obligaciones de construcción y puesta en operación. </w:t>
      </w:r>
      <w:r w:rsidR="008E10C2" w:rsidRPr="00B23A76">
        <w:rPr>
          <w:rFonts w:ascii="Bookman Old Style" w:hAnsi="Bookman Old Style" w:cs="Arial"/>
          <w:bCs/>
        </w:rPr>
        <w:t>El 22 de octubre de 2018, la CREG recib</w:t>
      </w:r>
      <w:r w:rsidR="008E10C2">
        <w:rPr>
          <w:rFonts w:ascii="Bookman Old Style" w:hAnsi="Bookman Old Style" w:cs="Arial"/>
          <w:bCs/>
        </w:rPr>
        <w:t>ió</w:t>
      </w:r>
      <w:r w:rsidR="008E10C2" w:rsidRPr="00B23A76">
        <w:rPr>
          <w:rFonts w:ascii="Bookman Old Style" w:hAnsi="Bookman Old Style" w:cs="Arial"/>
          <w:bCs/>
        </w:rPr>
        <w:t xml:space="preserve"> el informe </w:t>
      </w:r>
      <w:r w:rsidR="008E10C2">
        <w:rPr>
          <w:rFonts w:ascii="Bookman Old Style" w:hAnsi="Bookman Old Style" w:cs="Arial"/>
          <w:bCs/>
        </w:rPr>
        <w:t>final correspondiente al primer semestre del año 2018</w:t>
      </w:r>
      <w:r w:rsidR="006F744F">
        <w:rPr>
          <w:rFonts w:ascii="Bookman Old Style" w:hAnsi="Bookman Old Style" w:cs="Arial"/>
          <w:bCs/>
        </w:rPr>
        <w:t>,</w:t>
      </w:r>
      <w:r w:rsidR="008E10C2">
        <w:rPr>
          <w:rFonts w:ascii="Bookman Old Style" w:hAnsi="Bookman Old Style" w:cs="Arial"/>
          <w:bCs/>
        </w:rPr>
        <w:t xml:space="preserve"> emitido por </w:t>
      </w:r>
      <w:r w:rsidR="008E10C2" w:rsidRPr="00B23A76">
        <w:rPr>
          <w:rFonts w:ascii="Bookman Old Style" w:hAnsi="Bookman Old Style" w:cs="Arial"/>
          <w:bCs/>
        </w:rPr>
        <w:t>el auditor del proyecto</w:t>
      </w:r>
      <w:r w:rsidR="008E10C2">
        <w:rPr>
          <w:rFonts w:ascii="Bookman Old Style" w:hAnsi="Bookman Old Style" w:cs="Arial"/>
          <w:bCs/>
        </w:rPr>
        <w:t xml:space="preserve">, la firma </w:t>
      </w:r>
      <w:proofErr w:type="spellStart"/>
      <w:r w:rsidR="008E10C2" w:rsidRPr="00B23A76">
        <w:rPr>
          <w:rFonts w:ascii="Bookman Old Style" w:hAnsi="Bookman Old Style" w:cs="Arial"/>
          <w:bCs/>
        </w:rPr>
        <w:t>Deloitte</w:t>
      </w:r>
      <w:proofErr w:type="spellEnd"/>
      <w:r w:rsidR="008E10C2">
        <w:rPr>
          <w:rFonts w:ascii="Bookman Old Style" w:hAnsi="Bookman Old Style" w:cs="Arial"/>
          <w:bCs/>
        </w:rPr>
        <w:t>.  En el informe, después de presentar unos antecedentes</w:t>
      </w:r>
      <w:r w:rsidR="006F744F">
        <w:rPr>
          <w:rFonts w:ascii="Bookman Old Style" w:hAnsi="Bookman Old Style" w:cs="Arial"/>
          <w:bCs/>
        </w:rPr>
        <w:t>,</w:t>
      </w:r>
      <w:r w:rsidR="008E10C2">
        <w:rPr>
          <w:rFonts w:ascii="Bookman Old Style" w:hAnsi="Bookman Old Style" w:cs="Arial"/>
          <w:bCs/>
        </w:rPr>
        <w:t xml:space="preserve"> el auditor hace un recuento de las actividades desarrolladas en el proceso de verificación, destaca los elementos de información que fueron requeridos y no fueron entregados por parte de EPM</w:t>
      </w:r>
      <w:r w:rsidR="00077383">
        <w:rPr>
          <w:rFonts w:ascii="Bookman Old Style" w:hAnsi="Bookman Old Style" w:cs="Arial"/>
          <w:bCs/>
        </w:rPr>
        <w:t>,</w:t>
      </w:r>
      <w:r w:rsidR="008E10C2">
        <w:rPr>
          <w:rFonts w:ascii="Bookman Old Style" w:hAnsi="Bookman Old Style" w:cs="Arial"/>
          <w:bCs/>
        </w:rPr>
        <w:t xml:space="preserve"> y hace referencia a los comentarios formulados por EPM frente al informe preliminar. Finalmente, el auditor presenta la siguiente conclusión</w:t>
      </w:r>
      <w:r w:rsidR="008E10C2" w:rsidRPr="00B23A76">
        <w:rPr>
          <w:rFonts w:ascii="Bookman Old Style" w:hAnsi="Bookman Old Style" w:cs="Arial"/>
          <w:bCs/>
        </w:rPr>
        <w:t xml:space="preserve">: </w:t>
      </w:r>
      <w:r w:rsidR="008E10C2" w:rsidRPr="00AF4C74">
        <w:rPr>
          <w:rFonts w:ascii="Bookman Old Style" w:hAnsi="Bookman Old Style" w:cs="Arial"/>
          <w:bCs/>
          <w:i/>
        </w:rPr>
        <w:t>“</w:t>
      </w:r>
      <w:r w:rsidR="008E10C2">
        <w:rPr>
          <w:rFonts w:ascii="Bookman Old Style" w:hAnsi="Bookman Old Style" w:cs="Arial"/>
          <w:bCs/>
          <w:i/>
        </w:rPr>
        <w:t>T</w:t>
      </w:r>
      <w:r w:rsidR="008E10C2" w:rsidRPr="00AF4C74">
        <w:rPr>
          <w:rFonts w:ascii="Bookman Old Style" w:hAnsi="Bookman Old Style" w:cs="Arial"/>
          <w:bCs/>
          <w:i/>
        </w:rPr>
        <w:t>eniendo en cuenta lo anterior</w:t>
      </w:r>
      <w:r w:rsidR="008E10C2">
        <w:rPr>
          <w:rFonts w:ascii="Bookman Old Style" w:hAnsi="Bookman Old Style" w:cs="Arial"/>
          <w:bCs/>
          <w:i/>
        </w:rPr>
        <w:t>,</w:t>
      </w:r>
      <w:r w:rsidR="008E10C2" w:rsidRPr="00AF4C74">
        <w:rPr>
          <w:rFonts w:ascii="Bookman Old Style" w:hAnsi="Bookman Old Style" w:cs="Arial"/>
          <w:bCs/>
          <w:i/>
        </w:rPr>
        <w:t xml:space="preserve"> a partir del </w:t>
      </w:r>
      <w:r w:rsidR="008E10C2">
        <w:rPr>
          <w:rFonts w:ascii="Bookman Old Style" w:hAnsi="Bookman Old Style" w:cs="Arial"/>
          <w:bCs/>
          <w:i/>
        </w:rPr>
        <w:t xml:space="preserve">resultado del </w:t>
      </w:r>
      <w:r w:rsidR="008E10C2" w:rsidRPr="00AF4C74">
        <w:rPr>
          <w:rFonts w:ascii="Bookman Old Style" w:hAnsi="Bookman Old Style" w:cs="Arial"/>
          <w:bCs/>
          <w:i/>
        </w:rPr>
        <w:t xml:space="preserve">procedimiento alterno de auditoria de confirmación y en ese sentido las manifestaciones del gestor del </w:t>
      </w:r>
      <w:r w:rsidR="008E10C2">
        <w:rPr>
          <w:rFonts w:ascii="Bookman Old Style" w:hAnsi="Bookman Old Style" w:cs="Arial"/>
          <w:bCs/>
          <w:i/>
        </w:rPr>
        <w:t>p</w:t>
      </w:r>
      <w:r w:rsidR="008E10C2" w:rsidRPr="00AF4C74">
        <w:rPr>
          <w:rFonts w:ascii="Bookman Old Style" w:hAnsi="Bookman Old Style" w:cs="Arial"/>
          <w:bCs/>
          <w:i/>
        </w:rPr>
        <w:t>royecto, conforme con lo indicado en el artículo 17 de la Resolución CREG 061 de 2007</w:t>
      </w:r>
      <w:r w:rsidR="008E10C2">
        <w:rPr>
          <w:rFonts w:ascii="Bookman Old Style" w:hAnsi="Bookman Old Style" w:cs="Arial"/>
          <w:bCs/>
          <w:i/>
        </w:rPr>
        <w:t xml:space="preserve"> </w:t>
      </w:r>
      <w:r w:rsidR="008E10C2" w:rsidRPr="00AF4C74">
        <w:rPr>
          <w:rFonts w:ascii="Bookman Old Style" w:hAnsi="Bookman Old Style" w:cs="Arial"/>
          <w:bCs/>
          <w:i/>
        </w:rPr>
        <w:t>(que modifica la Resolución CREG 071 de 2006), se presenta un atraso importante frente a la fecha del Inicio del Periodo de vi</w:t>
      </w:r>
      <w:r w:rsidR="008E10C2">
        <w:rPr>
          <w:rFonts w:ascii="Bookman Old Style" w:hAnsi="Bookman Old Style" w:cs="Arial"/>
          <w:bCs/>
          <w:i/>
        </w:rPr>
        <w:t>gencia de la Obligación-IPVO- (</w:t>
      </w:r>
      <w:r w:rsidR="008E10C2" w:rsidRPr="00AF4C74">
        <w:rPr>
          <w:rFonts w:ascii="Bookman Old Style" w:hAnsi="Bookman Old Style" w:cs="Arial"/>
          <w:bCs/>
          <w:i/>
        </w:rPr>
        <w:t>1 de diciembre de 2018), lo cual, conforme a la regulación aplicable, constituye incumplimiento grave e insalvable.</w:t>
      </w:r>
      <w:r w:rsidR="008E10C2">
        <w:rPr>
          <w:rFonts w:ascii="Bookman Old Style" w:hAnsi="Bookman Old Style" w:cs="Arial"/>
          <w:bCs/>
          <w:i/>
        </w:rPr>
        <w:t>”</w:t>
      </w:r>
    </w:p>
    <w:p w14:paraId="0045C043" w14:textId="77777777" w:rsidR="008E10C2" w:rsidRDefault="008E10C2" w:rsidP="008E10C2">
      <w:pPr>
        <w:ind w:left="0"/>
        <w:jc w:val="both"/>
        <w:rPr>
          <w:rFonts w:ascii="Bookman Old Style" w:hAnsi="Bookman Old Style" w:cs="Arial"/>
          <w:bCs/>
        </w:rPr>
      </w:pPr>
    </w:p>
    <w:p w14:paraId="0EED6FE2" w14:textId="08E9DAF9" w:rsidR="008E10C2" w:rsidRPr="00052B5D" w:rsidRDefault="008E10C2" w:rsidP="008E10C2">
      <w:pPr>
        <w:ind w:left="0"/>
        <w:jc w:val="both"/>
        <w:rPr>
          <w:rFonts w:ascii="Bookman Old Style" w:hAnsi="Bookman Old Style"/>
          <w:bCs/>
          <w:lang w:val="es-CO"/>
        </w:rPr>
      </w:pPr>
      <w:r>
        <w:rPr>
          <w:rFonts w:ascii="Bookman Old Style" w:hAnsi="Bookman Old Style" w:cs="Arial"/>
          <w:bCs/>
        </w:rPr>
        <w:t>Recibido el informe del auditor del proyecto, atendiendo a las conclusiones del mismo y a lo previsto en la regulación, mediante auto de 6 de noviembre de 2018</w:t>
      </w:r>
      <w:r w:rsidR="00077383">
        <w:rPr>
          <w:rFonts w:ascii="Bookman Old Style" w:hAnsi="Bookman Old Style" w:cs="Arial"/>
          <w:bCs/>
        </w:rPr>
        <w:t>,</w:t>
      </w:r>
      <w:r>
        <w:rPr>
          <w:rFonts w:ascii="Bookman Old Style" w:hAnsi="Bookman Old Style" w:cs="Arial"/>
          <w:bCs/>
        </w:rPr>
        <w:t xml:space="preserve"> la </w:t>
      </w:r>
      <w:r w:rsidR="00077383">
        <w:rPr>
          <w:rFonts w:ascii="Bookman Old Style" w:hAnsi="Bookman Old Style" w:cs="Arial"/>
          <w:bCs/>
        </w:rPr>
        <w:t xml:space="preserve">Dirección Ejecutiva </w:t>
      </w:r>
      <w:r>
        <w:rPr>
          <w:rFonts w:ascii="Bookman Old Style" w:hAnsi="Bookman Old Style" w:cs="Arial"/>
          <w:bCs/>
        </w:rPr>
        <w:t>de la CREG inició una actuación administrativa “</w:t>
      </w:r>
      <w:r w:rsidRPr="00FE4F73">
        <w:rPr>
          <w:rFonts w:ascii="Bookman Old Style" w:hAnsi="Bookman Old Style" w:cs="Arial"/>
          <w:bCs/>
          <w:i/>
        </w:rPr>
        <w:t xml:space="preserve">con </w:t>
      </w:r>
      <w:r w:rsidRPr="00FE4F73">
        <w:rPr>
          <w:rFonts w:ascii="Bookman Old Style" w:hAnsi="Bookman Old Style"/>
          <w:bCs/>
          <w:i/>
          <w:lang w:val="es-CO"/>
        </w:rPr>
        <w:t xml:space="preserve">el objeto establecer plenamente la existencia </w:t>
      </w:r>
      <w:r w:rsidRPr="009F436C">
        <w:rPr>
          <w:rFonts w:ascii="Bookman Old Style" w:hAnsi="Bookman Old Style"/>
          <w:bCs/>
          <w:i/>
          <w:lang w:val="es-CO"/>
        </w:rPr>
        <w:t xml:space="preserve">del incumplimiento grave e insalvable del proyecto Hidroeléctrico </w:t>
      </w:r>
      <w:proofErr w:type="spellStart"/>
      <w:r w:rsidRPr="009F436C">
        <w:rPr>
          <w:rFonts w:ascii="Bookman Old Style" w:hAnsi="Bookman Old Style"/>
          <w:bCs/>
          <w:i/>
          <w:lang w:val="es-CO"/>
        </w:rPr>
        <w:t>Ituango</w:t>
      </w:r>
      <w:proofErr w:type="spellEnd"/>
      <w:r w:rsidRPr="009F436C">
        <w:rPr>
          <w:rFonts w:ascii="Bookman Old Style" w:hAnsi="Bookman Old Style"/>
          <w:bCs/>
          <w:i/>
          <w:lang w:val="es-CO"/>
        </w:rPr>
        <w:t>, el cual está siendo adelantado por Empresas Públicas de Medellín EPM SA ESP y determinar las consecuencias respecto de las obligaciones de energía firme (OEF) asignadas con inicio de vigencia 2018 y de las obligaciones de energía firme (OEF) asignadas con inicio de vigencia 2021.”</w:t>
      </w:r>
    </w:p>
    <w:p w14:paraId="45E9E4A7" w14:textId="77777777" w:rsidR="008E10C2" w:rsidRDefault="008E10C2" w:rsidP="008E10C2">
      <w:pPr>
        <w:ind w:left="0"/>
        <w:jc w:val="both"/>
        <w:rPr>
          <w:rFonts w:ascii="Bookman Old Style" w:hAnsi="Bookman Old Style"/>
          <w:b/>
          <w:bCs/>
          <w:lang w:val="es-CO"/>
        </w:rPr>
      </w:pPr>
    </w:p>
    <w:p w14:paraId="38F5C1AD" w14:textId="3DB17177" w:rsidR="00D87BAB" w:rsidRPr="00381DE2" w:rsidRDefault="00D87BAB" w:rsidP="00D87BAB">
      <w:pPr>
        <w:ind w:left="0"/>
        <w:jc w:val="both"/>
        <w:rPr>
          <w:rFonts w:ascii="Bookman Old Style" w:hAnsi="Bookman Old Style" w:cs="Arial"/>
          <w:bCs/>
        </w:rPr>
      </w:pPr>
      <w:r>
        <w:rPr>
          <w:rFonts w:ascii="Bookman Old Style" w:hAnsi="Bookman Old Style" w:cs="Arial"/>
          <w:bCs/>
          <w:lang w:val="es-CO"/>
        </w:rPr>
        <w:t>Surtido el trámite de la actuación administrativa de que trata</w:t>
      </w:r>
      <w:r w:rsidR="00CF73E4">
        <w:rPr>
          <w:rFonts w:ascii="Bookman Old Style" w:hAnsi="Bookman Old Style" w:cs="Arial"/>
          <w:bCs/>
          <w:lang w:val="es-CO"/>
        </w:rPr>
        <w:t>n</w:t>
      </w:r>
      <w:r>
        <w:rPr>
          <w:rFonts w:ascii="Bookman Old Style" w:hAnsi="Bookman Old Style" w:cs="Arial"/>
          <w:bCs/>
          <w:lang w:val="es-CO"/>
        </w:rPr>
        <w:t xml:space="preserve"> los artículos 10</w:t>
      </w:r>
      <w:r w:rsidR="00CF73E4">
        <w:rPr>
          <w:rFonts w:ascii="Bookman Old Style" w:hAnsi="Bookman Old Style" w:cs="Arial"/>
          <w:bCs/>
          <w:lang w:val="es-CO"/>
        </w:rPr>
        <w:t>6</w:t>
      </w:r>
      <w:r>
        <w:rPr>
          <w:rFonts w:ascii="Bookman Old Style" w:hAnsi="Bookman Old Style" w:cs="Arial"/>
          <w:bCs/>
          <w:lang w:val="es-CO"/>
        </w:rPr>
        <w:t xml:space="preserve"> y siguientes de la Ley 142 de 1994, la Comisión de Regulación de Energía y Gas en sesión 940 de 30 de agosto de 2019, </w:t>
      </w:r>
      <w:r w:rsidR="00E051FB">
        <w:rPr>
          <w:rFonts w:ascii="Bookman Old Style" w:hAnsi="Bookman Old Style" w:cs="Arial"/>
          <w:bCs/>
          <w:lang w:val="es-CO"/>
        </w:rPr>
        <w:t xml:space="preserve">aprobó </w:t>
      </w:r>
      <w:r>
        <w:rPr>
          <w:rFonts w:ascii="Bookman Old Style" w:hAnsi="Bookman Old Style" w:cs="Arial"/>
          <w:bCs/>
          <w:lang w:val="es-CO"/>
        </w:rPr>
        <w:t xml:space="preserve">expedir la Resolución CREG 101 de 2019 </w:t>
      </w:r>
      <w:r w:rsidRPr="00584E78">
        <w:rPr>
          <w:rFonts w:ascii="Bookman Old Style" w:hAnsi="Bookman Old Style" w:cs="Arial"/>
          <w:bCs/>
          <w:i/>
        </w:rPr>
        <w:t>por la cual se decide la actuación administrativa adelantada para establecer plenamente la existenci</w:t>
      </w:r>
      <w:r w:rsidR="009A46CC">
        <w:rPr>
          <w:rFonts w:ascii="Bookman Old Style" w:hAnsi="Bookman Old Style" w:cs="Arial"/>
          <w:bCs/>
          <w:i/>
        </w:rPr>
        <w:t>a del   incumplimiento grave e i</w:t>
      </w:r>
      <w:r w:rsidRPr="00584E78">
        <w:rPr>
          <w:rFonts w:ascii="Bookman Old Style" w:hAnsi="Bookman Old Style" w:cs="Arial"/>
          <w:bCs/>
          <w:i/>
        </w:rPr>
        <w:t xml:space="preserve">nsalvable en la puesta en operación del Proyecto Hidroeléctrico </w:t>
      </w:r>
      <w:proofErr w:type="spellStart"/>
      <w:r w:rsidRPr="00584E78">
        <w:rPr>
          <w:rFonts w:ascii="Bookman Old Style" w:hAnsi="Bookman Old Style" w:cs="Arial"/>
          <w:bCs/>
          <w:i/>
        </w:rPr>
        <w:t>Ituango</w:t>
      </w:r>
      <w:proofErr w:type="spellEnd"/>
      <w:r w:rsidRPr="00584E78">
        <w:rPr>
          <w:rFonts w:ascii="Bookman Old Style" w:hAnsi="Bookman Old Style" w:cs="Arial"/>
          <w:bCs/>
          <w:i/>
        </w:rPr>
        <w:t>, determinar sus consecuencias y garantizar el derecho de defensa de Empresas Públicas de Medellín, EPM ESP.</w:t>
      </w:r>
      <w:r w:rsidR="00381DE2">
        <w:rPr>
          <w:rFonts w:ascii="Bookman Old Style" w:hAnsi="Bookman Old Style" w:cs="Arial"/>
          <w:bCs/>
          <w:i/>
        </w:rPr>
        <w:t xml:space="preserve"> </w:t>
      </w:r>
      <w:r w:rsidR="00381DE2">
        <w:rPr>
          <w:rFonts w:ascii="Bookman Old Style" w:hAnsi="Bookman Old Style" w:cs="Arial"/>
          <w:bCs/>
        </w:rPr>
        <w:t xml:space="preserve"> La</w:t>
      </w:r>
      <w:r w:rsidR="009A46CC">
        <w:rPr>
          <w:rFonts w:ascii="Bookman Old Style" w:hAnsi="Bookman Old Style" w:cs="Arial"/>
          <w:bCs/>
        </w:rPr>
        <w:t xml:space="preserve"> resolución estableció </w:t>
      </w:r>
      <w:r w:rsidR="00E051FB">
        <w:rPr>
          <w:rFonts w:ascii="Bookman Old Style" w:hAnsi="Bookman Old Style" w:cs="Arial"/>
          <w:bCs/>
        </w:rPr>
        <w:t xml:space="preserve">que se habían configurados los supuestos </w:t>
      </w:r>
      <w:r w:rsidR="009A46CC">
        <w:rPr>
          <w:rFonts w:ascii="Bookman Old Style" w:hAnsi="Bookman Old Style" w:cs="Arial"/>
          <w:bCs/>
        </w:rPr>
        <w:t>del incumplimiento grave e insalvable de la OEF con IPVO diciembre 1 de 2018</w:t>
      </w:r>
      <w:r w:rsidR="00E051FB">
        <w:rPr>
          <w:rFonts w:ascii="Bookman Old Style" w:hAnsi="Bookman Old Style" w:cs="Arial"/>
          <w:bCs/>
        </w:rPr>
        <w:t xml:space="preserve"> y</w:t>
      </w:r>
      <w:r w:rsidR="009A46CC">
        <w:rPr>
          <w:rFonts w:ascii="Bookman Old Style" w:hAnsi="Bookman Old Style" w:cs="Arial"/>
          <w:bCs/>
        </w:rPr>
        <w:t xml:space="preserve">, </w:t>
      </w:r>
      <w:r w:rsidR="00E051FB">
        <w:rPr>
          <w:rFonts w:ascii="Bookman Old Style" w:hAnsi="Bookman Old Style" w:cs="Arial"/>
          <w:bCs/>
        </w:rPr>
        <w:t xml:space="preserve">como consecuencia, declaró </w:t>
      </w:r>
      <w:r w:rsidR="009A46CC">
        <w:rPr>
          <w:rFonts w:ascii="Bookman Old Style" w:hAnsi="Bookman Old Style" w:cs="Arial"/>
          <w:bCs/>
        </w:rPr>
        <w:t>la pérdida de la obligación y de la remuneración correspondiente</w:t>
      </w:r>
      <w:r w:rsidR="00077383">
        <w:rPr>
          <w:rFonts w:ascii="Bookman Old Style" w:hAnsi="Bookman Old Style" w:cs="Arial"/>
          <w:bCs/>
        </w:rPr>
        <w:t>,</w:t>
      </w:r>
      <w:r w:rsidR="009A46CC">
        <w:rPr>
          <w:rFonts w:ascii="Bookman Old Style" w:hAnsi="Bookman Old Style" w:cs="Arial"/>
          <w:bCs/>
        </w:rPr>
        <w:t xml:space="preserve"> y orden</w:t>
      </w:r>
      <w:r w:rsidR="00E051FB">
        <w:rPr>
          <w:rFonts w:ascii="Bookman Old Style" w:hAnsi="Bookman Old Style" w:cs="Arial"/>
          <w:bCs/>
        </w:rPr>
        <w:t xml:space="preserve">ó </w:t>
      </w:r>
      <w:r w:rsidR="009A46CC">
        <w:rPr>
          <w:rFonts w:ascii="Bookman Old Style" w:hAnsi="Bookman Old Style" w:cs="Arial"/>
          <w:bCs/>
        </w:rPr>
        <w:t>la ejecución de la garantía.</w:t>
      </w:r>
      <w:r w:rsidR="00682C1C">
        <w:rPr>
          <w:rFonts w:ascii="Bookman Old Style" w:hAnsi="Bookman Old Style" w:cs="Arial"/>
          <w:bCs/>
        </w:rPr>
        <w:t xml:space="preserve">  Con respecto a la OEF con IPVO 1 de diciembre 2021 determinó que</w:t>
      </w:r>
      <w:r w:rsidR="00077383">
        <w:rPr>
          <w:rFonts w:ascii="Bookman Old Style" w:hAnsi="Bookman Old Style" w:cs="Arial"/>
          <w:bCs/>
        </w:rPr>
        <w:t>,</w:t>
      </w:r>
      <w:r w:rsidR="00682C1C">
        <w:rPr>
          <w:rFonts w:ascii="Bookman Old Style" w:hAnsi="Bookman Old Style" w:cs="Arial"/>
          <w:bCs/>
        </w:rPr>
        <w:t xml:space="preserve"> a la fecha y </w:t>
      </w:r>
      <w:r w:rsidR="00682C1C">
        <w:rPr>
          <w:rFonts w:ascii="Bookman Old Style" w:hAnsi="Bookman Old Style" w:cs="Arial"/>
          <w:bCs/>
        </w:rPr>
        <w:lastRenderedPageBreak/>
        <w:t>como resultado de la actuación</w:t>
      </w:r>
      <w:r w:rsidR="00077383">
        <w:rPr>
          <w:rFonts w:ascii="Bookman Old Style" w:hAnsi="Bookman Old Style" w:cs="Arial"/>
          <w:bCs/>
        </w:rPr>
        <w:t>,</w:t>
      </w:r>
      <w:r w:rsidR="00682C1C">
        <w:rPr>
          <w:rFonts w:ascii="Bookman Old Style" w:hAnsi="Bookman Old Style" w:cs="Arial"/>
          <w:bCs/>
        </w:rPr>
        <w:t xml:space="preserve"> no se había establecido el incumplimiento grave e insalvable. Adicionalmente</w:t>
      </w:r>
      <w:r w:rsidR="00077383">
        <w:rPr>
          <w:rFonts w:ascii="Bookman Old Style" w:hAnsi="Bookman Old Style" w:cs="Arial"/>
          <w:bCs/>
        </w:rPr>
        <w:t>,</w:t>
      </w:r>
      <w:r w:rsidR="00682C1C">
        <w:rPr>
          <w:rFonts w:ascii="Bookman Old Style" w:hAnsi="Bookman Old Style" w:cs="Arial"/>
          <w:bCs/>
        </w:rPr>
        <w:t xml:space="preserve"> ordenó la realización de la auditoría de que trata el artículo 8 de la Resolución CREG 071 de 2006 para las OEF </w:t>
      </w:r>
      <w:r w:rsidR="00077383">
        <w:rPr>
          <w:rFonts w:ascii="Bookman Old Style" w:hAnsi="Bookman Old Style" w:cs="Arial"/>
          <w:bCs/>
        </w:rPr>
        <w:t xml:space="preserve">con inicio del período de vigencia de obligación en diciembre de </w:t>
      </w:r>
      <w:r w:rsidR="00682C1C">
        <w:rPr>
          <w:rFonts w:ascii="Bookman Old Style" w:hAnsi="Bookman Old Style" w:cs="Arial"/>
          <w:bCs/>
        </w:rPr>
        <w:t>2021.</w:t>
      </w:r>
    </w:p>
    <w:p w14:paraId="4713E230" w14:textId="77777777" w:rsidR="00D87BAB" w:rsidRDefault="00D87BAB" w:rsidP="00D87BAB">
      <w:pPr>
        <w:ind w:left="0"/>
        <w:jc w:val="both"/>
        <w:rPr>
          <w:rFonts w:ascii="Bookman Old Style" w:hAnsi="Bookman Old Style" w:cs="Arial"/>
          <w:bCs/>
          <w:i/>
        </w:rPr>
      </w:pPr>
    </w:p>
    <w:p w14:paraId="60D92B32" w14:textId="796C1024" w:rsidR="00D87BAB" w:rsidRPr="00D87BAB" w:rsidRDefault="00D87BAB" w:rsidP="00D87BAB">
      <w:pPr>
        <w:ind w:left="0"/>
        <w:jc w:val="both"/>
        <w:rPr>
          <w:rFonts w:ascii="Bookman Old Style" w:hAnsi="Bookman Old Style" w:cs="Arial"/>
          <w:b/>
          <w:bCs/>
        </w:rPr>
      </w:pPr>
      <w:r>
        <w:rPr>
          <w:rFonts w:ascii="Bookman Old Style" w:hAnsi="Bookman Old Style" w:cs="Arial"/>
          <w:bCs/>
        </w:rPr>
        <w:t xml:space="preserve">Mediante oficio </w:t>
      </w:r>
      <w:r w:rsidR="00DA79D3">
        <w:rPr>
          <w:rFonts w:ascii="Bookman Old Style" w:hAnsi="Bookman Old Style" w:cs="Arial"/>
          <w:bCs/>
        </w:rPr>
        <w:t>E-2019-10300</w:t>
      </w:r>
      <w:r>
        <w:rPr>
          <w:rFonts w:ascii="Bookman Old Style" w:hAnsi="Bookman Old Style" w:cs="Arial"/>
          <w:bCs/>
        </w:rPr>
        <w:t xml:space="preserve"> de 26 de septiembre de 2019, EPM E</w:t>
      </w:r>
      <w:r w:rsidR="00077383">
        <w:rPr>
          <w:rFonts w:ascii="Bookman Old Style" w:hAnsi="Bookman Old Style" w:cs="Arial"/>
          <w:bCs/>
        </w:rPr>
        <w:t>.</w:t>
      </w:r>
      <w:r>
        <w:rPr>
          <w:rFonts w:ascii="Bookman Old Style" w:hAnsi="Bookman Old Style" w:cs="Arial"/>
          <w:bCs/>
        </w:rPr>
        <w:t>S</w:t>
      </w:r>
      <w:r w:rsidR="00077383">
        <w:rPr>
          <w:rFonts w:ascii="Bookman Old Style" w:hAnsi="Bookman Old Style" w:cs="Arial"/>
          <w:bCs/>
        </w:rPr>
        <w:t>.</w:t>
      </w:r>
      <w:r>
        <w:rPr>
          <w:rFonts w:ascii="Bookman Old Style" w:hAnsi="Bookman Old Style" w:cs="Arial"/>
          <w:bCs/>
        </w:rPr>
        <w:t>P</w:t>
      </w:r>
      <w:r w:rsidR="00077383">
        <w:rPr>
          <w:rFonts w:ascii="Bookman Old Style" w:hAnsi="Bookman Old Style" w:cs="Arial"/>
          <w:bCs/>
        </w:rPr>
        <w:t>.</w:t>
      </w:r>
      <w:r>
        <w:rPr>
          <w:rFonts w:ascii="Bookman Old Style" w:hAnsi="Bookman Old Style" w:cs="Arial"/>
          <w:bCs/>
        </w:rPr>
        <w:t xml:space="preserve"> interpone recurso de reposición contra</w:t>
      </w:r>
      <w:r w:rsidR="00077383">
        <w:rPr>
          <w:rFonts w:ascii="Bookman Old Style" w:hAnsi="Bookman Old Style" w:cs="Arial"/>
          <w:bCs/>
        </w:rPr>
        <w:t xml:space="preserve"> la</w:t>
      </w:r>
      <w:r>
        <w:rPr>
          <w:rFonts w:ascii="Bookman Old Style" w:hAnsi="Bookman Old Style" w:cs="Arial"/>
          <w:bCs/>
        </w:rPr>
        <w:t xml:space="preserve"> Resolución CREG 101 de 2019</w:t>
      </w:r>
      <w:r w:rsidR="00077383">
        <w:rPr>
          <w:rFonts w:ascii="Bookman Old Style" w:hAnsi="Bookman Old Style" w:cs="Arial"/>
          <w:bCs/>
        </w:rPr>
        <w:t>,</w:t>
      </w:r>
      <w:r>
        <w:rPr>
          <w:rFonts w:ascii="Bookman Old Style" w:hAnsi="Bookman Old Style" w:cs="Arial"/>
          <w:bCs/>
        </w:rPr>
        <w:t xml:space="preserve"> solicitando: 1) Revocar el artículo 2</w:t>
      </w:r>
      <w:r w:rsidR="00F67B58">
        <w:rPr>
          <w:rFonts w:ascii="Bookman Old Style" w:hAnsi="Bookman Old Style" w:cs="Arial"/>
          <w:bCs/>
        </w:rPr>
        <w:t xml:space="preserve"> de la Resolución CREG 101 de 2019</w:t>
      </w:r>
      <w:r w:rsidR="00077383">
        <w:rPr>
          <w:rFonts w:ascii="Bookman Old Style" w:hAnsi="Bookman Old Style" w:cs="Arial"/>
          <w:bCs/>
        </w:rPr>
        <w:t>,</w:t>
      </w:r>
      <w:r w:rsidR="00F67B58">
        <w:rPr>
          <w:rFonts w:ascii="Bookman Old Style" w:hAnsi="Bookman Old Style" w:cs="Arial"/>
          <w:bCs/>
        </w:rPr>
        <w:t xml:space="preserve"> y en su lugar declarar que el atraso del proyecto Hidroeléctrico </w:t>
      </w:r>
      <w:proofErr w:type="spellStart"/>
      <w:r w:rsidR="00F67B58">
        <w:rPr>
          <w:rFonts w:ascii="Bookman Old Style" w:hAnsi="Bookman Old Style" w:cs="Arial"/>
          <w:bCs/>
        </w:rPr>
        <w:t>Ituango</w:t>
      </w:r>
      <w:proofErr w:type="spellEnd"/>
      <w:r w:rsidR="00F67B58">
        <w:rPr>
          <w:rFonts w:ascii="Bookman Old Style" w:hAnsi="Bookman Old Style" w:cs="Arial"/>
          <w:bCs/>
        </w:rPr>
        <w:t xml:space="preserve"> no se considera incumplimiento grave e insalvable</w:t>
      </w:r>
      <w:r w:rsidR="00077383">
        <w:rPr>
          <w:rFonts w:ascii="Bookman Old Style" w:hAnsi="Bookman Old Style" w:cs="Arial"/>
          <w:bCs/>
        </w:rPr>
        <w:t xml:space="preserve">; </w:t>
      </w:r>
      <w:r w:rsidR="00C318C1">
        <w:rPr>
          <w:rFonts w:ascii="Bookman Old Style" w:hAnsi="Bookman Old Style" w:cs="Arial"/>
          <w:bCs/>
        </w:rPr>
        <w:t>2) Revocar el artículo 4 de la Resolución CREG 101 de 2019</w:t>
      </w:r>
      <w:r w:rsidR="00077383">
        <w:rPr>
          <w:rFonts w:ascii="Bookman Old Style" w:hAnsi="Bookman Old Style" w:cs="Arial"/>
          <w:bCs/>
        </w:rPr>
        <w:t>,</w:t>
      </w:r>
      <w:r w:rsidR="00C318C1">
        <w:rPr>
          <w:rFonts w:ascii="Bookman Old Style" w:hAnsi="Bookman Old Style" w:cs="Arial"/>
          <w:bCs/>
        </w:rPr>
        <w:t xml:space="preserve"> y en su lugar no ordenar la ejecución de la garantía de construcción y puesta en operación del proyecto Hidroeléctrico </w:t>
      </w:r>
      <w:proofErr w:type="spellStart"/>
      <w:r w:rsidR="00C318C1">
        <w:rPr>
          <w:rFonts w:ascii="Bookman Old Style" w:hAnsi="Bookman Old Style" w:cs="Arial"/>
          <w:bCs/>
        </w:rPr>
        <w:t>Ituango</w:t>
      </w:r>
      <w:proofErr w:type="spellEnd"/>
      <w:r w:rsidR="00077383">
        <w:rPr>
          <w:rFonts w:ascii="Bookman Old Style" w:hAnsi="Bookman Old Style" w:cs="Arial"/>
          <w:bCs/>
        </w:rPr>
        <w:t>,</w:t>
      </w:r>
      <w:r w:rsidR="007C550C">
        <w:rPr>
          <w:rFonts w:ascii="Bookman Old Style" w:hAnsi="Bookman Old Style" w:cs="Arial"/>
          <w:bCs/>
        </w:rPr>
        <w:t xml:space="preserve"> así como declarar que el proyecto mantiene sus obligaciones de energía firme con vigencia 1 de diciembre de 2018 al 30 de diciembre de 2038 por 1085 </w:t>
      </w:r>
      <w:proofErr w:type="spellStart"/>
      <w:r w:rsidR="007C550C">
        <w:rPr>
          <w:rFonts w:ascii="Bookman Old Style" w:hAnsi="Bookman Old Style" w:cs="Arial"/>
          <w:bCs/>
        </w:rPr>
        <w:t>GWh</w:t>
      </w:r>
      <w:proofErr w:type="spellEnd"/>
      <w:r w:rsidR="007C550C">
        <w:rPr>
          <w:rFonts w:ascii="Bookman Old Style" w:hAnsi="Bookman Old Style" w:cs="Arial"/>
          <w:bCs/>
        </w:rPr>
        <w:t>/año</w:t>
      </w:r>
      <w:r w:rsidR="00077383">
        <w:rPr>
          <w:rFonts w:ascii="Bookman Old Style" w:hAnsi="Bookman Old Style" w:cs="Arial"/>
          <w:bCs/>
        </w:rPr>
        <w:t xml:space="preserve">; </w:t>
      </w:r>
      <w:r w:rsidR="00D5196E">
        <w:rPr>
          <w:rFonts w:ascii="Bookman Old Style" w:hAnsi="Bookman Old Style" w:cs="Arial"/>
          <w:bCs/>
        </w:rPr>
        <w:t>3)</w:t>
      </w:r>
      <w:r w:rsidR="002D2744">
        <w:rPr>
          <w:rFonts w:ascii="Bookman Old Style" w:hAnsi="Bookman Old Style" w:cs="Arial"/>
          <w:bCs/>
        </w:rPr>
        <w:t xml:space="preserve"> Adicionar a la Resolución CREG 101 de 2019</w:t>
      </w:r>
      <w:r w:rsidR="00077383">
        <w:rPr>
          <w:rFonts w:ascii="Bookman Old Style" w:hAnsi="Bookman Old Style" w:cs="Arial"/>
          <w:bCs/>
        </w:rPr>
        <w:t>,</w:t>
      </w:r>
      <w:r w:rsidR="002D2744">
        <w:rPr>
          <w:rFonts w:ascii="Bookman Old Style" w:hAnsi="Bookman Old Style" w:cs="Arial"/>
          <w:bCs/>
        </w:rPr>
        <w:t xml:space="preserve"> para pronunciarse expresamente sobre la petición presentada mediante comunicación EPM 2018013001300164604 de 14 de agosto de 2019</w:t>
      </w:r>
      <w:r w:rsidR="00077383">
        <w:rPr>
          <w:rFonts w:ascii="Bookman Old Style" w:hAnsi="Bookman Old Style" w:cs="Arial"/>
          <w:bCs/>
        </w:rPr>
        <w:t>,</w:t>
      </w:r>
      <w:r w:rsidR="002D2744">
        <w:rPr>
          <w:rFonts w:ascii="Bookman Old Style" w:hAnsi="Bookman Old Style" w:cs="Arial"/>
          <w:bCs/>
        </w:rPr>
        <w:t xml:space="preserve"> en el sentido d</w:t>
      </w:r>
      <w:r w:rsidR="00DA79D3">
        <w:rPr>
          <w:rFonts w:ascii="Bookman Old Style" w:hAnsi="Bookman Old Style" w:cs="Arial"/>
          <w:bCs/>
        </w:rPr>
        <w:t>e</w:t>
      </w:r>
      <w:r w:rsidR="002D2744">
        <w:rPr>
          <w:rFonts w:ascii="Bookman Old Style" w:hAnsi="Bookman Old Style" w:cs="Arial"/>
          <w:bCs/>
        </w:rPr>
        <w:t xml:space="preserve"> permitir cumplir las asignaciones de </w:t>
      </w:r>
      <w:r w:rsidR="00DA79D3">
        <w:rPr>
          <w:rFonts w:ascii="Bookman Old Style" w:hAnsi="Bookman Old Style" w:cs="Arial"/>
          <w:bCs/>
        </w:rPr>
        <w:t>O</w:t>
      </w:r>
      <w:r w:rsidR="002D2744">
        <w:rPr>
          <w:rFonts w:ascii="Bookman Old Style" w:hAnsi="Bookman Old Style" w:cs="Arial"/>
          <w:bCs/>
        </w:rPr>
        <w:t>bligaciones de Energía Firme para la vigencia 1 de diciembre de 2021 al 30 de noviembre de 2038, con el número de unidades de generación necesarias para producir la energía firme.</w:t>
      </w:r>
    </w:p>
    <w:p w14:paraId="065AFC40" w14:textId="1ABECACC" w:rsidR="00D87BAB" w:rsidRDefault="00D87BAB" w:rsidP="008E10C2">
      <w:pPr>
        <w:ind w:left="0"/>
        <w:jc w:val="both"/>
        <w:rPr>
          <w:rFonts w:ascii="Bookman Old Style" w:hAnsi="Bookman Old Style" w:cs="Arial"/>
          <w:bCs/>
          <w:lang w:val="es-CO"/>
        </w:rPr>
      </w:pPr>
    </w:p>
    <w:p w14:paraId="0ED6BC19" w14:textId="36726D00" w:rsidR="009F6554" w:rsidRPr="00496B75" w:rsidRDefault="009F6554" w:rsidP="009F6554">
      <w:pPr>
        <w:numPr>
          <w:ilvl w:val="0"/>
          <w:numId w:val="24"/>
        </w:numPr>
        <w:rPr>
          <w:rFonts w:ascii="Bookman Old Style" w:hAnsi="Bookman Old Style"/>
          <w:b/>
        </w:rPr>
      </w:pPr>
      <w:r>
        <w:rPr>
          <w:rFonts w:ascii="Bookman Old Style" w:hAnsi="Bookman Old Style"/>
          <w:b/>
        </w:rPr>
        <w:t xml:space="preserve">RECURSO DE REPOSICIÓN </w:t>
      </w:r>
      <w:r w:rsidRPr="00496B75">
        <w:rPr>
          <w:rFonts w:ascii="Bookman Old Style" w:hAnsi="Bookman Old Style"/>
          <w:b/>
        </w:rPr>
        <w:t xml:space="preserve"> </w:t>
      </w:r>
    </w:p>
    <w:p w14:paraId="31536E09" w14:textId="77777777" w:rsidR="009F6554" w:rsidRDefault="009F6554" w:rsidP="008E10C2">
      <w:pPr>
        <w:ind w:left="0"/>
        <w:jc w:val="both"/>
        <w:rPr>
          <w:rFonts w:ascii="Bookman Old Style" w:hAnsi="Bookman Old Style" w:cs="Arial"/>
          <w:bCs/>
          <w:lang w:val="es-CO"/>
        </w:rPr>
      </w:pPr>
    </w:p>
    <w:p w14:paraId="0F9DC4E4" w14:textId="0E36A29A" w:rsidR="008E10C2" w:rsidRPr="00584E78" w:rsidRDefault="002D2744" w:rsidP="008E10C2">
      <w:pPr>
        <w:ind w:left="0"/>
        <w:rPr>
          <w:rFonts w:ascii="Bookman Old Style" w:hAnsi="Bookman Old Style"/>
        </w:rPr>
      </w:pPr>
      <w:r w:rsidRPr="00584E78">
        <w:rPr>
          <w:rFonts w:ascii="Bookman Old Style" w:hAnsi="Bookman Old Style"/>
        </w:rPr>
        <w:t>EPM E</w:t>
      </w:r>
      <w:r w:rsidR="00077383">
        <w:rPr>
          <w:rFonts w:ascii="Bookman Old Style" w:hAnsi="Bookman Old Style"/>
        </w:rPr>
        <w:t>.</w:t>
      </w:r>
      <w:r w:rsidRPr="00584E78">
        <w:rPr>
          <w:rFonts w:ascii="Bookman Old Style" w:hAnsi="Bookman Old Style"/>
        </w:rPr>
        <w:t>S</w:t>
      </w:r>
      <w:r w:rsidR="00077383">
        <w:rPr>
          <w:rFonts w:ascii="Bookman Old Style" w:hAnsi="Bookman Old Style"/>
        </w:rPr>
        <w:t>.</w:t>
      </w:r>
      <w:r w:rsidRPr="00584E78">
        <w:rPr>
          <w:rFonts w:ascii="Bookman Old Style" w:hAnsi="Bookman Old Style"/>
        </w:rPr>
        <w:t>P</w:t>
      </w:r>
      <w:r w:rsidR="00077383">
        <w:rPr>
          <w:rFonts w:ascii="Bookman Old Style" w:hAnsi="Bookman Old Style"/>
        </w:rPr>
        <w:t>.</w:t>
      </w:r>
      <w:r w:rsidRPr="00584E78">
        <w:rPr>
          <w:rFonts w:ascii="Bookman Old Style" w:hAnsi="Bookman Old Style"/>
        </w:rPr>
        <w:t xml:space="preserve"> sustenta su recurso con los siguientes argumentos:</w:t>
      </w:r>
    </w:p>
    <w:p w14:paraId="3297214A" w14:textId="77777777" w:rsidR="002D2744" w:rsidRPr="00584E78" w:rsidRDefault="002D2744" w:rsidP="008E10C2">
      <w:pPr>
        <w:ind w:left="0"/>
        <w:rPr>
          <w:rFonts w:ascii="Bookman Old Style" w:hAnsi="Bookman Old Style"/>
        </w:rPr>
      </w:pPr>
    </w:p>
    <w:p w14:paraId="6AE4F224" w14:textId="0E9EE29E" w:rsidR="002D2744" w:rsidRDefault="002D2744" w:rsidP="00584E78">
      <w:pPr>
        <w:ind w:left="0"/>
        <w:jc w:val="both"/>
        <w:rPr>
          <w:rFonts w:ascii="Bookman Old Style" w:hAnsi="Bookman Old Style"/>
        </w:rPr>
      </w:pPr>
      <w:r w:rsidRPr="00584E78">
        <w:rPr>
          <w:rFonts w:ascii="Bookman Old Style" w:hAnsi="Bookman Old Style"/>
        </w:rPr>
        <w:t>Reitera que respecto de las Obligaciones de Energía Firme</w:t>
      </w:r>
      <w:r w:rsidR="00077383">
        <w:rPr>
          <w:rFonts w:ascii="Bookman Old Style" w:hAnsi="Bookman Old Style"/>
        </w:rPr>
        <w:t xml:space="preserve"> </w:t>
      </w:r>
      <w:r w:rsidR="000B7ACA">
        <w:rPr>
          <w:rFonts w:ascii="Bookman Old Style" w:hAnsi="Bookman Old Style"/>
        </w:rPr>
        <w:t>-OEF-</w:t>
      </w:r>
      <w:r w:rsidR="000B7ACA" w:rsidRPr="00584E78">
        <w:rPr>
          <w:rFonts w:ascii="Bookman Old Style" w:hAnsi="Bookman Old Style"/>
        </w:rPr>
        <w:t xml:space="preserve"> asig</w:t>
      </w:r>
      <w:r w:rsidR="000B7ACA">
        <w:rPr>
          <w:rFonts w:ascii="Bookman Old Style" w:hAnsi="Bookman Old Style"/>
        </w:rPr>
        <w:t>n</w:t>
      </w:r>
      <w:r w:rsidR="000B7ACA" w:rsidRPr="00584E78">
        <w:rPr>
          <w:rFonts w:ascii="Bookman Old Style" w:hAnsi="Bookman Old Style"/>
        </w:rPr>
        <w:t>adas en la subasta de 2008 y con IPVO 1 de diciembre de 2018</w:t>
      </w:r>
      <w:r w:rsidR="00077383">
        <w:rPr>
          <w:rFonts w:ascii="Bookman Old Style" w:hAnsi="Bookman Old Style"/>
        </w:rPr>
        <w:t>,</w:t>
      </w:r>
      <w:r w:rsidR="000B7ACA" w:rsidRPr="00584E78">
        <w:rPr>
          <w:rFonts w:ascii="Bookman Old Style" w:hAnsi="Bookman Old Style"/>
        </w:rPr>
        <w:t xml:space="preserve"> el incumplimiento no es insalvable</w:t>
      </w:r>
      <w:r w:rsidR="00077383">
        <w:rPr>
          <w:rFonts w:ascii="Bookman Old Style" w:hAnsi="Bookman Old Style"/>
        </w:rPr>
        <w:t>,</w:t>
      </w:r>
      <w:r w:rsidR="000B7ACA">
        <w:rPr>
          <w:rFonts w:ascii="Bookman Old Style" w:hAnsi="Bookman Old Style"/>
        </w:rPr>
        <w:t xml:space="preserve"> porque el cumpl</w:t>
      </w:r>
      <w:r w:rsidR="009B387D">
        <w:rPr>
          <w:rFonts w:ascii="Bookman Old Style" w:hAnsi="Bookman Old Style"/>
        </w:rPr>
        <w:t xml:space="preserve">imiento de las OEF es posible </w:t>
      </w:r>
      <w:r w:rsidR="000B7ACA">
        <w:rPr>
          <w:rFonts w:ascii="Bookman Old Style" w:hAnsi="Bookman Old Style"/>
        </w:rPr>
        <w:t>a</w:t>
      </w:r>
      <w:r w:rsidR="009B387D">
        <w:rPr>
          <w:rFonts w:ascii="Bookman Old Style" w:hAnsi="Bookman Old Style"/>
        </w:rPr>
        <w:t xml:space="preserve"> </w:t>
      </w:r>
      <w:r w:rsidR="000B7ACA">
        <w:rPr>
          <w:rFonts w:ascii="Bookman Old Style" w:hAnsi="Bookman Old Style"/>
        </w:rPr>
        <w:t>través de anillos de seguridad</w:t>
      </w:r>
      <w:r w:rsidR="00077383">
        <w:rPr>
          <w:rFonts w:ascii="Bookman Old Style" w:hAnsi="Bookman Old Style"/>
        </w:rPr>
        <w:t>,</w:t>
      </w:r>
      <w:r w:rsidR="000B7ACA">
        <w:rPr>
          <w:rFonts w:ascii="Bookman Old Style" w:hAnsi="Bookman Old Style"/>
        </w:rPr>
        <w:t xml:space="preserve"> aclarando que no ha</w:t>
      </w:r>
      <w:r w:rsidR="00DA79D3">
        <w:rPr>
          <w:rFonts w:ascii="Bookman Old Style" w:hAnsi="Bookman Old Style"/>
        </w:rPr>
        <w:t>n</w:t>
      </w:r>
      <w:r w:rsidR="000B7ACA">
        <w:rPr>
          <w:rFonts w:ascii="Bookman Old Style" w:hAnsi="Bookman Old Style"/>
        </w:rPr>
        <w:t xml:space="preserve"> pretendido el cumplimiento de las OEF asignadas en la subasta de 2008 durante (20) años de su vigencia mediante anillos de seguridad, lo cual</w:t>
      </w:r>
      <w:r w:rsidR="00077383">
        <w:rPr>
          <w:rFonts w:ascii="Bookman Old Style" w:hAnsi="Bookman Old Style"/>
        </w:rPr>
        <w:t xml:space="preserve">, </w:t>
      </w:r>
      <w:r w:rsidR="000B7ACA">
        <w:rPr>
          <w:rFonts w:ascii="Bookman Old Style" w:hAnsi="Bookman Old Style"/>
        </w:rPr>
        <w:t>reconocen</w:t>
      </w:r>
      <w:r w:rsidR="00077383">
        <w:rPr>
          <w:rFonts w:ascii="Bookman Old Style" w:hAnsi="Bookman Old Style"/>
        </w:rPr>
        <w:t xml:space="preserve">, </w:t>
      </w:r>
      <w:r w:rsidR="000B7ACA">
        <w:rPr>
          <w:rFonts w:ascii="Bookman Old Style" w:hAnsi="Bookman Old Style"/>
        </w:rPr>
        <w:t>sería claramente contrario a la regulación</w:t>
      </w:r>
      <w:r w:rsidR="00077383">
        <w:rPr>
          <w:rFonts w:ascii="Bookman Old Style" w:hAnsi="Bookman Old Style"/>
        </w:rPr>
        <w:t>,</w:t>
      </w:r>
      <w:r w:rsidR="000B7ACA">
        <w:rPr>
          <w:rFonts w:ascii="Bookman Old Style" w:hAnsi="Bookman Old Style"/>
        </w:rPr>
        <w:t xml:space="preserve"> pues se estaría vulnerando el objetivo de contar con un activo nuevo de generación que cumpla con las condiciones exigidas por la CREG para ser asignado en una subasta de cargo por confiabilidad. Según EPM, lo q</w:t>
      </w:r>
      <w:r w:rsidR="00DA79D3">
        <w:rPr>
          <w:rFonts w:ascii="Bookman Old Style" w:hAnsi="Bookman Old Style"/>
        </w:rPr>
        <w:t>u</w:t>
      </w:r>
      <w:r w:rsidR="000B7ACA">
        <w:rPr>
          <w:rFonts w:ascii="Bookman Old Style" w:hAnsi="Bookman Old Style"/>
        </w:rPr>
        <w:t xml:space="preserve">e se busca </w:t>
      </w:r>
      <w:r w:rsidR="00DA79D3">
        <w:rPr>
          <w:rFonts w:ascii="Bookman Old Style" w:hAnsi="Bookman Old Style"/>
        </w:rPr>
        <w:t>e</w:t>
      </w:r>
      <w:r w:rsidR="000B7ACA">
        <w:rPr>
          <w:rFonts w:ascii="Bookman Old Style" w:hAnsi="Bookman Old Style"/>
        </w:rPr>
        <w:t>s que</w:t>
      </w:r>
      <w:r w:rsidR="000B437E">
        <w:rPr>
          <w:rFonts w:ascii="Bookman Old Style" w:hAnsi="Bookman Old Style"/>
        </w:rPr>
        <w:t>,</w:t>
      </w:r>
      <w:r w:rsidR="000B7ACA">
        <w:rPr>
          <w:rFonts w:ascii="Bookman Old Style" w:hAnsi="Bookman Old Style"/>
        </w:rPr>
        <w:t xml:space="preserve"> mientras el proyecto entra en operación comercial, la energía correspondiente a las OEF pueda ser entregada por los anillos de seguridad.</w:t>
      </w:r>
    </w:p>
    <w:p w14:paraId="6C2A3C3F" w14:textId="77777777" w:rsidR="000B7ACA" w:rsidRDefault="000B7ACA" w:rsidP="00584E78">
      <w:pPr>
        <w:ind w:left="0"/>
        <w:jc w:val="both"/>
        <w:rPr>
          <w:rFonts w:ascii="Bookman Old Style" w:hAnsi="Bookman Old Style"/>
        </w:rPr>
      </w:pPr>
    </w:p>
    <w:p w14:paraId="2B562FC1" w14:textId="3D3FCF38" w:rsidR="000B7ACA" w:rsidRDefault="000B7ACA" w:rsidP="00584E78">
      <w:pPr>
        <w:ind w:left="0"/>
        <w:jc w:val="both"/>
        <w:rPr>
          <w:rFonts w:ascii="Bookman Old Style" w:hAnsi="Bookman Old Style"/>
        </w:rPr>
      </w:pPr>
      <w:r>
        <w:rPr>
          <w:rFonts w:ascii="Bookman Old Style" w:hAnsi="Bookman Old Style"/>
        </w:rPr>
        <w:t>Así mismo, manifiesta que en la Resolución CREG 101 de 2019, la Comisión no se pronunció expresamente sobre la petición presentada mediante comunicación EPM 201801300165604</w:t>
      </w:r>
      <w:r w:rsidR="000B437E">
        <w:rPr>
          <w:rFonts w:ascii="Bookman Old Style" w:hAnsi="Bookman Old Style"/>
        </w:rPr>
        <w:t>,</w:t>
      </w:r>
      <w:r>
        <w:rPr>
          <w:rFonts w:ascii="Bookman Old Style" w:hAnsi="Bookman Old Style"/>
        </w:rPr>
        <w:t xml:space="preserve"> con radicado CREG E-2018-014070 del 28 de diciembre de 2018</w:t>
      </w:r>
      <w:r w:rsidR="000B437E">
        <w:rPr>
          <w:rFonts w:ascii="Bookman Old Style" w:hAnsi="Bookman Old Style"/>
        </w:rPr>
        <w:t>,</w:t>
      </w:r>
      <w:r w:rsidR="00640DF1">
        <w:rPr>
          <w:rFonts w:ascii="Bookman Old Style" w:hAnsi="Bookman Old Style"/>
        </w:rPr>
        <w:t xml:space="preserve"> en el sentid</w:t>
      </w:r>
      <w:r w:rsidR="00ED7F83">
        <w:rPr>
          <w:rFonts w:ascii="Bookman Old Style" w:hAnsi="Bookman Old Style"/>
        </w:rPr>
        <w:t>o</w:t>
      </w:r>
      <w:r w:rsidR="00640DF1">
        <w:rPr>
          <w:rFonts w:ascii="Bookman Old Style" w:hAnsi="Bookman Old Style"/>
        </w:rPr>
        <w:t xml:space="preserve"> de “</w:t>
      </w:r>
      <w:r w:rsidR="00534319">
        <w:rPr>
          <w:rFonts w:ascii="Bookman Old Style" w:hAnsi="Bookman Old Style"/>
        </w:rPr>
        <w:t>Permitir cumplir las asignaciones de Obligaciones de Energía Firme para la vigencia 1 de diciembre</w:t>
      </w:r>
      <w:r w:rsidR="009130F4">
        <w:rPr>
          <w:rFonts w:ascii="Bookman Old Style" w:hAnsi="Bookman Old Style"/>
        </w:rPr>
        <w:t xml:space="preserve"> de 2021 al 30 de noviembre de 2038</w:t>
      </w:r>
      <w:r w:rsidR="00534319">
        <w:rPr>
          <w:rFonts w:ascii="Bookman Old Style" w:hAnsi="Bookman Old Style"/>
        </w:rPr>
        <w:t xml:space="preserve"> </w:t>
      </w:r>
      <w:r w:rsidR="009130F4">
        <w:rPr>
          <w:rFonts w:ascii="Bookman Old Style" w:hAnsi="Bookman Old Style"/>
        </w:rPr>
        <w:t>con el número de unidades de generación necesarias para producir la energía firme asignada”. Así mismo</w:t>
      </w:r>
      <w:r w:rsidR="000B437E">
        <w:rPr>
          <w:rFonts w:ascii="Bookman Old Style" w:hAnsi="Bookman Old Style"/>
        </w:rPr>
        <w:t>,</w:t>
      </w:r>
      <w:r w:rsidR="009130F4">
        <w:rPr>
          <w:rFonts w:ascii="Bookman Old Style" w:hAnsi="Bookman Old Style"/>
        </w:rPr>
        <w:t xml:space="preserve"> indicó que a partir de la Resolución CREG 103 de 2018 se produjo un cambio regulatorio importante</w:t>
      </w:r>
      <w:r w:rsidR="000B437E">
        <w:rPr>
          <w:rFonts w:ascii="Bookman Old Style" w:hAnsi="Bookman Old Style"/>
        </w:rPr>
        <w:t>,</w:t>
      </w:r>
      <w:r w:rsidR="009130F4">
        <w:rPr>
          <w:rFonts w:ascii="Bookman Old Style" w:hAnsi="Bookman Old Style"/>
        </w:rPr>
        <w:t xml:space="preserve"> en el sentido de </w:t>
      </w:r>
      <w:r w:rsidR="000B437E">
        <w:rPr>
          <w:rFonts w:ascii="Bookman Old Style" w:hAnsi="Bookman Old Style"/>
        </w:rPr>
        <w:t xml:space="preserve">definir que </w:t>
      </w:r>
      <w:r w:rsidR="009130F4">
        <w:rPr>
          <w:rFonts w:ascii="Bookman Old Style" w:hAnsi="Bookman Old Style"/>
        </w:rPr>
        <w:t>la energía firme para el cargo por confiabilidad de las plantas hidráulicas nuevas sería la ENFICC Base, esto es 100% PSS, en lugar de la ENFICC 95 % PSS, decisión que</w:t>
      </w:r>
      <w:r w:rsidR="000B437E">
        <w:rPr>
          <w:rFonts w:ascii="Bookman Old Style" w:hAnsi="Bookman Old Style"/>
        </w:rPr>
        <w:t>,</w:t>
      </w:r>
      <w:r w:rsidR="009130F4">
        <w:rPr>
          <w:rFonts w:ascii="Bookman Old Style" w:hAnsi="Bookman Old Style"/>
        </w:rPr>
        <w:t xml:space="preserve"> según EP</w:t>
      </w:r>
      <w:r w:rsidR="00ED7F83">
        <w:rPr>
          <w:rFonts w:ascii="Bookman Old Style" w:hAnsi="Bookman Old Style"/>
        </w:rPr>
        <w:t>M</w:t>
      </w:r>
      <w:r w:rsidR="000B437E">
        <w:rPr>
          <w:rFonts w:ascii="Bookman Old Style" w:hAnsi="Bookman Old Style"/>
        </w:rPr>
        <w:t>,</w:t>
      </w:r>
      <w:r w:rsidR="009130F4">
        <w:rPr>
          <w:rFonts w:ascii="Bookman Old Style" w:hAnsi="Bookman Old Style"/>
        </w:rPr>
        <w:t xml:space="preserve"> tiene </w:t>
      </w:r>
      <w:r w:rsidR="00FD2EC7">
        <w:rPr>
          <w:rFonts w:ascii="Bookman Old Style" w:hAnsi="Bookman Old Style"/>
        </w:rPr>
        <w:t>“</w:t>
      </w:r>
      <w:r w:rsidR="009130F4" w:rsidRPr="001227C0">
        <w:rPr>
          <w:rFonts w:ascii="Bookman Old Style" w:hAnsi="Bookman Old Style"/>
          <w:i/>
        </w:rPr>
        <w:t xml:space="preserve">implicaciones profundas </w:t>
      </w:r>
      <w:r w:rsidR="009130F4" w:rsidRPr="001227C0">
        <w:rPr>
          <w:rFonts w:ascii="Bookman Old Style" w:hAnsi="Bookman Old Style"/>
          <w:i/>
        </w:rPr>
        <w:lastRenderedPageBreak/>
        <w:t>y de carácter estructural</w:t>
      </w:r>
      <w:r w:rsidR="009130F4">
        <w:rPr>
          <w:rFonts w:ascii="Bookman Old Style" w:hAnsi="Bookman Old Style"/>
        </w:rPr>
        <w:t xml:space="preserve"> </w:t>
      </w:r>
      <w:r w:rsidR="009130F4" w:rsidRPr="001227C0">
        <w:rPr>
          <w:rFonts w:ascii="Bookman Old Style" w:hAnsi="Bookman Old Style"/>
          <w:i/>
        </w:rPr>
        <w:t xml:space="preserve">para el </w:t>
      </w:r>
      <w:r w:rsidR="00FD2EC7">
        <w:rPr>
          <w:rFonts w:ascii="Bookman Old Style" w:hAnsi="Bookman Old Style"/>
          <w:i/>
        </w:rPr>
        <w:t>P</w:t>
      </w:r>
      <w:r w:rsidR="009130F4" w:rsidRPr="001227C0">
        <w:rPr>
          <w:rFonts w:ascii="Bookman Old Style" w:hAnsi="Bookman Old Style"/>
          <w:i/>
        </w:rPr>
        <w:t>royecto Hidroeléctrico</w:t>
      </w:r>
      <w:r w:rsidR="00FD2EC7">
        <w:rPr>
          <w:rFonts w:ascii="Bookman Old Style" w:hAnsi="Bookman Old Style"/>
          <w:i/>
        </w:rPr>
        <w:t>”</w:t>
      </w:r>
      <w:r w:rsidR="009130F4" w:rsidRPr="001227C0">
        <w:rPr>
          <w:rFonts w:ascii="Bookman Old Style" w:hAnsi="Bookman Old Style"/>
          <w:i/>
        </w:rPr>
        <w:t xml:space="preserve"> </w:t>
      </w:r>
      <w:proofErr w:type="spellStart"/>
      <w:r w:rsidR="009130F4" w:rsidRPr="001227C0">
        <w:rPr>
          <w:rFonts w:ascii="Bookman Old Style" w:hAnsi="Bookman Old Style"/>
          <w:i/>
        </w:rPr>
        <w:t>Ituango</w:t>
      </w:r>
      <w:proofErr w:type="spellEnd"/>
      <w:r w:rsidR="009130F4">
        <w:rPr>
          <w:rFonts w:ascii="Bookman Old Style" w:hAnsi="Bookman Old Style"/>
        </w:rPr>
        <w:t xml:space="preserve"> en el sentido que</w:t>
      </w:r>
      <w:r w:rsidR="000B437E">
        <w:rPr>
          <w:rFonts w:ascii="Bookman Old Style" w:hAnsi="Bookman Old Style"/>
        </w:rPr>
        <w:t>,</w:t>
      </w:r>
      <w:r w:rsidR="009130F4">
        <w:rPr>
          <w:rFonts w:ascii="Bookman Old Style" w:hAnsi="Bookman Old Style"/>
        </w:rPr>
        <w:t xml:space="preserve"> si bien el proyecto hidroel</w:t>
      </w:r>
      <w:r w:rsidR="00973135">
        <w:rPr>
          <w:rFonts w:ascii="Bookman Old Style" w:hAnsi="Bookman Old Style"/>
        </w:rPr>
        <w:t xml:space="preserve">éctrico </w:t>
      </w:r>
      <w:proofErr w:type="spellStart"/>
      <w:r w:rsidR="00973135">
        <w:rPr>
          <w:rFonts w:ascii="Bookman Old Style" w:hAnsi="Bookman Old Style"/>
        </w:rPr>
        <w:t>I</w:t>
      </w:r>
      <w:r w:rsidR="009130F4">
        <w:rPr>
          <w:rFonts w:ascii="Bookman Old Style" w:hAnsi="Bookman Old Style"/>
        </w:rPr>
        <w:t>tuango</w:t>
      </w:r>
      <w:proofErr w:type="spellEnd"/>
      <w:r w:rsidR="009130F4">
        <w:rPr>
          <w:rFonts w:ascii="Bookman Old Style" w:hAnsi="Bookman Old Style"/>
        </w:rPr>
        <w:t xml:space="preserve"> declaró en el año 2008 las 4 unidades que en su momento le aportaban energía firme al sistema, bajo las condiciones actuales</w:t>
      </w:r>
      <w:r w:rsidR="000B437E">
        <w:rPr>
          <w:rFonts w:ascii="Bookman Old Style" w:hAnsi="Bookman Old Style"/>
        </w:rPr>
        <w:t>,</w:t>
      </w:r>
      <w:r w:rsidR="009130F4">
        <w:rPr>
          <w:rFonts w:ascii="Bookman Old Style" w:hAnsi="Bookman Old Style"/>
        </w:rPr>
        <w:t xml:space="preserve"> la 4 unidad ya no es necesaria.</w:t>
      </w:r>
    </w:p>
    <w:p w14:paraId="2472C420" w14:textId="77777777" w:rsidR="009130F4" w:rsidRPr="00584E78" w:rsidRDefault="009130F4" w:rsidP="00584E78">
      <w:pPr>
        <w:ind w:left="0"/>
        <w:jc w:val="both"/>
        <w:rPr>
          <w:rFonts w:ascii="Bookman Old Style" w:hAnsi="Bookman Old Style"/>
        </w:rPr>
      </w:pPr>
    </w:p>
    <w:p w14:paraId="61DABE43" w14:textId="77777777" w:rsidR="008E10C2" w:rsidRDefault="008E10C2" w:rsidP="009F6554">
      <w:pPr>
        <w:numPr>
          <w:ilvl w:val="0"/>
          <w:numId w:val="24"/>
        </w:numPr>
        <w:rPr>
          <w:rFonts w:ascii="Bookman Old Style" w:hAnsi="Bookman Old Style"/>
          <w:b/>
        </w:rPr>
      </w:pPr>
      <w:r w:rsidRPr="00496B75">
        <w:rPr>
          <w:rFonts w:ascii="Bookman Old Style" w:hAnsi="Bookman Old Style"/>
          <w:b/>
        </w:rPr>
        <w:t>ANÁLISIS DE LA CREG</w:t>
      </w:r>
    </w:p>
    <w:p w14:paraId="1FC20ADA" w14:textId="77777777" w:rsidR="008E10C2" w:rsidRPr="00496B75" w:rsidRDefault="008E10C2" w:rsidP="008E10C2">
      <w:pPr>
        <w:ind w:left="720"/>
        <w:rPr>
          <w:rFonts w:ascii="Bookman Old Style" w:hAnsi="Bookman Old Style"/>
          <w:b/>
        </w:rPr>
      </w:pPr>
    </w:p>
    <w:p w14:paraId="7226FFFE" w14:textId="225BA6CE" w:rsidR="008E10C2" w:rsidRPr="0026336E" w:rsidRDefault="00640DF1" w:rsidP="00536488">
      <w:pPr>
        <w:pStyle w:val="Prrafodelista"/>
        <w:numPr>
          <w:ilvl w:val="0"/>
          <w:numId w:val="36"/>
        </w:numPr>
        <w:jc w:val="both"/>
        <w:rPr>
          <w:rFonts w:ascii="Bookman Old Style" w:hAnsi="Bookman Old Style" w:cs="Arial"/>
          <w:b/>
          <w:sz w:val="24"/>
        </w:rPr>
      </w:pPr>
      <w:r w:rsidRPr="0026336E">
        <w:rPr>
          <w:rFonts w:ascii="Bookman Old Style" w:hAnsi="Bookman Old Style" w:cs="Arial"/>
          <w:b/>
          <w:sz w:val="24"/>
        </w:rPr>
        <w:t>Frente al argumento de que e</w:t>
      </w:r>
      <w:r w:rsidR="00DE6ADB" w:rsidRPr="0026336E">
        <w:rPr>
          <w:rFonts w:ascii="Bookman Old Style" w:hAnsi="Bookman Old Style" w:cs="Arial"/>
          <w:b/>
          <w:sz w:val="24"/>
        </w:rPr>
        <w:t xml:space="preserve">l </w:t>
      </w:r>
      <w:r w:rsidR="00670DD2" w:rsidRPr="0026336E">
        <w:rPr>
          <w:rFonts w:ascii="Bookman Old Style" w:hAnsi="Bookman Old Style" w:cs="Arial"/>
          <w:b/>
          <w:sz w:val="24"/>
        </w:rPr>
        <w:t>incumplimiento</w:t>
      </w:r>
      <w:r w:rsidRPr="0026336E">
        <w:rPr>
          <w:rFonts w:ascii="Bookman Old Style" w:hAnsi="Bookman Old Style" w:cs="Arial"/>
          <w:b/>
          <w:sz w:val="24"/>
        </w:rPr>
        <w:t xml:space="preserve"> de </w:t>
      </w:r>
      <w:r w:rsidR="00791CDE" w:rsidRPr="0026336E">
        <w:rPr>
          <w:rFonts w:ascii="Bookman Old Style" w:hAnsi="Bookman Old Style" w:cs="Arial"/>
          <w:b/>
          <w:sz w:val="24"/>
        </w:rPr>
        <w:t>las OEF de 2018</w:t>
      </w:r>
      <w:r w:rsidRPr="0026336E">
        <w:rPr>
          <w:rFonts w:ascii="Bookman Old Style" w:hAnsi="Bookman Old Style" w:cs="Arial"/>
          <w:b/>
          <w:sz w:val="24"/>
        </w:rPr>
        <w:t xml:space="preserve"> no</w:t>
      </w:r>
      <w:r w:rsidR="00791CDE" w:rsidRPr="0026336E">
        <w:rPr>
          <w:rFonts w:ascii="Bookman Old Style" w:hAnsi="Bookman Old Style" w:cs="Arial"/>
          <w:b/>
          <w:sz w:val="24"/>
        </w:rPr>
        <w:t xml:space="preserve"> es grave e insalvable</w:t>
      </w:r>
      <w:r w:rsidR="00832303" w:rsidRPr="0026336E">
        <w:rPr>
          <w:rFonts w:ascii="Bookman Old Style" w:hAnsi="Bookman Old Style" w:cs="Arial"/>
          <w:b/>
          <w:sz w:val="24"/>
        </w:rPr>
        <w:t xml:space="preserve"> porque pueden utilizarse los anillos de seguridad.</w:t>
      </w:r>
    </w:p>
    <w:p w14:paraId="5D37B952" w14:textId="77777777" w:rsidR="00045D3D" w:rsidRDefault="00045D3D" w:rsidP="00045D3D">
      <w:pPr>
        <w:ind w:left="0"/>
        <w:rPr>
          <w:rFonts w:ascii="Bookman Old Style" w:hAnsi="Bookman Old Style"/>
        </w:rPr>
      </w:pPr>
    </w:p>
    <w:p w14:paraId="3DCD56FB" w14:textId="53FD7321" w:rsidR="00F17B1C" w:rsidRDefault="00640DF1" w:rsidP="00F17B1C">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szCs w:val="24"/>
        </w:rPr>
        <w:t>E</w:t>
      </w:r>
      <w:r w:rsidR="00F17B1C">
        <w:rPr>
          <w:rFonts w:ascii="Bookman Old Style" w:hAnsi="Bookman Old Style"/>
          <w:szCs w:val="24"/>
        </w:rPr>
        <w:t>n la actuación administrativa y al presentar el recurso</w:t>
      </w:r>
      <w:r w:rsidR="000B437E">
        <w:rPr>
          <w:rFonts w:ascii="Bookman Old Style" w:hAnsi="Bookman Old Style"/>
          <w:szCs w:val="24"/>
        </w:rPr>
        <w:t>,</w:t>
      </w:r>
      <w:r w:rsidR="00F17B1C">
        <w:rPr>
          <w:rFonts w:ascii="Bookman Old Style" w:hAnsi="Bookman Old Style"/>
          <w:szCs w:val="24"/>
        </w:rPr>
        <w:t xml:space="preserve"> EPM ha manifestado que el incumplimiento que presenta el Proyecto Hidroeléctrico </w:t>
      </w:r>
      <w:proofErr w:type="spellStart"/>
      <w:r w:rsidR="00F17B1C">
        <w:rPr>
          <w:rFonts w:ascii="Bookman Old Style" w:hAnsi="Bookman Old Style"/>
          <w:szCs w:val="24"/>
        </w:rPr>
        <w:t>Ituango</w:t>
      </w:r>
      <w:proofErr w:type="spellEnd"/>
      <w:r w:rsidR="00F17B1C">
        <w:rPr>
          <w:rFonts w:ascii="Bookman Old Style" w:hAnsi="Bookman Old Style"/>
          <w:szCs w:val="24"/>
        </w:rPr>
        <w:t xml:space="preserve"> respecto de las OEF con IPVO 2018 </w:t>
      </w:r>
      <w:r w:rsidR="00F17B1C">
        <w:rPr>
          <w:rFonts w:ascii="Bookman Old Style" w:hAnsi="Bookman Old Style"/>
          <w:i/>
          <w:szCs w:val="24"/>
        </w:rPr>
        <w:t xml:space="preserve">“no es insalvable porque el cumplimiento de las obligaciones de energía firme es posible a través de anillos de seguridad”. </w:t>
      </w:r>
      <w:r w:rsidR="00F17B1C">
        <w:rPr>
          <w:rFonts w:ascii="Bookman Old Style" w:hAnsi="Bookman Old Style"/>
          <w:szCs w:val="24"/>
        </w:rPr>
        <w:t>El recurso cita el Documento CREG 043 de 2006 y manifiesta que</w:t>
      </w:r>
      <w:r w:rsidR="000B437E">
        <w:rPr>
          <w:rFonts w:ascii="Bookman Old Style" w:hAnsi="Bookman Old Style"/>
          <w:szCs w:val="24"/>
        </w:rPr>
        <w:t>,</w:t>
      </w:r>
      <w:r w:rsidR="00F17B1C">
        <w:rPr>
          <w:rFonts w:ascii="Bookman Old Style" w:hAnsi="Bookman Old Style"/>
          <w:szCs w:val="24"/>
        </w:rPr>
        <w:t xml:space="preserve"> desde los orígenes del cargo</w:t>
      </w:r>
      <w:r w:rsidR="000B437E">
        <w:rPr>
          <w:rFonts w:ascii="Bookman Old Style" w:hAnsi="Bookman Old Style"/>
          <w:szCs w:val="24"/>
        </w:rPr>
        <w:t>,</w:t>
      </w:r>
      <w:r w:rsidR="00F17B1C">
        <w:rPr>
          <w:rFonts w:ascii="Bookman Old Style" w:hAnsi="Bookman Old Style"/>
          <w:szCs w:val="24"/>
        </w:rPr>
        <w:t xml:space="preserve"> el propósito del </w:t>
      </w:r>
      <w:r w:rsidR="000B437E">
        <w:rPr>
          <w:rFonts w:ascii="Bookman Old Style" w:hAnsi="Bookman Old Style"/>
          <w:szCs w:val="24"/>
        </w:rPr>
        <w:t xml:space="preserve">mismo </w:t>
      </w:r>
      <w:r w:rsidR="00F17B1C">
        <w:rPr>
          <w:rFonts w:ascii="Bookman Old Style" w:hAnsi="Bookman Old Style"/>
          <w:szCs w:val="24"/>
        </w:rPr>
        <w:t>era generar la cobertura a la demanda en condiciones críticas</w:t>
      </w:r>
      <w:r w:rsidR="000B437E">
        <w:rPr>
          <w:rFonts w:ascii="Bookman Old Style" w:hAnsi="Bookman Old Style"/>
          <w:szCs w:val="24"/>
        </w:rPr>
        <w:t>,</w:t>
      </w:r>
      <w:r w:rsidR="00F17B1C">
        <w:rPr>
          <w:rFonts w:ascii="Bookman Old Style" w:hAnsi="Bookman Old Style"/>
          <w:szCs w:val="24"/>
        </w:rPr>
        <w:t xml:space="preserve"> pero que </w:t>
      </w:r>
      <w:r w:rsidR="00F17B1C">
        <w:rPr>
          <w:rFonts w:ascii="Bookman Old Style" w:hAnsi="Bookman Old Style"/>
          <w:i/>
          <w:szCs w:val="24"/>
        </w:rPr>
        <w:t xml:space="preserve">“… para tal propósito no necesariamente la energía tenía que ser procedente de su propia planta de </w:t>
      </w:r>
      <w:proofErr w:type="gramStart"/>
      <w:r w:rsidR="00F17B1C">
        <w:rPr>
          <w:rFonts w:ascii="Bookman Old Style" w:hAnsi="Bookman Old Style"/>
          <w:i/>
          <w:szCs w:val="24"/>
        </w:rPr>
        <w:t>generación</w:t>
      </w:r>
      <w:proofErr w:type="gramEnd"/>
      <w:r w:rsidR="00F17B1C">
        <w:rPr>
          <w:rFonts w:ascii="Bookman Old Style" w:hAnsi="Bookman Old Style"/>
          <w:i/>
          <w:szCs w:val="24"/>
        </w:rPr>
        <w:t xml:space="preserve"> sino que podía acudir a una serie de anillos de seguridad que puso a su servicio la regulación.”.  </w:t>
      </w:r>
      <w:r w:rsidR="00F17B1C">
        <w:rPr>
          <w:rFonts w:ascii="Bookman Old Style" w:hAnsi="Bookman Old Style"/>
          <w:szCs w:val="24"/>
        </w:rPr>
        <w:t xml:space="preserve">Asegura también el recurso que la principal obligación es </w:t>
      </w:r>
      <w:r w:rsidR="00F17B1C">
        <w:rPr>
          <w:rFonts w:ascii="Bookman Old Style" w:hAnsi="Bookman Old Style"/>
          <w:i/>
          <w:szCs w:val="24"/>
        </w:rPr>
        <w:t>“energética”</w:t>
      </w:r>
      <w:r w:rsidR="000B437E">
        <w:rPr>
          <w:rFonts w:ascii="Bookman Old Style" w:hAnsi="Bookman Old Style"/>
          <w:i/>
          <w:szCs w:val="24"/>
        </w:rPr>
        <w:t>,</w:t>
      </w:r>
      <w:r w:rsidR="00F17B1C">
        <w:rPr>
          <w:rFonts w:ascii="Bookman Old Style" w:hAnsi="Bookman Old Style"/>
          <w:szCs w:val="24"/>
        </w:rPr>
        <w:t xml:space="preserve"> lo cual sustenta citando las definiciones de cargo por confiabilidad y de obligación de energía firme de la Resolución CREG 071 de 2006 y el documento elaborado por el señor Camilo Quintero. </w:t>
      </w:r>
    </w:p>
    <w:p w14:paraId="098EAD02" w14:textId="77777777" w:rsidR="00F17B1C" w:rsidRDefault="00F17B1C" w:rsidP="00F17B1C">
      <w:pPr>
        <w:pStyle w:val="Encabezado"/>
        <w:tabs>
          <w:tab w:val="clear" w:pos="8504"/>
          <w:tab w:val="left" w:pos="0"/>
          <w:tab w:val="right" w:pos="9356"/>
        </w:tabs>
        <w:ind w:left="0"/>
        <w:jc w:val="both"/>
        <w:rPr>
          <w:rFonts w:ascii="Bookman Old Style" w:hAnsi="Bookman Old Style"/>
          <w:szCs w:val="24"/>
        </w:rPr>
      </w:pPr>
    </w:p>
    <w:p w14:paraId="418FE6B1" w14:textId="3D36A662" w:rsidR="00F17B1C" w:rsidRDefault="00F17B1C" w:rsidP="00F17B1C">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szCs w:val="24"/>
        </w:rPr>
        <w:t>Al respecto</w:t>
      </w:r>
      <w:r w:rsidR="000B437E">
        <w:rPr>
          <w:rFonts w:ascii="Bookman Old Style" w:hAnsi="Bookman Old Style"/>
          <w:szCs w:val="24"/>
        </w:rPr>
        <w:t>,</w:t>
      </w:r>
      <w:r>
        <w:rPr>
          <w:rFonts w:ascii="Bookman Old Style" w:hAnsi="Bookman Old Style"/>
          <w:szCs w:val="24"/>
        </w:rPr>
        <w:t xml:space="preserve"> debe reiterarse que el mecanismo del Cargo por Confiabilidad fue adoptado mediante la Resolución CREG 071 de 2006</w:t>
      </w:r>
      <w:r w:rsidR="000B437E">
        <w:rPr>
          <w:rFonts w:ascii="Bookman Old Style" w:hAnsi="Bookman Old Style"/>
          <w:szCs w:val="24"/>
        </w:rPr>
        <w:t>,</w:t>
      </w:r>
      <w:r>
        <w:rPr>
          <w:rFonts w:ascii="Bookman Old Style" w:hAnsi="Bookman Old Style"/>
          <w:szCs w:val="24"/>
        </w:rPr>
        <w:t xml:space="preserve"> y su funcionamiento y alcance se rige por lo dispuesto en ella y en las demás resoluciones vigentes que la han modificado o complementado. En consecuencia, el alcance de las obligaciones adquiridas, de lo que es el incumplimiento grave e insalvable y del uso que puede darse a los anillos de seguridad</w:t>
      </w:r>
      <w:r w:rsidR="000B437E">
        <w:rPr>
          <w:rFonts w:ascii="Bookman Old Style" w:hAnsi="Bookman Old Style"/>
          <w:szCs w:val="24"/>
        </w:rPr>
        <w:t>,</w:t>
      </w:r>
      <w:r>
        <w:rPr>
          <w:rFonts w:ascii="Bookman Old Style" w:hAnsi="Bookman Old Style"/>
          <w:szCs w:val="24"/>
        </w:rPr>
        <w:t xml:space="preserve"> se debe enmarcar en lo dispuesto en las resoluciones. </w:t>
      </w:r>
    </w:p>
    <w:p w14:paraId="4891DA49" w14:textId="77777777" w:rsidR="00F17B1C" w:rsidRDefault="00F17B1C" w:rsidP="00F17B1C">
      <w:pPr>
        <w:pStyle w:val="Encabezado"/>
        <w:tabs>
          <w:tab w:val="clear" w:pos="8504"/>
          <w:tab w:val="left" w:pos="0"/>
          <w:tab w:val="right" w:pos="9356"/>
        </w:tabs>
        <w:ind w:left="0"/>
        <w:jc w:val="both"/>
        <w:rPr>
          <w:rFonts w:ascii="Bookman Old Style" w:hAnsi="Bookman Old Style"/>
          <w:szCs w:val="24"/>
        </w:rPr>
      </w:pPr>
    </w:p>
    <w:p w14:paraId="1E6FEF06" w14:textId="61D5F2A1" w:rsidR="00F17B1C" w:rsidRDefault="00F17B1C" w:rsidP="00F17B1C">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szCs w:val="24"/>
        </w:rPr>
        <w:t>En cuanto a la obligación que adquieren las plantas nuevas que participan voluntariamente en una subasta del Cargo por Confiabilidad y obtienen asignaciones de obligaciones de energía firme</w:t>
      </w:r>
      <w:r w:rsidR="000B437E">
        <w:rPr>
          <w:rFonts w:ascii="Bookman Old Style" w:hAnsi="Bookman Old Style"/>
          <w:szCs w:val="24"/>
        </w:rPr>
        <w:t>,</w:t>
      </w:r>
      <w:r>
        <w:rPr>
          <w:rFonts w:ascii="Bookman Old Style" w:hAnsi="Bookman Old Style"/>
          <w:szCs w:val="24"/>
        </w:rPr>
        <w:t xml:space="preserve"> el artículo 7 de la Resolución CREG 071 de 2006 señala expresamente: </w:t>
      </w:r>
    </w:p>
    <w:p w14:paraId="47317E1D" w14:textId="77777777" w:rsidR="00F17B1C" w:rsidRDefault="00F17B1C" w:rsidP="00F17B1C">
      <w:pPr>
        <w:pStyle w:val="Encabezado"/>
        <w:tabs>
          <w:tab w:val="clear" w:pos="8504"/>
          <w:tab w:val="left" w:pos="0"/>
          <w:tab w:val="right" w:pos="9356"/>
        </w:tabs>
        <w:ind w:left="0"/>
        <w:jc w:val="both"/>
        <w:rPr>
          <w:rFonts w:ascii="Bookman Old Style" w:hAnsi="Bookman Old Style"/>
          <w:szCs w:val="24"/>
        </w:rPr>
      </w:pPr>
    </w:p>
    <w:p w14:paraId="50BFFC92" w14:textId="77777777" w:rsidR="00F17B1C" w:rsidRPr="006C3B98" w:rsidRDefault="00F17B1C" w:rsidP="00F17B1C">
      <w:pPr>
        <w:ind w:left="708"/>
        <w:jc w:val="both"/>
        <w:rPr>
          <w:rFonts w:ascii="Bookman Old Style" w:hAnsi="Bookman Old Style"/>
          <w:i/>
        </w:rPr>
      </w:pPr>
      <w:r w:rsidRPr="006C3B98">
        <w:rPr>
          <w:rFonts w:ascii="Bookman Old Style" w:hAnsi="Bookman Old Style"/>
          <w:i/>
        </w:rPr>
        <w:t>“Artículo 7.</w:t>
      </w:r>
      <w:r w:rsidRPr="006C3B98">
        <w:rPr>
          <w:rFonts w:ascii="Bookman Old Style" w:hAnsi="Bookman Old Style"/>
          <w:i/>
        </w:rPr>
        <w:tab/>
        <w:t xml:space="preserve">Obligaciones adicionales para los agentes con plantas y/o unidades de generación nuevas o especiales. </w:t>
      </w:r>
      <w:r w:rsidRPr="006C3B98">
        <w:rPr>
          <w:rFonts w:ascii="Bookman Old Style" w:hAnsi="Bookman Old Style"/>
          <w:b/>
          <w:i/>
          <w:u w:val="single"/>
        </w:rPr>
        <w:t>Además de las establecidas en otros artículos de esta resolución</w:t>
      </w:r>
      <w:r w:rsidRPr="006C3B98">
        <w:rPr>
          <w:rFonts w:ascii="Bookman Old Style" w:hAnsi="Bookman Old Style"/>
          <w:i/>
        </w:rPr>
        <w:t>, los agentes con plantas y/o unidades de generación nuevas o especiales a quienes les hayan sido asignadas obligaciones de energía firme, tendrán las siguientes obligaciones:</w:t>
      </w:r>
    </w:p>
    <w:p w14:paraId="7049454D" w14:textId="77777777" w:rsidR="00F17B1C" w:rsidRPr="006C3B98" w:rsidRDefault="00F17B1C" w:rsidP="00F17B1C">
      <w:pPr>
        <w:ind w:left="708"/>
        <w:jc w:val="both"/>
        <w:rPr>
          <w:rFonts w:ascii="Bookman Old Style" w:hAnsi="Bookman Old Style"/>
          <w:b/>
          <w:i/>
          <w:u w:val="single"/>
        </w:rPr>
      </w:pPr>
      <w:r w:rsidRPr="006C3B98">
        <w:rPr>
          <w:rFonts w:ascii="Bookman Old Style" w:hAnsi="Bookman Old Style"/>
          <w:b/>
          <w:i/>
          <w:u w:val="single"/>
        </w:rPr>
        <w:t>1.</w:t>
      </w:r>
      <w:r w:rsidRPr="006C3B98">
        <w:rPr>
          <w:rFonts w:ascii="Bookman Old Style" w:hAnsi="Bookman Old Style"/>
          <w:b/>
          <w:i/>
          <w:u w:val="single"/>
        </w:rPr>
        <w:tab/>
        <w:t>Poner en operación comercial la planta y/o unidad de generación a más tardar en la fecha de inicio del Período de Vigencia de la Obligación y con la ENFICC asignada en la Subasta.</w:t>
      </w:r>
    </w:p>
    <w:p w14:paraId="45F49A20" w14:textId="77777777" w:rsidR="00F17B1C" w:rsidRPr="006C3B98" w:rsidRDefault="00F17B1C" w:rsidP="00F17B1C">
      <w:pPr>
        <w:ind w:left="708"/>
        <w:jc w:val="both"/>
        <w:rPr>
          <w:rFonts w:ascii="Bookman Old Style" w:hAnsi="Bookman Old Style"/>
          <w:i/>
        </w:rPr>
      </w:pPr>
      <w:r w:rsidRPr="006C3B98">
        <w:rPr>
          <w:rFonts w:ascii="Bookman Old Style" w:hAnsi="Bookman Old Style"/>
          <w:i/>
        </w:rPr>
        <w:t>2.</w:t>
      </w:r>
      <w:r w:rsidRPr="006C3B98">
        <w:rPr>
          <w:rFonts w:ascii="Bookman Old Style" w:hAnsi="Bookman Old Style"/>
          <w:i/>
        </w:rPr>
        <w:tab/>
        <w:t xml:space="preserve">Cumplir el cronograma de construcción o repotenciación de la planta y la Curva S. </w:t>
      </w:r>
    </w:p>
    <w:p w14:paraId="53C9A0E7" w14:textId="77777777" w:rsidR="00F17B1C" w:rsidRPr="006C3B98" w:rsidRDefault="00F17B1C" w:rsidP="00F17B1C">
      <w:pPr>
        <w:ind w:left="708"/>
        <w:jc w:val="both"/>
        <w:rPr>
          <w:rFonts w:ascii="Bookman Old Style" w:hAnsi="Bookman Old Style"/>
          <w:i/>
        </w:rPr>
      </w:pPr>
      <w:r w:rsidRPr="006C3B98">
        <w:rPr>
          <w:rFonts w:ascii="Bookman Old Style" w:hAnsi="Bookman Old Style"/>
          <w:i/>
        </w:rPr>
        <w:lastRenderedPageBreak/>
        <w:t>3.</w:t>
      </w:r>
      <w:r w:rsidRPr="006C3B98">
        <w:rPr>
          <w:rFonts w:ascii="Bookman Old Style" w:hAnsi="Bookman Old Style"/>
          <w:i/>
        </w:rPr>
        <w:tab/>
        <w:t>Pagar el costo de la auditoría establecida en el artículo 8 de esta Resolución, periódicamente en forma anticipada. El incumplimiento en el pago de la auditoría, dará lugar a la ejecución de la garantía a que se refiere el numeral 4 de este artículo y la pérdida para el generador de la Obligación de Energía Firme y la remuneración asociada a ella.</w:t>
      </w:r>
    </w:p>
    <w:p w14:paraId="792EB19B" w14:textId="77777777" w:rsidR="00F17B1C" w:rsidRPr="006C3B98" w:rsidRDefault="00F17B1C" w:rsidP="00F17B1C">
      <w:pPr>
        <w:ind w:left="708"/>
        <w:jc w:val="both"/>
        <w:rPr>
          <w:rFonts w:ascii="Bookman Old Style" w:hAnsi="Bookman Old Style"/>
          <w:i/>
        </w:rPr>
      </w:pPr>
      <w:r w:rsidRPr="006C3B98">
        <w:rPr>
          <w:rFonts w:ascii="Bookman Old Style" w:hAnsi="Bookman Old Style"/>
          <w:i/>
        </w:rPr>
        <w:t>4.</w:t>
      </w:r>
      <w:r w:rsidRPr="006C3B98">
        <w:rPr>
          <w:rFonts w:ascii="Bookman Old Style" w:hAnsi="Bookman Old Style"/>
          <w:i/>
        </w:rPr>
        <w:tab/>
        <w:t>Constituir y mantener vigente la garantía de cumplimiento de la fecha de inicio de la operación comercial de las plantas o unidades de generación en instalación o por instalar o repotenciar con la ENFICC asignada en la Subasta, y del pago de la auditoría. Estas garantías deben cumplir las disposiciones contenidas en el Capítulo VIII de esta resolución.</w:t>
      </w:r>
    </w:p>
    <w:p w14:paraId="0F607289" w14:textId="77777777" w:rsidR="00F17B1C" w:rsidRPr="006C3B98" w:rsidRDefault="00F17B1C" w:rsidP="00F17B1C">
      <w:pPr>
        <w:ind w:left="708"/>
        <w:jc w:val="both"/>
        <w:rPr>
          <w:rFonts w:ascii="Bookman Old Style" w:hAnsi="Bookman Old Style"/>
        </w:rPr>
      </w:pPr>
      <w:r w:rsidRPr="006C3B98">
        <w:rPr>
          <w:rFonts w:ascii="Bookman Old Style" w:hAnsi="Bookman Old Style"/>
          <w:i/>
        </w:rPr>
        <w:t>5.</w:t>
      </w:r>
      <w:r w:rsidRPr="006C3B98">
        <w:rPr>
          <w:rFonts w:ascii="Bookman Old Style" w:hAnsi="Bookman Old Style"/>
          <w:i/>
        </w:rPr>
        <w:tab/>
        <w:t xml:space="preserve">Haberse constituido en Empresa de Servicios Públicos con anterioridad al plazo fijado por la CREG para el otorgamiento de las garantías exigibles para el cumplimiento de las Obligaciones de Energía Firme.” </w:t>
      </w:r>
      <w:r w:rsidRPr="006C3B98">
        <w:rPr>
          <w:rFonts w:ascii="Bookman Old Style" w:hAnsi="Bookman Old Style"/>
        </w:rPr>
        <w:t>(Destacado fuera del texto)</w:t>
      </w:r>
    </w:p>
    <w:p w14:paraId="0216A28D" w14:textId="77777777" w:rsidR="00F17B1C" w:rsidRDefault="00F17B1C" w:rsidP="00F17B1C">
      <w:pPr>
        <w:pStyle w:val="Encabezado"/>
        <w:tabs>
          <w:tab w:val="clear" w:pos="8504"/>
          <w:tab w:val="left" w:pos="0"/>
          <w:tab w:val="right" w:pos="9356"/>
        </w:tabs>
        <w:ind w:left="0"/>
        <w:jc w:val="both"/>
        <w:rPr>
          <w:rFonts w:ascii="Bookman Old Style" w:hAnsi="Bookman Old Style"/>
          <w:szCs w:val="24"/>
        </w:rPr>
      </w:pPr>
    </w:p>
    <w:p w14:paraId="3966B837" w14:textId="4E0A4ECA" w:rsidR="00F17B1C" w:rsidRDefault="00F17B1C" w:rsidP="00F17B1C">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szCs w:val="24"/>
        </w:rPr>
        <w:t>No hay duda entonces de que</w:t>
      </w:r>
      <w:r w:rsidR="000B437E">
        <w:rPr>
          <w:rFonts w:ascii="Bookman Old Style" w:hAnsi="Bookman Old Style"/>
          <w:szCs w:val="24"/>
        </w:rPr>
        <w:t>,</w:t>
      </w:r>
      <w:r>
        <w:rPr>
          <w:rFonts w:ascii="Bookman Old Style" w:hAnsi="Bookman Old Style"/>
          <w:szCs w:val="24"/>
        </w:rPr>
        <w:t xml:space="preserve"> además de las otras obligaciones que adquieren quienes obtienen asignaciones de OEF, quienes representan plantas nuevas se comprometen a poner en operación la planta de generación a más tardar en la fecha del inicio del período de vigencia de la obligación.  Si bien es cierto que una de las obligaciones que se adquieren es de entrega de energía</w:t>
      </w:r>
      <w:r w:rsidR="000B437E">
        <w:rPr>
          <w:rFonts w:ascii="Bookman Old Style" w:hAnsi="Bookman Old Style"/>
          <w:szCs w:val="24"/>
        </w:rPr>
        <w:t>,</w:t>
      </w:r>
      <w:r>
        <w:rPr>
          <w:rFonts w:ascii="Bookman Old Style" w:hAnsi="Bookman Old Style"/>
          <w:szCs w:val="24"/>
        </w:rPr>
        <w:t xml:space="preserve"> y que la misma regulación prevé alternativas para que en caso de indisponibilidad o atrasos menores a un año el agente pueda honrar la obligación, también es claro que, en el caso de plantas nuevas</w:t>
      </w:r>
      <w:r w:rsidR="00ED7F83">
        <w:rPr>
          <w:rFonts w:ascii="Bookman Old Style" w:hAnsi="Bookman Old Style"/>
          <w:szCs w:val="24"/>
        </w:rPr>
        <w:t>, ellas deben</w:t>
      </w:r>
      <w:r>
        <w:rPr>
          <w:rFonts w:ascii="Bookman Old Style" w:hAnsi="Bookman Old Style"/>
          <w:szCs w:val="24"/>
        </w:rPr>
        <w:t xml:space="preserve"> iniciar su operación </w:t>
      </w:r>
      <w:r w:rsidR="00E051FB">
        <w:rPr>
          <w:rFonts w:ascii="Bookman Old Style" w:hAnsi="Bookman Old Style"/>
          <w:szCs w:val="24"/>
        </w:rPr>
        <w:t>a más tardar en la fecha de inicio del período de vigencia de la obligación,</w:t>
      </w:r>
      <w:r>
        <w:rPr>
          <w:rFonts w:ascii="Bookman Old Style" w:hAnsi="Bookman Old Style"/>
          <w:szCs w:val="24"/>
        </w:rPr>
        <w:t xml:space="preserve"> IPVO</w:t>
      </w:r>
      <w:r w:rsidR="00E051FB">
        <w:rPr>
          <w:rFonts w:ascii="Bookman Old Style" w:hAnsi="Bookman Old Style"/>
          <w:szCs w:val="24"/>
        </w:rPr>
        <w:t>,</w:t>
      </w:r>
      <w:r>
        <w:rPr>
          <w:rFonts w:ascii="Bookman Old Style" w:hAnsi="Bookman Old Style"/>
          <w:szCs w:val="24"/>
        </w:rPr>
        <w:t xml:space="preserve"> o dentro del año siguiente</w:t>
      </w:r>
      <w:r w:rsidR="000B437E">
        <w:rPr>
          <w:rFonts w:ascii="Bookman Old Style" w:hAnsi="Bookman Old Style"/>
          <w:szCs w:val="24"/>
        </w:rPr>
        <w:t xml:space="preserve"> a dicha fecha</w:t>
      </w:r>
      <w:r>
        <w:rPr>
          <w:rFonts w:ascii="Bookman Old Style" w:hAnsi="Bookman Old Style"/>
          <w:szCs w:val="24"/>
        </w:rPr>
        <w:t xml:space="preserve">. </w:t>
      </w:r>
    </w:p>
    <w:p w14:paraId="34B5EA47" w14:textId="77777777" w:rsidR="00F17B1C" w:rsidRDefault="00F17B1C" w:rsidP="00F17B1C">
      <w:pPr>
        <w:pStyle w:val="Encabezado"/>
        <w:tabs>
          <w:tab w:val="clear" w:pos="8504"/>
          <w:tab w:val="left" w:pos="0"/>
          <w:tab w:val="right" w:pos="9356"/>
        </w:tabs>
        <w:ind w:left="0"/>
        <w:jc w:val="both"/>
        <w:rPr>
          <w:rFonts w:ascii="Bookman Old Style" w:hAnsi="Bookman Old Style"/>
          <w:szCs w:val="24"/>
        </w:rPr>
      </w:pPr>
    </w:p>
    <w:p w14:paraId="41E97D89" w14:textId="699C9DC8" w:rsidR="00F17B1C" w:rsidRDefault="00F17B1C" w:rsidP="00F17B1C">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szCs w:val="24"/>
        </w:rPr>
        <w:t>No puede afirmarse</w:t>
      </w:r>
      <w:r w:rsidR="0026336E">
        <w:rPr>
          <w:rFonts w:ascii="Bookman Old Style" w:hAnsi="Bookman Old Style"/>
          <w:szCs w:val="24"/>
        </w:rPr>
        <w:t>,</w:t>
      </w:r>
      <w:r>
        <w:rPr>
          <w:rFonts w:ascii="Bookman Old Style" w:hAnsi="Bookman Old Style"/>
          <w:szCs w:val="24"/>
        </w:rPr>
        <w:t xml:space="preserve"> como lo hace el recurso</w:t>
      </w:r>
      <w:r w:rsidR="0026336E">
        <w:rPr>
          <w:rFonts w:ascii="Bookman Old Style" w:hAnsi="Bookman Old Style"/>
          <w:szCs w:val="24"/>
        </w:rPr>
        <w:t>,</w:t>
      </w:r>
      <w:r>
        <w:rPr>
          <w:rFonts w:ascii="Bookman Old Style" w:hAnsi="Bookman Old Style"/>
          <w:szCs w:val="24"/>
        </w:rPr>
        <w:t xml:space="preserve"> que la obligación se limita a la entrega de la energía para garantizar la confiabilidad</w:t>
      </w:r>
      <w:r w:rsidR="000B437E">
        <w:rPr>
          <w:rFonts w:ascii="Bookman Old Style" w:hAnsi="Bookman Old Style"/>
          <w:szCs w:val="24"/>
        </w:rPr>
        <w:t>,</w:t>
      </w:r>
      <w:r>
        <w:rPr>
          <w:rFonts w:ascii="Bookman Old Style" w:hAnsi="Bookman Old Style"/>
          <w:szCs w:val="24"/>
        </w:rPr>
        <w:t xml:space="preserve"> y que la obligación es independiente del activo mismo de generación. El esquema del Cargo por Confiabilidad se fundamenta en la existencia de las plantas con energía firme</w:t>
      </w:r>
      <w:r w:rsidR="000B437E">
        <w:rPr>
          <w:rFonts w:ascii="Bookman Old Style" w:hAnsi="Bookman Old Style"/>
          <w:szCs w:val="24"/>
        </w:rPr>
        <w:t>,</w:t>
      </w:r>
      <w:r>
        <w:rPr>
          <w:rFonts w:ascii="Bookman Old Style" w:hAnsi="Bookman Old Style"/>
          <w:szCs w:val="24"/>
        </w:rPr>
        <w:t xml:space="preserve"> y sólo estas plantas pueden participar en las subastas y adquirir las OEF. Es por esto que</w:t>
      </w:r>
      <w:r w:rsidR="000B437E">
        <w:rPr>
          <w:rFonts w:ascii="Bookman Old Style" w:hAnsi="Bookman Old Style"/>
          <w:szCs w:val="24"/>
        </w:rPr>
        <w:t>,</w:t>
      </w:r>
      <w:r>
        <w:rPr>
          <w:rFonts w:ascii="Bookman Old Style" w:hAnsi="Bookman Old Style"/>
          <w:szCs w:val="24"/>
        </w:rPr>
        <w:t xml:space="preserve"> cuando la planta aún no existe</w:t>
      </w:r>
      <w:r w:rsidR="000B437E">
        <w:rPr>
          <w:rFonts w:ascii="Bookman Old Style" w:hAnsi="Bookman Old Style"/>
          <w:szCs w:val="24"/>
        </w:rPr>
        <w:t>,</w:t>
      </w:r>
      <w:r>
        <w:rPr>
          <w:rFonts w:ascii="Bookman Old Style" w:hAnsi="Bookman Old Style"/>
          <w:szCs w:val="24"/>
        </w:rPr>
        <w:t xml:space="preserve"> una de las principales obligaciones que se adquiere, además de la de entregar la energía, es la de poner en operación el proyecto con el cual se participó en el proceso de asignación</w:t>
      </w:r>
      <w:r w:rsidR="000B437E">
        <w:rPr>
          <w:rFonts w:ascii="Bookman Old Style" w:hAnsi="Bookman Old Style"/>
          <w:szCs w:val="24"/>
        </w:rPr>
        <w:t>,</w:t>
      </w:r>
      <w:r>
        <w:rPr>
          <w:rFonts w:ascii="Bookman Old Style" w:hAnsi="Bookman Old Style"/>
          <w:szCs w:val="24"/>
        </w:rPr>
        <w:t xml:space="preserve"> y no en cualquier momento</w:t>
      </w:r>
      <w:r w:rsidR="000B437E">
        <w:rPr>
          <w:rFonts w:ascii="Bookman Old Style" w:hAnsi="Bookman Old Style"/>
          <w:szCs w:val="24"/>
        </w:rPr>
        <w:t>,</w:t>
      </w:r>
      <w:r>
        <w:rPr>
          <w:rFonts w:ascii="Bookman Old Style" w:hAnsi="Bookman Old Style"/>
          <w:szCs w:val="24"/>
        </w:rPr>
        <w:t xml:space="preserve"> sino </w:t>
      </w:r>
      <w:r w:rsidR="00E051FB">
        <w:rPr>
          <w:rFonts w:ascii="Bookman Old Style" w:hAnsi="Bookman Old Style"/>
          <w:szCs w:val="24"/>
        </w:rPr>
        <w:t xml:space="preserve">a más tardar en la fecha </w:t>
      </w:r>
      <w:r>
        <w:rPr>
          <w:rFonts w:ascii="Bookman Old Style" w:hAnsi="Bookman Old Style"/>
          <w:szCs w:val="24"/>
        </w:rPr>
        <w:t>del IPVO o dentro del año siguiente</w:t>
      </w:r>
      <w:r w:rsidR="000B437E">
        <w:rPr>
          <w:rFonts w:ascii="Bookman Old Style" w:hAnsi="Bookman Old Style"/>
          <w:szCs w:val="24"/>
        </w:rPr>
        <w:t xml:space="preserve"> a dicha fecha</w:t>
      </w:r>
      <w:r>
        <w:rPr>
          <w:rFonts w:ascii="Bookman Old Style" w:hAnsi="Bookman Old Style"/>
          <w:szCs w:val="24"/>
        </w:rPr>
        <w:t xml:space="preserve">. </w:t>
      </w:r>
    </w:p>
    <w:p w14:paraId="3581BF25" w14:textId="77777777" w:rsidR="00F17B1C" w:rsidRDefault="00F17B1C" w:rsidP="00F17B1C">
      <w:pPr>
        <w:ind w:left="0"/>
        <w:jc w:val="both"/>
        <w:rPr>
          <w:rFonts w:ascii="Bookman Old Style" w:eastAsia="Calibri" w:hAnsi="Bookman Old Style" w:cs="Arial"/>
          <w:lang w:val="es-ES_tradnl"/>
        </w:rPr>
      </w:pPr>
    </w:p>
    <w:p w14:paraId="4D8EC821" w14:textId="1434C87A" w:rsidR="00F17B1C" w:rsidRDefault="00F17B1C" w:rsidP="00F17B1C">
      <w:pPr>
        <w:ind w:left="0"/>
        <w:jc w:val="both"/>
        <w:rPr>
          <w:rFonts w:ascii="Bookman Old Style" w:hAnsi="Bookman Old Style"/>
        </w:rPr>
      </w:pPr>
      <w:r>
        <w:rPr>
          <w:rFonts w:ascii="Bookman Old Style" w:eastAsia="Calibri" w:hAnsi="Bookman Old Style" w:cs="Arial"/>
          <w:lang w:val="es-ES_tradnl"/>
        </w:rPr>
        <w:t xml:space="preserve">En </w:t>
      </w:r>
      <w:proofErr w:type="gramStart"/>
      <w:r>
        <w:rPr>
          <w:rFonts w:ascii="Bookman Old Style" w:eastAsia="Calibri" w:hAnsi="Bookman Old Style" w:cs="Arial"/>
          <w:lang w:val="es-ES_tradnl"/>
        </w:rPr>
        <w:t>consecuencia</w:t>
      </w:r>
      <w:proofErr w:type="gramEnd"/>
      <w:r>
        <w:rPr>
          <w:rFonts w:ascii="Bookman Old Style" w:eastAsia="Calibri" w:hAnsi="Bookman Old Style" w:cs="Arial"/>
          <w:lang w:val="es-ES_tradnl"/>
        </w:rPr>
        <w:t xml:space="preserve"> con lo anterior, la regulación definió expresamente uno de los eventos de incumplimiento grave e insa</w:t>
      </w:r>
      <w:r w:rsidR="0026336E">
        <w:rPr>
          <w:rFonts w:ascii="Bookman Old Style" w:eastAsia="Calibri" w:hAnsi="Bookman Old Style" w:cs="Arial"/>
          <w:lang w:val="es-ES_tradnl"/>
        </w:rPr>
        <w:t>lvable justamente en función de la puesta en operación de la planta</w:t>
      </w:r>
      <w:r>
        <w:rPr>
          <w:rFonts w:ascii="Bookman Old Style" w:eastAsia="Calibri" w:hAnsi="Bookman Old Style" w:cs="Arial"/>
          <w:lang w:val="es-ES_tradnl"/>
        </w:rPr>
        <w:t xml:space="preserve">. </w:t>
      </w:r>
      <w:r>
        <w:rPr>
          <w:rFonts w:ascii="Bookman Old Style" w:hAnsi="Bookman Old Style"/>
          <w:lang w:val="es-CO"/>
        </w:rPr>
        <w:t>L</w:t>
      </w:r>
      <w:r>
        <w:rPr>
          <w:rFonts w:ascii="Bookman Old Style" w:hAnsi="Bookman Old Style"/>
        </w:rPr>
        <w:t>a Resolución CREG 071 de 2006 artículo segundo</w:t>
      </w:r>
      <w:r w:rsidR="0026336E">
        <w:rPr>
          <w:rFonts w:ascii="Bookman Old Style" w:hAnsi="Bookman Old Style"/>
        </w:rPr>
        <w:t xml:space="preserve"> señala</w:t>
      </w:r>
      <w:r>
        <w:rPr>
          <w:rFonts w:ascii="Bookman Old Style" w:hAnsi="Bookman Old Style"/>
        </w:rPr>
        <w:t xml:space="preserve">: </w:t>
      </w:r>
    </w:p>
    <w:p w14:paraId="79A08415" w14:textId="77777777" w:rsidR="00F17B1C" w:rsidRDefault="00F17B1C" w:rsidP="0026336E">
      <w:pPr>
        <w:pStyle w:val="Encabezado"/>
        <w:tabs>
          <w:tab w:val="clear" w:pos="8504"/>
          <w:tab w:val="left" w:pos="0"/>
          <w:tab w:val="right" w:pos="9356"/>
        </w:tabs>
        <w:ind w:left="0"/>
        <w:jc w:val="both"/>
        <w:rPr>
          <w:rFonts w:ascii="Bookman Old Style" w:hAnsi="Bookman Old Style"/>
          <w:i/>
          <w:szCs w:val="24"/>
        </w:rPr>
      </w:pPr>
    </w:p>
    <w:p w14:paraId="1DF821A0" w14:textId="77777777" w:rsidR="00F17B1C" w:rsidRPr="00E55E97" w:rsidRDefault="00F17B1C" w:rsidP="00F17B1C">
      <w:pPr>
        <w:pStyle w:val="Encabezado"/>
        <w:tabs>
          <w:tab w:val="clear" w:pos="8504"/>
          <w:tab w:val="left" w:pos="0"/>
          <w:tab w:val="right" w:pos="9356"/>
        </w:tabs>
        <w:ind w:left="708"/>
        <w:jc w:val="both"/>
        <w:rPr>
          <w:rFonts w:ascii="Bookman Old Style" w:hAnsi="Bookman Old Style"/>
          <w:i/>
          <w:szCs w:val="24"/>
        </w:rPr>
      </w:pPr>
      <w:r w:rsidRPr="00E55E97">
        <w:rPr>
          <w:rFonts w:ascii="Bookman Old Style" w:hAnsi="Bookman Old Style"/>
          <w:i/>
          <w:szCs w:val="24"/>
        </w:rPr>
        <w:t>Incumplimiento grave e insalvable de la puesta en operación de la planta: Serán aquellos previstos en el Reglamento de Garantías de que trata el artículo 78 de la presente Resolución.</w:t>
      </w:r>
    </w:p>
    <w:p w14:paraId="532EC4AD" w14:textId="77777777" w:rsidR="00F17B1C" w:rsidRDefault="00F17B1C" w:rsidP="00F17B1C">
      <w:pPr>
        <w:pStyle w:val="Encabezado"/>
        <w:tabs>
          <w:tab w:val="clear" w:pos="8504"/>
          <w:tab w:val="left" w:pos="0"/>
          <w:tab w:val="right" w:pos="9356"/>
        </w:tabs>
        <w:ind w:left="0"/>
        <w:jc w:val="both"/>
        <w:rPr>
          <w:rFonts w:ascii="Bookman Old Style" w:hAnsi="Bookman Old Style"/>
          <w:szCs w:val="24"/>
        </w:rPr>
      </w:pPr>
    </w:p>
    <w:p w14:paraId="443BFA9D" w14:textId="5922039B" w:rsidR="00F17B1C" w:rsidRDefault="00F17B1C" w:rsidP="00F17B1C">
      <w:pPr>
        <w:pStyle w:val="Encabezado"/>
        <w:tabs>
          <w:tab w:val="clear" w:pos="8504"/>
          <w:tab w:val="left" w:pos="0"/>
          <w:tab w:val="right" w:pos="9356"/>
        </w:tabs>
        <w:ind w:left="0"/>
        <w:jc w:val="both"/>
        <w:rPr>
          <w:rFonts w:ascii="Bookman Old Style" w:hAnsi="Bookman Old Style"/>
          <w:i/>
          <w:szCs w:val="24"/>
        </w:rPr>
      </w:pPr>
      <w:r>
        <w:rPr>
          <w:rFonts w:ascii="Bookman Old Style" w:hAnsi="Bookman Old Style"/>
          <w:szCs w:val="24"/>
        </w:rPr>
        <w:t>El reglamento referido fue adoptado con la Resolución CREG 061 de 2007 y señala</w:t>
      </w:r>
      <w:r w:rsidR="000B437E">
        <w:rPr>
          <w:rFonts w:ascii="Bookman Old Style" w:hAnsi="Bookman Old Style"/>
          <w:szCs w:val="24"/>
        </w:rPr>
        <w:t>,</w:t>
      </w:r>
      <w:r>
        <w:rPr>
          <w:rFonts w:ascii="Bookman Old Style" w:hAnsi="Bookman Old Style"/>
          <w:szCs w:val="24"/>
        </w:rPr>
        <w:t xml:space="preserve"> en el artículo segundo</w:t>
      </w:r>
      <w:r w:rsidR="000B437E">
        <w:rPr>
          <w:rFonts w:ascii="Bookman Old Style" w:hAnsi="Bookman Old Style"/>
          <w:szCs w:val="24"/>
        </w:rPr>
        <w:t>,</w:t>
      </w:r>
      <w:r>
        <w:rPr>
          <w:rFonts w:ascii="Bookman Old Style" w:hAnsi="Bookman Old Style"/>
          <w:szCs w:val="24"/>
        </w:rPr>
        <w:t xml:space="preserve"> que incumplimiento grave e insalvable “</w:t>
      </w:r>
      <w:r w:rsidRPr="00E515ED">
        <w:rPr>
          <w:rFonts w:ascii="Bookman Old Style" w:hAnsi="Bookman Old Style"/>
          <w:i/>
          <w:szCs w:val="24"/>
        </w:rPr>
        <w:t xml:space="preserve">Serán los </w:t>
      </w:r>
      <w:r w:rsidRPr="00E515ED">
        <w:rPr>
          <w:rFonts w:ascii="Bookman Old Style" w:hAnsi="Bookman Old Style"/>
          <w:i/>
          <w:szCs w:val="24"/>
        </w:rPr>
        <w:lastRenderedPageBreak/>
        <w:t>eventos de incumplimiento establecidos en el Artículo 13 del presente Reglamento.</w:t>
      </w:r>
      <w:r>
        <w:rPr>
          <w:rFonts w:ascii="Bookman Old Style" w:hAnsi="Bookman Old Style"/>
          <w:i/>
          <w:szCs w:val="24"/>
        </w:rPr>
        <w:t xml:space="preserve">”  </w:t>
      </w:r>
    </w:p>
    <w:p w14:paraId="4C0A23BD" w14:textId="77777777" w:rsidR="00F17B1C" w:rsidRDefault="00F17B1C" w:rsidP="00F17B1C">
      <w:pPr>
        <w:pStyle w:val="Encabezado"/>
        <w:tabs>
          <w:tab w:val="clear" w:pos="8504"/>
          <w:tab w:val="left" w:pos="0"/>
          <w:tab w:val="right" w:pos="9356"/>
        </w:tabs>
        <w:ind w:left="0"/>
        <w:jc w:val="both"/>
        <w:rPr>
          <w:rFonts w:ascii="Bookman Old Style" w:hAnsi="Bookman Old Style"/>
          <w:i/>
          <w:szCs w:val="24"/>
        </w:rPr>
      </w:pPr>
    </w:p>
    <w:p w14:paraId="3C09E72C" w14:textId="77777777" w:rsidR="00F17B1C" w:rsidRPr="00E515ED" w:rsidRDefault="00F17B1C" w:rsidP="00F17B1C">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szCs w:val="24"/>
        </w:rPr>
        <w:t xml:space="preserve">El artículo 13 del reglamento de garantías definió expresamente qué eventos se califican como incumplimiento grave e insalvable: </w:t>
      </w:r>
    </w:p>
    <w:p w14:paraId="62F650D5" w14:textId="77777777" w:rsidR="00F17B1C" w:rsidRDefault="00F17B1C" w:rsidP="00F17B1C">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szCs w:val="24"/>
        </w:rPr>
        <w:tab/>
      </w:r>
    </w:p>
    <w:p w14:paraId="1E87F105" w14:textId="77777777" w:rsidR="00F17B1C" w:rsidRPr="00E515ED" w:rsidRDefault="00F17B1C" w:rsidP="00F17B1C">
      <w:pPr>
        <w:ind w:left="708"/>
        <w:jc w:val="both"/>
        <w:rPr>
          <w:rFonts w:ascii="Bookman Old Style" w:hAnsi="Bookman Old Style" w:cs="Arial"/>
          <w:i/>
        </w:rPr>
      </w:pPr>
      <w:r w:rsidRPr="00E515ED">
        <w:rPr>
          <w:rFonts w:ascii="Bookman Old Style" w:hAnsi="Bookman Old Style" w:cs="Arial"/>
          <w:b/>
          <w:i/>
        </w:rPr>
        <w:t>“Artículo 13. Eventos de incumplimiento.</w:t>
      </w:r>
      <w:r w:rsidRPr="00E515ED">
        <w:rPr>
          <w:rFonts w:ascii="Bookman Old Style" w:hAnsi="Bookman Old Style" w:cs="Arial"/>
          <w:i/>
        </w:rPr>
        <w:t xml:space="preserve"> </w:t>
      </w:r>
      <w:r w:rsidRPr="00B501D1">
        <w:rPr>
          <w:rFonts w:ascii="Bookman Old Style" w:hAnsi="Bookman Old Style" w:cs="Arial"/>
          <w:b/>
          <w:i/>
          <w:u w:val="single"/>
        </w:rPr>
        <w:t>Constituyen eventos de incumplimiento grave e</w:t>
      </w:r>
      <w:r w:rsidRPr="00E515ED">
        <w:rPr>
          <w:rFonts w:ascii="Bookman Old Style" w:hAnsi="Bookman Old Style" w:cs="Arial"/>
          <w:i/>
        </w:rPr>
        <w:t xml:space="preserve"> insalvable los siguientes:</w:t>
      </w:r>
    </w:p>
    <w:p w14:paraId="60360709" w14:textId="77777777" w:rsidR="00F17B1C" w:rsidRPr="00E515ED" w:rsidRDefault="00F17B1C" w:rsidP="00F17B1C">
      <w:pPr>
        <w:ind w:left="708"/>
        <w:jc w:val="both"/>
        <w:rPr>
          <w:rFonts w:ascii="Bookman Old Style" w:hAnsi="Bookman Old Style" w:cs="Arial"/>
          <w:i/>
        </w:rPr>
      </w:pPr>
      <w:r w:rsidRPr="00E515ED">
        <w:rPr>
          <w:rFonts w:ascii="Bookman Old Style" w:hAnsi="Bookman Old Style" w:cs="Arial"/>
          <w:i/>
        </w:rPr>
        <w:t>1.</w:t>
      </w:r>
      <w:r w:rsidRPr="00E515ED">
        <w:rPr>
          <w:rFonts w:ascii="Bookman Old Style" w:hAnsi="Bookman Old Style" w:cs="Arial"/>
          <w:i/>
        </w:rPr>
        <w:tab/>
      </w:r>
      <w:r w:rsidRPr="00B501D1">
        <w:rPr>
          <w:rFonts w:ascii="Bookman Old Style" w:hAnsi="Bookman Old Style" w:cs="Arial"/>
          <w:b/>
          <w:i/>
          <w:u w:val="single"/>
        </w:rPr>
        <w:t>Incumplimiento Calificado de Cronograma que implique que la puesta en operación de la planta o unidad de generación, ocurrirá en un plazo superior a un (1) año contado a partir del IPVO.</w:t>
      </w:r>
    </w:p>
    <w:p w14:paraId="13B8C348" w14:textId="77777777" w:rsidR="00F17B1C" w:rsidRPr="00E515ED" w:rsidRDefault="00F17B1C" w:rsidP="00F17B1C">
      <w:pPr>
        <w:ind w:left="708"/>
        <w:jc w:val="both"/>
        <w:rPr>
          <w:rFonts w:ascii="Bookman Old Style" w:hAnsi="Bookman Old Style" w:cs="Arial"/>
          <w:i/>
        </w:rPr>
      </w:pPr>
      <w:r w:rsidRPr="00E515ED">
        <w:rPr>
          <w:rFonts w:ascii="Bookman Old Style" w:hAnsi="Bookman Old Style" w:cs="Arial"/>
          <w:i/>
        </w:rPr>
        <w:t>2.</w:t>
      </w:r>
      <w:r w:rsidRPr="00E515ED">
        <w:rPr>
          <w:rFonts w:ascii="Bookman Old Style" w:hAnsi="Bookman Old Style" w:cs="Arial"/>
          <w:i/>
        </w:rPr>
        <w:tab/>
        <w:t>Incumplimiento Calificado de Cronograma, que implique que la puesta en operación de la planta o unidad de generación ocurrirá en un plazo inferior a un (1) año, contado a partir del IPVO, y el Agente Generador o la Persona Jurídica Interesada, una vez esté registrada como Agente Generador ante el ASIC, no garanticen el cumplimiento de la Obligación de Energía Firme con un Contrato o Declaración de Respaldo, de otra planta o unidad de generación. Este Contrato o Declaración de Respaldo debe estar registrado ante el ASIC a más tardar dentro de los quince (15) días calendario siguientes a la fecha en que el CND reciba el correspondiente informe del auditor y debe estar vigente desde el IPVO hasta la nueva fecha de puesta en operación de la planta o unidad de generación, certificada por el Auditor.</w:t>
      </w:r>
    </w:p>
    <w:p w14:paraId="322860EC" w14:textId="77777777" w:rsidR="00F17B1C" w:rsidRPr="00E515ED" w:rsidRDefault="00F17B1C" w:rsidP="00F17B1C">
      <w:pPr>
        <w:ind w:left="708"/>
        <w:jc w:val="both"/>
        <w:rPr>
          <w:rFonts w:ascii="Bookman Old Style" w:hAnsi="Bookman Old Style" w:cs="Arial"/>
          <w:i/>
        </w:rPr>
      </w:pPr>
      <w:r w:rsidRPr="00E515ED">
        <w:rPr>
          <w:rFonts w:ascii="Bookman Old Style" w:hAnsi="Bookman Old Style" w:cs="Arial"/>
          <w:i/>
        </w:rPr>
        <w:t>3.</w:t>
      </w:r>
      <w:r w:rsidRPr="00E515ED">
        <w:rPr>
          <w:rFonts w:ascii="Bookman Old Style" w:hAnsi="Bookman Old Style" w:cs="Arial"/>
          <w:i/>
        </w:rPr>
        <w:tab/>
        <w:t>Puesta en operación de la planta o unidad de generación con una ENFICC inferior a la asociada a la Obligación de Energía Firme asignada, calculada en la forma prevista en el Anexo 3 de la Resolución CREG 071 de 2006 o aquellas que la modifiquen, adicionen o sustituyan.</w:t>
      </w:r>
    </w:p>
    <w:p w14:paraId="521B0750" w14:textId="77777777" w:rsidR="00F17B1C" w:rsidRPr="00E515ED" w:rsidRDefault="00F17B1C" w:rsidP="00F17B1C">
      <w:pPr>
        <w:ind w:left="708"/>
        <w:jc w:val="both"/>
        <w:rPr>
          <w:rFonts w:ascii="Bookman Old Style" w:hAnsi="Bookman Old Style" w:cs="Arial"/>
          <w:i/>
        </w:rPr>
      </w:pPr>
      <w:r w:rsidRPr="00E515ED">
        <w:rPr>
          <w:rFonts w:ascii="Bookman Old Style" w:hAnsi="Bookman Old Style" w:cs="Arial"/>
          <w:i/>
        </w:rPr>
        <w:t>4.</w:t>
      </w:r>
      <w:r w:rsidRPr="00E515ED">
        <w:rPr>
          <w:rFonts w:ascii="Bookman Old Style" w:hAnsi="Bookman Old Style" w:cs="Arial"/>
          <w:i/>
        </w:rPr>
        <w:tab/>
        <w:t>El Agente Generador o la Persona Jurídica Interesada no acredita ante la CREG el ajuste o reposición de las garantías conforme a lo establecido en el presente Reglamento.</w:t>
      </w:r>
    </w:p>
    <w:p w14:paraId="71F47023" w14:textId="77777777" w:rsidR="00F17B1C" w:rsidRPr="00E515ED" w:rsidRDefault="00F17B1C" w:rsidP="00F17B1C">
      <w:pPr>
        <w:ind w:left="708"/>
        <w:jc w:val="both"/>
        <w:rPr>
          <w:rFonts w:ascii="Bookman Old Style" w:hAnsi="Bookman Old Style" w:cs="Arial"/>
          <w:i/>
        </w:rPr>
      </w:pPr>
      <w:r w:rsidRPr="00E515ED">
        <w:rPr>
          <w:rFonts w:ascii="Bookman Old Style" w:hAnsi="Bookman Old Style" w:cs="Arial"/>
          <w:i/>
        </w:rPr>
        <w:t>5.</w:t>
      </w:r>
      <w:r w:rsidRPr="00E515ED">
        <w:rPr>
          <w:rFonts w:ascii="Bookman Old Style" w:hAnsi="Bookman Old Style" w:cs="Arial"/>
          <w:i/>
        </w:rPr>
        <w:tab/>
        <w:t>El Agente Generador o la Persona Jurídica Interesada no acredita ante el ASIC el pago de los honorarios del Auditor designado para verificar el cumplimiento del cronograma de construcción o repotenciación, o de puesta en operación de la planta o unidad de generación, conforme a lo establecido en el presente Capítulo.” (Resaltado fuera de texto)</w:t>
      </w:r>
    </w:p>
    <w:p w14:paraId="497ED405" w14:textId="77777777" w:rsidR="00F17B1C" w:rsidRPr="00F7469A" w:rsidRDefault="00F17B1C" w:rsidP="00F17B1C">
      <w:pPr>
        <w:pStyle w:val="Encabezado"/>
        <w:tabs>
          <w:tab w:val="clear" w:pos="8504"/>
          <w:tab w:val="left" w:pos="0"/>
          <w:tab w:val="right" w:pos="9356"/>
        </w:tabs>
        <w:ind w:left="0"/>
        <w:jc w:val="both"/>
        <w:rPr>
          <w:rFonts w:ascii="Bookman Old Style" w:hAnsi="Bookman Old Style"/>
          <w:szCs w:val="24"/>
        </w:rPr>
      </w:pPr>
    </w:p>
    <w:p w14:paraId="21988D79" w14:textId="77777777" w:rsidR="00F17B1C" w:rsidRDefault="00F17B1C" w:rsidP="00F17B1C">
      <w:pPr>
        <w:ind w:left="0"/>
        <w:jc w:val="both"/>
        <w:rPr>
          <w:rFonts w:ascii="Bookman Old Style" w:eastAsia="Calibri" w:hAnsi="Bookman Old Style" w:cs="Arial"/>
          <w:lang w:val="es-ES_tradnl"/>
        </w:rPr>
      </w:pPr>
      <w:bookmarkStart w:id="1" w:name="_Toc476553949"/>
      <w:bookmarkStart w:id="2" w:name="_Toc476554576"/>
      <w:r>
        <w:rPr>
          <w:rFonts w:ascii="Bookman Old Style" w:eastAsia="Calibri" w:hAnsi="Bookman Old Style" w:cs="Arial"/>
          <w:lang w:val="es-ES_tradnl"/>
        </w:rPr>
        <w:t xml:space="preserve">En el mismo sentido del numeral 1 de este artículo, el parágrafo del artículo 9 de la Resolución CREG 071 de 2006 establece: </w:t>
      </w:r>
    </w:p>
    <w:p w14:paraId="747823A2" w14:textId="77777777" w:rsidR="00F17B1C" w:rsidRDefault="00F17B1C" w:rsidP="00F17B1C">
      <w:pPr>
        <w:ind w:left="0"/>
        <w:jc w:val="both"/>
        <w:rPr>
          <w:rFonts w:ascii="Bookman Old Style" w:eastAsia="Calibri" w:hAnsi="Bookman Old Style" w:cs="Arial"/>
          <w:lang w:val="es-ES_tradnl"/>
        </w:rPr>
      </w:pPr>
    </w:p>
    <w:p w14:paraId="3FFC0566" w14:textId="77777777" w:rsidR="00F17B1C" w:rsidRPr="00E515ED" w:rsidRDefault="00F17B1C" w:rsidP="00F17B1C">
      <w:pPr>
        <w:ind w:left="708"/>
        <w:jc w:val="both"/>
        <w:rPr>
          <w:rFonts w:ascii="Bookman Old Style" w:hAnsi="Bookman Old Style" w:cs="Arial"/>
          <w:i/>
        </w:rPr>
      </w:pPr>
      <w:r w:rsidRPr="00E515ED">
        <w:rPr>
          <w:rFonts w:ascii="Bookman Old Style" w:hAnsi="Bookman Old Style" w:cs="Arial"/>
          <w:b/>
          <w:i/>
        </w:rPr>
        <w:t>Parágrafo</w:t>
      </w:r>
      <w:r w:rsidRPr="00E515ED">
        <w:rPr>
          <w:rFonts w:ascii="Bookman Old Style" w:hAnsi="Bookman Old Style" w:cs="Arial"/>
          <w:i/>
        </w:rPr>
        <w:t xml:space="preserve">. En el caso del </w:t>
      </w:r>
      <w:r w:rsidRPr="00E515ED">
        <w:rPr>
          <w:rFonts w:ascii="Bookman Old Style" w:hAnsi="Bookman Old Style" w:cs="Arial"/>
          <w:i/>
          <w:u w:val="single"/>
        </w:rPr>
        <w:t>incumplimiento grave e insalvable que se determina cuando el informe del auditor indica que la puesta en operación de la planta o unidad de generación tendrá un atraso mayor a un año, contado a partir de la fecha de inicio del Periodo de Vigencia de la Obligación</w:t>
      </w:r>
      <w:r w:rsidRPr="00E515ED">
        <w:rPr>
          <w:rFonts w:ascii="Bookman Old Style" w:hAnsi="Bookman Old Style" w:cs="Arial"/>
          <w:i/>
        </w:rPr>
        <w:t xml:space="preserve">, la CREG, con el propósito de </w:t>
      </w:r>
      <w:r w:rsidRPr="00E515ED">
        <w:rPr>
          <w:rFonts w:ascii="Bookman Old Style" w:hAnsi="Bookman Old Style" w:cs="Arial"/>
          <w:i/>
          <w:u w:val="single"/>
        </w:rPr>
        <w:t xml:space="preserve">establecer plenamente la existencia del incumplimiento, determinar sus consecuencias </w:t>
      </w:r>
      <w:r w:rsidRPr="00E515ED">
        <w:rPr>
          <w:rFonts w:ascii="Bookman Old Style" w:hAnsi="Bookman Old Style" w:cs="Arial"/>
          <w:i/>
        </w:rPr>
        <w:t xml:space="preserve">y garantizar el derecho de defensa de los afectados, agotará el trámite previsto en los Artículos 106 y ss. de la Ley 142 de 1994 y, en lo no previsto en ellos, aplicará las normas de la parte primera del Código Contencioso Administrativo que sean </w:t>
      </w:r>
      <w:r w:rsidRPr="00E515ED">
        <w:rPr>
          <w:rFonts w:ascii="Bookman Old Style" w:hAnsi="Bookman Old Style" w:cs="Arial"/>
          <w:i/>
        </w:rPr>
        <w:lastRenderedPageBreak/>
        <w:t>compatibles. En firme la decisión definitiva sobre la actuación y determinada la existencia del incumplimiento, se comunicará la decisión al ASIC y éste adoptará las medidas correspondientes de acuerdo con la Resolución CREG 071 de 2006 y las nomas que la modifiquen, adicionen o sustituyan.” (Resaltado fuera de texto)</w:t>
      </w:r>
    </w:p>
    <w:p w14:paraId="4267E429" w14:textId="77777777" w:rsidR="00F17B1C" w:rsidRDefault="00F17B1C" w:rsidP="00F17B1C">
      <w:pPr>
        <w:ind w:left="0"/>
        <w:jc w:val="both"/>
        <w:rPr>
          <w:rFonts w:ascii="Bookman Old Style" w:eastAsia="Calibri" w:hAnsi="Bookman Old Style" w:cs="Arial"/>
          <w:lang w:val="es-ES_tradnl"/>
        </w:rPr>
      </w:pPr>
    </w:p>
    <w:p w14:paraId="26A8C506" w14:textId="0586541F" w:rsidR="00F17B1C" w:rsidRDefault="00F17B1C" w:rsidP="00F17B1C">
      <w:pPr>
        <w:ind w:left="0"/>
        <w:jc w:val="both"/>
        <w:rPr>
          <w:rFonts w:ascii="Bookman Old Style" w:eastAsia="Calibri" w:hAnsi="Bookman Old Style" w:cs="Arial"/>
          <w:lang w:val="es-ES_tradnl"/>
        </w:rPr>
      </w:pPr>
      <w:r>
        <w:rPr>
          <w:rFonts w:ascii="Bookman Old Style" w:eastAsia="Calibri" w:hAnsi="Bookman Old Style" w:cs="Arial"/>
          <w:lang w:val="es-ES_tradnl"/>
        </w:rPr>
        <w:t>Como se observa, la regulación define expresamente qué es, en el esquema del Cargo por Confiabilidad, el incumplimiento grave e insalvable de las obligaciones adquiridas cuando una planta recibe una asignación de OEF. Por tanto, conforme a lo prescrito en el artículo 28 del Código Civil</w:t>
      </w:r>
      <w:r w:rsidR="00F2105B">
        <w:rPr>
          <w:rFonts w:ascii="Bookman Old Style" w:eastAsia="Calibri" w:hAnsi="Bookman Old Style" w:cs="Arial"/>
          <w:lang w:val="es-ES_tradnl"/>
        </w:rPr>
        <w:t>,</w:t>
      </w:r>
      <w:r>
        <w:rPr>
          <w:rFonts w:ascii="Bookman Old Style" w:eastAsia="Calibri" w:hAnsi="Bookman Old Style" w:cs="Arial"/>
          <w:lang w:val="es-ES_tradnl"/>
        </w:rPr>
        <w:t xml:space="preserve"> no hay lugar a tomar el sentido corriente de las palabras</w:t>
      </w:r>
      <w:r w:rsidR="00F2105B">
        <w:rPr>
          <w:rFonts w:ascii="Bookman Old Style" w:eastAsia="Calibri" w:hAnsi="Bookman Old Style" w:cs="Arial"/>
          <w:lang w:val="es-ES_tradnl"/>
        </w:rPr>
        <w:t>,</w:t>
      </w:r>
      <w:r>
        <w:rPr>
          <w:rFonts w:ascii="Bookman Old Style" w:eastAsia="Calibri" w:hAnsi="Bookman Old Style" w:cs="Arial"/>
          <w:lang w:val="es-ES_tradnl"/>
        </w:rPr>
        <w:t xml:space="preserve"> sino que debe darse el significado dado en la regulación.</w:t>
      </w:r>
    </w:p>
    <w:p w14:paraId="339B3FA3" w14:textId="77777777" w:rsidR="00F17B1C" w:rsidRDefault="00F17B1C" w:rsidP="00F17B1C">
      <w:pPr>
        <w:ind w:left="0"/>
        <w:jc w:val="both"/>
        <w:rPr>
          <w:rFonts w:ascii="Bookman Old Style" w:eastAsia="Calibri" w:hAnsi="Bookman Old Style" w:cs="Arial"/>
          <w:lang w:val="es-ES_tradnl"/>
        </w:rPr>
      </w:pPr>
    </w:p>
    <w:p w14:paraId="65E51C7D" w14:textId="30DCDD86" w:rsidR="00F17B1C" w:rsidRDefault="00F17B1C" w:rsidP="00F17B1C">
      <w:pPr>
        <w:ind w:left="0"/>
        <w:jc w:val="both"/>
        <w:rPr>
          <w:rFonts w:ascii="Bookman Old Style" w:eastAsia="Calibri" w:hAnsi="Bookman Old Style" w:cs="Arial"/>
          <w:lang w:val="es-ES_tradnl"/>
        </w:rPr>
      </w:pPr>
      <w:r>
        <w:rPr>
          <w:rFonts w:ascii="Bookman Old Style" w:eastAsia="Calibri" w:hAnsi="Bookman Old Style" w:cs="Arial"/>
          <w:lang w:val="es-ES_tradnl"/>
        </w:rPr>
        <w:t>Conforme a las normas tra</w:t>
      </w:r>
      <w:r w:rsidR="00FD2EC7">
        <w:rPr>
          <w:rFonts w:ascii="Bookman Old Style" w:eastAsia="Calibri" w:hAnsi="Bookman Old Style" w:cs="Arial"/>
          <w:lang w:val="es-ES_tradnl"/>
        </w:rPr>
        <w:t>n</w:t>
      </w:r>
      <w:r>
        <w:rPr>
          <w:rFonts w:ascii="Bookman Old Style" w:eastAsia="Calibri" w:hAnsi="Bookman Old Style" w:cs="Arial"/>
          <w:lang w:val="es-ES_tradnl"/>
        </w:rPr>
        <w:t>scritas</w:t>
      </w:r>
      <w:r w:rsidR="00F2105B">
        <w:rPr>
          <w:rFonts w:ascii="Bookman Old Style" w:eastAsia="Calibri" w:hAnsi="Bookman Old Style" w:cs="Arial"/>
          <w:lang w:val="es-ES_tradnl"/>
        </w:rPr>
        <w:t>,</w:t>
      </w:r>
      <w:r>
        <w:rPr>
          <w:rFonts w:ascii="Bookman Old Style" w:eastAsia="Calibri" w:hAnsi="Bookman Old Style" w:cs="Arial"/>
          <w:lang w:val="es-ES_tradnl"/>
        </w:rPr>
        <w:t xml:space="preserve"> hay incumplimiento grave e insalvable cuando el proyecto presente un atraso superior a un año respecto de la fecha de inicio del período de vigencia de la obligación. La regulación no prevé para esta situación la posibilidad de aplicar excepciones o alternativas, como las que pretende la empresa. Lo previsto en la regulación para el caso en que el auditor determine que hay un atraso superior a un año es el desarrollo de una actuación administrativa, parágrafo </w:t>
      </w:r>
      <w:r w:rsidR="00C37F5C">
        <w:rPr>
          <w:rFonts w:ascii="Bookman Old Style" w:eastAsia="Calibri" w:hAnsi="Bookman Old Style" w:cs="Arial"/>
          <w:lang w:val="es-ES_tradnl"/>
        </w:rPr>
        <w:t xml:space="preserve">del </w:t>
      </w:r>
      <w:r>
        <w:rPr>
          <w:rFonts w:ascii="Bookman Old Style" w:eastAsia="Calibri" w:hAnsi="Bookman Old Style" w:cs="Arial"/>
          <w:lang w:val="es-ES_tradnl"/>
        </w:rPr>
        <w:t>artículo 9 de la Resolución CREG 071 de 2006, y unas consecuencias si se establece plenamente la existencia del incumplimiento</w:t>
      </w:r>
      <w:r w:rsidR="00C37F5C">
        <w:rPr>
          <w:rFonts w:ascii="Bookman Old Style" w:eastAsia="Calibri" w:hAnsi="Bookman Old Style" w:cs="Arial"/>
          <w:lang w:val="es-ES_tradnl"/>
        </w:rPr>
        <w:t>,</w:t>
      </w:r>
      <w:r>
        <w:rPr>
          <w:rFonts w:ascii="Bookman Old Style" w:eastAsia="Calibri" w:hAnsi="Bookman Old Style" w:cs="Arial"/>
          <w:lang w:val="es-ES_tradnl"/>
        </w:rPr>
        <w:t xml:space="preserve"> que están </w:t>
      </w:r>
      <w:r w:rsidR="00FA1D49">
        <w:rPr>
          <w:rFonts w:ascii="Bookman Old Style" w:eastAsia="Calibri" w:hAnsi="Bookman Old Style" w:cs="Arial"/>
          <w:lang w:val="es-ES_tradnl"/>
        </w:rPr>
        <w:t>definidas</w:t>
      </w:r>
      <w:r>
        <w:rPr>
          <w:rFonts w:ascii="Bookman Old Style" w:eastAsia="Calibri" w:hAnsi="Bookman Old Style" w:cs="Arial"/>
          <w:lang w:val="es-ES_tradnl"/>
        </w:rPr>
        <w:t xml:space="preserve"> en el numeral 3 del artículo referido.</w:t>
      </w:r>
    </w:p>
    <w:p w14:paraId="2182E42B" w14:textId="77777777" w:rsidR="00F17B1C" w:rsidRDefault="00F17B1C" w:rsidP="00F17B1C">
      <w:pPr>
        <w:ind w:left="0"/>
        <w:jc w:val="both"/>
        <w:rPr>
          <w:rFonts w:ascii="Bookman Old Style" w:eastAsia="Calibri" w:hAnsi="Bookman Old Style" w:cs="Arial"/>
          <w:lang w:val="es-ES_tradnl"/>
        </w:rPr>
      </w:pPr>
    </w:p>
    <w:p w14:paraId="357809A8" w14:textId="77777777" w:rsidR="00F17B1C" w:rsidRPr="00AC7587" w:rsidRDefault="00F17B1C" w:rsidP="00F17B1C">
      <w:pPr>
        <w:ind w:left="708"/>
        <w:jc w:val="both"/>
        <w:rPr>
          <w:rFonts w:ascii="Bookman Old Style" w:eastAsia="Calibri" w:hAnsi="Bookman Old Style" w:cs="Arial"/>
          <w:i/>
          <w:lang w:val="es-ES_tradnl"/>
        </w:rPr>
      </w:pPr>
      <w:r>
        <w:rPr>
          <w:rFonts w:ascii="Bookman Old Style" w:eastAsia="Calibri" w:hAnsi="Bookman Old Style" w:cs="Arial"/>
          <w:i/>
          <w:lang w:val="es-ES_tradnl"/>
        </w:rPr>
        <w:t>“</w:t>
      </w:r>
      <w:r w:rsidRPr="00AC7587">
        <w:rPr>
          <w:rFonts w:ascii="Bookman Old Style" w:eastAsia="Calibri" w:hAnsi="Bookman Old Style" w:cs="Arial"/>
          <w:i/>
          <w:lang w:val="es-ES_tradnl"/>
        </w:rPr>
        <w:t>3.</w:t>
      </w:r>
      <w:r w:rsidRPr="00AC7587">
        <w:rPr>
          <w:rFonts w:ascii="Bookman Old Style" w:eastAsia="Calibri" w:hAnsi="Bookman Old Style" w:cs="Arial"/>
          <w:i/>
          <w:lang w:val="es-ES_tradnl"/>
        </w:rPr>
        <w:tab/>
        <w:t>El incumplimiento grave e insalvable de la puesta en operación de la planta o unidad de generación, dará lugar a:</w:t>
      </w:r>
    </w:p>
    <w:p w14:paraId="5917492C" w14:textId="77777777" w:rsidR="00F17B1C" w:rsidRPr="00AC7587" w:rsidRDefault="00F17B1C" w:rsidP="00F17B1C">
      <w:pPr>
        <w:ind w:left="708"/>
        <w:jc w:val="both"/>
        <w:rPr>
          <w:rFonts w:ascii="Bookman Old Style" w:eastAsia="Calibri" w:hAnsi="Bookman Old Style" w:cs="Arial"/>
          <w:i/>
          <w:lang w:val="es-ES_tradnl"/>
        </w:rPr>
      </w:pPr>
      <w:r w:rsidRPr="00AC7587">
        <w:rPr>
          <w:rFonts w:ascii="Bookman Old Style" w:eastAsia="Calibri" w:hAnsi="Bookman Old Style" w:cs="Arial"/>
          <w:i/>
          <w:lang w:val="es-ES_tradnl"/>
        </w:rPr>
        <w:t>a)</w:t>
      </w:r>
      <w:r w:rsidRPr="00AC7587">
        <w:rPr>
          <w:rFonts w:ascii="Bookman Old Style" w:eastAsia="Calibri" w:hAnsi="Bookman Old Style" w:cs="Arial"/>
          <w:i/>
          <w:lang w:val="es-ES_tradnl"/>
        </w:rPr>
        <w:tab/>
        <w:t xml:space="preserve">La ejecución de la garantía. </w:t>
      </w:r>
    </w:p>
    <w:p w14:paraId="6D5F0056" w14:textId="77777777" w:rsidR="00F17B1C" w:rsidRDefault="00F17B1C" w:rsidP="00F17B1C">
      <w:pPr>
        <w:ind w:left="708"/>
        <w:jc w:val="both"/>
        <w:rPr>
          <w:rFonts w:ascii="Bookman Old Style" w:eastAsia="Calibri" w:hAnsi="Bookman Old Style" w:cs="Arial"/>
          <w:lang w:val="es-ES_tradnl"/>
        </w:rPr>
      </w:pPr>
      <w:r w:rsidRPr="00AC7587">
        <w:rPr>
          <w:rFonts w:ascii="Bookman Old Style" w:eastAsia="Calibri" w:hAnsi="Bookman Old Style" w:cs="Arial"/>
          <w:i/>
          <w:lang w:val="es-ES_tradnl"/>
        </w:rPr>
        <w:t>b)</w:t>
      </w:r>
      <w:r w:rsidRPr="00AC7587">
        <w:rPr>
          <w:rFonts w:ascii="Bookman Old Style" w:eastAsia="Calibri" w:hAnsi="Bookman Old Style" w:cs="Arial"/>
          <w:i/>
          <w:lang w:val="es-ES_tradnl"/>
        </w:rPr>
        <w:tab/>
        <w:t>La pérdida para el generador de la asignación de la Obligación de Energía Firme y la remuneración asociada a ella.</w:t>
      </w:r>
      <w:r>
        <w:rPr>
          <w:rFonts w:ascii="Bookman Old Style" w:eastAsia="Calibri" w:hAnsi="Bookman Old Style" w:cs="Arial"/>
          <w:i/>
          <w:lang w:val="es-ES_tradnl"/>
        </w:rPr>
        <w:t>”</w:t>
      </w:r>
      <w:r>
        <w:rPr>
          <w:rFonts w:ascii="Bookman Old Style" w:eastAsia="Calibri" w:hAnsi="Bookman Old Style" w:cs="Arial"/>
          <w:lang w:val="es-ES_tradnl"/>
        </w:rPr>
        <w:t xml:space="preserve"> </w:t>
      </w:r>
    </w:p>
    <w:p w14:paraId="709CDDE6" w14:textId="77777777" w:rsidR="00F17B1C" w:rsidRDefault="00F17B1C" w:rsidP="00F17B1C">
      <w:pPr>
        <w:ind w:left="0"/>
        <w:jc w:val="both"/>
        <w:rPr>
          <w:rFonts w:ascii="Bookman Old Style" w:eastAsia="Calibri" w:hAnsi="Bookman Old Style" w:cs="Arial"/>
          <w:lang w:val="es-ES_tradnl"/>
        </w:rPr>
      </w:pPr>
    </w:p>
    <w:p w14:paraId="4CF9A7BB" w14:textId="4465DEBF" w:rsidR="00F17B1C" w:rsidRDefault="00F17B1C" w:rsidP="00F17B1C">
      <w:pPr>
        <w:ind w:left="0"/>
        <w:jc w:val="both"/>
        <w:rPr>
          <w:rFonts w:ascii="Bookman Old Style" w:eastAsia="Calibri" w:hAnsi="Bookman Old Style" w:cs="Arial"/>
          <w:lang w:val="es-ES_tradnl"/>
        </w:rPr>
      </w:pPr>
      <w:r>
        <w:rPr>
          <w:rFonts w:ascii="Bookman Old Style" w:eastAsia="Calibri" w:hAnsi="Bookman Old Style" w:cs="Arial"/>
          <w:lang w:val="es-ES_tradnl"/>
        </w:rPr>
        <w:t xml:space="preserve">En la actuación se confirmó que el Proyecto Hidroeléctrico </w:t>
      </w:r>
      <w:proofErr w:type="spellStart"/>
      <w:r>
        <w:rPr>
          <w:rFonts w:ascii="Bookman Old Style" w:eastAsia="Calibri" w:hAnsi="Bookman Old Style" w:cs="Arial"/>
          <w:lang w:val="es-ES_tradnl"/>
        </w:rPr>
        <w:t>Ituango</w:t>
      </w:r>
      <w:proofErr w:type="spellEnd"/>
      <w:r>
        <w:rPr>
          <w:rFonts w:ascii="Bookman Old Style" w:eastAsia="Calibri" w:hAnsi="Bookman Old Style" w:cs="Arial"/>
          <w:lang w:val="es-ES_tradnl"/>
        </w:rPr>
        <w:t xml:space="preserve"> tiene un retraso para su puesta en operación de más de un año respecto del 1 de diciembre de 2018, situación que no ha sido desvirtuada por la empresa y que</w:t>
      </w:r>
      <w:r w:rsidR="00C37F5C">
        <w:rPr>
          <w:rFonts w:ascii="Bookman Old Style" w:eastAsia="Calibri" w:hAnsi="Bookman Old Style" w:cs="Arial"/>
          <w:lang w:val="es-ES_tradnl"/>
        </w:rPr>
        <w:t>,</w:t>
      </w:r>
      <w:r>
        <w:rPr>
          <w:rFonts w:ascii="Bookman Old Style" w:eastAsia="Calibri" w:hAnsi="Bookman Old Style" w:cs="Arial"/>
          <w:lang w:val="es-ES_tradnl"/>
        </w:rPr>
        <w:t xml:space="preserve"> por el contrario</w:t>
      </w:r>
      <w:r w:rsidR="00C37F5C">
        <w:rPr>
          <w:rFonts w:ascii="Bookman Old Style" w:eastAsia="Calibri" w:hAnsi="Bookman Old Style" w:cs="Arial"/>
          <w:lang w:val="es-ES_tradnl"/>
        </w:rPr>
        <w:t>,</w:t>
      </w:r>
      <w:r>
        <w:rPr>
          <w:rFonts w:ascii="Bookman Old Style" w:eastAsia="Calibri" w:hAnsi="Bookman Old Style" w:cs="Arial"/>
          <w:lang w:val="es-ES_tradnl"/>
        </w:rPr>
        <w:t xml:space="preserve"> ha sido reconocida. Por tanto, el proyecto ha incurrido en incumplimiento grave e insalvable y</w:t>
      </w:r>
      <w:r w:rsidR="00C37F5C">
        <w:rPr>
          <w:rFonts w:ascii="Bookman Old Style" w:eastAsia="Calibri" w:hAnsi="Bookman Old Style" w:cs="Arial"/>
          <w:lang w:val="es-ES_tradnl"/>
        </w:rPr>
        <w:t>,</w:t>
      </w:r>
      <w:r>
        <w:rPr>
          <w:rFonts w:ascii="Bookman Old Style" w:eastAsia="Calibri" w:hAnsi="Bookman Old Style" w:cs="Arial"/>
          <w:lang w:val="es-ES_tradnl"/>
        </w:rPr>
        <w:t xml:space="preserve"> en consecuencia</w:t>
      </w:r>
      <w:r w:rsidR="00C37F5C">
        <w:rPr>
          <w:rFonts w:ascii="Bookman Old Style" w:eastAsia="Calibri" w:hAnsi="Bookman Old Style" w:cs="Arial"/>
          <w:lang w:val="es-ES_tradnl"/>
        </w:rPr>
        <w:t>,</w:t>
      </w:r>
      <w:r>
        <w:rPr>
          <w:rFonts w:ascii="Bookman Old Style" w:eastAsia="Calibri" w:hAnsi="Bookman Old Style" w:cs="Arial"/>
          <w:lang w:val="es-ES_tradnl"/>
        </w:rPr>
        <w:t xml:space="preserve"> se aplican las consecuencias previstas en la regulación. </w:t>
      </w:r>
    </w:p>
    <w:p w14:paraId="20A48F6C" w14:textId="77777777" w:rsidR="00F17B1C" w:rsidRDefault="00F17B1C" w:rsidP="00F17B1C">
      <w:pPr>
        <w:ind w:left="0"/>
        <w:jc w:val="both"/>
        <w:rPr>
          <w:rFonts w:ascii="Bookman Old Style" w:eastAsia="Calibri" w:hAnsi="Bookman Old Style" w:cs="Arial"/>
          <w:lang w:val="es-ES_tradnl"/>
        </w:rPr>
      </w:pPr>
    </w:p>
    <w:p w14:paraId="641ED795" w14:textId="28AD3E9C" w:rsidR="00F17B1C" w:rsidRDefault="00C37F5C" w:rsidP="00F17B1C">
      <w:pPr>
        <w:ind w:left="0"/>
        <w:jc w:val="both"/>
        <w:rPr>
          <w:rFonts w:ascii="Bookman Old Style" w:eastAsia="Calibri" w:hAnsi="Bookman Old Style" w:cs="Arial"/>
          <w:lang w:val="es-ES_tradnl"/>
        </w:rPr>
      </w:pPr>
      <w:r>
        <w:rPr>
          <w:rFonts w:ascii="Bookman Old Style" w:eastAsia="Calibri" w:hAnsi="Bookman Old Style" w:cs="Arial"/>
          <w:lang w:val="es-ES_tradnl"/>
        </w:rPr>
        <w:t xml:space="preserve">Sin embargo, en </w:t>
      </w:r>
      <w:r w:rsidR="00F17B1C">
        <w:rPr>
          <w:rFonts w:ascii="Bookman Old Style" w:eastAsia="Calibri" w:hAnsi="Bookman Old Style" w:cs="Arial"/>
          <w:lang w:val="es-ES_tradnl"/>
        </w:rPr>
        <w:t>la actuación y en el recurso, la empresa ha argumentado que</w:t>
      </w:r>
      <w:r>
        <w:rPr>
          <w:rFonts w:ascii="Bookman Old Style" w:eastAsia="Calibri" w:hAnsi="Bookman Old Style" w:cs="Arial"/>
          <w:lang w:val="es-ES_tradnl"/>
        </w:rPr>
        <w:t>,</w:t>
      </w:r>
      <w:r w:rsidR="00F17B1C">
        <w:rPr>
          <w:rFonts w:ascii="Bookman Old Style" w:eastAsia="Calibri" w:hAnsi="Bookman Old Style" w:cs="Arial"/>
          <w:lang w:val="es-ES_tradnl"/>
        </w:rPr>
        <w:t xml:space="preserve"> en tanto que se puede cumplir con uno de los anillos de seguridad previstos en la regulación</w:t>
      </w:r>
      <w:r>
        <w:rPr>
          <w:rFonts w:ascii="Bookman Old Style" w:eastAsia="Calibri" w:hAnsi="Bookman Old Style" w:cs="Arial"/>
          <w:lang w:val="es-ES_tradnl"/>
        </w:rPr>
        <w:t>,</w:t>
      </w:r>
      <w:r w:rsidR="00F17B1C">
        <w:rPr>
          <w:rFonts w:ascii="Bookman Old Style" w:eastAsia="Calibri" w:hAnsi="Bookman Old Style" w:cs="Arial"/>
          <w:lang w:val="es-ES_tradnl"/>
        </w:rPr>
        <w:t xml:space="preserve"> </w:t>
      </w:r>
      <w:r w:rsidR="00ED785A">
        <w:rPr>
          <w:rFonts w:ascii="Bookman Old Style" w:eastAsia="Calibri" w:hAnsi="Bookman Old Style" w:cs="Arial"/>
          <w:lang w:val="es-ES_tradnl"/>
        </w:rPr>
        <w:t xml:space="preserve">el </w:t>
      </w:r>
      <w:r w:rsidR="00F17B1C">
        <w:rPr>
          <w:rFonts w:ascii="Bookman Old Style" w:eastAsia="Calibri" w:hAnsi="Bookman Old Style" w:cs="Arial"/>
          <w:lang w:val="es-ES_tradnl"/>
        </w:rPr>
        <w:t xml:space="preserve">incumplimiento </w:t>
      </w:r>
      <w:r w:rsidR="00ED785A">
        <w:rPr>
          <w:rFonts w:ascii="Bookman Old Style" w:eastAsia="Calibri" w:hAnsi="Bookman Old Style" w:cs="Arial"/>
          <w:lang w:val="es-ES_tradnl"/>
        </w:rPr>
        <w:t xml:space="preserve">no es </w:t>
      </w:r>
      <w:r w:rsidR="00F17B1C">
        <w:rPr>
          <w:rFonts w:ascii="Bookman Old Style" w:eastAsia="Calibri" w:hAnsi="Bookman Old Style" w:cs="Arial"/>
          <w:lang w:val="es-ES_tradnl"/>
        </w:rPr>
        <w:t xml:space="preserve">grave e insalvable. </w:t>
      </w:r>
    </w:p>
    <w:p w14:paraId="0E41558F" w14:textId="77777777" w:rsidR="00F17B1C" w:rsidRDefault="00F17B1C" w:rsidP="00F17B1C">
      <w:pPr>
        <w:ind w:left="0"/>
        <w:jc w:val="both"/>
        <w:rPr>
          <w:rFonts w:ascii="Bookman Old Style" w:eastAsia="Calibri" w:hAnsi="Bookman Old Style" w:cs="Arial"/>
          <w:lang w:val="es-ES_tradnl"/>
        </w:rPr>
      </w:pPr>
    </w:p>
    <w:p w14:paraId="7B7C0E09" w14:textId="2C5AB5D4" w:rsidR="00F17B1C" w:rsidRDefault="00F17B1C" w:rsidP="00F17B1C">
      <w:pPr>
        <w:ind w:left="0"/>
        <w:jc w:val="both"/>
        <w:rPr>
          <w:rFonts w:ascii="Bookman Old Style" w:eastAsia="Calibri" w:hAnsi="Bookman Old Style" w:cs="Arial"/>
          <w:lang w:val="es-ES_tradnl"/>
        </w:rPr>
      </w:pPr>
      <w:r>
        <w:rPr>
          <w:rFonts w:ascii="Bookman Old Style" w:eastAsia="Calibri" w:hAnsi="Bookman Old Style" w:cs="Arial"/>
          <w:lang w:val="es-ES_tradnl"/>
        </w:rPr>
        <w:t>Al respecto se observa que</w:t>
      </w:r>
      <w:r w:rsidR="00C37F5C">
        <w:rPr>
          <w:rFonts w:ascii="Bookman Old Style" w:eastAsia="Calibri" w:hAnsi="Bookman Old Style" w:cs="Arial"/>
          <w:lang w:val="es-ES_tradnl"/>
        </w:rPr>
        <w:t>,</w:t>
      </w:r>
      <w:r>
        <w:rPr>
          <w:rFonts w:ascii="Bookman Old Style" w:eastAsia="Calibri" w:hAnsi="Bookman Old Style" w:cs="Arial"/>
          <w:lang w:val="es-ES_tradnl"/>
        </w:rPr>
        <w:t xml:space="preserve"> si bien es cierto </w:t>
      </w:r>
      <w:r w:rsidR="00C37F5C">
        <w:rPr>
          <w:rFonts w:ascii="Bookman Old Style" w:eastAsia="Calibri" w:hAnsi="Bookman Old Style" w:cs="Arial"/>
          <w:lang w:val="es-ES_tradnl"/>
        </w:rPr>
        <w:t xml:space="preserve">que </w:t>
      </w:r>
      <w:r>
        <w:rPr>
          <w:rFonts w:ascii="Bookman Old Style" w:eastAsia="Calibri" w:hAnsi="Bookman Old Style" w:cs="Arial"/>
          <w:lang w:val="es-ES_tradnl"/>
        </w:rPr>
        <w:t>los anillos de seguridad están planteados como una alternativa para facilitar el cumplimiento de las OEF, tal y como lo indica el artículo 38 de la Resolución CREG 071 de 2006, la forma en que sirven este propósito está reglada por la misma resolución</w:t>
      </w:r>
      <w:r w:rsidR="00C37F5C">
        <w:rPr>
          <w:rFonts w:ascii="Bookman Old Style" w:eastAsia="Calibri" w:hAnsi="Bookman Old Style" w:cs="Arial"/>
          <w:lang w:val="es-ES_tradnl"/>
        </w:rPr>
        <w:t>,</w:t>
      </w:r>
      <w:r>
        <w:rPr>
          <w:rFonts w:ascii="Bookman Old Style" w:eastAsia="Calibri" w:hAnsi="Bookman Old Style" w:cs="Arial"/>
          <w:lang w:val="es-ES_tradnl"/>
        </w:rPr>
        <w:t xml:space="preserve"> y no son de libre aplicación a la conveniencia de los agentes obligados. Concretamente, la regulación</w:t>
      </w:r>
      <w:r w:rsidR="00C37F5C">
        <w:rPr>
          <w:rFonts w:ascii="Bookman Old Style" w:eastAsia="Calibri" w:hAnsi="Bookman Old Style" w:cs="Arial"/>
          <w:lang w:val="es-ES_tradnl"/>
        </w:rPr>
        <w:t>,</w:t>
      </w:r>
      <w:r>
        <w:rPr>
          <w:rFonts w:ascii="Bookman Old Style" w:eastAsia="Calibri" w:hAnsi="Bookman Old Style" w:cs="Arial"/>
          <w:lang w:val="es-ES_tradnl"/>
        </w:rPr>
        <w:t xml:space="preserve"> al establecer las consecuencias del incumplimiento grave e insalvable en el artículo 9 de la resolución ya mencionada, no incluye en forma alguna la posibilidad de utilizar los anillos de seguridad</w:t>
      </w:r>
      <w:r w:rsidR="00C37F5C">
        <w:rPr>
          <w:rFonts w:ascii="Bookman Old Style" w:eastAsia="Calibri" w:hAnsi="Bookman Old Style" w:cs="Arial"/>
          <w:lang w:val="es-ES_tradnl"/>
        </w:rPr>
        <w:t>. E</w:t>
      </w:r>
      <w:r>
        <w:rPr>
          <w:rFonts w:ascii="Bookman Old Style" w:eastAsia="Calibri" w:hAnsi="Bookman Old Style" w:cs="Arial"/>
          <w:lang w:val="es-ES_tradnl"/>
        </w:rPr>
        <w:t>stablece</w:t>
      </w:r>
      <w:r w:rsidR="00C37F5C">
        <w:rPr>
          <w:rFonts w:ascii="Bookman Old Style" w:eastAsia="Calibri" w:hAnsi="Bookman Old Style" w:cs="Arial"/>
          <w:lang w:val="es-ES_tradnl"/>
        </w:rPr>
        <w:t xml:space="preserve"> sí</w:t>
      </w:r>
      <w:r>
        <w:rPr>
          <w:rFonts w:ascii="Bookman Old Style" w:eastAsia="Calibri" w:hAnsi="Bookman Old Style" w:cs="Arial"/>
          <w:lang w:val="es-ES_tradnl"/>
        </w:rPr>
        <w:t xml:space="preserve"> dos </w:t>
      </w:r>
      <w:r>
        <w:rPr>
          <w:rFonts w:ascii="Bookman Old Style" w:eastAsia="Calibri" w:hAnsi="Bookman Old Style" w:cs="Arial"/>
          <w:lang w:val="es-ES_tradnl"/>
        </w:rPr>
        <w:lastRenderedPageBreak/>
        <w:t>consecuencias</w:t>
      </w:r>
      <w:r w:rsidR="00C37F5C">
        <w:rPr>
          <w:rFonts w:ascii="Bookman Old Style" w:eastAsia="Calibri" w:hAnsi="Bookman Old Style" w:cs="Arial"/>
          <w:lang w:val="es-ES_tradnl"/>
        </w:rPr>
        <w:t>,</w:t>
      </w:r>
      <w:r>
        <w:rPr>
          <w:rFonts w:ascii="Bookman Old Style" w:eastAsia="Calibri" w:hAnsi="Bookman Old Style" w:cs="Arial"/>
          <w:lang w:val="es-ES_tradnl"/>
        </w:rPr>
        <w:t xml:space="preserve"> y ninguna de ellas es la utilización de alguno de los anillos.  Es más, tal y como se manifestó en la resolución recurrida, el artículo excluye expresamente la aplicación de los anillos de seguridad cuando se presenta el incumplimiento grave e insalvable</w:t>
      </w:r>
      <w:r w:rsidR="00C37F5C">
        <w:rPr>
          <w:rFonts w:ascii="Bookman Old Style" w:eastAsia="Calibri" w:hAnsi="Bookman Old Style" w:cs="Arial"/>
          <w:lang w:val="es-ES_tradnl"/>
        </w:rPr>
        <w:t>,</w:t>
      </w:r>
      <w:r>
        <w:rPr>
          <w:rFonts w:ascii="Bookman Old Style" w:eastAsia="Calibri" w:hAnsi="Bookman Old Style" w:cs="Arial"/>
          <w:lang w:val="es-ES_tradnl"/>
        </w:rPr>
        <w:t xml:space="preserve"> </w:t>
      </w:r>
      <w:r w:rsidR="00C37F5C">
        <w:rPr>
          <w:rFonts w:ascii="Bookman Old Style" w:eastAsia="Calibri" w:hAnsi="Bookman Old Style" w:cs="Arial"/>
          <w:lang w:val="es-ES_tradnl"/>
        </w:rPr>
        <w:t xml:space="preserve">al determinar </w:t>
      </w:r>
      <w:r>
        <w:rPr>
          <w:rFonts w:ascii="Bookman Old Style" w:eastAsia="Calibri" w:hAnsi="Bookman Old Style" w:cs="Arial"/>
          <w:lang w:val="es-ES_tradnl"/>
        </w:rPr>
        <w:t xml:space="preserve">en el numeral 4: </w:t>
      </w:r>
    </w:p>
    <w:p w14:paraId="61336D39" w14:textId="77777777" w:rsidR="00F17B1C" w:rsidRDefault="00F17B1C" w:rsidP="00F17B1C">
      <w:pPr>
        <w:ind w:left="0"/>
        <w:jc w:val="both"/>
        <w:rPr>
          <w:rFonts w:ascii="Bookman Old Style" w:eastAsia="Calibri" w:hAnsi="Bookman Old Style" w:cs="Arial"/>
          <w:lang w:val="es-ES_tradnl"/>
        </w:rPr>
      </w:pPr>
    </w:p>
    <w:p w14:paraId="0CF20A96" w14:textId="77777777" w:rsidR="00F17B1C" w:rsidRPr="008D3BFE" w:rsidRDefault="00F17B1C" w:rsidP="00F17B1C">
      <w:pPr>
        <w:ind w:left="708"/>
        <w:jc w:val="both"/>
        <w:rPr>
          <w:rFonts w:ascii="Bookman Old Style" w:hAnsi="Bookman Old Style"/>
          <w:i/>
        </w:rPr>
      </w:pPr>
      <w:r w:rsidRPr="008D3BFE">
        <w:rPr>
          <w:rFonts w:ascii="Bookman Old Style" w:hAnsi="Bookman Old Style"/>
          <w:i/>
        </w:rPr>
        <w:t xml:space="preserve">“Cuando la fecha de puesta en operación de la planta determina por el auditor sea posterior a la fecha de inicio de Periodo de Vigencia de la Obligación y </w:t>
      </w:r>
      <w:r w:rsidRPr="008D3BFE">
        <w:rPr>
          <w:rFonts w:ascii="Bookman Old Style" w:hAnsi="Bookman Old Style"/>
          <w:b/>
          <w:i/>
        </w:rPr>
        <w:t>no constituya incumplimiento grave e insalvable,</w:t>
      </w:r>
      <w:r w:rsidRPr="008D3BFE">
        <w:rPr>
          <w:rFonts w:ascii="Bookman Old Style" w:hAnsi="Bookman Old Style"/>
          <w:i/>
        </w:rPr>
        <w:t xml:space="preserve"> el agente deberá garantizar el cumplimiento de su Obligación de Energía Firme a través de un contrato con uno o algunos de los anillos de seguridad, vigente desde la fecha de inicio del Período de Vigencia de la Obligación y hasta la nueva fecha de puesta en operación de la planta. La omisión en la obligación de garantizar la Obligación de Energía Firme a través de un contrato con uno o algunos de los anillos de seguridad dará lugar a que el incumplimiento se considere grave e insalvable con las consecuencias previstas en el numeral 3 de este artículo</w:t>
      </w:r>
      <w:r>
        <w:rPr>
          <w:rFonts w:ascii="Bookman Old Style" w:hAnsi="Bookman Old Style"/>
          <w:i/>
        </w:rPr>
        <w:t>.”</w:t>
      </w:r>
      <w:r w:rsidRPr="008D3BFE">
        <w:rPr>
          <w:rFonts w:ascii="Bookman Old Style" w:hAnsi="Bookman Old Style"/>
          <w:i/>
        </w:rPr>
        <w:t xml:space="preserve">  </w:t>
      </w:r>
      <w:r>
        <w:rPr>
          <w:rFonts w:ascii="Bookman Old Style" w:hAnsi="Bookman Old Style"/>
        </w:rPr>
        <w:t xml:space="preserve">(destacado </w:t>
      </w:r>
      <w:r w:rsidRPr="008D3BFE">
        <w:rPr>
          <w:rFonts w:ascii="Bookman Old Style" w:hAnsi="Bookman Old Style"/>
        </w:rPr>
        <w:t>fuera del texto original)</w:t>
      </w:r>
    </w:p>
    <w:p w14:paraId="3C8CDF07" w14:textId="77777777" w:rsidR="00F17B1C" w:rsidRDefault="00F17B1C" w:rsidP="00F17B1C">
      <w:pPr>
        <w:ind w:left="0"/>
        <w:jc w:val="both"/>
        <w:rPr>
          <w:rFonts w:ascii="Bookman Old Style" w:eastAsia="Calibri" w:hAnsi="Bookman Old Style" w:cs="Arial"/>
        </w:rPr>
      </w:pPr>
    </w:p>
    <w:p w14:paraId="0354F4C6" w14:textId="6FB0263A" w:rsidR="00F17B1C" w:rsidRPr="008D3BFE" w:rsidRDefault="00F17B1C" w:rsidP="00F17B1C">
      <w:pPr>
        <w:ind w:left="0"/>
        <w:jc w:val="both"/>
        <w:rPr>
          <w:rFonts w:ascii="Bookman Old Style" w:eastAsia="Calibri" w:hAnsi="Bookman Old Style" w:cs="Arial"/>
        </w:rPr>
      </w:pPr>
      <w:r>
        <w:rPr>
          <w:rFonts w:ascii="Bookman Old Style" w:eastAsia="Calibri" w:hAnsi="Bookman Old Style" w:cs="Arial"/>
        </w:rPr>
        <w:t>Lo definido en el artículo 9 de la Resolución CREG 071 de 2006 es claro al indicar los casos en los que procede y no procede la utilización de los anillos de seguridad</w:t>
      </w:r>
      <w:r w:rsidR="00C37F5C">
        <w:rPr>
          <w:rFonts w:ascii="Bookman Old Style" w:eastAsia="Calibri" w:hAnsi="Bookman Old Style" w:cs="Arial"/>
        </w:rPr>
        <w:t>,</w:t>
      </w:r>
      <w:r>
        <w:rPr>
          <w:rFonts w:ascii="Bookman Old Style" w:eastAsia="Calibri" w:hAnsi="Bookman Old Style" w:cs="Arial"/>
        </w:rPr>
        <w:t xml:space="preserve"> y no pueden estos desconocerse, como lo pretende el recurso, bajo el argumento de que el objetivo del esquema es brindar cobertura a la demanda, que la obligación principal es energética</w:t>
      </w:r>
      <w:r w:rsidR="00C37F5C">
        <w:rPr>
          <w:rFonts w:ascii="Bookman Old Style" w:eastAsia="Calibri" w:hAnsi="Bookman Old Style" w:cs="Arial"/>
        </w:rPr>
        <w:t>,</w:t>
      </w:r>
      <w:r>
        <w:rPr>
          <w:rFonts w:ascii="Bookman Old Style" w:eastAsia="Calibri" w:hAnsi="Bookman Old Style" w:cs="Arial"/>
        </w:rPr>
        <w:t xml:space="preserve"> y que ello se obtiene con cualquiera de los anillos de seguridad. Menos aún</w:t>
      </w:r>
      <w:r w:rsidR="00C37F5C">
        <w:rPr>
          <w:rFonts w:ascii="Bookman Old Style" w:eastAsia="Calibri" w:hAnsi="Bookman Old Style" w:cs="Arial"/>
        </w:rPr>
        <w:t>,</w:t>
      </w:r>
      <w:r>
        <w:rPr>
          <w:rFonts w:ascii="Bookman Old Style" w:eastAsia="Calibri" w:hAnsi="Bookman Old Style" w:cs="Arial"/>
        </w:rPr>
        <w:t xml:space="preserve"> cuando ello conllevaría, además, el desconocimiento de una obligación clara y expresa que se adquirió al momento de participar en la subasta para plantas GPPS del año 2008, conforme a lo previsto en artículo 7 de la Resolución CREG 071 de 2006,</w:t>
      </w:r>
      <w:r w:rsidR="00667E7A">
        <w:rPr>
          <w:rFonts w:ascii="Bookman Old Style" w:eastAsia="Calibri" w:hAnsi="Bookman Old Style" w:cs="Arial"/>
        </w:rPr>
        <w:t xml:space="preserve"> de</w:t>
      </w:r>
      <w:r>
        <w:rPr>
          <w:rFonts w:ascii="Bookman Old Style" w:eastAsia="Calibri" w:hAnsi="Bookman Old Style" w:cs="Arial"/>
        </w:rPr>
        <w:t xml:space="preserve"> poner en operación comercial el proyecto Pescadero </w:t>
      </w:r>
      <w:proofErr w:type="spellStart"/>
      <w:r>
        <w:rPr>
          <w:rFonts w:ascii="Bookman Old Style" w:eastAsia="Calibri" w:hAnsi="Bookman Old Style" w:cs="Arial"/>
        </w:rPr>
        <w:t>Ituango</w:t>
      </w:r>
      <w:proofErr w:type="spellEnd"/>
      <w:r>
        <w:rPr>
          <w:rFonts w:ascii="Bookman Old Style" w:eastAsia="Calibri" w:hAnsi="Bookman Old Style" w:cs="Arial"/>
        </w:rPr>
        <w:t xml:space="preserve"> el 1 de diciembre de 2018. </w:t>
      </w:r>
    </w:p>
    <w:p w14:paraId="6D3F129D" w14:textId="77777777" w:rsidR="00F17B1C" w:rsidRDefault="00F17B1C" w:rsidP="00F17B1C">
      <w:pPr>
        <w:ind w:left="0"/>
        <w:jc w:val="both"/>
        <w:rPr>
          <w:rFonts w:ascii="Bookman Old Style" w:eastAsia="Calibri" w:hAnsi="Bookman Old Style" w:cs="Arial"/>
          <w:lang w:val="es-ES_tradnl"/>
        </w:rPr>
      </w:pPr>
    </w:p>
    <w:p w14:paraId="27BA0434" w14:textId="0C49D04C" w:rsidR="00F17B1C" w:rsidRDefault="00F17B1C" w:rsidP="00F17B1C">
      <w:pPr>
        <w:ind w:left="0"/>
        <w:jc w:val="both"/>
        <w:rPr>
          <w:rFonts w:ascii="Bookman Old Style" w:eastAsia="Calibri" w:hAnsi="Bookman Old Style" w:cs="Arial"/>
          <w:lang w:val="es-ES_tradnl"/>
        </w:rPr>
      </w:pPr>
      <w:r w:rsidRPr="00540055">
        <w:rPr>
          <w:rFonts w:ascii="Bookman Old Style" w:eastAsia="Calibri" w:hAnsi="Bookman Old Style" w:cs="Arial"/>
          <w:lang w:val="es-ES_tradnl"/>
        </w:rPr>
        <w:t xml:space="preserve">En cuanto a la valoración que se hizo del documento suscrito por el señor Camilo Quintero </w:t>
      </w:r>
      <w:r w:rsidR="00ED785A">
        <w:rPr>
          <w:rFonts w:ascii="Bookman Old Style" w:eastAsia="Calibri" w:hAnsi="Bookman Old Style" w:cs="Arial"/>
          <w:lang w:val="es-ES_tradnl"/>
        </w:rPr>
        <w:t xml:space="preserve">y de su declaración, </w:t>
      </w:r>
      <w:r w:rsidRPr="00540055">
        <w:rPr>
          <w:rFonts w:ascii="Bookman Old Style" w:eastAsia="Calibri" w:hAnsi="Bookman Old Style" w:cs="Arial"/>
          <w:lang w:val="es-ES_tradnl"/>
        </w:rPr>
        <w:t>se reitera que las conclusiones presentadas en él son contrarias a lo expresamente prescito en la regulación vigente, por las razones que se acaban de explicar, en al menos los dos aspectos principales que EPM sustenta con</w:t>
      </w:r>
      <w:r w:rsidR="00ED785A">
        <w:rPr>
          <w:rFonts w:ascii="Bookman Old Style" w:eastAsia="Calibri" w:hAnsi="Bookman Old Style" w:cs="Arial"/>
          <w:lang w:val="es-ES_tradnl"/>
        </w:rPr>
        <w:t xml:space="preserve"> él</w:t>
      </w:r>
      <w:r w:rsidRPr="00540055">
        <w:rPr>
          <w:rFonts w:ascii="Bookman Old Style" w:eastAsia="Calibri" w:hAnsi="Bookman Old Style" w:cs="Arial"/>
          <w:lang w:val="es-ES_tradnl"/>
        </w:rPr>
        <w:t>: lo que es el incumplimiento grave e insalvable en el contexto del esquema del Cargo por Confiabilidad</w:t>
      </w:r>
      <w:r w:rsidR="00C37F5C">
        <w:rPr>
          <w:rFonts w:ascii="Bookman Old Style" w:eastAsia="Calibri" w:hAnsi="Bookman Old Style" w:cs="Arial"/>
          <w:lang w:val="es-ES_tradnl"/>
        </w:rPr>
        <w:t>,</w:t>
      </w:r>
      <w:r w:rsidRPr="00540055">
        <w:rPr>
          <w:rFonts w:ascii="Bookman Old Style" w:eastAsia="Calibri" w:hAnsi="Bookman Old Style" w:cs="Arial"/>
          <w:lang w:val="es-ES_tradnl"/>
        </w:rPr>
        <w:t xml:space="preserve"> y la posibilidad de utilizar anillos de seguridad cuando este incumplimiento se presenta.</w:t>
      </w:r>
    </w:p>
    <w:p w14:paraId="26401057" w14:textId="77777777" w:rsidR="00F17B1C" w:rsidRPr="006A0EA4" w:rsidRDefault="00F17B1C" w:rsidP="00F17B1C">
      <w:pPr>
        <w:ind w:left="0"/>
        <w:jc w:val="both"/>
        <w:rPr>
          <w:rFonts w:ascii="Bookman Old Style" w:eastAsia="Calibri" w:hAnsi="Bookman Old Style" w:cs="Arial"/>
          <w:lang w:val="es-ES_tradnl"/>
        </w:rPr>
      </w:pPr>
    </w:p>
    <w:bookmarkEnd w:id="1"/>
    <w:bookmarkEnd w:id="2"/>
    <w:p w14:paraId="02BF9E18" w14:textId="5D5FF0A4" w:rsidR="00F17B1C" w:rsidRDefault="00C71478" w:rsidP="00F17B1C">
      <w:pPr>
        <w:ind w:left="0"/>
        <w:jc w:val="both"/>
        <w:rPr>
          <w:rFonts w:ascii="Bookman Old Style" w:hAnsi="Bookman Old Style" w:cs="Arial"/>
          <w:bCs/>
        </w:rPr>
      </w:pPr>
      <w:r>
        <w:rPr>
          <w:rFonts w:ascii="Bookman Old Style" w:hAnsi="Bookman Old Style" w:cs="Arial"/>
          <w:bCs/>
        </w:rPr>
        <w:t xml:space="preserve">En el último aparte </w:t>
      </w:r>
      <w:r w:rsidR="00F17B1C">
        <w:rPr>
          <w:rFonts w:ascii="Bookman Old Style" w:hAnsi="Bookman Old Style" w:cs="Arial"/>
          <w:bCs/>
        </w:rPr>
        <w:t>el recurso relacionado con el incumplimiento grave e insalvable de la asignación de OEF con IPVO 2018</w:t>
      </w:r>
      <w:r w:rsidR="00C37F5C">
        <w:rPr>
          <w:rFonts w:ascii="Bookman Old Style" w:hAnsi="Bookman Old Style" w:cs="Arial"/>
          <w:bCs/>
        </w:rPr>
        <w:t>,</w:t>
      </w:r>
      <w:r w:rsidR="00F17B1C">
        <w:rPr>
          <w:rFonts w:ascii="Bookman Old Style" w:hAnsi="Bookman Old Style" w:cs="Arial"/>
          <w:bCs/>
        </w:rPr>
        <w:t xml:space="preserve"> reconoce que pretender que la OEF se honre durante toda su vigencia con los anillos de seguridad sería contrario a la regulación “</w:t>
      </w:r>
      <w:r w:rsidR="00F17B1C">
        <w:rPr>
          <w:rFonts w:ascii="Bookman Old Style" w:hAnsi="Bookman Old Style" w:cs="Arial"/>
          <w:bCs/>
          <w:i/>
        </w:rPr>
        <w:t xml:space="preserve">pues se estaría vulnerando el objetivo de contar con un activo nuevo de generación que cumpla las condiciones exigidas por la CREG para sea asignado en una subasta del Cargo por Confiabilidad.” </w:t>
      </w:r>
      <w:r w:rsidR="00F17B1C">
        <w:rPr>
          <w:rFonts w:ascii="Bookman Old Style" w:hAnsi="Bookman Old Style" w:cs="Arial"/>
          <w:bCs/>
        </w:rPr>
        <w:t xml:space="preserve"> Se reconoce con ello que la puesta en operación de la planta </w:t>
      </w:r>
      <w:r w:rsidR="00C37F5C">
        <w:rPr>
          <w:rFonts w:ascii="Bookman Old Style" w:hAnsi="Bookman Old Style" w:cs="Arial"/>
          <w:bCs/>
        </w:rPr>
        <w:t xml:space="preserve">es </w:t>
      </w:r>
      <w:r w:rsidR="00F17B1C">
        <w:rPr>
          <w:rFonts w:ascii="Bookman Old Style" w:hAnsi="Bookman Old Style" w:cs="Arial"/>
          <w:bCs/>
        </w:rPr>
        <w:t>una obligación principal que debe cumplirse como parte de los compromisos adquiridos al obtener asignaciones en la subasta</w:t>
      </w:r>
      <w:r w:rsidR="00C37F5C">
        <w:rPr>
          <w:rFonts w:ascii="Bookman Old Style" w:hAnsi="Bookman Old Style" w:cs="Arial"/>
          <w:bCs/>
        </w:rPr>
        <w:t>,</w:t>
      </w:r>
      <w:r w:rsidR="00F17B1C">
        <w:rPr>
          <w:rFonts w:ascii="Bookman Old Style" w:hAnsi="Bookman Old Style" w:cs="Arial"/>
          <w:bCs/>
        </w:rPr>
        <w:t xml:space="preserve"> y con ello contradice el argumento planteado en el mismo recurso</w:t>
      </w:r>
      <w:r w:rsidR="00C37F5C">
        <w:rPr>
          <w:rFonts w:ascii="Bookman Old Style" w:hAnsi="Bookman Old Style" w:cs="Arial"/>
          <w:bCs/>
        </w:rPr>
        <w:t>,</w:t>
      </w:r>
      <w:r w:rsidR="00F17B1C">
        <w:rPr>
          <w:rFonts w:ascii="Bookman Old Style" w:hAnsi="Bookman Old Style" w:cs="Arial"/>
          <w:bCs/>
        </w:rPr>
        <w:t xml:space="preserve"> en el sentido de que la obligación principal es la energía. </w:t>
      </w:r>
    </w:p>
    <w:p w14:paraId="0C20B2F3" w14:textId="77777777" w:rsidR="00F17B1C" w:rsidRPr="00C435C3" w:rsidRDefault="00F17B1C" w:rsidP="00045D3D">
      <w:pPr>
        <w:ind w:left="0"/>
        <w:rPr>
          <w:rFonts w:ascii="Bookman Old Style" w:hAnsi="Bookman Old Style"/>
        </w:rPr>
      </w:pPr>
    </w:p>
    <w:p w14:paraId="3B1D9A08" w14:textId="77777777" w:rsidR="00DA79D3" w:rsidRPr="00C71478" w:rsidRDefault="00DA79D3" w:rsidP="00C71478">
      <w:pPr>
        <w:pStyle w:val="Prrafodelista"/>
        <w:numPr>
          <w:ilvl w:val="0"/>
          <w:numId w:val="36"/>
        </w:numPr>
        <w:jc w:val="both"/>
        <w:rPr>
          <w:rFonts w:ascii="Bookman Old Style" w:hAnsi="Bookman Old Style" w:cs="Arial"/>
          <w:b/>
          <w:sz w:val="24"/>
        </w:rPr>
      </w:pPr>
      <w:r w:rsidRPr="00C71478">
        <w:rPr>
          <w:rFonts w:ascii="Bookman Old Style" w:hAnsi="Bookman Old Style" w:cs="Arial"/>
          <w:b/>
          <w:sz w:val="24"/>
        </w:rPr>
        <w:lastRenderedPageBreak/>
        <w:t xml:space="preserve">La solicitud adicional a la Resolución CREG 101 de 2019. Permitir el cumplimiento de las asignaciones de Obligaciones de Energía en Firme, para la vigencia 1º de diciembre de 2021 al 30 de noviembre de 2038, con el número de unidades de generación necesarias para producir la energía firme asignada. </w:t>
      </w:r>
    </w:p>
    <w:p w14:paraId="79AB04E3" w14:textId="77777777" w:rsidR="00DA79D3" w:rsidRDefault="00DA79D3" w:rsidP="00DA79D3">
      <w:pPr>
        <w:ind w:left="0"/>
        <w:rPr>
          <w:rFonts w:ascii="Bookman Old Style" w:hAnsi="Bookman Old Style"/>
          <w:b/>
        </w:rPr>
      </w:pPr>
    </w:p>
    <w:p w14:paraId="30E76C75" w14:textId="449FA4D6" w:rsidR="00DA79D3" w:rsidRPr="00484572" w:rsidRDefault="00DA79D3" w:rsidP="00DA79D3">
      <w:pPr>
        <w:ind w:left="0"/>
        <w:jc w:val="both"/>
        <w:rPr>
          <w:rFonts w:ascii="Bookman Old Style" w:hAnsi="Bookman Old Style"/>
        </w:rPr>
      </w:pPr>
      <w:r>
        <w:rPr>
          <w:rFonts w:ascii="Bookman Old Style" w:hAnsi="Bookman Old Style"/>
        </w:rPr>
        <w:t>En relación con esta solicitud EPM</w:t>
      </w:r>
      <w:r w:rsidR="00C37F5C">
        <w:rPr>
          <w:rFonts w:ascii="Bookman Old Style" w:hAnsi="Bookman Old Style"/>
        </w:rPr>
        <w:t>,</w:t>
      </w:r>
      <w:r>
        <w:rPr>
          <w:rFonts w:ascii="Bookman Old Style" w:hAnsi="Bookman Old Style"/>
        </w:rPr>
        <w:t xml:space="preserve"> dentro de su recurso de reposición</w:t>
      </w:r>
      <w:r w:rsidR="00C37F5C">
        <w:rPr>
          <w:rFonts w:ascii="Bookman Old Style" w:hAnsi="Bookman Old Style"/>
        </w:rPr>
        <w:t>,</w:t>
      </w:r>
      <w:r>
        <w:rPr>
          <w:rFonts w:ascii="Bookman Old Style" w:hAnsi="Bookman Old Style"/>
        </w:rPr>
        <w:t xml:space="preserve"> manifiesta lo siguiente:</w:t>
      </w:r>
    </w:p>
    <w:p w14:paraId="39387EE0" w14:textId="77777777" w:rsidR="00DA79D3" w:rsidRDefault="00DA79D3" w:rsidP="00DA79D3">
      <w:pPr>
        <w:ind w:left="0"/>
        <w:rPr>
          <w:rFonts w:ascii="Bookman Old Style" w:hAnsi="Bookman Old Style"/>
          <w:b/>
        </w:rPr>
      </w:pPr>
    </w:p>
    <w:p w14:paraId="47681DF5" w14:textId="77777777" w:rsidR="00DA79D3" w:rsidRPr="00484572" w:rsidRDefault="00DA79D3" w:rsidP="00DA79D3">
      <w:pPr>
        <w:ind w:left="284" w:right="284"/>
        <w:jc w:val="both"/>
        <w:rPr>
          <w:rFonts w:ascii="Bookman Old Style" w:hAnsi="Bookman Old Style"/>
          <w:i/>
          <w:sz w:val="22"/>
          <w:szCs w:val="22"/>
        </w:rPr>
      </w:pPr>
      <w:r w:rsidRPr="00484572">
        <w:rPr>
          <w:rFonts w:ascii="Bookman Old Style" w:hAnsi="Bookman Old Style"/>
          <w:i/>
          <w:sz w:val="22"/>
          <w:szCs w:val="22"/>
        </w:rPr>
        <w:t xml:space="preserve">“Con fundamento en lo anterior, respetuosamente se solicita a la Comisión ponderar los elementos presentados y dar respuesta a la petición de ‘permitir cumplir las asignaciones de Obligaciones de Energía Firme, para la vigencia de 1º de diciembre de 2021 al 30 de noviembre de 2038, </w:t>
      </w:r>
      <w:r>
        <w:rPr>
          <w:rFonts w:ascii="Bookman Old Style" w:hAnsi="Bookman Old Style"/>
          <w:i/>
          <w:sz w:val="22"/>
          <w:szCs w:val="22"/>
        </w:rPr>
        <w:t xml:space="preserve">con el número de unidades de generación necesarias para producir energía firme asignada’ o en su defecto, aclarar que la anterior solicitud no es objeto de una actuación administrativa cuyo objeto sea determinar la existencia de un incumplimiento grave e insalvable” </w:t>
      </w:r>
    </w:p>
    <w:p w14:paraId="00521DE5" w14:textId="77777777" w:rsidR="00DA79D3" w:rsidRDefault="00DA79D3" w:rsidP="00DA79D3">
      <w:pPr>
        <w:ind w:left="0"/>
        <w:rPr>
          <w:rFonts w:ascii="Bookman Old Style" w:hAnsi="Bookman Old Style"/>
          <w:b/>
        </w:rPr>
      </w:pPr>
    </w:p>
    <w:p w14:paraId="69517E28" w14:textId="5DB3D0C8" w:rsidR="00DA79D3" w:rsidRDefault="00DA79D3" w:rsidP="00DA79D3">
      <w:pPr>
        <w:ind w:left="0"/>
        <w:jc w:val="both"/>
        <w:rPr>
          <w:rFonts w:ascii="Bookman Old Style" w:hAnsi="Bookman Old Style"/>
        </w:rPr>
      </w:pPr>
      <w:r>
        <w:rPr>
          <w:rFonts w:ascii="Bookman Old Style" w:hAnsi="Bookman Old Style"/>
        </w:rPr>
        <w:t>Frente a esta solicitud, se debe precisar que la Comisión</w:t>
      </w:r>
      <w:r w:rsidR="00C37F5C">
        <w:rPr>
          <w:rFonts w:ascii="Bookman Old Style" w:hAnsi="Bookman Old Style"/>
        </w:rPr>
        <w:t>,</w:t>
      </w:r>
      <w:r>
        <w:rPr>
          <w:rFonts w:ascii="Bookman Old Style" w:hAnsi="Bookman Old Style"/>
        </w:rPr>
        <w:t xml:space="preserve"> dentro del trámite de la actuación administrativa que culminó con la expedición de la Resolución CREG 101 de 2019</w:t>
      </w:r>
      <w:r w:rsidR="00C37F5C">
        <w:rPr>
          <w:rFonts w:ascii="Bookman Old Style" w:hAnsi="Bookman Old Style"/>
        </w:rPr>
        <w:t>,</w:t>
      </w:r>
      <w:r>
        <w:rPr>
          <w:rFonts w:ascii="Bookman Old Style" w:hAnsi="Bookman Old Style"/>
        </w:rPr>
        <w:t xml:space="preserve"> llevó a cabo un análisis de estos elementos, el cual se encuentra consignado en el numeral 4.2 de dicho acto administrativo. En dicho numeral la Comisión expuso lo siguiente:</w:t>
      </w:r>
    </w:p>
    <w:p w14:paraId="731D67FF" w14:textId="77777777" w:rsidR="007D3B4B" w:rsidRPr="00C44537" w:rsidRDefault="007D3B4B" w:rsidP="00DA79D3">
      <w:pPr>
        <w:ind w:left="0"/>
        <w:jc w:val="both"/>
        <w:rPr>
          <w:rFonts w:ascii="Bookman Old Style" w:hAnsi="Bookman Old Style"/>
        </w:rPr>
      </w:pPr>
    </w:p>
    <w:p w14:paraId="7661A590" w14:textId="77777777" w:rsidR="00DA79D3" w:rsidRPr="001E1E00" w:rsidRDefault="00DA79D3" w:rsidP="00DA79D3">
      <w:pPr>
        <w:ind w:left="284" w:right="284"/>
        <w:rPr>
          <w:rFonts w:ascii="Bookman Old Style" w:hAnsi="Bookman Old Style"/>
          <w:b/>
          <w:i/>
          <w:sz w:val="22"/>
          <w:szCs w:val="22"/>
        </w:rPr>
      </w:pPr>
      <w:r>
        <w:rPr>
          <w:rFonts w:ascii="Bookman Old Style" w:hAnsi="Bookman Old Style"/>
          <w:b/>
          <w:i/>
          <w:sz w:val="22"/>
          <w:szCs w:val="22"/>
        </w:rPr>
        <w:t>“</w:t>
      </w:r>
      <w:r w:rsidRPr="001E1E00">
        <w:rPr>
          <w:rFonts w:ascii="Bookman Old Style" w:hAnsi="Bookman Old Style"/>
          <w:b/>
          <w:i/>
          <w:sz w:val="22"/>
          <w:szCs w:val="22"/>
        </w:rPr>
        <w:t xml:space="preserve">4.2 Incumplimiento de las OEF con IPVO 2021 </w:t>
      </w:r>
    </w:p>
    <w:p w14:paraId="1B197628" w14:textId="77777777" w:rsidR="00DA79D3" w:rsidRPr="001E1E00" w:rsidRDefault="00DA79D3" w:rsidP="00DA79D3">
      <w:pPr>
        <w:ind w:left="284" w:right="284"/>
        <w:jc w:val="both"/>
        <w:rPr>
          <w:rFonts w:ascii="Bookman Old Style" w:hAnsi="Bookman Old Style"/>
          <w:i/>
          <w:sz w:val="22"/>
          <w:szCs w:val="22"/>
        </w:rPr>
      </w:pPr>
    </w:p>
    <w:p w14:paraId="3AD6A54A" w14:textId="77777777" w:rsidR="00DA79D3" w:rsidRPr="001E1E00" w:rsidRDefault="00DA79D3" w:rsidP="00DA79D3">
      <w:pPr>
        <w:ind w:left="284" w:right="284"/>
        <w:jc w:val="both"/>
        <w:rPr>
          <w:rFonts w:ascii="Bookman Old Style" w:hAnsi="Bookman Old Style"/>
          <w:i/>
          <w:sz w:val="22"/>
          <w:szCs w:val="22"/>
        </w:rPr>
      </w:pPr>
      <w:r w:rsidRPr="001E1E00">
        <w:rPr>
          <w:rFonts w:ascii="Bookman Old Style" w:hAnsi="Bookman Old Style"/>
          <w:i/>
          <w:sz w:val="22"/>
          <w:szCs w:val="22"/>
        </w:rPr>
        <w:t xml:space="preserve">En relación con la OEF con IPVO 2021 y conforme a los artículos 9 de la Resolución CREG 071 de 2006 y 13 de la Resolución CREG 061 de 2017 ya citados le corresponde a esta Comisión establecer la existencia de los siguientes eventos:  i) Si hay un atraso para la puesta en operación de la planta superior a un año respecto del IPVO, 1 diciembre de 2021. </w:t>
      </w:r>
    </w:p>
    <w:p w14:paraId="578FC9AB" w14:textId="77777777" w:rsidR="00DA79D3" w:rsidRPr="001E1E00" w:rsidRDefault="00DA79D3" w:rsidP="00DA79D3">
      <w:pPr>
        <w:ind w:left="284" w:right="284"/>
        <w:jc w:val="both"/>
        <w:rPr>
          <w:rFonts w:ascii="Bookman Old Style" w:hAnsi="Bookman Old Style"/>
          <w:i/>
          <w:sz w:val="22"/>
          <w:szCs w:val="22"/>
        </w:rPr>
      </w:pPr>
    </w:p>
    <w:p w14:paraId="42389165" w14:textId="77777777" w:rsidR="00DA79D3" w:rsidRPr="001E1E00" w:rsidRDefault="00DA79D3" w:rsidP="00DA79D3">
      <w:pPr>
        <w:ind w:left="284" w:right="284"/>
        <w:jc w:val="both"/>
        <w:rPr>
          <w:rFonts w:ascii="Bookman Old Style" w:hAnsi="Bookman Old Style" w:cs="Arial"/>
          <w:i/>
          <w:sz w:val="22"/>
          <w:szCs w:val="22"/>
        </w:rPr>
      </w:pPr>
      <w:r w:rsidRPr="001E1E00">
        <w:rPr>
          <w:rFonts w:ascii="Bookman Old Style" w:hAnsi="Bookman Old Style"/>
          <w:i/>
          <w:sz w:val="22"/>
          <w:szCs w:val="22"/>
        </w:rPr>
        <w:t xml:space="preserve">Es por esto que, </w:t>
      </w:r>
      <w:r w:rsidRPr="001E1E00">
        <w:rPr>
          <w:rFonts w:ascii="Bookman Old Style" w:hAnsi="Bookman Old Style" w:cs="Arial"/>
          <w:i/>
          <w:sz w:val="22"/>
          <w:szCs w:val="22"/>
        </w:rPr>
        <w:t>de acuerdo con lo previsto en la regulación, para efectos de establecer plenamente la existencia del incumplimiento grave e insalvable, uno de los elementos esenciales es contar con un informe del auditor en el cual se indique que la puesta en operación de la planta cuenta con un atraso mayor a un año, contado a partir de la fecha de inicio del periodo de vigencia de la obligación. De esto se extrae que es requerido para establecer la existencia del incumplimiento de la OEF con IPVO 2021, un informe de auditoría que califique el evento de incumplimiento como grave e insalvable, en el cual se exponga que existe un atraso para la entrada en operación del proyecto, mayor a un (1) año respecto del 1º de diciembre del año 2021.</w:t>
      </w:r>
    </w:p>
    <w:p w14:paraId="0F2E953A" w14:textId="77777777" w:rsidR="00DA79D3" w:rsidRPr="001E1E00" w:rsidRDefault="00DA79D3" w:rsidP="00DA79D3">
      <w:pPr>
        <w:ind w:left="284" w:right="284"/>
        <w:jc w:val="both"/>
        <w:rPr>
          <w:rFonts w:ascii="Bookman Old Style" w:hAnsi="Bookman Old Style" w:cs="Arial"/>
          <w:i/>
          <w:sz w:val="22"/>
          <w:szCs w:val="22"/>
        </w:rPr>
      </w:pPr>
    </w:p>
    <w:p w14:paraId="091F9B21" w14:textId="77777777" w:rsidR="00DA79D3" w:rsidRPr="001E1E00" w:rsidRDefault="00DA79D3" w:rsidP="00DA79D3">
      <w:pPr>
        <w:ind w:left="284" w:right="284"/>
        <w:jc w:val="both"/>
        <w:rPr>
          <w:rFonts w:ascii="Bookman Old Style" w:hAnsi="Bookman Old Style" w:cs="Arial"/>
          <w:i/>
          <w:sz w:val="22"/>
          <w:szCs w:val="22"/>
        </w:rPr>
      </w:pPr>
      <w:r w:rsidRPr="001E1E00">
        <w:rPr>
          <w:rFonts w:ascii="Bookman Old Style" w:hAnsi="Bookman Old Style" w:cs="Arial"/>
          <w:i/>
          <w:sz w:val="22"/>
          <w:szCs w:val="22"/>
        </w:rPr>
        <w:t>En este sentido, actualmente dentro del trámite de la presente actuación administrativa esta Comisión cuenta con un informe de auditoría en el cual el auditor concluye que hay un atraso del proyecto mayor a un año frente a la fecha de Inicio del Período de Vigencia de la Obligación-IPVO del año 2018, el cual constituye grave e insalvable, sin precisar el número de días de atraso, toda vez que en el contexto de la auditoría manifiesta que “no nos permite al 30 de junio de 2018, directamente verificar el avance de la curva S real frente a los parámetros usados por el gestor en la curva S declarada ante la CREG, así como, estimar la nueva fecha de puesta en operación de las obras de la planta de generación”.</w:t>
      </w:r>
    </w:p>
    <w:p w14:paraId="33D7E44F" w14:textId="77777777" w:rsidR="00DA79D3" w:rsidRPr="001E1E00" w:rsidRDefault="00DA79D3" w:rsidP="00DA79D3">
      <w:pPr>
        <w:ind w:left="284" w:right="284"/>
        <w:jc w:val="both"/>
        <w:rPr>
          <w:rFonts w:ascii="Bookman Old Style" w:hAnsi="Bookman Old Style" w:cs="Arial"/>
          <w:i/>
          <w:sz w:val="22"/>
          <w:szCs w:val="22"/>
        </w:rPr>
      </w:pPr>
      <w:r w:rsidRPr="001E1E00">
        <w:rPr>
          <w:rFonts w:ascii="Bookman Old Style" w:hAnsi="Bookman Old Style" w:cs="Arial"/>
          <w:i/>
          <w:sz w:val="22"/>
          <w:szCs w:val="22"/>
        </w:rPr>
        <w:lastRenderedPageBreak/>
        <w:t>Adicionalmente, esta Comisión ha procedido a llevar a cabo un ejercicio de valoración autónoma, libre e integral de las pruebas por parte en el marco de los artículos 168, 176, 178 y 232 del Código General del Proceso, sustentado dentro de los parámetros de la sana crítica, como parte de la aplicación de los principios que rigen la prueba y los fines que debe cumplir el ejercicio de la facultad regulatoria de los servicios públicos domiciliarios de energía eléctrica y gas combustible.</w:t>
      </w:r>
    </w:p>
    <w:p w14:paraId="7C5E71BA" w14:textId="77777777" w:rsidR="00DA79D3" w:rsidRPr="00BC1529" w:rsidRDefault="00DA79D3" w:rsidP="00DA79D3">
      <w:pPr>
        <w:ind w:left="284" w:right="284"/>
        <w:jc w:val="both"/>
        <w:rPr>
          <w:rFonts w:ascii="Bookman Old Style" w:hAnsi="Bookman Old Style" w:cs="Arial"/>
          <w:i/>
          <w:szCs w:val="22"/>
        </w:rPr>
      </w:pPr>
    </w:p>
    <w:p w14:paraId="4E3DF444" w14:textId="77777777" w:rsidR="00DA79D3" w:rsidRPr="001E1E00" w:rsidRDefault="00DA79D3" w:rsidP="00DA79D3">
      <w:pPr>
        <w:ind w:left="284" w:right="284"/>
        <w:jc w:val="both"/>
        <w:rPr>
          <w:rFonts w:ascii="Bookman Old Style" w:hAnsi="Bookman Old Style" w:cs="Arial"/>
          <w:b/>
          <w:bCs/>
          <w:i/>
          <w:sz w:val="22"/>
          <w:szCs w:val="22"/>
          <w:u w:val="single"/>
        </w:rPr>
      </w:pPr>
      <w:r w:rsidRPr="001E1E00">
        <w:rPr>
          <w:rFonts w:ascii="Bookman Old Style" w:hAnsi="Bookman Old Style" w:cs="Arial"/>
          <w:b/>
          <w:bCs/>
          <w:i/>
          <w:sz w:val="22"/>
          <w:szCs w:val="22"/>
          <w:u w:val="single"/>
        </w:rPr>
        <w:t xml:space="preserve">Al respecto se observa que la Comisión no cuenta con elementos de juicio suficientes que le permitan establecer que la construcción de la planta presente un atraso mayor a un año respecto del IPVO de la respectiva obligación, 1 de diciembre de 2021.  </w:t>
      </w:r>
    </w:p>
    <w:p w14:paraId="39D0ACBF" w14:textId="77777777" w:rsidR="00DA79D3" w:rsidRPr="00BC1529" w:rsidRDefault="00DA79D3" w:rsidP="00DA79D3">
      <w:pPr>
        <w:ind w:left="284" w:right="284"/>
        <w:jc w:val="both"/>
        <w:rPr>
          <w:rFonts w:ascii="Bookman Old Style" w:hAnsi="Bookman Old Style" w:cs="Arial"/>
          <w:bCs/>
          <w:i/>
          <w:szCs w:val="22"/>
        </w:rPr>
      </w:pPr>
    </w:p>
    <w:p w14:paraId="157FDF46" w14:textId="77777777" w:rsidR="00DA79D3" w:rsidRPr="001E1E00" w:rsidRDefault="00DA79D3" w:rsidP="00DA79D3">
      <w:pPr>
        <w:ind w:left="284" w:right="284"/>
        <w:jc w:val="both"/>
        <w:rPr>
          <w:rFonts w:ascii="Bookman Old Style" w:hAnsi="Bookman Old Style" w:cs="Arial"/>
          <w:bCs/>
          <w:i/>
          <w:sz w:val="22"/>
          <w:szCs w:val="22"/>
        </w:rPr>
      </w:pPr>
      <w:r w:rsidRPr="001E1E00">
        <w:rPr>
          <w:rFonts w:ascii="Bookman Old Style" w:hAnsi="Bookman Old Style" w:cs="Arial"/>
          <w:bCs/>
          <w:i/>
          <w:sz w:val="22"/>
          <w:szCs w:val="22"/>
        </w:rPr>
        <w:t xml:space="preserve">Si bien se observan diferencias en lo expresado en los diferentes testimonios rendidos tanto por los miembros del grupo de asesores de EPM, como por el señor Álvaro </w:t>
      </w:r>
      <w:proofErr w:type="spellStart"/>
      <w:r w:rsidRPr="001E1E00">
        <w:rPr>
          <w:rFonts w:ascii="Bookman Old Style" w:hAnsi="Bookman Old Style" w:cs="Arial"/>
          <w:bCs/>
          <w:i/>
          <w:sz w:val="22"/>
          <w:szCs w:val="22"/>
        </w:rPr>
        <w:t>Aravi</w:t>
      </w:r>
      <w:proofErr w:type="spellEnd"/>
      <w:r w:rsidRPr="001E1E00">
        <w:rPr>
          <w:rFonts w:ascii="Bookman Old Style" w:hAnsi="Bookman Old Style" w:cs="Arial"/>
          <w:bCs/>
          <w:i/>
          <w:sz w:val="22"/>
          <w:szCs w:val="22"/>
        </w:rPr>
        <w:t xml:space="preserve"> Castro, de la firma </w:t>
      </w:r>
      <w:proofErr w:type="spellStart"/>
      <w:r w:rsidRPr="001E1E00">
        <w:rPr>
          <w:rFonts w:ascii="Bookman Old Style" w:hAnsi="Bookman Old Style" w:cs="Arial"/>
          <w:bCs/>
          <w:i/>
          <w:sz w:val="22"/>
          <w:szCs w:val="22"/>
        </w:rPr>
        <w:t>Ingetec</w:t>
      </w:r>
      <w:proofErr w:type="spellEnd"/>
      <w:r w:rsidRPr="001E1E00">
        <w:rPr>
          <w:rFonts w:ascii="Bookman Old Style" w:hAnsi="Bookman Old Style" w:cs="Arial"/>
          <w:bCs/>
          <w:i/>
          <w:sz w:val="22"/>
          <w:szCs w:val="22"/>
        </w:rPr>
        <w:t xml:space="preserve"> interventora del proyecto y Luis Ferrando Restrepo Vélez, de la firma Integral diseñadora del proyecto, todos coinciden en que se tiene como objetivo que el proyecto esté en operación antes del 1 de diciembre del 2022.  Así mismo la curva S y el cronograma de construcción entregados por el señor Jorge Londoño, Gerente de EPM, en su declaración juramentada indican que las primeras 4 unidades del proyecto estarán en operación el 5 de noviembre de 2022.  </w:t>
      </w:r>
    </w:p>
    <w:p w14:paraId="65A549A2" w14:textId="77777777" w:rsidR="00DA79D3" w:rsidRPr="00BC1529" w:rsidRDefault="00DA79D3" w:rsidP="00DA79D3">
      <w:pPr>
        <w:ind w:left="284" w:right="284"/>
        <w:jc w:val="both"/>
        <w:rPr>
          <w:rFonts w:ascii="Bookman Old Style" w:hAnsi="Bookman Old Style" w:cs="Arial"/>
          <w:bCs/>
          <w:i/>
          <w:szCs w:val="22"/>
        </w:rPr>
      </w:pPr>
    </w:p>
    <w:p w14:paraId="1106B774" w14:textId="77777777" w:rsidR="00DA79D3" w:rsidRPr="001E1E00" w:rsidRDefault="00DA79D3" w:rsidP="00DA79D3">
      <w:pPr>
        <w:ind w:left="284" w:right="284"/>
        <w:jc w:val="both"/>
        <w:rPr>
          <w:rFonts w:ascii="Bookman Old Style" w:hAnsi="Bookman Old Style" w:cs="Arial"/>
          <w:bCs/>
          <w:i/>
          <w:sz w:val="22"/>
          <w:szCs w:val="22"/>
        </w:rPr>
      </w:pPr>
      <w:r w:rsidRPr="001E1E00">
        <w:rPr>
          <w:rFonts w:ascii="Bookman Old Style" w:hAnsi="Bookman Old Style" w:cs="Arial"/>
          <w:bCs/>
          <w:i/>
          <w:sz w:val="22"/>
          <w:szCs w:val="22"/>
        </w:rPr>
        <w:t>Los demás elementos de prueba en especial: i) Informe causa raíz Escava; ii) Informe Universidad Nacional; iii) Comunicados y declaraciones de prensa EPM; iv) Información entregada a CREG por EPM; iv) resoluciones y comunicación de la Autoridad de Licencias Ambientales, no aportan elementos que permitan concluir que se presenta un incumplimiento grave e insalvable respecto de la OEF con IPVO 2021.</w:t>
      </w:r>
    </w:p>
    <w:p w14:paraId="49B88A52" w14:textId="77777777" w:rsidR="00DA79D3" w:rsidRPr="00BC1529" w:rsidRDefault="00DA79D3" w:rsidP="00DA79D3">
      <w:pPr>
        <w:ind w:left="284" w:right="284"/>
        <w:jc w:val="both"/>
        <w:rPr>
          <w:rFonts w:ascii="Bookman Old Style" w:hAnsi="Bookman Old Style" w:cs="Arial"/>
          <w:bCs/>
          <w:i/>
          <w:szCs w:val="22"/>
        </w:rPr>
      </w:pPr>
    </w:p>
    <w:p w14:paraId="479F59EF" w14:textId="77777777" w:rsidR="00DA79D3" w:rsidRPr="001E1E00" w:rsidRDefault="00DA79D3" w:rsidP="00DA79D3">
      <w:pPr>
        <w:ind w:left="284" w:right="284"/>
        <w:jc w:val="both"/>
        <w:rPr>
          <w:rFonts w:ascii="Bookman Old Style" w:hAnsi="Bookman Old Style" w:cs="Arial"/>
          <w:i/>
          <w:sz w:val="22"/>
          <w:szCs w:val="22"/>
        </w:rPr>
      </w:pPr>
      <w:r w:rsidRPr="001E1E00">
        <w:rPr>
          <w:rFonts w:ascii="Bookman Old Style" w:hAnsi="Bookman Old Style" w:cs="Arial"/>
          <w:b/>
          <w:i/>
          <w:sz w:val="22"/>
          <w:szCs w:val="22"/>
          <w:u w:val="single"/>
        </w:rPr>
        <w:t>Dichas circunstancias conllevan a que esta Comisión, en este momento, no pueda establecer plenamente la existencia del incumplimiento grave e insalvable de la OEF con IPVO 2021, lo cual no implica que esta Comisión no pueda adelantar una actuación administrativa posterior a este respecto</w:t>
      </w:r>
      <w:r w:rsidRPr="001E1E00">
        <w:rPr>
          <w:rFonts w:ascii="Bookman Old Style" w:hAnsi="Bookman Old Style" w:cs="Arial"/>
          <w:i/>
          <w:sz w:val="22"/>
          <w:szCs w:val="22"/>
        </w:rPr>
        <w:t>.</w:t>
      </w:r>
    </w:p>
    <w:p w14:paraId="474A001D" w14:textId="77777777" w:rsidR="00DA79D3" w:rsidRPr="001E1E00" w:rsidRDefault="00DA79D3" w:rsidP="00DA79D3">
      <w:pPr>
        <w:ind w:left="284" w:right="284"/>
        <w:jc w:val="both"/>
        <w:rPr>
          <w:rFonts w:ascii="Bookman Old Style" w:hAnsi="Bookman Old Style" w:cs="Arial"/>
          <w:i/>
          <w:sz w:val="22"/>
          <w:szCs w:val="22"/>
        </w:rPr>
      </w:pPr>
    </w:p>
    <w:p w14:paraId="7CF32DA6" w14:textId="77777777" w:rsidR="00DA79D3" w:rsidRPr="001E1E00" w:rsidRDefault="00DA79D3" w:rsidP="00DA79D3">
      <w:pPr>
        <w:ind w:left="284" w:right="284"/>
        <w:jc w:val="both"/>
        <w:rPr>
          <w:rFonts w:ascii="Bookman Old Style" w:hAnsi="Bookman Old Style" w:cs="Arial"/>
          <w:i/>
          <w:sz w:val="22"/>
          <w:szCs w:val="22"/>
        </w:rPr>
      </w:pPr>
      <w:r w:rsidRPr="001E1E00">
        <w:rPr>
          <w:rFonts w:ascii="Bookman Old Style" w:hAnsi="Bookman Old Style" w:cs="Arial"/>
          <w:i/>
          <w:sz w:val="22"/>
          <w:szCs w:val="22"/>
        </w:rPr>
        <w:t>Sin perjuicio de lo anterior, debe destacarse que la Resolución CREG 820 de 2018 de la ANLA impone al proyecto una limitación en cuanto a las actividades que puede desarrollar limitándolas a las necesarias para atender la contingencia, como consecuencia de lo cual las que estén encaminadas a la construcción del proyecto quedan suspendidas hasta tanto la Autoridad levante la medida, previa entrega por parte de EPM de un estudio ambiental sobre las condiciones del proyecto.  Adicionalmente, se observan en los testimonios de los miembros del grupo asesor de EPM, del diseñador del proyecto que a la fecha hay incertidumbre o elementos no definidos en algunos de los frentes de obra del proyecto, lo cual se confirma en el cronograma entregado por el Gerente de EPM.</w:t>
      </w:r>
      <w:r>
        <w:rPr>
          <w:rFonts w:ascii="Bookman Old Style" w:hAnsi="Bookman Old Style" w:cs="Arial"/>
          <w:i/>
          <w:sz w:val="22"/>
          <w:szCs w:val="22"/>
        </w:rPr>
        <w:t>”</w:t>
      </w:r>
      <w:r w:rsidRPr="001E1E00">
        <w:rPr>
          <w:rFonts w:ascii="Bookman Old Style" w:hAnsi="Bookman Old Style" w:cs="Arial"/>
          <w:i/>
          <w:sz w:val="22"/>
          <w:szCs w:val="22"/>
        </w:rPr>
        <w:t xml:space="preserve">  </w:t>
      </w:r>
      <w:r>
        <w:rPr>
          <w:rFonts w:ascii="Bookman Old Style" w:hAnsi="Bookman Old Style" w:cs="Arial"/>
          <w:i/>
          <w:sz w:val="22"/>
          <w:szCs w:val="22"/>
        </w:rPr>
        <w:t>(Resaltado fuera de texto)</w:t>
      </w:r>
    </w:p>
    <w:p w14:paraId="182B46B2" w14:textId="77777777" w:rsidR="00DA79D3" w:rsidRPr="00BC1529" w:rsidRDefault="00DA79D3" w:rsidP="00DA79D3">
      <w:pPr>
        <w:ind w:left="0"/>
        <w:rPr>
          <w:rFonts w:ascii="Bookman Old Style" w:hAnsi="Bookman Old Style"/>
          <w:b/>
          <w:sz w:val="28"/>
        </w:rPr>
      </w:pPr>
    </w:p>
    <w:p w14:paraId="4F43EB36" w14:textId="09D60051" w:rsidR="00DA79D3" w:rsidRDefault="00DA79D3" w:rsidP="00DA79D3">
      <w:pPr>
        <w:ind w:left="0"/>
        <w:jc w:val="both"/>
        <w:rPr>
          <w:rFonts w:ascii="Bookman Old Style" w:hAnsi="Bookman Old Style"/>
        </w:rPr>
      </w:pPr>
      <w:r w:rsidRPr="001E1E00">
        <w:rPr>
          <w:rFonts w:ascii="Bookman Old Style" w:hAnsi="Bookman Old Style"/>
        </w:rPr>
        <w:t xml:space="preserve">Adicionalmente, </w:t>
      </w:r>
      <w:r>
        <w:rPr>
          <w:rFonts w:ascii="Bookman Old Style" w:hAnsi="Bookman Old Style"/>
        </w:rPr>
        <w:t>la Comisión precisó la necesidad de establecer una serie de medidas específicas</w:t>
      </w:r>
      <w:r w:rsidR="00C37F5C">
        <w:rPr>
          <w:rFonts w:ascii="Bookman Old Style" w:hAnsi="Bookman Old Style"/>
        </w:rPr>
        <w:t>,</w:t>
      </w:r>
      <w:r>
        <w:rPr>
          <w:rFonts w:ascii="Bookman Old Style" w:hAnsi="Bookman Old Style"/>
        </w:rPr>
        <w:t xml:space="preserve"> a efectos de que se deba </w:t>
      </w:r>
      <w:r w:rsidRPr="001E1E00">
        <w:rPr>
          <w:rFonts w:ascii="Bookman Old Style" w:hAnsi="Bookman Old Style"/>
        </w:rPr>
        <w:t xml:space="preserve">establecer plenamente la existencia del incumplimiento grave e insalvable de la OEF con IPVO </w:t>
      </w:r>
      <w:r w:rsidR="00961253">
        <w:rPr>
          <w:rFonts w:ascii="Bookman Old Style" w:hAnsi="Bookman Old Style"/>
        </w:rPr>
        <w:t xml:space="preserve">1 de diciembre de </w:t>
      </w:r>
      <w:r w:rsidRPr="001E1E00">
        <w:rPr>
          <w:rFonts w:ascii="Bookman Old Style" w:hAnsi="Bookman Old Style"/>
        </w:rPr>
        <w:t>2021,</w:t>
      </w:r>
      <w:r>
        <w:rPr>
          <w:rFonts w:ascii="Bookman Old Style" w:hAnsi="Bookman Old Style"/>
        </w:rPr>
        <w:t xml:space="preserve"> para lo cual</w:t>
      </w:r>
      <w:r w:rsidR="00961253">
        <w:rPr>
          <w:rFonts w:ascii="Bookman Old Style" w:hAnsi="Bookman Old Style"/>
        </w:rPr>
        <w:t>,</w:t>
      </w:r>
      <w:r>
        <w:rPr>
          <w:rFonts w:ascii="Bookman Old Style" w:hAnsi="Bookman Old Style"/>
        </w:rPr>
        <w:t xml:space="preserve"> en el numeral 5 de dicho acto administrativo expuso:</w:t>
      </w:r>
    </w:p>
    <w:p w14:paraId="71D6EC2E" w14:textId="17F9A5B2" w:rsidR="00BC1529" w:rsidRDefault="00BC1529" w:rsidP="00DA79D3">
      <w:pPr>
        <w:ind w:left="0"/>
        <w:jc w:val="both"/>
        <w:rPr>
          <w:rFonts w:ascii="Bookman Old Style" w:hAnsi="Bookman Old Style"/>
        </w:rPr>
      </w:pPr>
    </w:p>
    <w:p w14:paraId="5F56654B" w14:textId="617DC055" w:rsidR="00BC1529" w:rsidRDefault="00BC1529" w:rsidP="00DA79D3">
      <w:pPr>
        <w:ind w:left="0"/>
        <w:jc w:val="both"/>
        <w:rPr>
          <w:rFonts w:ascii="Bookman Old Style" w:hAnsi="Bookman Old Style"/>
        </w:rPr>
      </w:pPr>
    </w:p>
    <w:p w14:paraId="3048712B" w14:textId="77777777" w:rsidR="00BC1529" w:rsidRPr="001E1E00" w:rsidRDefault="00BC1529" w:rsidP="00DA79D3">
      <w:pPr>
        <w:ind w:left="0"/>
        <w:jc w:val="both"/>
        <w:rPr>
          <w:rFonts w:ascii="Bookman Old Style" w:hAnsi="Bookman Old Style"/>
        </w:rPr>
      </w:pPr>
    </w:p>
    <w:p w14:paraId="44D678B7" w14:textId="77777777" w:rsidR="00DA79D3" w:rsidRPr="001E1E00" w:rsidRDefault="00DA79D3" w:rsidP="00DA79D3">
      <w:pPr>
        <w:ind w:left="284" w:right="284"/>
        <w:jc w:val="both"/>
        <w:rPr>
          <w:rFonts w:ascii="Bookman Old Style" w:hAnsi="Bookman Old Style" w:cs="Arial"/>
          <w:b/>
          <w:i/>
          <w:sz w:val="22"/>
          <w:szCs w:val="22"/>
        </w:rPr>
      </w:pPr>
      <w:r w:rsidRPr="001E1E00">
        <w:rPr>
          <w:rFonts w:ascii="Bookman Old Style" w:hAnsi="Bookman Old Style" w:cs="Arial"/>
          <w:b/>
          <w:i/>
          <w:sz w:val="22"/>
          <w:szCs w:val="22"/>
        </w:rPr>
        <w:lastRenderedPageBreak/>
        <w:t xml:space="preserve">“5. Medidas particulares:  </w:t>
      </w:r>
    </w:p>
    <w:p w14:paraId="72E1F10C" w14:textId="77777777" w:rsidR="00DA79D3" w:rsidRPr="001E1E00" w:rsidRDefault="00DA79D3" w:rsidP="00DA79D3">
      <w:pPr>
        <w:ind w:left="284" w:right="284"/>
        <w:jc w:val="both"/>
        <w:rPr>
          <w:rFonts w:ascii="Bookman Old Style" w:hAnsi="Bookman Old Style" w:cs="Arial"/>
          <w:i/>
          <w:sz w:val="22"/>
          <w:szCs w:val="22"/>
        </w:rPr>
      </w:pPr>
    </w:p>
    <w:p w14:paraId="60E96121" w14:textId="77777777" w:rsidR="00DA79D3" w:rsidRPr="001E1E00" w:rsidRDefault="00DA79D3" w:rsidP="00DA79D3">
      <w:pPr>
        <w:ind w:left="284" w:right="284"/>
        <w:jc w:val="both"/>
        <w:rPr>
          <w:rFonts w:ascii="Bookman Old Style" w:hAnsi="Bookman Old Style" w:cs="Arial"/>
          <w:b/>
          <w:i/>
          <w:sz w:val="22"/>
          <w:szCs w:val="22"/>
          <w:u w:val="single"/>
        </w:rPr>
      </w:pPr>
      <w:r w:rsidRPr="001E1E00">
        <w:rPr>
          <w:rFonts w:ascii="Bookman Old Style" w:hAnsi="Bookman Old Style" w:cs="Arial"/>
          <w:b/>
          <w:i/>
          <w:sz w:val="22"/>
          <w:szCs w:val="22"/>
          <w:u w:val="single"/>
        </w:rPr>
        <w:t xml:space="preserve">Expuesta la carencia de elementos de juicio y probatorios que permitan establecer la existencia de un incumplimiento grave e insalvable respecto de la OEF con IPVO para el 1º de diciembre de 2021 y las incertidumbres que se evidenciaron en las pruebas practicadas sobre la fecha de puesta en operación de la planta, esta Comisión considera necesario adoptar medidas específicas a fin de garantizar el seguimiento previsto en la Resolución CREG 071 de 2006 para la entrada en operación de la planta que garantiza la OEF con IPVO 2021.  </w:t>
      </w:r>
    </w:p>
    <w:p w14:paraId="74400DEB" w14:textId="77777777" w:rsidR="00DA79D3" w:rsidRPr="001E1E00" w:rsidRDefault="00DA79D3" w:rsidP="00DA79D3">
      <w:pPr>
        <w:ind w:left="284" w:right="284"/>
        <w:jc w:val="both"/>
        <w:rPr>
          <w:rFonts w:ascii="Bookman Old Style" w:hAnsi="Bookman Old Style" w:cs="Arial"/>
          <w:i/>
          <w:sz w:val="22"/>
          <w:szCs w:val="22"/>
        </w:rPr>
      </w:pPr>
    </w:p>
    <w:p w14:paraId="5862F5E4" w14:textId="77777777" w:rsidR="00DA79D3" w:rsidRPr="001E1E00" w:rsidRDefault="00DA79D3" w:rsidP="00DA79D3">
      <w:pPr>
        <w:ind w:left="284" w:right="284"/>
        <w:jc w:val="both"/>
        <w:rPr>
          <w:rFonts w:ascii="Bookman Old Style" w:hAnsi="Bookman Old Style" w:cs="Arial"/>
          <w:i/>
          <w:sz w:val="22"/>
          <w:szCs w:val="22"/>
        </w:rPr>
      </w:pPr>
      <w:r w:rsidRPr="001E1E00">
        <w:rPr>
          <w:rFonts w:ascii="Bookman Old Style" w:hAnsi="Bookman Old Style" w:cs="Arial"/>
          <w:b/>
          <w:i/>
          <w:sz w:val="22"/>
          <w:szCs w:val="22"/>
          <w:u w:val="single"/>
        </w:rPr>
        <w:t>Para estos efectos se debe ordenar al ASIC en su calidad de administrador de la subasta y operador del mercado la realización de la auditoria de que trata el artículo 8 la Resolución CREG 071 de 2006.</w:t>
      </w:r>
      <w:r w:rsidRPr="001E1E00">
        <w:rPr>
          <w:rFonts w:ascii="Bookman Old Style" w:hAnsi="Bookman Old Style" w:cs="Arial"/>
          <w:i/>
          <w:sz w:val="22"/>
          <w:szCs w:val="22"/>
        </w:rPr>
        <w:t xml:space="preserve"> Teniendo en cuenta que el proyecto Hidroeléctrico </w:t>
      </w:r>
      <w:proofErr w:type="spellStart"/>
      <w:r w:rsidRPr="001E1E00">
        <w:rPr>
          <w:rFonts w:ascii="Bookman Old Style" w:hAnsi="Bookman Old Style" w:cs="Arial"/>
          <w:i/>
          <w:sz w:val="22"/>
          <w:szCs w:val="22"/>
        </w:rPr>
        <w:t>Ituango</w:t>
      </w:r>
      <w:proofErr w:type="spellEnd"/>
      <w:r w:rsidRPr="001E1E00">
        <w:rPr>
          <w:rFonts w:ascii="Bookman Old Style" w:hAnsi="Bookman Old Style" w:cs="Arial"/>
          <w:i/>
          <w:sz w:val="22"/>
          <w:szCs w:val="22"/>
        </w:rPr>
        <w:t xml:space="preserve"> cuenta además con unas obligaciones asignadas en la subasta de febrero de 2019 con IPVO 2022, cuyo cumplimiento debe ser auditado de conformidad con lo dispuesto por la Resolución 071 de 2006, resulta pertinente que el seguimiento a la asignación con IPVO 1 de diciembre 2021 sea realizado por el mismo auditor, a efectos de guardar consistencia sobre el seguimiento a la ejecución del proyecto y a su entrada en operación. </w:t>
      </w:r>
    </w:p>
    <w:p w14:paraId="6780200A" w14:textId="77777777" w:rsidR="00DA79D3" w:rsidRPr="001E1E00" w:rsidRDefault="00DA79D3" w:rsidP="00DA79D3">
      <w:pPr>
        <w:ind w:left="284" w:right="284"/>
        <w:jc w:val="both"/>
        <w:rPr>
          <w:rFonts w:ascii="Bookman Old Style" w:hAnsi="Bookman Old Style" w:cs="Arial"/>
          <w:i/>
          <w:sz w:val="22"/>
          <w:szCs w:val="22"/>
        </w:rPr>
      </w:pPr>
    </w:p>
    <w:p w14:paraId="395A1545" w14:textId="77777777" w:rsidR="00DA79D3" w:rsidRPr="001E1E00" w:rsidRDefault="00DA79D3" w:rsidP="00DA79D3">
      <w:pPr>
        <w:ind w:left="284" w:right="284"/>
        <w:jc w:val="both"/>
        <w:rPr>
          <w:rFonts w:ascii="Bookman Old Style" w:hAnsi="Bookman Old Style" w:cs="Arial"/>
          <w:i/>
          <w:sz w:val="22"/>
          <w:szCs w:val="22"/>
        </w:rPr>
      </w:pPr>
      <w:r w:rsidRPr="001E1E00">
        <w:rPr>
          <w:rFonts w:ascii="Bookman Old Style" w:hAnsi="Bookman Old Style" w:cs="Arial"/>
          <w:i/>
          <w:sz w:val="22"/>
          <w:szCs w:val="22"/>
        </w:rPr>
        <w:t>Igualmente, en el marco de dicha consistencia el auditor deberá incorporar toda la información relevante, en los términos del numeral 1.5 del Anexo 1 de la Resolución CREG 071 de 2006, a efectos de emitir los informes correspondientes en los que se indique explícitamente el número de días de desviación comparando la Curva S de ejecución real respecto de IPVO 1 de diciembre 2021 y IPVO 1 de diciembre 2022.  El auditor deberá considerar la información contenida en la curva s y cronograma de construcción aportado por el gerente de EPM ESP en el informe rendido bajo la gravedad del juramento durante el trámite de esta actuación, en razón a que es la información más actualizada aportada por EPM sobre el estado y avance del proyecto.</w:t>
      </w:r>
      <w:r>
        <w:rPr>
          <w:rFonts w:ascii="Bookman Old Style" w:hAnsi="Bookman Old Style" w:cs="Arial"/>
          <w:i/>
          <w:sz w:val="22"/>
          <w:szCs w:val="22"/>
        </w:rPr>
        <w:t>”</w:t>
      </w:r>
    </w:p>
    <w:p w14:paraId="4FEED8A6" w14:textId="77777777" w:rsidR="00DA79D3" w:rsidRPr="001E1E00" w:rsidRDefault="00DA79D3" w:rsidP="00DA79D3">
      <w:pPr>
        <w:ind w:left="284" w:right="284"/>
        <w:jc w:val="both"/>
        <w:rPr>
          <w:rFonts w:ascii="Bookman Old Style" w:hAnsi="Bookman Old Style" w:cs="Arial"/>
          <w:i/>
          <w:sz w:val="22"/>
          <w:szCs w:val="22"/>
        </w:rPr>
      </w:pPr>
    </w:p>
    <w:p w14:paraId="18FA3751" w14:textId="6A815EA1" w:rsidR="00DA79D3" w:rsidRDefault="00DA79D3" w:rsidP="00DA79D3">
      <w:pPr>
        <w:ind w:left="0"/>
        <w:jc w:val="both"/>
        <w:rPr>
          <w:rFonts w:ascii="Bookman Old Style" w:hAnsi="Bookman Old Style"/>
        </w:rPr>
      </w:pPr>
      <w:r>
        <w:rPr>
          <w:rFonts w:ascii="Bookman Old Style" w:hAnsi="Bookman Old Style"/>
        </w:rPr>
        <w:t>Esto culminó con la decisión adoptada en los numerales 5 y 6 de la parte resolutiva de dicho acto administrativo</w:t>
      </w:r>
      <w:r w:rsidR="00961253">
        <w:rPr>
          <w:rFonts w:ascii="Bookman Old Style" w:hAnsi="Bookman Old Style"/>
        </w:rPr>
        <w:t>,</w:t>
      </w:r>
      <w:r>
        <w:rPr>
          <w:rFonts w:ascii="Bookman Old Style" w:hAnsi="Bookman Old Style"/>
        </w:rPr>
        <w:t xml:space="preserve"> en los cuales se dispuso lo siguiente:</w:t>
      </w:r>
    </w:p>
    <w:p w14:paraId="5228DE30" w14:textId="77777777" w:rsidR="00DA79D3" w:rsidRPr="0028307C" w:rsidRDefault="00DA79D3" w:rsidP="00DA79D3">
      <w:pPr>
        <w:ind w:left="284" w:right="284"/>
        <w:jc w:val="both"/>
        <w:rPr>
          <w:rFonts w:ascii="Bookman Old Style" w:hAnsi="Bookman Old Style" w:cs="Arial"/>
          <w:i/>
          <w:sz w:val="22"/>
          <w:szCs w:val="22"/>
        </w:rPr>
      </w:pPr>
    </w:p>
    <w:p w14:paraId="04E0C762" w14:textId="77777777" w:rsidR="00DA79D3" w:rsidRPr="0028307C" w:rsidRDefault="00DA79D3" w:rsidP="00DA79D3">
      <w:pPr>
        <w:tabs>
          <w:tab w:val="num" w:pos="955"/>
        </w:tabs>
        <w:ind w:left="284" w:right="284"/>
        <w:jc w:val="both"/>
        <w:rPr>
          <w:rFonts w:ascii="Bookman Old Style" w:hAnsi="Bookman Old Style" w:cs="Arial"/>
          <w:i/>
          <w:sz w:val="22"/>
          <w:szCs w:val="22"/>
        </w:rPr>
      </w:pPr>
      <w:r>
        <w:rPr>
          <w:rFonts w:ascii="Bookman Old Style" w:hAnsi="Bookman Old Style" w:cs="Arial"/>
          <w:i/>
          <w:sz w:val="22"/>
          <w:szCs w:val="22"/>
        </w:rPr>
        <w:t>“</w:t>
      </w:r>
      <w:r w:rsidRPr="0028307C">
        <w:rPr>
          <w:rFonts w:ascii="Bookman Old Style" w:hAnsi="Bookman Old Style" w:cs="Arial"/>
          <w:b/>
          <w:i/>
          <w:sz w:val="22"/>
          <w:szCs w:val="22"/>
        </w:rPr>
        <w:t>Artículo 5.</w:t>
      </w:r>
      <w:r>
        <w:rPr>
          <w:rFonts w:ascii="Bookman Old Style" w:hAnsi="Bookman Old Style" w:cs="Arial"/>
          <w:i/>
          <w:sz w:val="22"/>
          <w:szCs w:val="22"/>
        </w:rPr>
        <w:t xml:space="preserve"> </w:t>
      </w:r>
      <w:r w:rsidRPr="0028307C">
        <w:rPr>
          <w:rFonts w:ascii="Bookman Old Style" w:hAnsi="Bookman Old Style" w:cs="Arial"/>
          <w:i/>
          <w:sz w:val="22"/>
          <w:szCs w:val="22"/>
        </w:rPr>
        <w:t xml:space="preserve">Por las razones expuestas en la parte considerativa, la Comisión encuentra que a la fecha y como resultado de la presente actuación no se ha establecido plenamente el incumplimiento grave e insalvable de las obligaciones adquiridas en la subasta de plantas GPPS de 2012, con inicio del periodo de vigencia de la obligación, IPVO, 1 de diciembre de 2021. </w:t>
      </w:r>
    </w:p>
    <w:p w14:paraId="3E4DBC50" w14:textId="77777777" w:rsidR="00DA79D3" w:rsidRPr="0028307C" w:rsidRDefault="00DA79D3" w:rsidP="00DA79D3">
      <w:pPr>
        <w:ind w:left="284" w:right="284"/>
        <w:jc w:val="both"/>
        <w:rPr>
          <w:rFonts w:ascii="Bookman Old Style" w:hAnsi="Bookman Old Style" w:cs="Arial"/>
          <w:i/>
          <w:sz w:val="22"/>
          <w:szCs w:val="22"/>
        </w:rPr>
      </w:pPr>
    </w:p>
    <w:p w14:paraId="473E2E5E" w14:textId="77777777" w:rsidR="00DA79D3" w:rsidRPr="0028307C" w:rsidRDefault="00DA79D3" w:rsidP="00DA79D3">
      <w:pPr>
        <w:tabs>
          <w:tab w:val="num" w:pos="955"/>
        </w:tabs>
        <w:ind w:left="284" w:right="284"/>
        <w:jc w:val="both"/>
        <w:rPr>
          <w:rFonts w:ascii="Bookman Old Style" w:hAnsi="Bookman Old Style" w:cs="Arial"/>
          <w:i/>
          <w:sz w:val="22"/>
          <w:szCs w:val="22"/>
        </w:rPr>
      </w:pPr>
      <w:r w:rsidRPr="0028307C">
        <w:rPr>
          <w:rFonts w:ascii="Bookman Old Style" w:hAnsi="Bookman Old Style" w:cs="Arial"/>
          <w:b/>
          <w:i/>
          <w:sz w:val="22"/>
          <w:szCs w:val="22"/>
        </w:rPr>
        <w:t>Artículo 6.</w:t>
      </w:r>
      <w:r>
        <w:rPr>
          <w:rFonts w:ascii="Bookman Old Style" w:hAnsi="Bookman Old Style" w:cs="Arial"/>
          <w:i/>
          <w:sz w:val="22"/>
          <w:szCs w:val="22"/>
        </w:rPr>
        <w:t xml:space="preserve"> </w:t>
      </w:r>
      <w:r w:rsidRPr="0028307C">
        <w:rPr>
          <w:rFonts w:ascii="Bookman Old Style" w:hAnsi="Bookman Old Style" w:cs="Arial"/>
          <w:i/>
          <w:sz w:val="22"/>
          <w:szCs w:val="22"/>
        </w:rPr>
        <w:t xml:space="preserve">Ordenar la realización de la auditoria de que trata el artículo 8 de la Resolución CREG 071 de 2006 para verificar el cumplimiento de las obligaciones adquiridas por EPM </w:t>
      </w:r>
      <w:proofErr w:type="spellStart"/>
      <w:r w:rsidRPr="0028307C">
        <w:rPr>
          <w:rFonts w:ascii="Bookman Old Style" w:hAnsi="Bookman Old Style" w:cs="Arial"/>
          <w:i/>
          <w:sz w:val="22"/>
          <w:szCs w:val="22"/>
        </w:rPr>
        <w:t>Ituango</w:t>
      </w:r>
      <w:proofErr w:type="spellEnd"/>
      <w:r w:rsidRPr="0028307C">
        <w:rPr>
          <w:rFonts w:ascii="Bookman Old Style" w:hAnsi="Bookman Old Style" w:cs="Arial"/>
          <w:i/>
          <w:sz w:val="22"/>
          <w:szCs w:val="22"/>
        </w:rPr>
        <w:t xml:space="preserve"> SA ESP en la subasta de plantas GPPS de 2012, y cedidas a EPM ESP, para el proyecto Hidroeléctrico </w:t>
      </w:r>
      <w:proofErr w:type="spellStart"/>
      <w:r w:rsidRPr="0028307C">
        <w:rPr>
          <w:rFonts w:ascii="Bookman Old Style" w:hAnsi="Bookman Old Style" w:cs="Arial"/>
          <w:i/>
          <w:sz w:val="22"/>
          <w:szCs w:val="22"/>
        </w:rPr>
        <w:t>Ituango</w:t>
      </w:r>
      <w:proofErr w:type="spellEnd"/>
      <w:r w:rsidRPr="0028307C">
        <w:rPr>
          <w:rFonts w:ascii="Bookman Old Style" w:hAnsi="Bookman Old Style" w:cs="Arial"/>
          <w:i/>
          <w:sz w:val="22"/>
          <w:szCs w:val="22"/>
        </w:rPr>
        <w:t xml:space="preserve">, con fecha de IPVO el 1 de diciembre de 2021. </w:t>
      </w:r>
    </w:p>
    <w:p w14:paraId="378595CE" w14:textId="77777777" w:rsidR="00DA79D3" w:rsidRPr="0028307C" w:rsidRDefault="00DA79D3" w:rsidP="00DA79D3">
      <w:pPr>
        <w:ind w:left="284" w:right="284"/>
        <w:jc w:val="both"/>
        <w:rPr>
          <w:rFonts w:ascii="Bookman Old Style" w:hAnsi="Bookman Old Style" w:cs="Arial"/>
          <w:i/>
          <w:sz w:val="22"/>
          <w:szCs w:val="22"/>
        </w:rPr>
      </w:pPr>
    </w:p>
    <w:p w14:paraId="1AD0C885" w14:textId="77777777" w:rsidR="00DA79D3" w:rsidRPr="0028307C" w:rsidRDefault="00DA79D3" w:rsidP="00DA79D3">
      <w:pPr>
        <w:ind w:left="284" w:right="284"/>
        <w:jc w:val="both"/>
        <w:rPr>
          <w:rFonts w:ascii="Bookman Old Style" w:hAnsi="Bookman Old Style" w:cs="Arial"/>
          <w:i/>
          <w:sz w:val="22"/>
          <w:szCs w:val="22"/>
        </w:rPr>
      </w:pPr>
      <w:r w:rsidRPr="0028307C">
        <w:rPr>
          <w:rFonts w:ascii="Bookman Old Style" w:hAnsi="Bookman Old Style" w:cs="Arial"/>
          <w:i/>
          <w:sz w:val="22"/>
          <w:szCs w:val="22"/>
        </w:rPr>
        <w:t xml:space="preserve">XM SA ESP dispondrá lo necesario para que dicha auditoría sea realizada por el mismo auditor contratado para verificar el cumplimiento de las OEF asignadas al proyecto en la subasta de 2019. El auditor rendirá los informes de manera conjunta, cuando ello sea posible, según la periodicidad establecida en el numeral 1.5 del Anexo 1 de la Resolución CREG 071 de 2006. </w:t>
      </w:r>
    </w:p>
    <w:p w14:paraId="56A95122" w14:textId="77777777" w:rsidR="00DA79D3" w:rsidRPr="0028307C" w:rsidRDefault="00DA79D3" w:rsidP="00DA79D3">
      <w:pPr>
        <w:ind w:left="284" w:right="284"/>
        <w:jc w:val="both"/>
        <w:rPr>
          <w:rFonts w:ascii="Bookman Old Style" w:hAnsi="Bookman Old Style" w:cs="Arial"/>
          <w:i/>
          <w:sz w:val="22"/>
          <w:szCs w:val="22"/>
        </w:rPr>
      </w:pPr>
    </w:p>
    <w:p w14:paraId="389A75BF" w14:textId="77777777" w:rsidR="00DA79D3" w:rsidRPr="0028307C" w:rsidRDefault="00DA79D3" w:rsidP="00DA79D3">
      <w:pPr>
        <w:ind w:left="284" w:right="284"/>
        <w:jc w:val="both"/>
        <w:rPr>
          <w:rFonts w:ascii="Bookman Old Style" w:hAnsi="Bookman Old Style" w:cs="Arial"/>
          <w:i/>
          <w:sz w:val="22"/>
          <w:szCs w:val="22"/>
        </w:rPr>
      </w:pPr>
      <w:r w:rsidRPr="0028307C">
        <w:rPr>
          <w:rFonts w:ascii="Bookman Old Style" w:hAnsi="Bookman Old Style" w:cs="Arial"/>
          <w:i/>
          <w:sz w:val="22"/>
          <w:szCs w:val="22"/>
        </w:rPr>
        <w:lastRenderedPageBreak/>
        <w:t>El auditor determinará la fecha estimada de entrada en operación comercial del proyecto, el número de días de atraso frente al IPVO del 1 de diciembre de 2021 y si existe incumplimiento grave e insalvable de las obligaciones de energía firme, con base en la curva S de ejecución real del proyecto. El auditor deberá utilizar toda la información relevante incluida la curva S entregada por el gerente de EPM en su informe juramentado rendido en esta actuación.</w:t>
      </w:r>
      <w:r>
        <w:rPr>
          <w:rFonts w:ascii="Bookman Old Style" w:hAnsi="Bookman Old Style" w:cs="Arial"/>
          <w:i/>
          <w:sz w:val="22"/>
          <w:szCs w:val="22"/>
        </w:rPr>
        <w:t>”</w:t>
      </w:r>
    </w:p>
    <w:p w14:paraId="18A3E58C" w14:textId="77777777" w:rsidR="00DA79D3" w:rsidRDefault="00DA79D3" w:rsidP="00DA79D3">
      <w:pPr>
        <w:ind w:left="0"/>
        <w:jc w:val="both"/>
        <w:rPr>
          <w:rFonts w:ascii="Bookman Old Style" w:hAnsi="Bookman Old Style"/>
        </w:rPr>
      </w:pPr>
    </w:p>
    <w:p w14:paraId="62A9F86F" w14:textId="497A073A" w:rsidR="00DA79D3" w:rsidRPr="0028307C" w:rsidRDefault="00DA79D3" w:rsidP="00DA79D3">
      <w:pPr>
        <w:ind w:left="0"/>
        <w:jc w:val="both"/>
        <w:rPr>
          <w:rFonts w:ascii="Bookman Old Style" w:hAnsi="Bookman Old Style"/>
        </w:rPr>
      </w:pPr>
      <w:r>
        <w:rPr>
          <w:rFonts w:ascii="Bookman Old Style" w:hAnsi="Bookman Old Style"/>
        </w:rPr>
        <w:t xml:space="preserve">De lo anteriormente expuesto se </w:t>
      </w:r>
      <w:r w:rsidR="00D21449">
        <w:rPr>
          <w:rFonts w:ascii="Bookman Old Style" w:hAnsi="Bookman Old Style"/>
        </w:rPr>
        <w:t xml:space="preserve">concluye </w:t>
      </w:r>
      <w:r>
        <w:rPr>
          <w:rFonts w:ascii="Bookman Old Style" w:hAnsi="Bookman Old Style"/>
        </w:rPr>
        <w:t xml:space="preserve">que </w:t>
      </w:r>
      <w:r w:rsidR="00912843">
        <w:rPr>
          <w:rFonts w:ascii="Bookman Old Style" w:hAnsi="Bookman Old Style"/>
        </w:rPr>
        <w:t xml:space="preserve">la </w:t>
      </w:r>
      <w:r>
        <w:rPr>
          <w:rFonts w:ascii="Bookman Old Style" w:hAnsi="Bookman Old Style"/>
        </w:rPr>
        <w:t xml:space="preserve">solicitud </w:t>
      </w:r>
      <w:r w:rsidR="00D21449">
        <w:rPr>
          <w:rFonts w:ascii="Bookman Old Style" w:hAnsi="Bookman Old Style"/>
        </w:rPr>
        <w:t xml:space="preserve">de </w:t>
      </w:r>
      <w:r>
        <w:rPr>
          <w:rFonts w:ascii="Bookman Old Style" w:hAnsi="Bookman Old Style"/>
        </w:rPr>
        <w:t xml:space="preserve">EPM hace parte del análisis que </w:t>
      </w:r>
      <w:r w:rsidR="00D21449">
        <w:rPr>
          <w:rFonts w:ascii="Bookman Old Style" w:hAnsi="Bookman Old Style"/>
        </w:rPr>
        <w:t xml:space="preserve">esta Comisión debe hacer </w:t>
      </w:r>
      <w:r w:rsidR="00FF67D0">
        <w:rPr>
          <w:rFonts w:ascii="Bookman Old Style" w:hAnsi="Bookman Old Style"/>
        </w:rPr>
        <w:t xml:space="preserve">dentro de una actuación administrativa </w:t>
      </w:r>
      <w:r w:rsidR="00912843">
        <w:rPr>
          <w:rFonts w:ascii="Bookman Old Style" w:hAnsi="Bookman Old Style"/>
        </w:rPr>
        <w:t xml:space="preserve">orientada a establecer </w:t>
      </w:r>
      <w:r>
        <w:rPr>
          <w:rFonts w:ascii="Bookman Old Style" w:hAnsi="Bookman Old Style"/>
        </w:rPr>
        <w:t xml:space="preserve">plenamente el incumplimiento grave e insalvable de </w:t>
      </w:r>
      <w:r w:rsidRPr="0028307C">
        <w:rPr>
          <w:rFonts w:ascii="Bookman Old Style" w:hAnsi="Bookman Old Style"/>
        </w:rPr>
        <w:t xml:space="preserve">las obligaciones adquiridas en la subasta de plantas GPPS de 2012, con inicio del </w:t>
      </w:r>
      <w:r w:rsidR="00961253" w:rsidRPr="0028307C">
        <w:rPr>
          <w:rFonts w:ascii="Bookman Old Style" w:hAnsi="Bookman Old Style"/>
        </w:rPr>
        <w:t>per</w:t>
      </w:r>
      <w:r w:rsidR="00961253">
        <w:rPr>
          <w:rFonts w:ascii="Bookman Old Style" w:hAnsi="Bookman Old Style"/>
        </w:rPr>
        <w:t>í</w:t>
      </w:r>
      <w:r w:rsidR="00961253" w:rsidRPr="0028307C">
        <w:rPr>
          <w:rFonts w:ascii="Bookman Old Style" w:hAnsi="Bookman Old Style"/>
        </w:rPr>
        <w:t xml:space="preserve">odo </w:t>
      </w:r>
      <w:r w:rsidRPr="0028307C">
        <w:rPr>
          <w:rFonts w:ascii="Bookman Old Style" w:hAnsi="Bookman Old Style"/>
        </w:rPr>
        <w:t>de vigencia de la obligación, IPVO, 1 de diciembre de 2021.</w:t>
      </w:r>
      <w:r>
        <w:rPr>
          <w:rFonts w:ascii="Bookman Old Style" w:hAnsi="Bookman Old Style"/>
        </w:rPr>
        <w:t xml:space="preserve"> </w:t>
      </w:r>
    </w:p>
    <w:p w14:paraId="2DACAC97" w14:textId="77777777" w:rsidR="00DA79D3" w:rsidRDefault="00DA79D3" w:rsidP="00DA79D3">
      <w:pPr>
        <w:ind w:left="0"/>
        <w:jc w:val="both"/>
        <w:rPr>
          <w:rFonts w:ascii="Bookman Old Style" w:hAnsi="Bookman Old Style"/>
        </w:rPr>
      </w:pPr>
    </w:p>
    <w:p w14:paraId="35C3F563" w14:textId="69740772" w:rsidR="00EE1D4E" w:rsidRDefault="00DA79D3" w:rsidP="00DA79D3">
      <w:pPr>
        <w:ind w:left="0"/>
        <w:jc w:val="both"/>
        <w:rPr>
          <w:rFonts w:ascii="Bookman Old Style" w:hAnsi="Bookman Old Style"/>
        </w:rPr>
      </w:pPr>
      <w:r>
        <w:rPr>
          <w:rFonts w:ascii="Bookman Old Style" w:hAnsi="Bookman Old Style"/>
        </w:rPr>
        <w:t>Dentro del trámite de la actuación administrativa</w:t>
      </w:r>
      <w:r w:rsidR="00FF67D0">
        <w:rPr>
          <w:rFonts w:ascii="Bookman Old Style" w:hAnsi="Bookman Old Style"/>
        </w:rPr>
        <w:t xml:space="preserve"> adelantada para establecer plenamente el incumplimiento grave e insalvable de las obligaciones adquiridas en la subasta de plantas GPPS de 2008 y 2021</w:t>
      </w:r>
      <w:r w:rsidR="00961253">
        <w:rPr>
          <w:rFonts w:ascii="Bookman Old Style" w:hAnsi="Bookman Old Style"/>
        </w:rPr>
        <w:t>,</w:t>
      </w:r>
      <w:r>
        <w:rPr>
          <w:rFonts w:ascii="Bookman Old Style" w:hAnsi="Bookman Old Style"/>
        </w:rPr>
        <w:t xml:space="preserve"> esta Comisión </w:t>
      </w:r>
      <w:r w:rsidR="00EE1D4E">
        <w:rPr>
          <w:rFonts w:ascii="Bookman Old Style" w:hAnsi="Bookman Old Style"/>
        </w:rPr>
        <w:t xml:space="preserve">evidenció </w:t>
      </w:r>
      <w:r w:rsidRPr="0028307C">
        <w:rPr>
          <w:rFonts w:ascii="Bookman Old Style" w:hAnsi="Bookman Old Style"/>
        </w:rPr>
        <w:t>la carencia de elementos de juicio y probatorios que permit</w:t>
      </w:r>
      <w:r w:rsidR="00FF67D0">
        <w:rPr>
          <w:rFonts w:ascii="Bookman Old Style" w:hAnsi="Bookman Old Style"/>
        </w:rPr>
        <w:t>ier</w:t>
      </w:r>
      <w:r w:rsidRPr="0028307C">
        <w:rPr>
          <w:rFonts w:ascii="Bookman Old Style" w:hAnsi="Bookman Old Style"/>
        </w:rPr>
        <w:t>an establecer la existencia de un incumplimiento grave e insalvable respecto de la OEF con IPVO para el 1 de diciembre de 2021</w:t>
      </w:r>
      <w:r w:rsidR="00EE1D4E">
        <w:rPr>
          <w:rFonts w:ascii="Bookman Old Style" w:hAnsi="Bookman Old Style"/>
        </w:rPr>
        <w:t xml:space="preserve">. </w:t>
      </w:r>
    </w:p>
    <w:p w14:paraId="0B0045EE" w14:textId="77777777" w:rsidR="00EE1D4E" w:rsidRDefault="00EE1D4E" w:rsidP="00DA79D3">
      <w:pPr>
        <w:ind w:left="0"/>
        <w:jc w:val="both"/>
        <w:rPr>
          <w:rFonts w:ascii="Bookman Old Style" w:hAnsi="Bookman Old Style"/>
        </w:rPr>
      </w:pPr>
    </w:p>
    <w:p w14:paraId="5465F6C5" w14:textId="542987E5" w:rsidR="00DA79D3" w:rsidRDefault="00EE1D4E" w:rsidP="00DA79D3">
      <w:pPr>
        <w:ind w:left="0"/>
        <w:jc w:val="both"/>
        <w:rPr>
          <w:rFonts w:ascii="Bookman Old Style" w:hAnsi="Bookman Old Style"/>
        </w:rPr>
      </w:pPr>
      <w:r>
        <w:rPr>
          <w:rFonts w:ascii="Bookman Old Style" w:hAnsi="Bookman Old Style"/>
        </w:rPr>
        <w:t xml:space="preserve">Adicionalmente, </w:t>
      </w:r>
      <w:r w:rsidR="00DA79D3" w:rsidRPr="0028307C">
        <w:rPr>
          <w:rFonts w:ascii="Bookman Old Style" w:hAnsi="Bookman Old Style"/>
        </w:rPr>
        <w:t xml:space="preserve">las incertidumbres que se evidenciaron en las pruebas practicadas sobre la fecha de puesta en operación de la planta, </w:t>
      </w:r>
      <w:r w:rsidR="00DA79D3">
        <w:rPr>
          <w:rFonts w:ascii="Bookman Old Style" w:hAnsi="Bookman Old Style"/>
        </w:rPr>
        <w:t>conll</w:t>
      </w:r>
      <w:r>
        <w:rPr>
          <w:rFonts w:ascii="Bookman Old Style" w:hAnsi="Bookman Old Style"/>
        </w:rPr>
        <w:t>evó a</w:t>
      </w:r>
      <w:r w:rsidR="00FF67D0">
        <w:rPr>
          <w:rFonts w:ascii="Bookman Old Style" w:hAnsi="Bookman Old Style"/>
        </w:rPr>
        <w:t xml:space="preserve"> que la Comisión adoptara </w:t>
      </w:r>
      <w:r w:rsidR="00DA79D3" w:rsidRPr="0028307C">
        <w:rPr>
          <w:rFonts w:ascii="Bookman Old Style" w:hAnsi="Bookman Old Style"/>
        </w:rPr>
        <w:t>medidas específicas</w:t>
      </w:r>
      <w:r w:rsidR="00961253">
        <w:rPr>
          <w:rFonts w:ascii="Bookman Old Style" w:hAnsi="Bookman Old Style"/>
        </w:rPr>
        <w:t>,</w:t>
      </w:r>
      <w:r w:rsidR="00DA79D3" w:rsidRPr="0028307C">
        <w:rPr>
          <w:rFonts w:ascii="Bookman Old Style" w:hAnsi="Bookman Old Style"/>
        </w:rPr>
        <w:t xml:space="preserve"> a fin de garantizar el seguimiento previsto en la Resolución CREG 071 de 2006 para la entrada en operación de la planta que garantiza la</w:t>
      </w:r>
      <w:r w:rsidR="00961253">
        <w:rPr>
          <w:rFonts w:ascii="Bookman Old Style" w:hAnsi="Bookman Old Style"/>
        </w:rPr>
        <w:t>s</w:t>
      </w:r>
      <w:r w:rsidR="00DA79D3" w:rsidRPr="0028307C">
        <w:rPr>
          <w:rFonts w:ascii="Bookman Old Style" w:hAnsi="Bookman Old Style"/>
        </w:rPr>
        <w:t xml:space="preserve"> OEF con IPVO </w:t>
      </w:r>
      <w:r w:rsidR="00961253">
        <w:rPr>
          <w:rFonts w:ascii="Bookman Old Style" w:hAnsi="Bookman Old Style"/>
        </w:rPr>
        <w:t xml:space="preserve">1 de diciembre de </w:t>
      </w:r>
      <w:r w:rsidR="00DA79D3" w:rsidRPr="0028307C">
        <w:rPr>
          <w:rFonts w:ascii="Bookman Old Style" w:hAnsi="Bookman Old Style"/>
        </w:rPr>
        <w:t>2021</w:t>
      </w:r>
      <w:r>
        <w:rPr>
          <w:rFonts w:ascii="Bookman Old Style" w:hAnsi="Bookman Old Style"/>
        </w:rPr>
        <w:t>. Para el efecto</w:t>
      </w:r>
      <w:r w:rsidR="00961253">
        <w:rPr>
          <w:rFonts w:ascii="Bookman Old Style" w:hAnsi="Bookman Old Style"/>
        </w:rPr>
        <w:t>,</w:t>
      </w:r>
      <w:r>
        <w:rPr>
          <w:rFonts w:ascii="Bookman Old Style" w:hAnsi="Bookman Old Style"/>
        </w:rPr>
        <w:t xml:space="preserve"> se ordenó la práctica de </w:t>
      </w:r>
      <w:r w:rsidR="00DA79D3" w:rsidRPr="0028307C">
        <w:rPr>
          <w:rFonts w:ascii="Bookman Old Style" w:hAnsi="Bookman Old Style"/>
        </w:rPr>
        <w:t>la auditoria de que trata el artículo 8 la Resolución CREG 071 de 2006</w:t>
      </w:r>
      <w:r w:rsidR="00DA79D3">
        <w:rPr>
          <w:rFonts w:ascii="Bookman Old Style" w:hAnsi="Bookman Old Style"/>
        </w:rPr>
        <w:t xml:space="preserve"> por parte del </w:t>
      </w:r>
      <w:r w:rsidR="00DA79D3" w:rsidRPr="0028307C">
        <w:rPr>
          <w:rFonts w:ascii="Bookman Old Style" w:hAnsi="Bookman Old Style"/>
        </w:rPr>
        <w:t>ASIC en su calidad de administrador de la</w:t>
      </w:r>
      <w:r w:rsidR="00DA79D3">
        <w:rPr>
          <w:rFonts w:ascii="Bookman Old Style" w:hAnsi="Bookman Old Style"/>
        </w:rPr>
        <w:t xml:space="preserve"> subasta y operador del mercado.</w:t>
      </w:r>
    </w:p>
    <w:p w14:paraId="66B8BC34" w14:textId="77777777" w:rsidR="00DA79D3" w:rsidRDefault="00DA79D3" w:rsidP="00DA79D3">
      <w:pPr>
        <w:ind w:left="0"/>
        <w:jc w:val="both"/>
        <w:rPr>
          <w:rFonts w:ascii="Bookman Old Style" w:hAnsi="Bookman Old Style"/>
        </w:rPr>
      </w:pPr>
    </w:p>
    <w:p w14:paraId="3D16ED87" w14:textId="51AB4AFE" w:rsidR="00B01C0B" w:rsidRDefault="00DA79D3" w:rsidP="00803E8D">
      <w:pPr>
        <w:ind w:left="0"/>
        <w:jc w:val="both"/>
        <w:rPr>
          <w:rFonts w:ascii="Bookman Old Style" w:hAnsi="Bookman Old Style"/>
        </w:rPr>
      </w:pPr>
      <w:r>
        <w:rPr>
          <w:rFonts w:ascii="Bookman Old Style" w:hAnsi="Bookman Old Style"/>
        </w:rPr>
        <w:t xml:space="preserve">En este sentido, la solicitud de EPM </w:t>
      </w:r>
      <w:r w:rsidR="00E87A49">
        <w:rPr>
          <w:rFonts w:ascii="Bookman Old Style" w:hAnsi="Bookman Old Style"/>
        </w:rPr>
        <w:t xml:space="preserve">de que </w:t>
      </w:r>
      <w:r>
        <w:rPr>
          <w:rFonts w:ascii="Bookman Old Style" w:hAnsi="Bookman Old Style"/>
        </w:rPr>
        <w:t xml:space="preserve">se “permita” </w:t>
      </w:r>
      <w:r w:rsidRPr="0028307C">
        <w:rPr>
          <w:rFonts w:ascii="Bookman Old Style" w:hAnsi="Bookman Old Style"/>
        </w:rPr>
        <w:t xml:space="preserve">el cumplimiento de las asignaciones de </w:t>
      </w:r>
      <w:r w:rsidR="00EE1D4E">
        <w:rPr>
          <w:rFonts w:ascii="Bookman Old Style" w:hAnsi="Bookman Old Style"/>
        </w:rPr>
        <w:t xml:space="preserve">OEF con IPVO </w:t>
      </w:r>
      <w:r w:rsidR="00961253">
        <w:rPr>
          <w:rFonts w:ascii="Bookman Old Style" w:hAnsi="Bookman Old Style"/>
        </w:rPr>
        <w:t>1</w:t>
      </w:r>
      <w:r w:rsidRPr="0028307C">
        <w:rPr>
          <w:rFonts w:ascii="Bookman Old Style" w:hAnsi="Bookman Old Style"/>
        </w:rPr>
        <w:t xml:space="preserve"> de diciembre de 2021, con el número de unidades de generación necesarias para prod</w:t>
      </w:r>
      <w:r>
        <w:rPr>
          <w:rFonts w:ascii="Bookman Old Style" w:hAnsi="Bookman Old Style"/>
        </w:rPr>
        <w:t xml:space="preserve">ucir la energía firme asignada o que la misma </w:t>
      </w:r>
      <w:r w:rsidRPr="0028307C">
        <w:rPr>
          <w:rFonts w:ascii="Bookman Old Style" w:hAnsi="Bookman Old Style"/>
        </w:rPr>
        <w:t>no es objeto de una actuación administrativa cuyo objeto sea determinar la existencia de un in</w:t>
      </w:r>
      <w:r>
        <w:rPr>
          <w:rFonts w:ascii="Bookman Old Style" w:hAnsi="Bookman Old Style"/>
        </w:rPr>
        <w:t xml:space="preserve">cumplimiento grave e insalvable”, </w:t>
      </w:r>
      <w:r w:rsidR="00E87A49">
        <w:rPr>
          <w:rFonts w:ascii="Bookman Old Style" w:hAnsi="Bookman Old Style"/>
        </w:rPr>
        <w:t xml:space="preserve">solo </w:t>
      </w:r>
      <w:r>
        <w:rPr>
          <w:rFonts w:ascii="Bookman Old Style" w:hAnsi="Bookman Old Style"/>
        </w:rPr>
        <w:t xml:space="preserve">puede ser </w:t>
      </w:r>
      <w:r w:rsidR="00E87A49">
        <w:rPr>
          <w:rFonts w:ascii="Bookman Old Style" w:hAnsi="Bookman Old Style"/>
        </w:rPr>
        <w:t>analizada y ser objeto de decisión en una eventual actuación administrativa</w:t>
      </w:r>
      <w:r w:rsidR="00FF67D0">
        <w:rPr>
          <w:rFonts w:ascii="Bookman Old Style" w:hAnsi="Bookman Old Style"/>
        </w:rPr>
        <w:t xml:space="preserve"> iniciada por esta Comisión con base en un informe de auditoría que concluya que </w:t>
      </w:r>
      <w:r w:rsidR="000A425E">
        <w:rPr>
          <w:rFonts w:ascii="Bookman Old Style" w:hAnsi="Bookman Old Style"/>
        </w:rPr>
        <w:t>hay incumplimiento grave e insalvable de las OEF asignadas a EPM en la subasta de 2012</w:t>
      </w:r>
      <w:r w:rsidR="00EE1D4E">
        <w:rPr>
          <w:rFonts w:ascii="Bookman Old Style" w:hAnsi="Bookman Old Style"/>
        </w:rPr>
        <w:t xml:space="preserve">. </w:t>
      </w:r>
      <w:r w:rsidR="00E87A49">
        <w:rPr>
          <w:rFonts w:ascii="Bookman Old Style" w:hAnsi="Bookman Old Style"/>
        </w:rPr>
        <w:t xml:space="preserve"> </w:t>
      </w:r>
      <w:r w:rsidR="00EE1D4E">
        <w:rPr>
          <w:rFonts w:ascii="Bookman Old Style" w:hAnsi="Bookman Old Style"/>
        </w:rPr>
        <w:t>Dicha actuación tendría por objeto</w:t>
      </w:r>
      <w:r>
        <w:rPr>
          <w:rFonts w:ascii="Bookman Old Style" w:hAnsi="Bookman Old Style"/>
        </w:rPr>
        <w:t xml:space="preserve"> establecer </w:t>
      </w:r>
      <w:r w:rsidRPr="00367A0C">
        <w:rPr>
          <w:rFonts w:ascii="Bookman Old Style" w:hAnsi="Bookman Old Style"/>
        </w:rPr>
        <w:t>plenamente el incumplimiento grave e insalvable de las obligaciones adquiridas en la subasta de plantas GPPS de 2012, con IPVO 1 de diciembre de 2021</w:t>
      </w:r>
      <w:r>
        <w:rPr>
          <w:rFonts w:ascii="Bookman Old Style" w:hAnsi="Bookman Old Style"/>
        </w:rPr>
        <w:t xml:space="preserve">, lo cual no </w:t>
      </w:r>
      <w:r w:rsidR="00B01C0B">
        <w:rPr>
          <w:rFonts w:ascii="Bookman Old Style" w:hAnsi="Bookman Old Style"/>
        </w:rPr>
        <w:t xml:space="preserve">hizo parte de la </w:t>
      </w:r>
      <w:r>
        <w:rPr>
          <w:rFonts w:ascii="Bookman Old Style" w:hAnsi="Bookman Old Style"/>
        </w:rPr>
        <w:t xml:space="preserve">decisión </w:t>
      </w:r>
      <w:r w:rsidR="00B01C0B">
        <w:rPr>
          <w:rFonts w:ascii="Bookman Old Style" w:hAnsi="Bookman Old Style"/>
        </w:rPr>
        <w:t>recurrida</w:t>
      </w:r>
      <w:r w:rsidR="00961253">
        <w:rPr>
          <w:rFonts w:ascii="Bookman Old Style" w:hAnsi="Bookman Old Style"/>
        </w:rPr>
        <w:t>,</w:t>
      </w:r>
      <w:r w:rsidR="00B01C0B">
        <w:rPr>
          <w:rFonts w:ascii="Bookman Old Style" w:hAnsi="Bookman Old Style"/>
        </w:rPr>
        <w:t xml:space="preserve"> por </w:t>
      </w:r>
      <w:r>
        <w:rPr>
          <w:rFonts w:ascii="Bookman Old Style" w:hAnsi="Bookman Old Style"/>
        </w:rPr>
        <w:t xml:space="preserve">las razones expuestas </w:t>
      </w:r>
      <w:r w:rsidR="00B01C0B">
        <w:rPr>
          <w:rFonts w:ascii="Bookman Old Style" w:hAnsi="Bookman Old Style"/>
        </w:rPr>
        <w:t>en ella.</w:t>
      </w:r>
      <w:r w:rsidR="00803E8D">
        <w:rPr>
          <w:rFonts w:ascii="Bookman Old Style" w:hAnsi="Bookman Old Style"/>
        </w:rPr>
        <w:t xml:space="preserve"> </w:t>
      </w:r>
    </w:p>
    <w:p w14:paraId="42E9082A" w14:textId="77777777" w:rsidR="00B01C0B" w:rsidRDefault="00B01C0B" w:rsidP="00803E8D">
      <w:pPr>
        <w:ind w:left="0"/>
        <w:jc w:val="both"/>
        <w:rPr>
          <w:rFonts w:ascii="Bookman Old Style" w:hAnsi="Bookman Old Style"/>
        </w:rPr>
      </w:pPr>
    </w:p>
    <w:p w14:paraId="73B52B62" w14:textId="4EB27D44" w:rsidR="00DA79D3" w:rsidRDefault="00803E8D" w:rsidP="00803E8D">
      <w:pPr>
        <w:ind w:left="0"/>
        <w:jc w:val="both"/>
        <w:rPr>
          <w:rFonts w:ascii="Bookman Old Style" w:hAnsi="Bookman Old Style"/>
        </w:rPr>
      </w:pPr>
      <w:r>
        <w:rPr>
          <w:rFonts w:ascii="Bookman Old Style" w:hAnsi="Bookman Old Style"/>
        </w:rPr>
        <w:t>Lo anterior</w:t>
      </w:r>
      <w:r w:rsidR="00961253">
        <w:rPr>
          <w:rFonts w:ascii="Bookman Old Style" w:hAnsi="Bookman Old Style"/>
        </w:rPr>
        <w:t>,</w:t>
      </w:r>
      <w:r>
        <w:rPr>
          <w:rFonts w:ascii="Bookman Old Style" w:hAnsi="Bookman Old Style"/>
        </w:rPr>
        <w:t xml:space="preserve"> toda vez que esta solicitud es una cuestión sustancial</w:t>
      </w:r>
      <w:r w:rsidR="00961253">
        <w:rPr>
          <w:rFonts w:ascii="Bookman Old Style" w:hAnsi="Bookman Old Style"/>
        </w:rPr>
        <w:t>,</w:t>
      </w:r>
      <w:r>
        <w:rPr>
          <w:rFonts w:ascii="Bookman Old Style" w:hAnsi="Bookman Old Style"/>
        </w:rPr>
        <w:t xml:space="preserve"> y haría parte de </w:t>
      </w:r>
      <w:r w:rsidR="00DA79D3">
        <w:rPr>
          <w:rFonts w:ascii="Bookman Old Style" w:hAnsi="Bookman Old Style"/>
        </w:rPr>
        <w:t>la decisión que deba adoptarse por parte de la Comisión</w:t>
      </w:r>
      <w:r>
        <w:rPr>
          <w:rFonts w:ascii="Bookman Old Style" w:hAnsi="Bookman Old Style"/>
        </w:rPr>
        <w:t xml:space="preserve"> en tal actuación</w:t>
      </w:r>
      <w:r w:rsidR="00961253">
        <w:rPr>
          <w:rFonts w:ascii="Bookman Old Style" w:hAnsi="Bookman Old Style"/>
        </w:rPr>
        <w:t>,</w:t>
      </w:r>
      <w:r>
        <w:rPr>
          <w:rFonts w:ascii="Bookman Old Style" w:hAnsi="Bookman Old Style"/>
        </w:rPr>
        <w:t xml:space="preserve"> y que no </w:t>
      </w:r>
      <w:r w:rsidR="00DA79D3">
        <w:rPr>
          <w:rFonts w:ascii="Bookman Old Style" w:hAnsi="Bookman Old Style"/>
        </w:rPr>
        <w:t>hace parte de las decisiones adoptadas en los artículos 2 y 4 de la Resolución CREG 101 de 2019, recurridos.</w:t>
      </w:r>
    </w:p>
    <w:p w14:paraId="084E52B4" w14:textId="77777777" w:rsidR="00DA79D3" w:rsidRDefault="00DA79D3" w:rsidP="00DA79D3">
      <w:pPr>
        <w:ind w:left="0"/>
        <w:jc w:val="both"/>
        <w:rPr>
          <w:rFonts w:ascii="Bookman Old Style" w:hAnsi="Bookman Old Style"/>
        </w:rPr>
      </w:pPr>
    </w:p>
    <w:p w14:paraId="62D66A0E" w14:textId="77777777" w:rsidR="00DA79D3" w:rsidRDefault="00DA79D3" w:rsidP="00DA79D3">
      <w:pPr>
        <w:ind w:left="0"/>
        <w:jc w:val="both"/>
        <w:rPr>
          <w:rFonts w:ascii="Bookman Old Style" w:hAnsi="Bookman Old Style"/>
        </w:rPr>
      </w:pPr>
      <w:r>
        <w:rPr>
          <w:rFonts w:ascii="Bookman Old Style" w:hAnsi="Bookman Old Style"/>
        </w:rPr>
        <w:lastRenderedPageBreak/>
        <w:t>De acuerdo con esto, la solicitud de EPM no es procedente dentro del trámite de la presente actuación, ni sus argumentos conllevan a modificar el contenido de la Resolución CREG 101 de 2019.</w:t>
      </w:r>
    </w:p>
    <w:p w14:paraId="56AF9644" w14:textId="77777777" w:rsidR="00DA79D3" w:rsidRDefault="00DA79D3" w:rsidP="00DA79D3">
      <w:pPr>
        <w:ind w:left="0"/>
        <w:jc w:val="both"/>
        <w:rPr>
          <w:rFonts w:ascii="Bookman Old Style" w:hAnsi="Bookman Old Style"/>
        </w:rPr>
      </w:pPr>
    </w:p>
    <w:p w14:paraId="2924A039" w14:textId="24005FFD" w:rsidR="00DA79D3" w:rsidRDefault="00DA79D3" w:rsidP="00DA79D3">
      <w:pPr>
        <w:ind w:left="0"/>
        <w:jc w:val="both"/>
        <w:rPr>
          <w:rFonts w:ascii="Bookman Old Style" w:hAnsi="Bookman Old Style"/>
        </w:rPr>
      </w:pPr>
      <w:r>
        <w:rPr>
          <w:rFonts w:ascii="Bookman Old Style" w:hAnsi="Bookman Old Style"/>
        </w:rPr>
        <w:t>En mérito de lo expuesto,</w:t>
      </w:r>
      <w:r w:rsidRPr="00C44537">
        <w:t xml:space="preserve"> </w:t>
      </w:r>
      <w:r>
        <w:rPr>
          <w:rFonts w:ascii="Bookman Old Style" w:hAnsi="Bookman Old Style"/>
        </w:rPr>
        <w:t>l</w:t>
      </w:r>
      <w:r w:rsidRPr="00C44537">
        <w:rPr>
          <w:rFonts w:ascii="Bookman Old Style" w:hAnsi="Bookman Old Style"/>
        </w:rPr>
        <w:t>a Comisión de Regulación de Energía y Gas, en su sesión No.</w:t>
      </w:r>
      <w:r w:rsidR="00BC1529">
        <w:rPr>
          <w:rFonts w:ascii="Bookman Old Style" w:hAnsi="Bookman Old Style"/>
        </w:rPr>
        <w:t>958</w:t>
      </w:r>
      <w:r w:rsidRPr="00C44537">
        <w:rPr>
          <w:rFonts w:ascii="Bookman Old Style" w:hAnsi="Bookman Old Style"/>
        </w:rPr>
        <w:t xml:space="preserve"> del </w:t>
      </w:r>
      <w:r w:rsidR="00BC1529">
        <w:rPr>
          <w:rFonts w:ascii="Bookman Old Style" w:hAnsi="Bookman Old Style"/>
        </w:rPr>
        <w:t>15</w:t>
      </w:r>
      <w:r w:rsidRPr="00C44537">
        <w:rPr>
          <w:rFonts w:ascii="Bookman Old Style" w:hAnsi="Bookman Old Style"/>
        </w:rPr>
        <w:t xml:space="preserve"> de </w:t>
      </w:r>
      <w:r w:rsidR="00BC1529">
        <w:rPr>
          <w:rFonts w:ascii="Bookman Old Style" w:hAnsi="Bookman Old Style"/>
        </w:rPr>
        <w:t>noviembre</w:t>
      </w:r>
      <w:r w:rsidRPr="00C44537">
        <w:rPr>
          <w:rFonts w:ascii="Bookman Old Style" w:hAnsi="Bookman Old Style"/>
        </w:rPr>
        <w:t xml:space="preserve"> de 2019, acordó expedir la presente resolución</w:t>
      </w:r>
      <w:r w:rsidR="00BC1529">
        <w:rPr>
          <w:rFonts w:ascii="Bookman Old Style" w:hAnsi="Bookman Old Style"/>
        </w:rPr>
        <w:t>.</w:t>
      </w:r>
    </w:p>
    <w:p w14:paraId="7D23654C" w14:textId="77777777" w:rsidR="00DA79D3" w:rsidRDefault="00DA79D3" w:rsidP="00DA79D3">
      <w:pPr>
        <w:ind w:left="0"/>
        <w:jc w:val="both"/>
        <w:rPr>
          <w:rFonts w:ascii="Bookman Old Style" w:hAnsi="Bookman Old Style"/>
        </w:rPr>
      </w:pPr>
    </w:p>
    <w:p w14:paraId="51F21676" w14:textId="77777777" w:rsidR="00EC69A4" w:rsidRDefault="00EC69A4" w:rsidP="00045D3D">
      <w:pPr>
        <w:suppressAutoHyphens/>
        <w:jc w:val="center"/>
        <w:rPr>
          <w:rFonts w:ascii="Bookman Old Style" w:hAnsi="Bookman Old Style"/>
          <w:b/>
          <w:spacing w:val="-3"/>
        </w:rPr>
      </w:pPr>
    </w:p>
    <w:p w14:paraId="4F547E77" w14:textId="77777777" w:rsidR="00045D3D" w:rsidRPr="00C435C3" w:rsidRDefault="00045D3D" w:rsidP="00045D3D">
      <w:pPr>
        <w:suppressAutoHyphens/>
        <w:jc w:val="center"/>
        <w:rPr>
          <w:rFonts w:ascii="Bookman Old Style" w:hAnsi="Bookman Old Style"/>
          <w:spacing w:val="-3"/>
        </w:rPr>
      </w:pPr>
      <w:r w:rsidRPr="00C435C3">
        <w:rPr>
          <w:rFonts w:ascii="Bookman Old Style" w:hAnsi="Bookman Old Style"/>
          <w:b/>
          <w:spacing w:val="-3"/>
        </w:rPr>
        <w:t>R E S U E L V E:</w:t>
      </w:r>
    </w:p>
    <w:p w14:paraId="77846DA6" w14:textId="77777777" w:rsidR="00045D3D" w:rsidRDefault="00045D3D" w:rsidP="00045D3D">
      <w:pPr>
        <w:jc w:val="center"/>
        <w:rPr>
          <w:rFonts w:ascii="Bookman Old Style" w:hAnsi="Bookman Old Style"/>
        </w:rPr>
      </w:pPr>
    </w:p>
    <w:p w14:paraId="2E6F7204" w14:textId="77777777" w:rsidR="009C6B5C" w:rsidRDefault="009C6B5C" w:rsidP="009C6B5C">
      <w:pPr>
        <w:pStyle w:val="Prrafodelista"/>
        <w:rPr>
          <w:rFonts w:ascii="Bookman Old Style" w:hAnsi="Bookman Old Style" w:cs="Arial"/>
        </w:rPr>
      </w:pPr>
    </w:p>
    <w:p w14:paraId="0475CEE9" w14:textId="48F706B1" w:rsidR="00DA79D3" w:rsidRDefault="00DA79D3" w:rsidP="008D7CD9">
      <w:pPr>
        <w:numPr>
          <w:ilvl w:val="0"/>
          <w:numId w:val="23"/>
        </w:numPr>
        <w:ind w:left="0" w:firstLine="1276"/>
        <w:jc w:val="both"/>
        <w:outlineLvl w:val="0"/>
        <w:rPr>
          <w:rFonts w:ascii="Bookman Old Style" w:hAnsi="Bookman Old Style" w:cs="Arial"/>
        </w:rPr>
      </w:pPr>
      <w:r w:rsidRPr="00DA79D3">
        <w:rPr>
          <w:rFonts w:ascii="Bookman Old Style" w:hAnsi="Bookman Old Style" w:cs="Arial"/>
          <w:b/>
        </w:rPr>
        <w:t>NO REPONER</w:t>
      </w:r>
      <w:r w:rsidRPr="00DA79D3">
        <w:rPr>
          <w:rFonts w:ascii="Bookman Old Style" w:hAnsi="Bookman Old Style" w:cs="Arial"/>
        </w:rPr>
        <w:t xml:space="preserve"> los artículos 2</w:t>
      </w:r>
      <w:r w:rsidR="00917F2A">
        <w:rPr>
          <w:rFonts w:ascii="Bookman Old Style" w:hAnsi="Bookman Old Style" w:cs="Arial"/>
        </w:rPr>
        <w:t xml:space="preserve"> y</w:t>
      </w:r>
      <w:r w:rsidRPr="00DA79D3">
        <w:rPr>
          <w:rFonts w:ascii="Bookman Old Style" w:hAnsi="Bookman Old Style" w:cs="Arial"/>
        </w:rPr>
        <w:t xml:space="preserve"> 4, ni adiciona</w:t>
      </w:r>
      <w:r w:rsidR="00917F2A">
        <w:rPr>
          <w:rFonts w:ascii="Bookman Old Style" w:hAnsi="Bookman Old Style" w:cs="Arial"/>
        </w:rPr>
        <w:t>r</w:t>
      </w:r>
      <w:r w:rsidRPr="00DA79D3">
        <w:rPr>
          <w:rFonts w:ascii="Bookman Old Style" w:hAnsi="Bookman Old Style" w:cs="Arial"/>
        </w:rPr>
        <w:t xml:space="preserve"> la Resolución CREG 101 de 2019, de acuerdo con los argumentos expuestos en la presente resolución</w:t>
      </w:r>
      <w:r w:rsidR="00961253">
        <w:rPr>
          <w:rFonts w:ascii="Bookman Old Style" w:hAnsi="Bookman Old Style" w:cs="Arial"/>
        </w:rPr>
        <w:t>,</w:t>
      </w:r>
      <w:r w:rsidRPr="00DA79D3">
        <w:rPr>
          <w:rFonts w:ascii="Bookman Old Style" w:hAnsi="Bookman Old Style" w:cs="Arial"/>
        </w:rPr>
        <w:t xml:space="preserve"> y confirmar en su integridad el contenido de la misma</w:t>
      </w:r>
      <w:r w:rsidR="0093268E">
        <w:rPr>
          <w:rFonts w:ascii="Bookman Old Style" w:hAnsi="Bookman Old Style" w:cs="Arial"/>
        </w:rPr>
        <w:t>.</w:t>
      </w:r>
    </w:p>
    <w:p w14:paraId="368F70C0" w14:textId="77777777" w:rsidR="00DA79D3" w:rsidRPr="00DA79D3" w:rsidRDefault="00DA79D3" w:rsidP="00536488">
      <w:pPr>
        <w:ind w:left="0"/>
        <w:jc w:val="both"/>
        <w:outlineLvl w:val="0"/>
        <w:rPr>
          <w:rFonts w:ascii="Bookman Old Style" w:hAnsi="Bookman Old Style" w:cs="Arial"/>
        </w:rPr>
      </w:pPr>
    </w:p>
    <w:p w14:paraId="70F1FF22" w14:textId="4CEA01C1" w:rsidR="009C6B5C" w:rsidRPr="00536488" w:rsidRDefault="00584E78" w:rsidP="009C6B5C">
      <w:pPr>
        <w:numPr>
          <w:ilvl w:val="0"/>
          <w:numId w:val="23"/>
        </w:numPr>
        <w:ind w:left="0" w:firstLine="1276"/>
        <w:jc w:val="both"/>
        <w:outlineLvl w:val="0"/>
        <w:rPr>
          <w:rFonts w:ascii="Bookman Old Style" w:hAnsi="Bookman Old Style"/>
          <w:vanish/>
          <w:specVanish/>
        </w:rPr>
      </w:pPr>
      <w:r>
        <w:rPr>
          <w:rFonts w:ascii="Bookman Old Style" w:hAnsi="Bookman Old Style"/>
        </w:rPr>
        <w:t>C</w:t>
      </w:r>
      <w:r w:rsidR="009C6B5C" w:rsidRPr="00AE23FF">
        <w:rPr>
          <w:rFonts w:ascii="Bookman Old Style" w:hAnsi="Bookman Old Style"/>
        </w:rPr>
        <w:t>omunica</w:t>
      </w:r>
      <w:r>
        <w:rPr>
          <w:rFonts w:ascii="Bookman Old Style" w:hAnsi="Bookman Old Style"/>
        </w:rPr>
        <w:t>r</w:t>
      </w:r>
      <w:r w:rsidR="009C6B5C" w:rsidRPr="00AE23FF">
        <w:rPr>
          <w:rFonts w:ascii="Bookman Old Style" w:hAnsi="Bookman Old Style"/>
        </w:rPr>
        <w:t xml:space="preserve"> al ASI</w:t>
      </w:r>
      <w:r w:rsidR="000769DF">
        <w:rPr>
          <w:rFonts w:ascii="Bookman Old Style" w:hAnsi="Bookman Old Style" w:cs="Arial"/>
        </w:rPr>
        <w:t>C</w:t>
      </w:r>
      <w:r w:rsidR="009C6B5C" w:rsidRPr="00AE23FF">
        <w:rPr>
          <w:rFonts w:ascii="Bookman Old Style" w:hAnsi="Bookman Old Style"/>
        </w:rPr>
        <w:t>,</w:t>
      </w:r>
      <w:r>
        <w:rPr>
          <w:rFonts w:ascii="Bookman Old Style" w:hAnsi="Bookman Old Style"/>
        </w:rPr>
        <w:t xml:space="preserve"> el conte</w:t>
      </w:r>
      <w:r w:rsidR="00971064">
        <w:rPr>
          <w:rFonts w:ascii="Bookman Old Style" w:hAnsi="Bookman Old Style"/>
        </w:rPr>
        <w:t>nido de la Resolución CREG 101</w:t>
      </w:r>
      <w:r>
        <w:rPr>
          <w:rFonts w:ascii="Bookman Old Style" w:hAnsi="Bookman Old Style"/>
        </w:rPr>
        <w:t xml:space="preserve"> de 2019</w:t>
      </w:r>
      <w:r w:rsidR="00961253">
        <w:rPr>
          <w:rFonts w:ascii="Bookman Old Style" w:hAnsi="Bookman Old Style"/>
        </w:rPr>
        <w:t>,</w:t>
      </w:r>
      <w:r w:rsidR="009C6B5C" w:rsidRPr="00AE23FF">
        <w:rPr>
          <w:rFonts w:ascii="Bookman Old Style" w:hAnsi="Bookman Old Style"/>
        </w:rPr>
        <w:t xml:space="preserve"> </w:t>
      </w:r>
      <w:r w:rsidR="009C6B5C">
        <w:rPr>
          <w:rFonts w:ascii="Bookman Old Style" w:hAnsi="Bookman Old Style"/>
        </w:rPr>
        <w:t>para que ejecute</w:t>
      </w:r>
      <w:r w:rsidR="009C6B5C" w:rsidRPr="00AE23FF">
        <w:rPr>
          <w:rFonts w:ascii="Bookman Old Style" w:hAnsi="Bookman Old Style"/>
        </w:rPr>
        <w:t xml:space="preserve"> las medidas correspondientes</w:t>
      </w:r>
      <w:r w:rsidR="009C6B5C">
        <w:rPr>
          <w:rFonts w:ascii="Bookman Old Style" w:hAnsi="Bookman Old Style"/>
        </w:rPr>
        <w:t>,</w:t>
      </w:r>
      <w:r w:rsidR="009C6B5C" w:rsidRPr="00AE23FF">
        <w:rPr>
          <w:rFonts w:ascii="Bookman Old Style" w:hAnsi="Bookman Old Style"/>
        </w:rPr>
        <w:t xml:space="preserve"> de acuerdo con lo </w:t>
      </w:r>
      <w:r w:rsidR="009C6B5C">
        <w:rPr>
          <w:rFonts w:ascii="Bookman Old Style" w:hAnsi="Bookman Old Style"/>
        </w:rPr>
        <w:t xml:space="preserve">que </w:t>
      </w:r>
      <w:r w:rsidR="009C6B5C" w:rsidRPr="00AE23FF">
        <w:rPr>
          <w:rFonts w:ascii="Bookman Old Style" w:hAnsi="Bookman Old Style"/>
        </w:rPr>
        <w:t xml:space="preserve">determina la Resolución </w:t>
      </w:r>
      <w:r w:rsidR="009C6B5C">
        <w:rPr>
          <w:rFonts w:ascii="Bookman Old Style" w:hAnsi="Bookman Old Style"/>
        </w:rPr>
        <w:t xml:space="preserve">CREG </w:t>
      </w:r>
      <w:r w:rsidR="009C6B5C" w:rsidRPr="00AE23FF">
        <w:rPr>
          <w:rFonts w:ascii="Bookman Old Style" w:hAnsi="Bookman Old Style"/>
        </w:rPr>
        <w:t>071 de 2006.</w:t>
      </w:r>
    </w:p>
    <w:p w14:paraId="0ED59F16" w14:textId="77777777" w:rsidR="009C6B5C" w:rsidRDefault="00DB1452" w:rsidP="009C6B5C">
      <w:pPr>
        <w:ind w:left="708"/>
        <w:rPr>
          <w:rFonts w:ascii="Bookman Old Style" w:hAnsi="Bookman Old Style"/>
          <w:lang w:val="es-CO"/>
        </w:rPr>
      </w:pPr>
      <w:r>
        <w:rPr>
          <w:rFonts w:ascii="Bookman Old Style" w:hAnsi="Bookman Old Style"/>
          <w:lang w:val="es-CO"/>
        </w:rPr>
        <w:t xml:space="preserve"> </w:t>
      </w:r>
    </w:p>
    <w:p w14:paraId="3444B97A" w14:textId="77777777" w:rsidR="00971064" w:rsidRPr="000074D5" w:rsidRDefault="00971064" w:rsidP="009C6B5C">
      <w:pPr>
        <w:ind w:left="708"/>
        <w:rPr>
          <w:rFonts w:ascii="Bookman Old Style" w:hAnsi="Bookman Old Style"/>
          <w:lang w:val="es-CO"/>
        </w:rPr>
      </w:pPr>
    </w:p>
    <w:p w14:paraId="4B8C56C9" w14:textId="69D6F726" w:rsidR="009C6B5C" w:rsidRDefault="009C6B5C" w:rsidP="009C6B5C">
      <w:pPr>
        <w:numPr>
          <w:ilvl w:val="0"/>
          <w:numId w:val="23"/>
        </w:numPr>
        <w:ind w:left="0" w:firstLine="1276"/>
        <w:jc w:val="both"/>
        <w:outlineLvl w:val="0"/>
        <w:rPr>
          <w:rFonts w:ascii="Bookman Old Style" w:hAnsi="Bookman Old Style" w:cs="Arial"/>
        </w:rPr>
      </w:pPr>
      <w:r w:rsidRPr="000074D5">
        <w:rPr>
          <w:rFonts w:ascii="Bookman Old Style" w:hAnsi="Bookman Old Style" w:cs="Arial"/>
        </w:rPr>
        <w:t xml:space="preserve"> Notificar personalmente la presente Resolución al representante legal de</w:t>
      </w:r>
      <w:r>
        <w:rPr>
          <w:rFonts w:ascii="Bookman Old Style" w:hAnsi="Bookman Old Style" w:cs="Arial"/>
        </w:rPr>
        <w:t xml:space="preserve"> EMPRESAS PÚBLICAS DE MEDELLÍN EPM</w:t>
      </w:r>
      <w:r w:rsidR="00961253">
        <w:rPr>
          <w:rFonts w:ascii="Bookman Old Style" w:hAnsi="Bookman Old Style" w:cs="Arial"/>
        </w:rPr>
        <w:t xml:space="preserve"> ESP</w:t>
      </w:r>
      <w:r w:rsidRPr="000074D5">
        <w:rPr>
          <w:rFonts w:ascii="Bookman Old Style" w:hAnsi="Bookman Old Style"/>
          <w:iCs/>
        </w:rPr>
        <w:t xml:space="preserve">, advirtiéndole </w:t>
      </w:r>
      <w:r>
        <w:rPr>
          <w:rFonts w:ascii="Bookman Old Style" w:hAnsi="Bookman Old Style"/>
          <w:iCs/>
        </w:rPr>
        <w:t>que contra</w:t>
      </w:r>
      <w:r w:rsidR="00C50242">
        <w:rPr>
          <w:rFonts w:ascii="Bookman Old Style" w:hAnsi="Bookman Old Style" w:cs="Arial"/>
        </w:rPr>
        <w:t xml:space="preserve"> lo decidido en el presente acto administrativo no procede ningún </w:t>
      </w:r>
      <w:r w:rsidR="0093268E">
        <w:rPr>
          <w:rFonts w:ascii="Bookman Old Style" w:hAnsi="Bookman Old Style" w:cs="Arial"/>
        </w:rPr>
        <w:t>recurso, toda</w:t>
      </w:r>
      <w:r w:rsidR="00227AF9">
        <w:rPr>
          <w:rFonts w:ascii="Bookman Old Style" w:hAnsi="Bookman Old Style" w:cs="Arial"/>
        </w:rPr>
        <w:t xml:space="preserve"> vez </w:t>
      </w:r>
      <w:r w:rsidR="00961253">
        <w:rPr>
          <w:rFonts w:ascii="Bookman Old Style" w:hAnsi="Bookman Old Style" w:cs="Arial"/>
        </w:rPr>
        <w:t xml:space="preserve">que </w:t>
      </w:r>
      <w:r w:rsidR="00227AF9">
        <w:rPr>
          <w:rFonts w:ascii="Bookman Old Style" w:hAnsi="Bookman Old Style" w:cs="Arial"/>
        </w:rPr>
        <w:t>la Resolución CREG 101 de 2019 queda ejecutoriada</w:t>
      </w:r>
      <w:r w:rsidR="00D51A18">
        <w:rPr>
          <w:rFonts w:ascii="Bookman Old Style" w:hAnsi="Bookman Old Style" w:cs="Arial"/>
        </w:rPr>
        <w:t>.</w:t>
      </w:r>
    </w:p>
    <w:p w14:paraId="61EA3236" w14:textId="77777777" w:rsidR="00045D3D" w:rsidRDefault="00045D3D" w:rsidP="00045D3D">
      <w:pPr>
        <w:jc w:val="both"/>
        <w:rPr>
          <w:rFonts w:ascii="Bookman Old Style" w:hAnsi="Bookman Old Style"/>
          <w:i/>
          <w:sz w:val="22"/>
        </w:rPr>
      </w:pPr>
    </w:p>
    <w:p w14:paraId="70952F9C" w14:textId="77777777" w:rsidR="00045D3D" w:rsidRPr="00C435C3" w:rsidRDefault="00045D3D" w:rsidP="00045D3D">
      <w:pPr>
        <w:ind w:left="0"/>
        <w:rPr>
          <w:rFonts w:ascii="Bookman Old Style" w:hAnsi="Bookman Old Style"/>
        </w:rPr>
      </w:pPr>
    </w:p>
    <w:p w14:paraId="26506664" w14:textId="77777777" w:rsidR="00045D3D" w:rsidRPr="00C435C3" w:rsidRDefault="002903C0" w:rsidP="00045D3D">
      <w:pPr>
        <w:jc w:val="center"/>
        <w:rPr>
          <w:rFonts w:ascii="Bookman Old Style" w:hAnsi="Bookman Old Style"/>
          <w:b/>
        </w:rPr>
      </w:pPr>
      <w:r>
        <w:rPr>
          <w:rFonts w:ascii="Bookman Old Style" w:hAnsi="Bookman Old Style"/>
          <w:b/>
        </w:rPr>
        <w:t xml:space="preserve">NOTIFÍQUESE, </w:t>
      </w:r>
      <w:r w:rsidR="00045D3D" w:rsidRPr="00C435C3">
        <w:rPr>
          <w:rFonts w:ascii="Bookman Old Style" w:hAnsi="Bookman Old Style"/>
          <w:b/>
        </w:rPr>
        <w:t>PU</w:t>
      </w:r>
      <w:r w:rsidR="00CA03C8">
        <w:rPr>
          <w:rFonts w:ascii="Bookman Old Style" w:hAnsi="Bookman Old Style"/>
          <w:b/>
        </w:rPr>
        <w:t>B</w:t>
      </w:r>
      <w:r w:rsidR="00045D3D" w:rsidRPr="00C435C3">
        <w:rPr>
          <w:rFonts w:ascii="Bookman Old Style" w:hAnsi="Bookman Old Style"/>
          <w:b/>
        </w:rPr>
        <w:t>LÍQUESE Y CÚMPLASE</w:t>
      </w:r>
    </w:p>
    <w:p w14:paraId="7574C166" w14:textId="77777777" w:rsidR="00045D3D" w:rsidRDefault="00045D3D" w:rsidP="00045D3D">
      <w:pPr>
        <w:rPr>
          <w:rFonts w:ascii="Bookman Old Style" w:hAnsi="Bookman Old Style"/>
        </w:rPr>
      </w:pPr>
    </w:p>
    <w:p w14:paraId="1B2C534D" w14:textId="77777777" w:rsidR="00BE2A30" w:rsidRPr="00C435C3" w:rsidRDefault="00BE2A30" w:rsidP="00045D3D">
      <w:pPr>
        <w:rPr>
          <w:rFonts w:ascii="Bookman Old Style" w:hAnsi="Bookman Old Style"/>
        </w:rPr>
      </w:pPr>
    </w:p>
    <w:p w14:paraId="0E848485" w14:textId="77777777" w:rsidR="00045D3D" w:rsidRDefault="00045D3D" w:rsidP="00045D3D">
      <w:pPr>
        <w:ind w:left="0"/>
        <w:rPr>
          <w:rFonts w:ascii="Bookman Old Style" w:hAnsi="Bookman Old Style"/>
        </w:rPr>
      </w:pPr>
      <w:r>
        <w:rPr>
          <w:rFonts w:ascii="Bookman Old Style" w:hAnsi="Bookman Old Style"/>
        </w:rPr>
        <w:t>Dada en Bogotá, D.C.</w:t>
      </w:r>
      <w:r w:rsidR="00CA3AA6">
        <w:rPr>
          <w:rFonts w:ascii="Bookman Old Style" w:hAnsi="Bookman Old Style"/>
        </w:rPr>
        <w:t xml:space="preserve"> a</w:t>
      </w: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8E7D7B" w14:paraId="4A7D3D18" w14:textId="77777777" w:rsidTr="0079183A">
        <w:trPr>
          <w:tblCellSpacing w:w="0" w:type="dxa"/>
          <w:jc w:val="center"/>
        </w:trPr>
        <w:tc>
          <w:tcPr>
            <w:tcW w:w="5033" w:type="dxa"/>
          </w:tcPr>
          <w:p w14:paraId="5B88ADB4" w14:textId="77777777" w:rsidR="008E7D7B" w:rsidRDefault="008E7D7B" w:rsidP="0079183A">
            <w:pPr>
              <w:rPr>
                <w:rFonts w:ascii="Bookman Old Style" w:hAnsi="Bookman Old Style" w:cs="Arial"/>
                <w:b/>
                <w:spacing w:val="-3"/>
              </w:rPr>
            </w:pPr>
          </w:p>
          <w:p w14:paraId="257CB812" w14:textId="7AB1F5A6" w:rsidR="008E7D7B" w:rsidRDefault="008E7D7B" w:rsidP="0079183A">
            <w:pPr>
              <w:rPr>
                <w:rFonts w:ascii="Bookman Old Style" w:hAnsi="Bookman Old Style" w:cs="Arial"/>
                <w:b/>
                <w:spacing w:val="-3"/>
              </w:rPr>
            </w:pPr>
          </w:p>
          <w:p w14:paraId="1829CC3B" w14:textId="5EA56A07" w:rsidR="008E7D7B" w:rsidRDefault="008E7D7B" w:rsidP="0079183A">
            <w:pPr>
              <w:rPr>
                <w:rFonts w:ascii="Bookman Old Style" w:hAnsi="Bookman Old Style" w:cs="Arial"/>
                <w:b/>
                <w:spacing w:val="-3"/>
              </w:rPr>
            </w:pPr>
          </w:p>
          <w:p w14:paraId="0AE16577" w14:textId="77777777" w:rsidR="008E7D7B" w:rsidRDefault="008E7D7B" w:rsidP="0079183A">
            <w:pPr>
              <w:rPr>
                <w:rFonts w:ascii="Bookman Old Style" w:hAnsi="Bookman Old Style" w:cs="Arial"/>
                <w:b/>
                <w:spacing w:val="-3"/>
              </w:rPr>
            </w:pPr>
          </w:p>
          <w:p w14:paraId="3CAE50AC" w14:textId="77777777" w:rsidR="008E7D7B" w:rsidRDefault="008E7D7B" w:rsidP="0079183A">
            <w:pPr>
              <w:ind w:left="66"/>
              <w:jc w:val="center"/>
              <w:rPr>
                <w:rFonts w:ascii="Bookman Old Style" w:hAnsi="Bookman Old Style" w:cs="Arial"/>
                <w:b/>
                <w:spacing w:val="-3"/>
              </w:rPr>
            </w:pPr>
          </w:p>
          <w:p w14:paraId="0659B0ED" w14:textId="77777777" w:rsidR="008E7D7B" w:rsidRDefault="008E7D7B" w:rsidP="0079183A">
            <w:pPr>
              <w:ind w:left="66"/>
              <w:jc w:val="center"/>
              <w:rPr>
                <w:rFonts w:ascii="Bookman Old Style" w:hAnsi="Bookman Old Style" w:cs="Arial"/>
                <w:b/>
                <w:spacing w:val="-3"/>
              </w:rPr>
            </w:pPr>
            <w:r>
              <w:rPr>
                <w:rFonts w:ascii="Bookman Old Style" w:hAnsi="Bookman Old Style" w:cs="Arial"/>
                <w:b/>
              </w:rPr>
              <w:t>DIEGO MESA PUYO</w:t>
            </w:r>
          </w:p>
        </w:tc>
        <w:tc>
          <w:tcPr>
            <w:tcW w:w="4465" w:type="dxa"/>
          </w:tcPr>
          <w:p w14:paraId="39E530CA" w14:textId="77777777" w:rsidR="008E7D7B" w:rsidRDefault="008E7D7B" w:rsidP="0079183A">
            <w:pPr>
              <w:ind w:left="89"/>
              <w:jc w:val="center"/>
              <w:rPr>
                <w:rFonts w:ascii="Bookman Old Style" w:hAnsi="Bookman Old Style" w:cs="Arial"/>
                <w:b/>
                <w:spacing w:val="-3"/>
              </w:rPr>
            </w:pPr>
          </w:p>
          <w:p w14:paraId="288D942B" w14:textId="12D686C9" w:rsidR="008E7D7B" w:rsidRDefault="008E7D7B" w:rsidP="0079183A">
            <w:pPr>
              <w:ind w:left="89"/>
              <w:jc w:val="center"/>
              <w:rPr>
                <w:rFonts w:ascii="Bookman Old Style" w:hAnsi="Bookman Old Style" w:cs="Arial"/>
                <w:b/>
                <w:spacing w:val="-3"/>
              </w:rPr>
            </w:pPr>
          </w:p>
          <w:p w14:paraId="4AFD7DCC" w14:textId="734E2C3E" w:rsidR="008E7D7B" w:rsidRDefault="008E7D7B" w:rsidP="0079183A">
            <w:pPr>
              <w:ind w:left="89"/>
              <w:jc w:val="center"/>
              <w:rPr>
                <w:rFonts w:ascii="Bookman Old Style" w:hAnsi="Bookman Old Style" w:cs="Arial"/>
                <w:b/>
                <w:spacing w:val="-3"/>
              </w:rPr>
            </w:pPr>
          </w:p>
          <w:p w14:paraId="19043F3C" w14:textId="77777777" w:rsidR="008E7D7B" w:rsidRDefault="008E7D7B" w:rsidP="0079183A">
            <w:pPr>
              <w:ind w:left="89"/>
              <w:jc w:val="center"/>
              <w:rPr>
                <w:rFonts w:ascii="Bookman Old Style" w:hAnsi="Bookman Old Style" w:cs="Arial"/>
                <w:b/>
                <w:spacing w:val="-3"/>
              </w:rPr>
            </w:pPr>
          </w:p>
          <w:p w14:paraId="5A7A06D8" w14:textId="77777777" w:rsidR="008E7D7B" w:rsidRDefault="008E7D7B" w:rsidP="0079183A">
            <w:pPr>
              <w:ind w:left="89"/>
              <w:jc w:val="center"/>
              <w:rPr>
                <w:rFonts w:ascii="Bookman Old Style" w:hAnsi="Bookman Old Style" w:cs="Arial"/>
                <w:b/>
                <w:spacing w:val="-3"/>
              </w:rPr>
            </w:pPr>
          </w:p>
          <w:p w14:paraId="1665626A" w14:textId="77777777" w:rsidR="008E7D7B" w:rsidRDefault="008E7D7B" w:rsidP="0079183A">
            <w:pPr>
              <w:ind w:left="89"/>
              <w:jc w:val="center"/>
              <w:rPr>
                <w:rFonts w:ascii="Bookman Old Style" w:hAnsi="Bookman Old Style" w:cs="Arial"/>
                <w:b/>
                <w:spacing w:val="-3"/>
              </w:rPr>
            </w:pPr>
            <w:r>
              <w:rPr>
                <w:rFonts w:ascii="Bookman Old Style" w:hAnsi="Bookman Old Style" w:cs="Arial"/>
                <w:b/>
                <w:spacing w:val="-3"/>
              </w:rPr>
              <w:t>CHRISTIAN JARAMILLO HERRERA</w:t>
            </w:r>
          </w:p>
        </w:tc>
      </w:tr>
      <w:tr w:rsidR="008E7D7B" w14:paraId="744A1901" w14:textId="77777777" w:rsidTr="0079183A">
        <w:trPr>
          <w:tblCellSpacing w:w="0" w:type="dxa"/>
          <w:jc w:val="center"/>
        </w:trPr>
        <w:tc>
          <w:tcPr>
            <w:tcW w:w="5033" w:type="dxa"/>
            <w:hideMark/>
          </w:tcPr>
          <w:p w14:paraId="419DB196" w14:textId="77777777" w:rsidR="008E7D7B" w:rsidRDefault="008E7D7B" w:rsidP="0079183A">
            <w:pPr>
              <w:ind w:left="66"/>
              <w:jc w:val="center"/>
              <w:rPr>
                <w:rFonts w:ascii="Bookman Old Style" w:hAnsi="Bookman Old Style" w:cs="Arial"/>
                <w:spacing w:val="-3"/>
                <w:sz w:val="22"/>
              </w:rPr>
            </w:pPr>
            <w:r>
              <w:rPr>
                <w:rFonts w:ascii="Bookman Old Style" w:hAnsi="Bookman Old Style" w:cs="Arial"/>
                <w:spacing w:val="-3"/>
                <w:sz w:val="22"/>
              </w:rPr>
              <w:t>Viceministro de Energía</w:t>
            </w:r>
          </w:p>
          <w:p w14:paraId="59B2A899" w14:textId="77777777" w:rsidR="008E7D7B" w:rsidRDefault="008E7D7B" w:rsidP="0079183A">
            <w:pPr>
              <w:ind w:left="66"/>
              <w:jc w:val="center"/>
              <w:rPr>
                <w:rFonts w:ascii="Bookman Old Style" w:eastAsia="Arial Unicode MS" w:hAnsi="Bookman Old Style" w:cs="Arial"/>
                <w:color w:val="000000"/>
                <w:sz w:val="22"/>
              </w:rPr>
            </w:pPr>
            <w:r>
              <w:rPr>
                <w:rFonts w:ascii="Bookman Old Style" w:hAnsi="Bookman Old Style" w:cs="Arial"/>
                <w:spacing w:val="-3"/>
                <w:sz w:val="22"/>
              </w:rPr>
              <w:t>Delegado de la Ministra de Minas y Energía</w:t>
            </w:r>
          </w:p>
        </w:tc>
        <w:tc>
          <w:tcPr>
            <w:tcW w:w="4465" w:type="dxa"/>
            <w:hideMark/>
          </w:tcPr>
          <w:p w14:paraId="35FADF02" w14:textId="77777777" w:rsidR="008E7D7B" w:rsidRDefault="008E7D7B" w:rsidP="0079183A">
            <w:pPr>
              <w:jc w:val="center"/>
              <w:rPr>
                <w:rFonts w:ascii="Bookman Old Style" w:eastAsia="Arial Unicode MS" w:hAnsi="Bookman Old Style" w:cs="Arial"/>
                <w:color w:val="000000"/>
                <w:sz w:val="22"/>
              </w:rPr>
            </w:pPr>
            <w:r>
              <w:rPr>
                <w:rFonts w:ascii="Bookman Old Style" w:hAnsi="Bookman Old Style" w:cs="Arial"/>
                <w:spacing w:val="-3"/>
                <w:sz w:val="22"/>
              </w:rPr>
              <w:t>Director Ejecutivo</w:t>
            </w:r>
          </w:p>
        </w:tc>
      </w:tr>
      <w:tr w:rsidR="008E7D7B" w14:paraId="41BDF67E" w14:textId="77777777" w:rsidTr="0079183A">
        <w:trPr>
          <w:tblCellSpacing w:w="0" w:type="dxa"/>
          <w:jc w:val="center"/>
        </w:trPr>
        <w:tc>
          <w:tcPr>
            <w:tcW w:w="5033" w:type="dxa"/>
            <w:hideMark/>
          </w:tcPr>
          <w:p w14:paraId="59AE2DED" w14:textId="77777777" w:rsidR="008E7D7B" w:rsidRDefault="008E7D7B" w:rsidP="0079183A">
            <w:pPr>
              <w:ind w:left="66"/>
              <w:jc w:val="center"/>
              <w:rPr>
                <w:rFonts w:ascii="Bookman Old Style" w:eastAsia="Arial Unicode MS" w:hAnsi="Bookman Old Style" w:cs="Arial"/>
                <w:color w:val="000000"/>
                <w:sz w:val="22"/>
              </w:rPr>
            </w:pPr>
            <w:r>
              <w:rPr>
                <w:rFonts w:ascii="Bookman Old Style" w:hAnsi="Bookman Old Style" w:cs="Arial"/>
                <w:spacing w:val="-3"/>
                <w:sz w:val="22"/>
              </w:rPr>
              <w:t>Presidente</w:t>
            </w:r>
          </w:p>
        </w:tc>
        <w:tc>
          <w:tcPr>
            <w:tcW w:w="4465" w:type="dxa"/>
          </w:tcPr>
          <w:p w14:paraId="0A24D2F7" w14:textId="77777777" w:rsidR="008E7D7B" w:rsidRDefault="008E7D7B" w:rsidP="0079183A">
            <w:pPr>
              <w:jc w:val="center"/>
              <w:rPr>
                <w:rFonts w:ascii="Bookman Old Style" w:eastAsia="Arial Unicode MS" w:hAnsi="Bookman Old Style" w:cs="Arial"/>
                <w:color w:val="000000"/>
                <w:sz w:val="22"/>
              </w:rPr>
            </w:pPr>
          </w:p>
        </w:tc>
      </w:tr>
    </w:tbl>
    <w:p w14:paraId="0CDCAA1A" w14:textId="77777777" w:rsidR="00D51A18" w:rsidRDefault="00D51A18" w:rsidP="00045D3D">
      <w:pPr>
        <w:ind w:left="0"/>
        <w:rPr>
          <w:rFonts w:ascii="Bookman Old Style" w:hAnsi="Bookman Old Style"/>
        </w:rPr>
      </w:pPr>
    </w:p>
    <w:p w14:paraId="08765B60" w14:textId="77777777" w:rsidR="00D51A18" w:rsidRDefault="00D51A18" w:rsidP="00045D3D">
      <w:pPr>
        <w:ind w:left="0"/>
        <w:rPr>
          <w:rFonts w:ascii="Bookman Old Style" w:hAnsi="Bookman Old Style"/>
        </w:rPr>
      </w:pPr>
    </w:p>
    <w:p w14:paraId="3F9C20A1" w14:textId="26C91C6C" w:rsidR="00045D3D" w:rsidRDefault="00045D3D" w:rsidP="00045D3D">
      <w:pPr>
        <w:ind w:left="0"/>
        <w:rPr>
          <w:rFonts w:ascii="Bookman Old Style" w:hAnsi="Bookman Old Style"/>
        </w:rPr>
      </w:pPr>
    </w:p>
    <w:p w14:paraId="0C542C3C" w14:textId="77777777" w:rsidR="00BC1529" w:rsidRDefault="00BC1529" w:rsidP="00045D3D">
      <w:pPr>
        <w:ind w:left="0"/>
        <w:rPr>
          <w:rFonts w:ascii="Bookman Old Style" w:hAnsi="Bookman Old Style"/>
        </w:rPr>
      </w:pPr>
    </w:p>
    <w:p w14:paraId="122FA4C4" w14:textId="77777777" w:rsidR="00045D3D" w:rsidRDefault="00045D3D" w:rsidP="00045D3D">
      <w:pPr>
        <w:ind w:left="0"/>
        <w:rPr>
          <w:rFonts w:ascii="Bookman Old Style" w:hAnsi="Bookman Old Style"/>
        </w:rPr>
      </w:pPr>
    </w:p>
    <w:tbl>
      <w:tblPr>
        <w:tblW w:w="10129" w:type="dxa"/>
        <w:jc w:val="right"/>
        <w:tblLayout w:type="fixed"/>
        <w:tblCellMar>
          <w:left w:w="70" w:type="dxa"/>
          <w:right w:w="70" w:type="dxa"/>
        </w:tblCellMar>
        <w:tblLook w:val="0000" w:firstRow="0" w:lastRow="0" w:firstColumn="0" w:lastColumn="0" w:noHBand="0" w:noVBand="0"/>
      </w:tblPr>
      <w:tblGrid>
        <w:gridCol w:w="4871"/>
        <w:gridCol w:w="5258"/>
      </w:tblGrid>
      <w:tr w:rsidR="00045D3D" w:rsidRPr="00720520" w14:paraId="7F89845E" w14:textId="77777777" w:rsidTr="00F77D2D">
        <w:trPr>
          <w:jc w:val="right"/>
        </w:trPr>
        <w:tc>
          <w:tcPr>
            <w:tcW w:w="4871" w:type="dxa"/>
          </w:tcPr>
          <w:p w14:paraId="48D0AFAC" w14:textId="77777777" w:rsidR="00045D3D" w:rsidRPr="00720520" w:rsidRDefault="00045D3D" w:rsidP="00F77D2D">
            <w:pPr>
              <w:ind w:left="0"/>
              <w:rPr>
                <w:rFonts w:ascii="Bookman Old Style" w:hAnsi="Bookman Old Style" w:cs="Arial"/>
                <w:spacing w:val="-3"/>
                <w:lang w:val="es-ES_tradnl"/>
              </w:rPr>
            </w:pPr>
          </w:p>
        </w:tc>
        <w:tc>
          <w:tcPr>
            <w:tcW w:w="5258" w:type="dxa"/>
          </w:tcPr>
          <w:p w14:paraId="08F0235E" w14:textId="77777777" w:rsidR="00045D3D" w:rsidRPr="00720520" w:rsidRDefault="00045D3D" w:rsidP="006B6194">
            <w:pPr>
              <w:rPr>
                <w:rFonts w:ascii="Bookman Old Style" w:hAnsi="Bookman Old Style" w:cs="Arial"/>
                <w:spacing w:val="-3"/>
                <w:lang w:val="es-ES_tradnl"/>
              </w:rPr>
            </w:pPr>
          </w:p>
        </w:tc>
      </w:tr>
      <w:tr w:rsidR="00045D3D" w:rsidRPr="00720520" w14:paraId="692168DC" w14:textId="77777777" w:rsidTr="00F77D2D">
        <w:trPr>
          <w:jc w:val="right"/>
        </w:trPr>
        <w:tc>
          <w:tcPr>
            <w:tcW w:w="4871" w:type="dxa"/>
          </w:tcPr>
          <w:p w14:paraId="59A80554" w14:textId="77777777" w:rsidR="00045D3D" w:rsidRPr="00720520" w:rsidRDefault="00045D3D" w:rsidP="006B6194">
            <w:pPr>
              <w:rPr>
                <w:rFonts w:ascii="Bookman Old Style" w:hAnsi="Bookman Old Style" w:cs="Arial"/>
                <w:spacing w:val="-3"/>
              </w:rPr>
            </w:pPr>
          </w:p>
        </w:tc>
        <w:tc>
          <w:tcPr>
            <w:tcW w:w="5258" w:type="dxa"/>
          </w:tcPr>
          <w:p w14:paraId="1DE15909" w14:textId="77777777" w:rsidR="00045D3D" w:rsidRPr="00720520" w:rsidRDefault="00045D3D" w:rsidP="006B6194">
            <w:pPr>
              <w:rPr>
                <w:rFonts w:ascii="Bookman Old Style" w:hAnsi="Bookman Old Style" w:cs="Arial"/>
                <w:spacing w:val="-3"/>
              </w:rPr>
            </w:pPr>
          </w:p>
        </w:tc>
      </w:tr>
    </w:tbl>
    <w:p w14:paraId="41C0C1C6" w14:textId="77777777" w:rsidR="00E060BE" w:rsidRPr="00E060BE" w:rsidRDefault="00E060BE" w:rsidP="00BE2A30">
      <w:pPr>
        <w:ind w:left="0"/>
        <w:rPr>
          <w:rFonts w:ascii="Bookman Old Style" w:hAnsi="Bookman Old Style" w:cs="Arial"/>
        </w:rPr>
      </w:pPr>
    </w:p>
    <w:sectPr w:rsidR="00E060BE" w:rsidRPr="00E060BE"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237A5" w14:textId="77777777" w:rsidR="00A67C97" w:rsidRDefault="00A67C97">
      <w:r>
        <w:separator/>
      </w:r>
    </w:p>
  </w:endnote>
  <w:endnote w:type="continuationSeparator" w:id="0">
    <w:p w14:paraId="52C715B9" w14:textId="77777777" w:rsidR="00A67C97" w:rsidRDefault="00A67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DE4C3" w14:textId="77777777" w:rsidR="00A67C97" w:rsidRDefault="00A67C97">
      <w:r>
        <w:separator/>
      </w:r>
    </w:p>
  </w:footnote>
  <w:footnote w:type="continuationSeparator" w:id="0">
    <w:p w14:paraId="3B0F4993" w14:textId="77777777" w:rsidR="00A67C97" w:rsidRDefault="00A67C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EF796" w14:textId="77777777" w:rsidR="00381DE2" w:rsidRDefault="00381DE2" w:rsidP="00951F79">
    <w:pPr>
      <w:pStyle w:val="Ttulo1"/>
      <w:ind w:right="6"/>
      <w:jc w:val="left"/>
      <w:rPr>
        <w:rFonts w:ascii="Bookman Old Style" w:hAnsi="Bookman Old Style" w:cs="Arial"/>
        <w:b w:val="0"/>
        <w:sz w:val="22"/>
        <w:szCs w:val="22"/>
      </w:rPr>
    </w:pPr>
  </w:p>
  <w:p w14:paraId="58FCE5BF" w14:textId="42F0C26B" w:rsidR="00381DE2" w:rsidRPr="00951F79" w:rsidRDefault="00381DE2"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867C6D">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867C6D">
      <w:fldChar w:fldCharType="begin"/>
    </w:r>
    <w:r w:rsidR="00867C6D">
      <w:instrText xml:space="preserve"> NUMPAGES  \* MERGEFORMAT </w:instrText>
    </w:r>
    <w:r w:rsidR="00867C6D">
      <w:fldChar w:fldCharType="separate"/>
    </w:r>
    <w:r w:rsidR="00867C6D" w:rsidRPr="00867C6D">
      <w:rPr>
        <w:rFonts w:ascii="Bookman Old Style" w:hAnsi="Bookman Old Style" w:cs="Arial"/>
        <w:b w:val="0"/>
        <w:noProof/>
        <w:sz w:val="22"/>
        <w:szCs w:val="22"/>
      </w:rPr>
      <w:t>13</w:t>
    </w:r>
    <w:r w:rsidR="00867C6D">
      <w:rPr>
        <w:rFonts w:ascii="Bookman Old Style" w:hAnsi="Bookman Old Style" w:cs="Arial"/>
        <w:b w:val="0"/>
        <w:noProof/>
        <w:sz w:val="22"/>
        <w:szCs w:val="22"/>
      </w:rPr>
      <w:fldChar w:fldCharType="end"/>
    </w:r>
  </w:p>
  <w:p w14:paraId="7906A953" w14:textId="77777777" w:rsidR="00381DE2" w:rsidRDefault="00381DE2"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1EEF1A4E" wp14:editId="55D0D55C">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2E1CA"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0F9ADD4D" w14:textId="77777777" w:rsidR="00381DE2" w:rsidRPr="00D5196E" w:rsidRDefault="00381DE2" w:rsidP="00D5196E">
    <w:pPr>
      <w:pBdr>
        <w:bottom w:val="single" w:sz="4" w:space="1" w:color="auto"/>
      </w:pBdr>
      <w:ind w:left="142" w:right="148"/>
      <w:jc w:val="both"/>
      <w:rPr>
        <w:rFonts w:ascii="Bookman Old Style" w:hAnsi="Bookman Old Style"/>
        <w:i/>
        <w:sz w:val="20"/>
        <w:szCs w:val="20"/>
      </w:rPr>
    </w:pPr>
    <w:r w:rsidRPr="00EC69A4">
      <w:rPr>
        <w:rFonts w:ascii="Bookman Old Style" w:hAnsi="Bookman Old Style"/>
        <w:sz w:val="20"/>
        <w:szCs w:val="20"/>
      </w:rPr>
      <w:t xml:space="preserve"> </w:t>
    </w:r>
    <w:r w:rsidRPr="00D5196E">
      <w:rPr>
        <w:rFonts w:ascii="Bookman Old Style" w:hAnsi="Bookman Old Style"/>
        <w:sz w:val="20"/>
        <w:szCs w:val="20"/>
      </w:rPr>
      <w:t xml:space="preserve">Por la cual se resuelve el recurso de reposición interpuesto contra la Resolución CREG 101 de 2019 por la cual se decidió </w:t>
    </w:r>
    <w:r w:rsidRPr="00D5196E">
      <w:rPr>
        <w:rFonts w:ascii="Bookman Old Style" w:hAnsi="Bookman Old Style"/>
        <w:i/>
        <w:sz w:val="20"/>
        <w:szCs w:val="20"/>
      </w:rPr>
      <w:t xml:space="preserve">la actuación administrativa adelantada para establecer plenamente la existencia del   incumplimiento grave e insalvable en la puesta en operación del Proyecto Hidroeléctrico </w:t>
    </w:r>
    <w:proofErr w:type="spellStart"/>
    <w:r w:rsidRPr="00D5196E">
      <w:rPr>
        <w:rFonts w:ascii="Bookman Old Style" w:hAnsi="Bookman Old Style"/>
        <w:i/>
        <w:sz w:val="20"/>
        <w:szCs w:val="20"/>
      </w:rPr>
      <w:t>Ituango</w:t>
    </w:r>
    <w:proofErr w:type="spellEnd"/>
    <w:r w:rsidRPr="00D5196E">
      <w:rPr>
        <w:rFonts w:ascii="Bookman Old Style" w:hAnsi="Bookman Old Style"/>
        <w:i/>
        <w:sz w:val="20"/>
        <w:szCs w:val="20"/>
      </w:rPr>
      <w:t>, determinar sus consecuencias y garantizar el derecho de defensa de Empresas Públicas de Medellín, EPM ESP.</w:t>
    </w:r>
  </w:p>
  <w:p w14:paraId="43288819" w14:textId="77777777" w:rsidR="00381DE2" w:rsidRPr="00EC69A4" w:rsidRDefault="00381DE2" w:rsidP="00230D16">
    <w:pPr>
      <w:pBdr>
        <w:bottom w:val="single" w:sz="4" w:space="1" w:color="auto"/>
      </w:pBdr>
      <w:ind w:left="142" w:right="148"/>
      <w:jc w:val="both"/>
      <w:rPr>
        <w:b/>
        <w:sz w:val="20"/>
        <w:szCs w:val="20"/>
      </w:rPr>
    </w:pPr>
  </w:p>
  <w:p w14:paraId="04F9F89C" w14:textId="77777777" w:rsidR="00381DE2" w:rsidRDefault="00381DE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9984F" w14:textId="77777777" w:rsidR="00381DE2" w:rsidRDefault="00381DE2"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2434D9B4" w14:textId="77777777" w:rsidR="00381DE2" w:rsidRDefault="00381DE2">
    <w:pPr>
      <w:pStyle w:val="Encabezado"/>
      <w:jc w:val="center"/>
      <w:rPr>
        <w:rFonts w:ascii="Arial" w:hAnsi="Arial" w:cs="Arial"/>
        <w:spacing w:val="20"/>
        <w:sz w:val="20"/>
      </w:rPr>
    </w:pPr>
  </w:p>
  <w:p w14:paraId="1A90A16A" w14:textId="77777777" w:rsidR="00381DE2" w:rsidRDefault="00381DE2"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7961F03" wp14:editId="653081D7">
              <wp:simplePos x="0" y="0"/>
              <wp:positionH relativeFrom="column">
                <wp:posOffset>-213360</wp:posOffset>
              </wp:positionH>
              <wp:positionV relativeFrom="paragraph">
                <wp:posOffset>377190</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59530"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8EB4EC1"/>
    <w:multiLevelType w:val="hybridMultilevel"/>
    <w:tmpl w:val="766ECC94"/>
    <w:lvl w:ilvl="0" w:tplc="E3BE90B2">
      <w:start w:val="1"/>
      <w:numFmt w:val="bullet"/>
      <w:lvlText w:val="-"/>
      <w:lvlJc w:val="left"/>
      <w:pPr>
        <w:ind w:left="720" w:hanging="360"/>
      </w:pPr>
      <w:rPr>
        <w:rFonts w:ascii="Calibri" w:eastAsia="Calibr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7"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F5254A"/>
    <w:multiLevelType w:val="hybridMultilevel"/>
    <w:tmpl w:val="665EBE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005AD3"/>
    <w:multiLevelType w:val="hybridMultilevel"/>
    <w:tmpl w:val="665EBE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6515AD"/>
    <w:multiLevelType w:val="hybridMultilevel"/>
    <w:tmpl w:val="9D541E80"/>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3"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2DD171FA"/>
    <w:multiLevelType w:val="hybridMultilevel"/>
    <w:tmpl w:val="FB06AF5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27026C1"/>
    <w:multiLevelType w:val="hybridMultilevel"/>
    <w:tmpl w:val="C41054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785AB0"/>
    <w:multiLevelType w:val="hybridMultilevel"/>
    <w:tmpl w:val="CAF6B9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350199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BD5F45"/>
    <w:multiLevelType w:val="hybridMultilevel"/>
    <w:tmpl w:val="4E103A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4" w15:restartNumberingAfterBreak="0">
    <w:nsid w:val="4D6B3A91"/>
    <w:multiLevelType w:val="hybridMultilevel"/>
    <w:tmpl w:val="28B87852"/>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6" w15:restartNumberingAfterBreak="0">
    <w:nsid w:val="53F52FDC"/>
    <w:multiLevelType w:val="hybridMultilevel"/>
    <w:tmpl w:val="B4E2CE26"/>
    <w:lvl w:ilvl="0" w:tplc="32F41B58">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78C6BDF"/>
    <w:multiLevelType w:val="hybridMultilevel"/>
    <w:tmpl w:val="420407EC"/>
    <w:lvl w:ilvl="0" w:tplc="D34CCC6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6512242C"/>
    <w:multiLevelType w:val="hybridMultilevel"/>
    <w:tmpl w:val="AD46C4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3"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7374770"/>
    <w:multiLevelType w:val="hybridMultilevel"/>
    <w:tmpl w:val="21E6BF7E"/>
    <w:lvl w:ilvl="0" w:tplc="EB18A9C2">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35"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35"/>
  </w:num>
  <w:num w:numId="4">
    <w:abstractNumId w:val="10"/>
  </w:num>
  <w:num w:numId="5">
    <w:abstractNumId w:val="28"/>
  </w:num>
  <w:num w:numId="6">
    <w:abstractNumId w:val="4"/>
  </w:num>
  <w:num w:numId="7">
    <w:abstractNumId w:val="3"/>
  </w:num>
  <w:num w:numId="8">
    <w:abstractNumId w:val="30"/>
  </w:num>
  <w:num w:numId="9">
    <w:abstractNumId w:val="29"/>
  </w:num>
  <w:num w:numId="10">
    <w:abstractNumId w:val="22"/>
  </w:num>
  <w:num w:numId="11">
    <w:abstractNumId w:val="36"/>
  </w:num>
  <w:num w:numId="12">
    <w:abstractNumId w:val="33"/>
  </w:num>
  <w:num w:numId="13">
    <w:abstractNumId w:val="17"/>
  </w:num>
  <w:num w:numId="14">
    <w:abstractNumId w:val="2"/>
  </w:num>
  <w:num w:numId="15">
    <w:abstractNumId w:val="23"/>
  </w:num>
  <w:num w:numId="16">
    <w:abstractNumId w:val="1"/>
  </w:num>
  <w:num w:numId="17">
    <w:abstractNumId w:val="16"/>
  </w:num>
  <w:num w:numId="18">
    <w:abstractNumId w:val="0"/>
  </w:num>
  <w:num w:numId="19">
    <w:abstractNumId w:val="32"/>
  </w:num>
  <w:num w:numId="20">
    <w:abstractNumId w:val="25"/>
  </w:num>
  <w:num w:numId="21">
    <w:abstractNumId w:val="11"/>
  </w:num>
  <w:num w:numId="22">
    <w:abstractNumId w:val="13"/>
  </w:num>
  <w:num w:numId="23">
    <w:abstractNumId w:val="6"/>
  </w:num>
  <w:num w:numId="24">
    <w:abstractNumId w:val="24"/>
  </w:num>
  <w:num w:numId="25">
    <w:abstractNumId w:val="12"/>
  </w:num>
  <w:num w:numId="26">
    <w:abstractNumId w:val="34"/>
  </w:num>
  <w:num w:numId="27">
    <w:abstractNumId w:val="8"/>
  </w:num>
  <w:num w:numId="28">
    <w:abstractNumId w:val="9"/>
  </w:num>
  <w:num w:numId="29">
    <w:abstractNumId w:val="19"/>
  </w:num>
  <w:num w:numId="30">
    <w:abstractNumId w:val="5"/>
  </w:num>
  <w:num w:numId="31">
    <w:abstractNumId w:val="20"/>
  </w:num>
  <w:num w:numId="32">
    <w:abstractNumId w:val="26"/>
  </w:num>
  <w:num w:numId="33">
    <w:abstractNumId w:val="18"/>
  </w:num>
  <w:num w:numId="34">
    <w:abstractNumId w:val="31"/>
  </w:num>
  <w:num w:numId="35">
    <w:abstractNumId w:val="27"/>
  </w:num>
  <w:num w:numId="36">
    <w:abstractNumId w:val="15"/>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5B79"/>
    <w:rsid w:val="00006AE2"/>
    <w:rsid w:val="000076A1"/>
    <w:rsid w:val="00012259"/>
    <w:rsid w:val="00015D1C"/>
    <w:rsid w:val="00025383"/>
    <w:rsid w:val="0002734B"/>
    <w:rsid w:val="00034613"/>
    <w:rsid w:val="000348A1"/>
    <w:rsid w:val="00045D3D"/>
    <w:rsid w:val="00057877"/>
    <w:rsid w:val="00060035"/>
    <w:rsid w:val="000612E6"/>
    <w:rsid w:val="00063657"/>
    <w:rsid w:val="00073EE4"/>
    <w:rsid w:val="0007583D"/>
    <w:rsid w:val="00076680"/>
    <w:rsid w:val="000769DF"/>
    <w:rsid w:val="00076A1D"/>
    <w:rsid w:val="00077383"/>
    <w:rsid w:val="0008073E"/>
    <w:rsid w:val="00091CDB"/>
    <w:rsid w:val="00097D53"/>
    <w:rsid w:val="000A04F5"/>
    <w:rsid w:val="000A19AC"/>
    <w:rsid w:val="000A425E"/>
    <w:rsid w:val="000B0C7C"/>
    <w:rsid w:val="000B2EC9"/>
    <w:rsid w:val="000B437E"/>
    <w:rsid w:val="000B7ACA"/>
    <w:rsid w:val="000C3107"/>
    <w:rsid w:val="000D26F8"/>
    <w:rsid w:val="000F3E1D"/>
    <w:rsid w:val="001002B6"/>
    <w:rsid w:val="00100637"/>
    <w:rsid w:val="00106654"/>
    <w:rsid w:val="001120B4"/>
    <w:rsid w:val="0011670D"/>
    <w:rsid w:val="001227C0"/>
    <w:rsid w:val="001268BC"/>
    <w:rsid w:val="0013526C"/>
    <w:rsid w:val="001405C6"/>
    <w:rsid w:val="00141013"/>
    <w:rsid w:val="0014120F"/>
    <w:rsid w:val="00192CBF"/>
    <w:rsid w:val="00192FF1"/>
    <w:rsid w:val="00194BD7"/>
    <w:rsid w:val="001A51F0"/>
    <w:rsid w:val="001A5F1B"/>
    <w:rsid w:val="001B1C22"/>
    <w:rsid w:val="001B34C6"/>
    <w:rsid w:val="001C5496"/>
    <w:rsid w:val="001D66B5"/>
    <w:rsid w:val="001D7832"/>
    <w:rsid w:val="00206B4A"/>
    <w:rsid w:val="00210DC1"/>
    <w:rsid w:val="00211D34"/>
    <w:rsid w:val="00214F04"/>
    <w:rsid w:val="00227AF9"/>
    <w:rsid w:val="00230D16"/>
    <w:rsid w:val="002352B9"/>
    <w:rsid w:val="00237E17"/>
    <w:rsid w:val="00243445"/>
    <w:rsid w:val="0025549F"/>
    <w:rsid w:val="0026336E"/>
    <w:rsid w:val="00266CD6"/>
    <w:rsid w:val="002673AC"/>
    <w:rsid w:val="00275DAB"/>
    <w:rsid w:val="002903C0"/>
    <w:rsid w:val="00292B87"/>
    <w:rsid w:val="002A782A"/>
    <w:rsid w:val="002B11E2"/>
    <w:rsid w:val="002B24B8"/>
    <w:rsid w:val="002C168F"/>
    <w:rsid w:val="002D2744"/>
    <w:rsid w:val="002D3AE9"/>
    <w:rsid w:val="002D4510"/>
    <w:rsid w:val="002E7C70"/>
    <w:rsid w:val="002F0734"/>
    <w:rsid w:val="002F46E7"/>
    <w:rsid w:val="0030591F"/>
    <w:rsid w:val="003101DA"/>
    <w:rsid w:val="003111C3"/>
    <w:rsid w:val="00314757"/>
    <w:rsid w:val="003163BC"/>
    <w:rsid w:val="003211CE"/>
    <w:rsid w:val="00342B11"/>
    <w:rsid w:val="0035403A"/>
    <w:rsid w:val="00361249"/>
    <w:rsid w:val="0036394B"/>
    <w:rsid w:val="00364423"/>
    <w:rsid w:val="00366DB6"/>
    <w:rsid w:val="003709B5"/>
    <w:rsid w:val="003759C2"/>
    <w:rsid w:val="00381DE2"/>
    <w:rsid w:val="00397365"/>
    <w:rsid w:val="003A31F6"/>
    <w:rsid w:val="003B1925"/>
    <w:rsid w:val="003C33D2"/>
    <w:rsid w:val="003C3447"/>
    <w:rsid w:val="003D076C"/>
    <w:rsid w:val="003D17B5"/>
    <w:rsid w:val="003E78B5"/>
    <w:rsid w:val="003F04F4"/>
    <w:rsid w:val="003F0972"/>
    <w:rsid w:val="003F5454"/>
    <w:rsid w:val="00403611"/>
    <w:rsid w:val="004119E8"/>
    <w:rsid w:val="00415BAB"/>
    <w:rsid w:val="00415ED2"/>
    <w:rsid w:val="0042068C"/>
    <w:rsid w:val="00426D4C"/>
    <w:rsid w:val="0044318E"/>
    <w:rsid w:val="00443B35"/>
    <w:rsid w:val="004652FA"/>
    <w:rsid w:val="0047122B"/>
    <w:rsid w:val="00473B7A"/>
    <w:rsid w:val="00482988"/>
    <w:rsid w:val="0048359C"/>
    <w:rsid w:val="004960E9"/>
    <w:rsid w:val="004A2E88"/>
    <w:rsid w:val="004A5305"/>
    <w:rsid w:val="004C1414"/>
    <w:rsid w:val="004D015A"/>
    <w:rsid w:val="004D7634"/>
    <w:rsid w:val="004E06DC"/>
    <w:rsid w:val="004E611A"/>
    <w:rsid w:val="004F21EA"/>
    <w:rsid w:val="004F6460"/>
    <w:rsid w:val="00520B77"/>
    <w:rsid w:val="005300D3"/>
    <w:rsid w:val="00534319"/>
    <w:rsid w:val="00536488"/>
    <w:rsid w:val="00542A10"/>
    <w:rsid w:val="00544F82"/>
    <w:rsid w:val="005509D2"/>
    <w:rsid w:val="005529F8"/>
    <w:rsid w:val="005805CE"/>
    <w:rsid w:val="00582D35"/>
    <w:rsid w:val="00584E78"/>
    <w:rsid w:val="00593C4F"/>
    <w:rsid w:val="005946A8"/>
    <w:rsid w:val="005A4407"/>
    <w:rsid w:val="005A59EF"/>
    <w:rsid w:val="005A7D6F"/>
    <w:rsid w:val="005B1C7E"/>
    <w:rsid w:val="005B3CCC"/>
    <w:rsid w:val="005C6976"/>
    <w:rsid w:val="005F6F41"/>
    <w:rsid w:val="00604C6B"/>
    <w:rsid w:val="0062023D"/>
    <w:rsid w:val="00625DC6"/>
    <w:rsid w:val="00640DF1"/>
    <w:rsid w:val="0064391D"/>
    <w:rsid w:val="00651821"/>
    <w:rsid w:val="00654384"/>
    <w:rsid w:val="00656AD8"/>
    <w:rsid w:val="00664DC2"/>
    <w:rsid w:val="006653B3"/>
    <w:rsid w:val="00665E18"/>
    <w:rsid w:val="006675CD"/>
    <w:rsid w:val="00667E7A"/>
    <w:rsid w:val="00670DD2"/>
    <w:rsid w:val="006736FE"/>
    <w:rsid w:val="00682C1C"/>
    <w:rsid w:val="00684D9B"/>
    <w:rsid w:val="0068510A"/>
    <w:rsid w:val="006852B3"/>
    <w:rsid w:val="006943F6"/>
    <w:rsid w:val="00697048"/>
    <w:rsid w:val="00697556"/>
    <w:rsid w:val="00697998"/>
    <w:rsid w:val="006B4647"/>
    <w:rsid w:val="006B4C2B"/>
    <w:rsid w:val="006B52B9"/>
    <w:rsid w:val="006B6194"/>
    <w:rsid w:val="006B6D47"/>
    <w:rsid w:val="006C5AFE"/>
    <w:rsid w:val="006C7FDD"/>
    <w:rsid w:val="006D307A"/>
    <w:rsid w:val="006D57B4"/>
    <w:rsid w:val="006E0111"/>
    <w:rsid w:val="006F2EC8"/>
    <w:rsid w:val="006F3DF4"/>
    <w:rsid w:val="006F6D95"/>
    <w:rsid w:val="006F744F"/>
    <w:rsid w:val="00706891"/>
    <w:rsid w:val="00706F13"/>
    <w:rsid w:val="007072E8"/>
    <w:rsid w:val="00710948"/>
    <w:rsid w:val="0071618D"/>
    <w:rsid w:val="00723E2E"/>
    <w:rsid w:val="00725FA4"/>
    <w:rsid w:val="00726D02"/>
    <w:rsid w:val="00740446"/>
    <w:rsid w:val="007438A9"/>
    <w:rsid w:val="0074491E"/>
    <w:rsid w:val="00751567"/>
    <w:rsid w:val="007551A3"/>
    <w:rsid w:val="00762209"/>
    <w:rsid w:val="0076247A"/>
    <w:rsid w:val="00774074"/>
    <w:rsid w:val="00775964"/>
    <w:rsid w:val="007765FE"/>
    <w:rsid w:val="0077693C"/>
    <w:rsid w:val="00782B1B"/>
    <w:rsid w:val="00785AA6"/>
    <w:rsid w:val="00791CDE"/>
    <w:rsid w:val="00793130"/>
    <w:rsid w:val="00794E2E"/>
    <w:rsid w:val="00795BFB"/>
    <w:rsid w:val="00797D67"/>
    <w:rsid w:val="007B2760"/>
    <w:rsid w:val="007C0526"/>
    <w:rsid w:val="007C550C"/>
    <w:rsid w:val="007D3B4B"/>
    <w:rsid w:val="007E081E"/>
    <w:rsid w:val="00803E8D"/>
    <w:rsid w:val="00806C01"/>
    <w:rsid w:val="008104DD"/>
    <w:rsid w:val="00811A33"/>
    <w:rsid w:val="008148CC"/>
    <w:rsid w:val="008211A4"/>
    <w:rsid w:val="00832303"/>
    <w:rsid w:val="0084693A"/>
    <w:rsid w:val="00865FF3"/>
    <w:rsid w:val="00867499"/>
    <w:rsid w:val="00867C6D"/>
    <w:rsid w:val="00873150"/>
    <w:rsid w:val="0087657D"/>
    <w:rsid w:val="00880189"/>
    <w:rsid w:val="008807D5"/>
    <w:rsid w:val="0088081D"/>
    <w:rsid w:val="00880832"/>
    <w:rsid w:val="00885C9D"/>
    <w:rsid w:val="00886EE1"/>
    <w:rsid w:val="0088727D"/>
    <w:rsid w:val="00897C75"/>
    <w:rsid w:val="008A1478"/>
    <w:rsid w:val="008C1130"/>
    <w:rsid w:val="008C44D7"/>
    <w:rsid w:val="008C625C"/>
    <w:rsid w:val="008D16BC"/>
    <w:rsid w:val="008D18E6"/>
    <w:rsid w:val="008D7A9B"/>
    <w:rsid w:val="008D7CD9"/>
    <w:rsid w:val="008E0060"/>
    <w:rsid w:val="008E10C2"/>
    <w:rsid w:val="008E7091"/>
    <w:rsid w:val="008E76AC"/>
    <w:rsid w:val="008E7D7B"/>
    <w:rsid w:val="008F21F6"/>
    <w:rsid w:val="008F5225"/>
    <w:rsid w:val="009040EB"/>
    <w:rsid w:val="00912843"/>
    <w:rsid w:val="009130F4"/>
    <w:rsid w:val="00917F2A"/>
    <w:rsid w:val="0093268E"/>
    <w:rsid w:val="009334AB"/>
    <w:rsid w:val="00951F79"/>
    <w:rsid w:val="00961253"/>
    <w:rsid w:val="0096317D"/>
    <w:rsid w:val="00971064"/>
    <w:rsid w:val="00973135"/>
    <w:rsid w:val="00974AB5"/>
    <w:rsid w:val="00976C3A"/>
    <w:rsid w:val="0098706D"/>
    <w:rsid w:val="009935FB"/>
    <w:rsid w:val="009A0B99"/>
    <w:rsid w:val="009A46CC"/>
    <w:rsid w:val="009B387D"/>
    <w:rsid w:val="009C6B5C"/>
    <w:rsid w:val="009C6D74"/>
    <w:rsid w:val="009F436C"/>
    <w:rsid w:val="009F4A54"/>
    <w:rsid w:val="009F4BEC"/>
    <w:rsid w:val="009F5874"/>
    <w:rsid w:val="009F6554"/>
    <w:rsid w:val="00A222F7"/>
    <w:rsid w:val="00A25FD7"/>
    <w:rsid w:val="00A43AFF"/>
    <w:rsid w:val="00A46E21"/>
    <w:rsid w:val="00A60448"/>
    <w:rsid w:val="00A67C97"/>
    <w:rsid w:val="00A74647"/>
    <w:rsid w:val="00A7793A"/>
    <w:rsid w:val="00A94F04"/>
    <w:rsid w:val="00AA4CC7"/>
    <w:rsid w:val="00AA5E8E"/>
    <w:rsid w:val="00AA67CB"/>
    <w:rsid w:val="00AB2BAD"/>
    <w:rsid w:val="00AB6CA7"/>
    <w:rsid w:val="00AC1896"/>
    <w:rsid w:val="00AD01E4"/>
    <w:rsid w:val="00AD0858"/>
    <w:rsid w:val="00AE02E3"/>
    <w:rsid w:val="00AE3816"/>
    <w:rsid w:val="00AE7340"/>
    <w:rsid w:val="00AF1BBD"/>
    <w:rsid w:val="00B01C0B"/>
    <w:rsid w:val="00B10207"/>
    <w:rsid w:val="00B141E7"/>
    <w:rsid w:val="00B30ABC"/>
    <w:rsid w:val="00B351B4"/>
    <w:rsid w:val="00B46BCA"/>
    <w:rsid w:val="00B478AA"/>
    <w:rsid w:val="00B757AC"/>
    <w:rsid w:val="00B807C6"/>
    <w:rsid w:val="00B832D3"/>
    <w:rsid w:val="00B83974"/>
    <w:rsid w:val="00B87806"/>
    <w:rsid w:val="00B87EC9"/>
    <w:rsid w:val="00BA6A1B"/>
    <w:rsid w:val="00BB1212"/>
    <w:rsid w:val="00BC1529"/>
    <w:rsid w:val="00BC38FD"/>
    <w:rsid w:val="00BC7514"/>
    <w:rsid w:val="00BE0C69"/>
    <w:rsid w:val="00BE2A30"/>
    <w:rsid w:val="00BF6C61"/>
    <w:rsid w:val="00C034CB"/>
    <w:rsid w:val="00C051A8"/>
    <w:rsid w:val="00C054BC"/>
    <w:rsid w:val="00C077F0"/>
    <w:rsid w:val="00C17897"/>
    <w:rsid w:val="00C2396E"/>
    <w:rsid w:val="00C23C3A"/>
    <w:rsid w:val="00C307CA"/>
    <w:rsid w:val="00C318C1"/>
    <w:rsid w:val="00C323F4"/>
    <w:rsid w:val="00C37F5C"/>
    <w:rsid w:val="00C409D5"/>
    <w:rsid w:val="00C413EC"/>
    <w:rsid w:val="00C435C3"/>
    <w:rsid w:val="00C442AE"/>
    <w:rsid w:val="00C44E5F"/>
    <w:rsid w:val="00C46303"/>
    <w:rsid w:val="00C4756D"/>
    <w:rsid w:val="00C50242"/>
    <w:rsid w:val="00C51B7C"/>
    <w:rsid w:val="00C53CE1"/>
    <w:rsid w:val="00C6018C"/>
    <w:rsid w:val="00C6234B"/>
    <w:rsid w:val="00C63EAE"/>
    <w:rsid w:val="00C676D7"/>
    <w:rsid w:val="00C71478"/>
    <w:rsid w:val="00C73260"/>
    <w:rsid w:val="00C7629F"/>
    <w:rsid w:val="00C81FA7"/>
    <w:rsid w:val="00C8661B"/>
    <w:rsid w:val="00CA03C8"/>
    <w:rsid w:val="00CA139A"/>
    <w:rsid w:val="00CA2899"/>
    <w:rsid w:val="00CA3A3D"/>
    <w:rsid w:val="00CA3AA6"/>
    <w:rsid w:val="00CA77FB"/>
    <w:rsid w:val="00CB379B"/>
    <w:rsid w:val="00CB52E7"/>
    <w:rsid w:val="00CB5DD0"/>
    <w:rsid w:val="00CC51D4"/>
    <w:rsid w:val="00CC65DA"/>
    <w:rsid w:val="00CE1567"/>
    <w:rsid w:val="00CF1D36"/>
    <w:rsid w:val="00CF21B9"/>
    <w:rsid w:val="00CF6BF9"/>
    <w:rsid w:val="00CF73E4"/>
    <w:rsid w:val="00D0103B"/>
    <w:rsid w:val="00D03800"/>
    <w:rsid w:val="00D06207"/>
    <w:rsid w:val="00D065D3"/>
    <w:rsid w:val="00D113B6"/>
    <w:rsid w:val="00D14C94"/>
    <w:rsid w:val="00D20326"/>
    <w:rsid w:val="00D21449"/>
    <w:rsid w:val="00D342A6"/>
    <w:rsid w:val="00D37C5A"/>
    <w:rsid w:val="00D40ACD"/>
    <w:rsid w:val="00D45CA6"/>
    <w:rsid w:val="00D464BF"/>
    <w:rsid w:val="00D5196E"/>
    <w:rsid w:val="00D51A18"/>
    <w:rsid w:val="00D51F3A"/>
    <w:rsid w:val="00D53E26"/>
    <w:rsid w:val="00D62AEF"/>
    <w:rsid w:val="00D800FB"/>
    <w:rsid w:val="00D87BAB"/>
    <w:rsid w:val="00DA79D3"/>
    <w:rsid w:val="00DB1452"/>
    <w:rsid w:val="00DB182C"/>
    <w:rsid w:val="00DB2512"/>
    <w:rsid w:val="00DB2F38"/>
    <w:rsid w:val="00DB3506"/>
    <w:rsid w:val="00DB7DD1"/>
    <w:rsid w:val="00DD4F0E"/>
    <w:rsid w:val="00DD5F90"/>
    <w:rsid w:val="00DE313E"/>
    <w:rsid w:val="00DE6ADB"/>
    <w:rsid w:val="00DF0427"/>
    <w:rsid w:val="00DF0BF0"/>
    <w:rsid w:val="00DF3CA2"/>
    <w:rsid w:val="00E01463"/>
    <w:rsid w:val="00E051FB"/>
    <w:rsid w:val="00E05E0A"/>
    <w:rsid w:val="00E060BE"/>
    <w:rsid w:val="00E071AA"/>
    <w:rsid w:val="00E07610"/>
    <w:rsid w:val="00E10DC8"/>
    <w:rsid w:val="00E1475D"/>
    <w:rsid w:val="00E14D2B"/>
    <w:rsid w:val="00E42629"/>
    <w:rsid w:val="00E45130"/>
    <w:rsid w:val="00E534CF"/>
    <w:rsid w:val="00E53F1D"/>
    <w:rsid w:val="00E72208"/>
    <w:rsid w:val="00E73B4A"/>
    <w:rsid w:val="00E81CB4"/>
    <w:rsid w:val="00E8585B"/>
    <w:rsid w:val="00E87A49"/>
    <w:rsid w:val="00E87F41"/>
    <w:rsid w:val="00EA028C"/>
    <w:rsid w:val="00EA3F15"/>
    <w:rsid w:val="00EA7847"/>
    <w:rsid w:val="00EB0EE6"/>
    <w:rsid w:val="00EB1EF0"/>
    <w:rsid w:val="00EB4C2F"/>
    <w:rsid w:val="00EB69EB"/>
    <w:rsid w:val="00EC13D5"/>
    <w:rsid w:val="00EC69A4"/>
    <w:rsid w:val="00EC7ABD"/>
    <w:rsid w:val="00ED785A"/>
    <w:rsid w:val="00ED7F83"/>
    <w:rsid w:val="00EE1D4E"/>
    <w:rsid w:val="00EE2E6E"/>
    <w:rsid w:val="00EE72F6"/>
    <w:rsid w:val="00F0759E"/>
    <w:rsid w:val="00F16A43"/>
    <w:rsid w:val="00F17B1C"/>
    <w:rsid w:val="00F204CD"/>
    <w:rsid w:val="00F2105B"/>
    <w:rsid w:val="00F271B1"/>
    <w:rsid w:val="00F37643"/>
    <w:rsid w:val="00F46780"/>
    <w:rsid w:val="00F516DD"/>
    <w:rsid w:val="00F67B58"/>
    <w:rsid w:val="00F75756"/>
    <w:rsid w:val="00F77D2D"/>
    <w:rsid w:val="00F80657"/>
    <w:rsid w:val="00F8112F"/>
    <w:rsid w:val="00F81CD3"/>
    <w:rsid w:val="00F821A3"/>
    <w:rsid w:val="00F9314A"/>
    <w:rsid w:val="00F940B2"/>
    <w:rsid w:val="00FA168A"/>
    <w:rsid w:val="00FA1D49"/>
    <w:rsid w:val="00FB3AA3"/>
    <w:rsid w:val="00FC58EF"/>
    <w:rsid w:val="00FD2EC7"/>
    <w:rsid w:val="00FD33DF"/>
    <w:rsid w:val="00FE39D7"/>
    <w:rsid w:val="00FE4521"/>
    <w:rsid w:val="00FF4803"/>
    <w:rsid w:val="00FF67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EB5974"/>
  <w15:chartTrackingRefBased/>
  <w15:docId w15:val="{70314FAE-EB64-4976-B826-93586001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rsid w:val="008E10C2"/>
    <w:pPr>
      <w:ind w:left="0"/>
    </w:pPr>
    <w:rPr>
      <w:rFonts w:eastAsia="SimSun"/>
      <w:sz w:val="20"/>
      <w:szCs w:val="20"/>
      <w:lang w:val="es-CO" w:eastAsia="zh-CN"/>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E10C2"/>
    <w:rPr>
      <w:rFonts w:eastAsia="SimSun"/>
      <w:lang w:eastAsia="zh-CN"/>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8E10C2"/>
    <w:rPr>
      <w:vertAlign w:val="superscript"/>
    </w:rPr>
  </w:style>
  <w:style w:type="character" w:styleId="Refdecomentario">
    <w:name w:val="annotation reference"/>
    <w:basedOn w:val="Fuentedeprrafopredeter"/>
    <w:uiPriority w:val="99"/>
    <w:semiHidden/>
    <w:unhideWhenUsed/>
    <w:rsid w:val="00EB0EE6"/>
    <w:rPr>
      <w:sz w:val="16"/>
      <w:szCs w:val="16"/>
    </w:rPr>
  </w:style>
  <w:style w:type="paragraph" w:styleId="Textocomentario">
    <w:name w:val="annotation text"/>
    <w:basedOn w:val="Normal"/>
    <w:link w:val="TextocomentarioCar"/>
    <w:uiPriority w:val="99"/>
    <w:semiHidden/>
    <w:unhideWhenUsed/>
    <w:rsid w:val="00791CDE"/>
    <w:rPr>
      <w:sz w:val="20"/>
      <w:szCs w:val="20"/>
    </w:rPr>
  </w:style>
  <w:style w:type="character" w:customStyle="1" w:styleId="TextocomentarioCar">
    <w:name w:val="Texto comentario Car"/>
    <w:basedOn w:val="Fuentedeprrafopredeter"/>
    <w:link w:val="Textocomentario"/>
    <w:uiPriority w:val="99"/>
    <w:semiHidden/>
    <w:rsid w:val="00791CDE"/>
    <w:rPr>
      <w:lang w:val="es-ES" w:eastAsia="es-ES"/>
    </w:rPr>
  </w:style>
  <w:style w:type="paragraph" w:styleId="Asuntodelcomentario">
    <w:name w:val="annotation subject"/>
    <w:basedOn w:val="Textocomentario"/>
    <w:next w:val="Textocomentario"/>
    <w:link w:val="AsuntodelcomentarioCar"/>
    <w:uiPriority w:val="99"/>
    <w:semiHidden/>
    <w:unhideWhenUsed/>
    <w:rsid w:val="00791CDE"/>
    <w:rPr>
      <w:b/>
      <w:bCs/>
    </w:rPr>
  </w:style>
  <w:style w:type="character" w:customStyle="1" w:styleId="AsuntodelcomentarioCar">
    <w:name w:val="Asunto del comentario Car"/>
    <w:basedOn w:val="TextocomentarioCar"/>
    <w:link w:val="Asuntodelcomentario"/>
    <w:uiPriority w:val="99"/>
    <w:semiHidden/>
    <w:rsid w:val="00791CDE"/>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25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CF8F9-F547-4203-8C6B-78D99AAAF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13</Pages>
  <Words>5758</Words>
  <Characters>31675</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2019-10-25T23:43:00Z</cp:lastPrinted>
  <dcterms:created xsi:type="dcterms:W3CDTF">2019-11-18T13:05:00Z</dcterms:created>
  <dcterms:modified xsi:type="dcterms:W3CDTF">2019-11-18T13:05:00Z</dcterms:modified>
</cp:coreProperties>
</file>